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方正小标宋简体" w:hAnsi="Calibri" w:eastAsia="方正小标宋简体" w:cs="Times New Roman"/>
          <w:color w:val="auto"/>
          <w:kern w:val="0"/>
          <w:sz w:val="44"/>
          <w:szCs w:val="44"/>
          <w:highlight w:val="none"/>
          <w:lang w:val="en-US" w:eastAsia="zh-CN"/>
        </w:rPr>
      </w:pPr>
    </w:p>
    <w:p>
      <w:pPr>
        <w:spacing w:line="360" w:lineRule="auto"/>
        <w:ind w:firstLine="0" w:firstLineChars="0"/>
        <w:jc w:val="center"/>
        <w:rPr>
          <w:rFonts w:hint="eastAsia" w:ascii="仿宋_GB2312" w:eastAsia="仿宋_GB2312"/>
          <w:color w:val="auto"/>
          <w:sz w:val="30"/>
          <w:szCs w:val="30"/>
          <w:highlight w:val="none"/>
        </w:rPr>
      </w:pPr>
      <w:r>
        <w:rPr>
          <w:rFonts w:hint="eastAsia" w:ascii="方正小标宋简体" w:hAnsi="Calibri" w:eastAsia="方正小标宋简体" w:cs="Times New Roman"/>
          <w:color w:val="auto"/>
          <w:kern w:val="0"/>
          <w:sz w:val="44"/>
          <w:szCs w:val="44"/>
          <w:highlight w:val="none"/>
          <w:lang w:val="en-US" w:eastAsia="zh-CN"/>
        </w:rPr>
        <w:t>项目绩效自评报告</w:t>
      </w:r>
    </w:p>
    <w:p>
      <w:pPr>
        <w:pStyle w:val="10"/>
        <w:rPr>
          <w:rFonts w:hint="eastAsia" w:ascii="仿宋_GB2312" w:eastAsia="仿宋_GB2312"/>
          <w:color w:val="auto"/>
          <w:sz w:val="30"/>
          <w:szCs w:val="30"/>
          <w:highlight w:val="none"/>
        </w:rPr>
      </w:pPr>
    </w:p>
    <w:p>
      <w:pPr>
        <w:pStyle w:val="10"/>
        <w:rPr>
          <w:rFonts w:hint="eastAsia" w:ascii="仿宋_GB2312" w:eastAsia="仿宋_GB2312"/>
          <w:color w:val="auto"/>
          <w:sz w:val="30"/>
          <w:szCs w:val="30"/>
          <w:highlight w:val="none"/>
        </w:rPr>
      </w:pPr>
    </w:p>
    <w:p>
      <w:pPr>
        <w:pStyle w:val="10"/>
        <w:rPr>
          <w:rFonts w:hint="eastAsia" w:ascii="仿宋_GB2312" w:eastAsia="仿宋_GB2312"/>
          <w:color w:val="auto"/>
          <w:sz w:val="30"/>
          <w:szCs w:val="30"/>
          <w:highlight w:val="none"/>
        </w:rPr>
      </w:pPr>
    </w:p>
    <w:p>
      <w:pPr>
        <w:pStyle w:val="10"/>
        <w:rPr>
          <w:rFonts w:hint="eastAsia" w:ascii="仿宋_GB2312" w:eastAsia="仿宋_GB2312"/>
          <w:color w:val="auto"/>
          <w:sz w:val="30"/>
          <w:szCs w:val="30"/>
          <w:highlight w:val="none"/>
        </w:rPr>
      </w:pPr>
    </w:p>
    <w:p>
      <w:pPr>
        <w:pStyle w:val="10"/>
        <w:rPr>
          <w:rFonts w:hint="eastAsia" w:ascii="仿宋_GB2312" w:eastAsia="仿宋_GB2312"/>
          <w:color w:val="auto"/>
          <w:sz w:val="30"/>
          <w:szCs w:val="30"/>
          <w:highlight w:val="none"/>
        </w:rPr>
      </w:pPr>
    </w:p>
    <w:p>
      <w:pPr>
        <w:pStyle w:val="10"/>
        <w:rPr>
          <w:rFonts w:hint="eastAsia" w:ascii="仿宋_GB2312" w:eastAsia="仿宋_GB2312"/>
          <w:color w:val="auto"/>
          <w:sz w:val="30"/>
          <w:szCs w:val="30"/>
          <w:highlight w:val="none"/>
        </w:rPr>
      </w:pPr>
    </w:p>
    <w:p>
      <w:pPr>
        <w:pStyle w:val="1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财政事权名称:住房和城乡建设管理</w:t>
      </w:r>
    </w:p>
    <w:p>
      <w:pPr>
        <w:pStyle w:val="1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对应政策任务个数:</w:t>
      </w:r>
      <w:r>
        <w:rPr>
          <w:rFonts w:hint="eastAsia" w:ascii="仿宋_GB2312" w:eastAsia="仿宋_GB2312"/>
          <w:color w:val="auto"/>
          <w:sz w:val="30"/>
          <w:szCs w:val="30"/>
          <w:highlight w:val="none"/>
          <w:lang w:val="en-US" w:eastAsia="zh-CN"/>
        </w:rPr>
        <w:t xml:space="preserve">1个 </w:t>
      </w:r>
      <w:r>
        <w:rPr>
          <w:rFonts w:hint="eastAsia" w:ascii="仿宋_GB2312" w:eastAsia="仿宋_GB2312"/>
          <w:color w:val="auto"/>
          <w:sz w:val="30"/>
          <w:szCs w:val="30"/>
          <w:highlight w:val="none"/>
        </w:rPr>
        <w:t>及具体名称:城镇老旧小区改造</w:t>
      </w:r>
    </w:p>
    <w:p>
      <w:pPr>
        <w:pStyle w:val="10"/>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rPr>
        <w:t>预算单位:(公章)</w:t>
      </w:r>
      <w:r>
        <w:rPr>
          <w:rFonts w:hint="eastAsia" w:ascii="仿宋_GB2312" w:eastAsia="仿宋_GB2312"/>
          <w:color w:val="auto"/>
          <w:sz w:val="30"/>
          <w:szCs w:val="30"/>
          <w:highlight w:val="none"/>
          <w:lang w:val="en-US" w:eastAsia="zh-CN"/>
        </w:rPr>
        <w:t xml:space="preserve"> </w:t>
      </w:r>
    </w:p>
    <w:p>
      <w:pPr>
        <w:pStyle w:val="1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填报人姓名</w:t>
      </w:r>
      <w:r>
        <w:rPr>
          <w:rFonts w:hint="eastAsia" w:ascii="仿宋_GB2312" w:eastAsia="仿宋_GB2312"/>
          <w:color w:val="auto"/>
          <w:sz w:val="30"/>
          <w:szCs w:val="30"/>
          <w:highlight w:val="none"/>
          <w:lang w:eastAsia="zh-CN"/>
        </w:rPr>
        <w:t>：蒋晓兵</w:t>
      </w:r>
    </w:p>
    <w:p>
      <w:pPr>
        <w:pStyle w:val="1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rPr>
        <w:t>联系电话:</w:t>
      </w:r>
      <w:r>
        <w:rPr>
          <w:rFonts w:hint="eastAsia" w:ascii="仿宋_GB2312" w:eastAsia="仿宋_GB2312"/>
          <w:color w:val="auto"/>
          <w:sz w:val="30"/>
          <w:szCs w:val="30"/>
          <w:highlight w:val="none"/>
          <w:lang w:val="en-US" w:eastAsia="zh-CN"/>
        </w:rPr>
        <w:t>83133710</w:t>
      </w:r>
      <w:bookmarkStart w:id="95" w:name="_GoBack"/>
      <w:bookmarkEnd w:id="95"/>
    </w:p>
    <w:p>
      <w:pPr>
        <w:pStyle w:val="1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填报日期:</w:t>
      </w:r>
      <w:r>
        <w:rPr>
          <w:rFonts w:hint="default" w:ascii="Times New Roman" w:hAnsi="Times New Roman" w:eastAsia="仿宋_GB2312" w:cs="Times New Roman"/>
          <w:color w:val="auto"/>
          <w:sz w:val="32"/>
          <w:szCs w:val="32"/>
          <w:highlight w:val="none"/>
          <w:lang w:val="en-US" w:eastAsia="zh-CN"/>
        </w:rPr>
        <w:t>2025</w:t>
      </w:r>
      <w:r>
        <w:rPr>
          <w:rFonts w:hint="eastAsia" w:ascii="仿宋_GB2312" w:eastAsia="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5</w:t>
      </w:r>
      <w:r>
        <w:rPr>
          <w:rFonts w:hint="eastAsia" w:ascii="仿宋_GB2312" w:eastAsia="仿宋_GB2312"/>
          <w:color w:val="auto"/>
          <w:sz w:val="32"/>
          <w:szCs w:val="32"/>
          <w:highlight w:val="none"/>
          <w:lang w:val="en-US" w:eastAsia="zh-CN"/>
        </w:rPr>
        <w:t>日</w:t>
      </w:r>
    </w:p>
    <w:p>
      <w:pPr>
        <w:spacing w:before="0" w:beforeLines="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192" w:lineRule="auto"/>
        <w:ind w:left="0" w:leftChars="0" w:right="0" w:rightChars="0" w:firstLine="0" w:firstLineChars="0"/>
        <w:jc w:val="center"/>
        <w:textAlignment w:val="auto"/>
        <w:rPr>
          <w:rFonts w:hint="eastAsia" w:ascii="方正小标宋简体" w:hAnsi="方正小标宋简体" w:eastAsia="方正小标宋简体" w:cs="方正小标宋简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192" w:lineRule="auto"/>
        <w:ind w:left="0" w:leftChars="0" w:right="0" w:rightChars="0" w:firstLine="0" w:firstLineChars="0"/>
        <w:jc w:val="center"/>
        <w:textAlignment w:val="auto"/>
        <w:rPr>
          <w:rFonts w:hint="eastAsia" w:ascii="方正小标宋简体" w:hAnsi="方正小标宋简体" w:eastAsia="方正小标宋简体" w:cs="方正小标宋简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Lines="0" w:line="192" w:lineRule="auto"/>
        <w:ind w:left="0" w:leftChars="0" w:right="0" w:righ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sz w:val="32"/>
          <w:szCs w:val="32"/>
          <w:highlight w:val="none"/>
        </w:rPr>
        <w:t>目</w:t>
      </w:r>
      <w:r>
        <w:rPr>
          <w:rFonts w:hint="eastAsia" w:ascii="方正小标宋简体" w:hAnsi="方正小标宋简体" w:eastAsia="方正小标宋简体" w:cs="方正小标宋简体"/>
          <w:color w:val="auto"/>
          <w:sz w:val="32"/>
          <w:szCs w:val="32"/>
          <w:highlight w:val="none"/>
          <w:lang w:val="en-US" w:eastAsia="zh-CN"/>
        </w:rPr>
        <w:t xml:space="preserve">  </w:t>
      </w:r>
      <w:r>
        <w:rPr>
          <w:rFonts w:hint="eastAsia" w:ascii="方正小标宋简体" w:hAnsi="方正小标宋简体" w:eastAsia="方正小标宋简体" w:cs="方正小标宋简体"/>
          <w:color w:val="auto"/>
          <w:sz w:val="32"/>
          <w:szCs w:val="32"/>
          <w:highlight w:val="none"/>
        </w:rPr>
        <w:t>录</w:t>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color w:val="auto"/>
          <w:kern w:val="0"/>
          <w:sz w:val="32"/>
          <w:szCs w:val="32"/>
          <w:highlight w:val="none"/>
          <w:lang w:val="en-US" w:eastAsia="zh-CN" w:bidi="ar-SA"/>
        </w:rPr>
      </w:pPr>
      <w:r>
        <w:rPr>
          <w:color w:val="auto"/>
        </w:rPr>
        <w:fldChar w:fldCharType="begin"/>
      </w:r>
      <w:r>
        <w:rPr>
          <w:color w:val="auto"/>
        </w:rPr>
        <w:instrText xml:space="preserve">TOC \o "1-3" \h \u </w:instrText>
      </w:r>
      <w:r>
        <w:rPr>
          <w:color w:val="auto"/>
        </w:rPr>
        <w:fldChar w:fldCharType="separate"/>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_Toc12978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一、基本情况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_Toc12978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_Toc1971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（一）资金安排情况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_Toc1971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_Toc29177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（二）资金分配方式</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_Toc29177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- 2 -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_Toc15354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（三）资金主要用途和扶持对象</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_Toc15354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- 4 -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_Toc13676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（四）绩效目标</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_Toc13676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- 4 -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_Toc11495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二、自评情况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_Toc11495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- 5 -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_Toc7281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(一）自评结论</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_Toc7281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- 5 -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_Toc9701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default" w:ascii="Times New Roman" w:hAnsi="Times New Roman" w:eastAsia="仿宋_GB2312" w:cs="Times New Roman"/>
          <w:color w:val="auto"/>
          <w:kern w:val="0"/>
          <w:sz w:val="32"/>
          <w:szCs w:val="32"/>
          <w:highlight w:val="none"/>
          <w:lang w:val="en-US" w:eastAsia="zh-CN" w:bidi="ar-SA"/>
        </w:rPr>
        <w:t>1</w:t>
      </w:r>
      <w:r>
        <w:rPr>
          <w:rFonts w:hint="eastAsia" w:ascii="仿宋_GB2312" w:hAnsi="仿宋_GB2312" w:eastAsia="仿宋_GB2312" w:cs="仿宋_GB2312"/>
          <w:color w:val="auto"/>
          <w:kern w:val="0"/>
          <w:sz w:val="32"/>
          <w:szCs w:val="32"/>
          <w:highlight w:val="none"/>
          <w:lang w:val="en-US" w:eastAsia="zh-CN" w:bidi="ar-SA"/>
        </w:rPr>
        <w:t>.过程指标</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_Toc9701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- 5 -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_Toc17661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default" w:ascii="Times New Roman" w:hAnsi="Times New Roman" w:eastAsia="仿宋_GB2312" w:cs="Times New Roman"/>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.产出指标</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_Toc17661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- 7 -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_Toc28141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default" w:ascii="Times New Roman" w:hAnsi="Times New Roman" w:eastAsia="仿宋_GB2312" w:cs="Times New Roman"/>
          <w:color w:val="auto"/>
          <w:kern w:val="0"/>
          <w:sz w:val="32"/>
          <w:szCs w:val="32"/>
          <w:highlight w:val="none"/>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.效益指标</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_Toc28141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- 11 -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_Toc17188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（二） 专项资金使用绩效</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_Toc17188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- 12 -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_Toc27487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default" w:ascii="Times New Roman" w:hAnsi="Times New Roman" w:eastAsia="仿宋_GB2312" w:cs="Times New Roman"/>
          <w:color w:val="auto"/>
          <w:kern w:val="0"/>
          <w:sz w:val="32"/>
          <w:szCs w:val="32"/>
          <w:highlight w:val="none"/>
          <w:lang w:val="en-US" w:eastAsia="zh-CN" w:bidi="ar-SA"/>
        </w:rPr>
        <w:t>1</w:t>
      </w:r>
      <w:r>
        <w:rPr>
          <w:rFonts w:hint="eastAsia" w:ascii="仿宋_GB2312" w:hAnsi="仿宋_GB2312" w:eastAsia="仿宋_GB2312" w:cs="仿宋_GB2312"/>
          <w:color w:val="auto"/>
          <w:kern w:val="0"/>
          <w:sz w:val="32"/>
          <w:szCs w:val="32"/>
          <w:highlight w:val="none"/>
          <w:lang w:val="en-US" w:eastAsia="zh-CN" w:bidi="ar-SA"/>
        </w:rPr>
        <w:t>.专项资金支出情况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_Toc27487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- 12 -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_Toc29500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default" w:ascii="Times New Roman" w:hAnsi="Times New Roman" w:eastAsia="仿宋_GB2312" w:cs="Times New Roman"/>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.专项资金完成绩效目标情况</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_Toc29500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- 12 -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_Toc12647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default" w:ascii="Times New Roman" w:hAnsi="Times New Roman" w:eastAsia="仿宋_GB2312" w:cs="Times New Roman"/>
          <w:color w:val="auto"/>
          <w:kern w:val="0"/>
          <w:sz w:val="32"/>
          <w:szCs w:val="32"/>
          <w:highlight w:val="none"/>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.专项资金分用途使用绩效</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_Toc12647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- 13 -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_Toc12111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（三）专项资金使用绩效存在的问题</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_Toc12111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- 17 -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192" w:lineRule="auto"/>
        <w:ind w:left="6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HYPERLINK \l _Toc27970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三、改进意见</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fldChar w:fldCharType="begin"/>
      </w:r>
      <w:r>
        <w:rPr>
          <w:rFonts w:hint="eastAsia" w:ascii="仿宋_GB2312" w:hAnsi="仿宋_GB2312" w:eastAsia="仿宋_GB2312" w:cs="仿宋_GB2312"/>
          <w:color w:val="auto"/>
          <w:kern w:val="0"/>
          <w:sz w:val="32"/>
          <w:szCs w:val="32"/>
          <w:highlight w:val="none"/>
          <w:lang w:val="en-US" w:eastAsia="zh-CN" w:bidi="ar-SA"/>
        </w:rPr>
        <w:instrText xml:space="preserve"> PAGEREF _Toc27970 \h </w:instrText>
      </w:r>
      <w:r>
        <w:rPr>
          <w:rFonts w:hint="eastAsia" w:ascii="仿宋_GB2312" w:hAnsi="仿宋_GB2312" w:eastAsia="仿宋_GB2312" w:cs="仿宋_GB2312"/>
          <w:color w:val="auto"/>
          <w:kern w:val="0"/>
          <w:sz w:val="32"/>
          <w:szCs w:val="32"/>
          <w:highlight w:val="none"/>
          <w:lang w:val="en-US" w:eastAsia="zh-CN" w:bidi="ar-SA"/>
        </w:rPr>
        <w:fldChar w:fldCharType="separate"/>
      </w:r>
      <w:r>
        <w:rPr>
          <w:rFonts w:hint="eastAsia" w:ascii="仿宋_GB2312" w:hAnsi="仿宋_GB2312" w:eastAsia="仿宋_GB2312" w:cs="仿宋_GB2312"/>
          <w:color w:val="auto"/>
          <w:kern w:val="0"/>
          <w:sz w:val="32"/>
          <w:szCs w:val="32"/>
          <w:highlight w:val="none"/>
          <w:lang w:val="en-US" w:eastAsia="zh-CN" w:bidi="ar-SA"/>
        </w:rPr>
        <w:t>- 19 -</w:t>
      </w:r>
      <w:r>
        <w:rPr>
          <w:rFonts w:hint="eastAsia" w:ascii="仿宋_GB2312" w:hAnsi="仿宋_GB2312" w:eastAsia="仿宋_GB2312" w:cs="仿宋_GB2312"/>
          <w:color w:val="auto"/>
          <w:kern w:val="0"/>
          <w:sz w:val="32"/>
          <w:szCs w:val="32"/>
          <w:highlight w:val="none"/>
          <w:lang w:val="en-US" w:eastAsia="zh-CN" w:bidi="ar-SA"/>
        </w:rPr>
        <w:fldChar w:fldCharType="end"/>
      </w:r>
      <w:r>
        <w:rPr>
          <w:rFonts w:hint="eastAsia" w:ascii="仿宋_GB2312" w:hAnsi="仿宋_GB2312" w:eastAsia="仿宋_GB2312" w:cs="仿宋_GB2312"/>
          <w:color w:val="auto"/>
          <w:kern w:val="0"/>
          <w:sz w:val="32"/>
          <w:szCs w:val="32"/>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192" w:lineRule="auto"/>
        <w:textAlignment w:val="auto"/>
        <w:rPr>
          <w:color w:val="auto"/>
        </w:rPr>
      </w:pPr>
      <w:r>
        <w:rPr>
          <w:color w:val="auto"/>
        </w:rPr>
        <w:fldChar w:fldCharType="end"/>
      </w:r>
    </w:p>
    <w:p>
      <w:pPr>
        <w:pStyle w:val="2"/>
        <w:ind w:left="0" w:leftChars="0" w:firstLine="640" w:firstLineChars="200"/>
        <w:rPr>
          <w:rFonts w:ascii="仿宋_GB2312" w:hAnsi="等线"/>
          <w:color w:val="auto"/>
          <w:sz w:val="32"/>
          <w:highlight w:val="none"/>
        </w:rPr>
        <w:sectPr>
          <w:footerReference r:id="rId3" w:type="default"/>
          <w:pgSz w:w="11906" w:h="16838"/>
          <w:pgMar w:top="2041" w:right="1417" w:bottom="1417" w:left="1531" w:header="851" w:footer="992" w:gutter="0"/>
          <w:pgNumType w:fmt="numberInDash" w:start="1"/>
          <w:cols w:space="425" w:num="1"/>
          <w:docGrid w:type="lines" w:linePitch="312" w:charSpace="0"/>
        </w:sectPr>
      </w:pPr>
    </w:p>
    <w:p>
      <w:pPr>
        <w:pStyle w:val="2"/>
        <w:ind w:left="0" w:leftChars="0" w:firstLine="640" w:firstLineChars="200"/>
        <w:rPr>
          <w:rFonts w:hint="eastAsia" w:ascii="仿宋_GB2312" w:hAnsi="等线"/>
          <w:color w:val="auto"/>
          <w:sz w:val="32"/>
          <w:highlight w:val="none"/>
          <w:lang w:eastAsia="zh-CN"/>
        </w:rPr>
      </w:pPr>
      <w:r>
        <w:rPr>
          <w:rFonts w:ascii="仿宋_GB2312" w:hAnsi="等线"/>
          <w:color w:val="auto"/>
          <w:sz w:val="32"/>
          <w:highlight w:val="none"/>
        </w:rPr>
        <w:t>为检验</w:t>
      </w:r>
      <w:r>
        <w:rPr>
          <w:rFonts w:hint="default" w:ascii="Times New Roman" w:hAnsi="Times New Roman" w:cs="Times New Roman"/>
          <w:color w:val="auto"/>
          <w:sz w:val="32"/>
          <w:highlight w:val="none"/>
          <w:lang w:val="en-US" w:eastAsia="zh-CN"/>
        </w:rPr>
        <w:t>2024</w:t>
      </w:r>
      <w:r>
        <w:rPr>
          <w:rFonts w:hint="eastAsia" w:ascii="仿宋_GB2312" w:hAnsi="等线"/>
          <w:color w:val="auto"/>
          <w:sz w:val="32"/>
          <w:highlight w:val="none"/>
          <w:lang w:val="en-US" w:eastAsia="zh-CN"/>
        </w:rPr>
        <w:t>年区域协调发展战略专项资金-住房和城乡建设管理-城镇老旧小区改造（以下简称专项资金）</w:t>
      </w:r>
      <w:r>
        <w:rPr>
          <w:rFonts w:hint="eastAsia" w:ascii="仿宋_GB2312" w:hAnsi="仿宋_GB2312" w:eastAsia="仿宋_GB2312" w:cs="仿宋_GB2312"/>
          <w:color w:val="auto"/>
          <w:kern w:val="0"/>
          <w:sz w:val="32"/>
          <w:szCs w:val="32"/>
          <w:highlight w:val="none"/>
        </w:rPr>
        <w:t>使用</w:t>
      </w:r>
      <w:r>
        <w:rPr>
          <w:rFonts w:ascii="仿宋_GB2312" w:hAnsi="等线"/>
          <w:color w:val="auto"/>
          <w:sz w:val="32"/>
          <w:highlight w:val="none"/>
        </w:rPr>
        <w:t>绩效，</w:t>
      </w:r>
      <w:r>
        <w:rPr>
          <w:rFonts w:hint="eastAsia" w:ascii="仿宋_GB2312" w:hAnsi="等线"/>
          <w:color w:val="auto"/>
          <w:sz w:val="32"/>
          <w:highlight w:val="none"/>
        </w:rPr>
        <w:t>考核</w:t>
      </w:r>
      <w:r>
        <w:rPr>
          <w:rFonts w:ascii="仿宋_GB2312" w:hAnsi="等线"/>
          <w:color w:val="auto"/>
          <w:sz w:val="32"/>
          <w:highlight w:val="none"/>
        </w:rPr>
        <w:t>绩效目标实现程度、支出效率和综合效果，进一步强化绩效管理，根据</w:t>
      </w:r>
      <w:r>
        <w:rPr>
          <w:rFonts w:hint="eastAsia" w:ascii="仿宋_GB2312" w:hAnsi="等线"/>
          <w:color w:val="auto"/>
          <w:sz w:val="32"/>
          <w:highlight w:val="none"/>
        </w:rPr>
        <w:t>《广东省财政厅关于开展</w:t>
      </w:r>
      <w:r>
        <w:rPr>
          <w:rFonts w:hint="default" w:ascii="Times New Roman" w:hAnsi="Times New Roman" w:cs="Times New Roman"/>
          <w:color w:val="auto"/>
          <w:sz w:val="32"/>
          <w:highlight w:val="none"/>
        </w:rPr>
        <w:t>2025</w:t>
      </w:r>
      <w:r>
        <w:rPr>
          <w:rFonts w:hint="eastAsia" w:ascii="仿宋_GB2312" w:hAnsi="等线"/>
          <w:color w:val="auto"/>
          <w:sz w:val="32"/>
          <w:highlight w:val="none"/>
        </w:rPr>
        <w:t>年省级财政资金绩效自评工作的通知》</w:t>
      </w:r>
      <w:r>
        <w:rPr>
          <w:rFonts w:ascii="仿宋_GB2312" w:hAnsi="等线"/>
          <w:color w:val="auto"/>
          <w:sz w:val="32"/>
          <w:highlight w:val="none"/>
        </w:rPr>
        <w:t>，我厅对</w:t>
      </w:r>
      <w:r>
        <w:rPr>
          <w:rFonts w:hint="eastAsia" w:ascii="仿宋_GB2312" w:hAnsi="等线"/>
          <w:color w:val="auto"/>
          <w:sz w:val="32"/>
          <w:highlight w:val="none"/>
          <w:lang w:eastAsia="zh-CN"/>
        </w:rPr>
        <w:t>专项资金</w:t>
      </w:r>
      <w:r>
        <w:rPr>
          <w:rFonts w:ascii="仿宋_GB2312" w:hAnsi="等线"/>
          <w:color w:val="auto"/>
          <w:sz w:val="32"/>
          <w:highlight w:val="none"/>
        </w:rPr>
        <w:t>使用情况</w:t>
      </w:r>
      <w:r>
        <w:rPr>
          <w:rFonts w:hint="eastAsia" w:ascii="仿宋_GB2312" w:hAnsi="等线"/>
          <w:color w:val="auto"/>
          <w:sz w:val="32"/>
          <w:highlight w:val="none"/>
        </w:rPr>
        <w:t>开展了</w:t>
      </w:r>
      <w:r>
        <w:rPr>
          <w:rFonts w:ascii="仿宋_GB2312" w:hAnsi="等线"/>
          <w:color w:val="auto"/>
          <w:sz w:val="32"/>
          <w:highlight w:val="none"/>
        </w:rPr>
        <w:t>绩效自评</w:t>
      </w:r>
      <w:r>
        <w:rPr>
          <w:rFonts w:hint="eastAsia" w:ascii="仿宋_GB2312" w:hAnsi="等线"/>
          <w:color w:val="auto"/>
          <w:sz w:val="32"/>
          <w:highlight w:val="none"/>
          <w:lang w:eastAsia="zh-CN"/>
        </w:rPr>
        <w:t>。</w:t>
      </w:r>
    </w:p>
    <w:p>
      <w:pPr>
        <w:pStyle w:val="2"/>
        <w:ind w:left="0" w:leftChars="0" w:firstLine="640" w:firstLineChars="200"/>
        <w:rPr>
          <w:rFonts w:hint="eastAsia" w:ascii="黑体" w:hAnsi="黑体" w:eastAsia="仿宋_GB2312" w:cs="黑体"/>
          <w:b w:val="0"/>
          <w:bCs w:val="0"/>
          <w:color w:val="auto"/>
          <w:sz w:val="32"/>
          <w:szCs w:val="32"/>
          <w:highlight w:val="none"/>
          <w:lang w:val="en-US" w:eastAsia="zh-CN"/>
        </w:rPr>
      </w:pPr>
      <w:r>
        <w:rPr>
          <w:rFonts w:hint="eastAsia" w:ascii="仿宋_GB2312" w:hAnsi="等线"/>
          <w:color w:val="auto"/>
          <w:sz w:val="32"/>
          <w:highlight w:val="none"/>
        </w:rPr>
        <w:t>评价基准日为</w:t>
      </w:r>
      <w:r>
        <w:rPr>
          <w:rFonts w:hint="default" w:ascii="Times New Roman" w:hAnsi="Times New Roman" w:cs="Times New Roman"/>
          <w:color w:val="auto"/>
          <w:sz w:val="32"/>
          <w:highlight w:val="none"/>
        </w:rPr>
        <w:t>202</w:t>
      </w:r>
      <w:r>
        <w:rPr>
          <w:rFonts w:hint="default" w:ascii="Times New Roman" w:hAnsi="Times New Roman" w:cs="Times New Roman"/>
          <w:color w:val="auto"/>
          <w:sz w:val="32"/>
          <w:highlight w:val="none"/>
          <w:lang w:val="en-US" w:eastAsia="zh-CN"/>
        </w:rPr>
        <w:t>4</w:t>
      </w:r>
      <w:r>
        <w:rPr>
          <w:rFonts w:hint="eastAsia" w:ascii="仿宋_GB2312" w:hAnsi="等线"/>
          <w:color w:val="auto"/>
          <w:sz w:val="32"/>
          <w:highlight w:val="none"/>
        </w:rPr>
        <w:t>年</w:t>
      </w:r>
      <w:r>
        <w:rPr>
          <w:rFonts w:hint="default" w:ascii="Times New Roman" w:hAnsi="Times New Roman" w:cs="Times New Roman"/>
          <w:color w:val="auto"/>
          <w:sz w:val="32"/>
          <w:highlight w:val="none"/>
        </w:rPr>
        <w:t>12</w:t>
      </w:r>
      <w:r>
        <w:rPr>
          <w:rFonts w:hint="eastAsia" w:ascii="仿宋_GB2312" w:hAnsi="等线"/>
          <w:color w:val="auto"/>
          <w:sz w:val="32"/>
          <w:highlight w:val="none"/>
        </w:rPr>
        <w:t>月</w:t>
      </w:r>
      <w:r>
        <w:rPr>
          <w:rFonts w:hint="default" w:ascii="Times New Roman" w:hAnsi="Times New Roman" w:cs="Times New Roman"/>
          <w:color w:val="auto"/>
          <w:sz w:val="32"/>
          <w:highlight w:val="none"/>
        </w:rPr>
        <w:t>31</w:t>
      </w:r>
      <w:r>
        <w:rPr>
          <w:rFonts w:hint="eastAsia" w:ascii="仿宋_GB2312" w:hAnsi="等线"/>
          <w:color w:val="auto"/>
          <w:sz w:val="32"/>
          <w:highlight w:val="none"/>
        </w:rPr>
        <w:t>日。</w:t>
      </w:r>
    </w:p>
    <w:p>
      <w:pPr>
        <w:numPr>
          <w:ilvl w:val="0"/>
          <w:numId w:val="0"/>
        </w:numPr>
        <w:ind w:firstLine="640" w:firstLineChars="200"/>
        <w:jc w:val="both"/>
        <w:outlineLvl w:val="0"/>
        <w:rPr>
          <w:rFonts w:hint="eastAsia" w:eastAsia="楷体_GB2312"/>
          <w:b/>
          <w:bCs/>
          <w:color w:val="auto"/>
          <w:sz w:val="32"/>
          <w:highlight w:val="none"/>
        </w:rPr>
      </w:pPr>
      <w:bookmarkStart w:id="0" w:name="_Toc28421"/>
      <w:bookmarkStart w:id="1" w:name="_Toc12978"/>
      <w:r>
        <w:rPr>
          <w:rFonts w:hint="eastAsia" w:ascii="黑体" w:hAnsi="黑体" w:eastAsia="黑体" w:cs="黑体"/>
          <w:b w:val="0"/>
          <w:bCs w:val="0"/>
          <w:color w:val="auto"/>
          <w:sz w:val="32"/>
          <w:szCs w:val="32"/>
          <w:highlight w:val="none"/>
          <w:lang w:val="en-US" w:eastAsia="zh-CN"/>
        </w:rPr>
        <w:t>一、基本情况</w:t>
      </w:r>
      <w:bookmarkEnd w:id="0"/>
      <w:bookmarkEnd w:id="1"/>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eastAsia" w:ascii="Times New Roman" w:hAnsi="Times New Roman" w:eastAsia="楷体_GB2312" w:cs="仿宋"/>
          <w:b/>
          <w:bCs/>
          <w:color w:val="auto"/>
          <w:kern w:val="0"/>
          <w:sz w:val="32"/>
          <w:szCs w:val="32"/>
          <w:highlight w:val="none"/>
        </w:rPr>
      </w:pPr>
      <w:bookmarkStart w:id="2" w:name="_Toc14529"/>
      <w:bookmarkStart w:id="3" w:name="_Toc1971"/>
      <w:bookmarkStart w:id="4" w:name="_Toc21260"/>
      <w:bookmarkStart w:id="5" w:name="_Toc15195"/>
      <w:bookmarkStart w:id="6" w:name="_Toc512491956"/>
      <w:bookmarkStart w:id="7" w:name="_Toc29650"/>
      <w:bookmarkStart w:id="8" w:name="_Toc16977"/>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一</w:t>
      </w:r>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val="en-US" w:eastAsia="zh-CN"/>
        </w:rPr>
        <w:t>资金安排情况</w:t>
      </w:r>
      <w:bookmarkEnd w:id="2"/>
      <w:bookmarkEnd w:id="3"/>
      <w:bookmarkEnd w:id="4"/>
      <w:bookmarkEnd w:id="5"/>
      <w:bookmarkEnd w:id="6"/>
      <w:bookmarkEnd w:id="7"/>
      <w:bookmarkEnd w:id="8"/>
    </w:p>
    <w:p>
      <w:pPr>
        <w:keepNext w:val="0"/>
        <w:keepLines w:val="0"/>
        <w:pageBreakBefore w:val="0"/>
        <w:widowControl/>
        <w:numPr>
          <w:ilvl w:val="-1"/>
          <w:numId w:val="0"/>
        </w:numPr>
        <w:kinsoku/>
        <w:wordWrap/>
        <w:overflowPunct/>
        <w:topLinePunct w:val="0"/>
        <w:autoSpaceDE/>
        <w:autoSpaceDN/>
        <w:bidi w:val="0"/>
        <w:adjustRightInd/>
        <w:snapToGrid/>
        <w:ind w:firstLine="640" w:firstLineChars="200"/>
        <w:jc w:val="both"/>
        <w:textAlignment w:val="auto"/>
        <w:outlineLvl w:val="9"/>
        <w:rPr>
          <w:rFonts w:hint="default" w:ascii="仿宋_GB2312" w:hAnsi="Times New Roman" w:eastAsia="仿宋_GB2312"/>
          <w:color w:val="auto"/>
          <w:kern w:val="2"/>
          <w:sz w:val="32"/>
          <w:highlight w:val="none"/>
          <w:lang w:val="en-US" w:eastAsia="zh-CN"/>
        </w:rPr>
      </w:pPr>
      <w:r>
        <w:rPr>
          <w:rFonts w:hint="eastAsia" w:ascii="仿宋_GB2312" w:hAnsi="Times New Roman" w:eastAsia="仿宋_GB2312"/>
          <w:color w:val="auto"/>
          <w:sz w:val="32"/>
          <w:highlight w:val="none"/>
        </w:rPr>
        <w:t>以习近平新时代中国特色社会主义思想为指导，坚持以人民为中心的发展思想，坚持新发展理念，按照高质量发展要求，</w:t>
      </w:r>
      <w:r>
        <w:rPr>
          <w:rFonts w:hint="eastAsia" w:ascii="仿宋_GB2312" w:hAnsi="Times New Roman" w:eastAsia="仿宋_GB2312"/>
          <w:color w:val="auto"/>
          <w:sz w:val="32"/>
          <w:highlight w:val="none"/>
          <w:lang w:val="en-US" w:eastAsia="zh-CN"/>
        </w:rPr>
        <w:t>我省</w:t>
      </w:r>
      <w:r>
        <w:rPr>
          <w:rFonts w:hint="eastAsia" w:ascii="仿宋_GB2312" w:hAnsi="Times New Roman" w:eastAsia="仿宋_GB2312"/>
          <w:color w:val="auto"/>
          <w:sz w:val="32"/>
          <w:highlight w:val="none"/>
        </w:rPr>
        <w:t>大力改造提升城镇老旧小区居住条件和环境。为贯彻落实《国务院办公厅关于全面推进城镇老旧小区改造工作的指导意见》（国办发〔</w:t>
      </w:r>
      <w:r>
        <w:rPr>
          <w:rFonts w:hint="default" w:ascii="Times New Roman" w:hAnsi="Times New Roman" w:eastAsia="仿宋_GB2312" w:cs="Times New Roman"/>
          <w:color w:val="auto"/>
          <w:sz w:val="32"/>
          <w:highlight w:val="none"/>
        </w:rPr>
        <w:t>2020</w:t>
      </w:r>
      <w:r>
        <w:rPr>
          <w:rFonts w:hint="eastAsia" w:ascii="仿宋_GB2312" w:hAnsi="Times New Roman" w:eastAsia="仿宋_GB2312"/>
          <w:color w:val="auto"/>
          <w:sz w:val="32"/>
          <w:highlight w:val="none"/>
        </w:rPr>
        <w:t>〕</w:t>
      </w:r>
      <w:r>
        <w:rPr>
          <w:rFonts w:hint="default" w:ascii="Times New Roman" w:hAnsi="Times New Roman" w:eastAsia="仿宋_GB2312" w:cs="Times New Roman"/>
          <w:color w:val="auto"/>
          <w:sz w:val="32"/>
          <w:highlight w:val="none"/>
        </w:rPr>
        <w:t>23</w:t>
      </w:r>
      <w:r>
        <w:rPr>
          <w:rFonts w:hint="eastAsia" w:ascii="仿宋_GB2312" w:hAnsi="Times New Roman" w:eastAsia="仿宋_GB2312"/>
          <w:color w:val="auto"/>
          <w:sz w:val="32"/>
          <w:highlight w:val="none"/>
        </w:rPr>
        <w:t>号）</w:t>
      </w:r>
      <w:r>
        <w:rPr>
          <w:rFonts w:hint="eastAsia" w:ascii="仿宋_GB2312" w:hAnsi="Times New Roman" w:eastAsia="仿宋_GB2312"/>
          <w:color w:val="auto"/>
          <w:sz w:val="32"/>
          <w:highlight w:val="none"/>
          <w:lang w:eastAsia="zh-CN"/>
        </w:rPr>
        <w:t>、</w:t>
      </w:r>
      <w:r>
        <w:rPr>
          <w:rFonts w:hint="eastAsia" w:ascii="仿宋_GB2312" w:hAnsi="Times New Roman" w:eastAsia="仿宋_GB2312"/>
          <w:color w:val="auto"/>
          <w:kern w:val="2"/>
          <w:sz w:val="32"/>
          <w:highlight w:val="none"/>
          <w:lang w:eastAsia="zh-CN"/>
        </w:rPr>
        <w:t>《广东省人民政府办公厅关于全面推进城镇老旧小区改造工作的实施意见》（粤府办〔</w:t>
      </w:r>
      <w:r>
        <w:rPr>
          <w:rFonts w:hint="default" w:ascii="Times New Roman" w:hAnsi="Times New Roman" w:eastAsia="仿宋_GB2312" w:cs="Times New Roman"/>
          <w:color w:val="auto"/>
          <w:kern w:val="2"/>
          <w:sz w:val="32"/>
          <w:highlight w:val="none"/>
          <w:lang w:eastAsia="zh-CN"/>
        </w:rPr>
        <w:t>2021</w:t>
      </w:r>
      <w:r>
        <w:rPr>
          <w:rFonts w:hint="eastAsia" w:ascii="仿宋_GB2312" w:hAnsi="Times New Roman" w:eastAsia="仿宋_GB2312"/>
          <w:color w:val="auto"/>
          <w:kern w:val="2"/>
          <w:sz w:val="32"/>
          <w:highlight w:val="none"/>
          <w:lang w:eastAsia="zh-CN"/>
        </w:rPr>
        <w:t>〕</w:t>
      </w:r>
      <w:r>
        <w:rPr>
          <w:rFonts w:hint="default" w:ascii="Times New Roman" w:hAnsi="Times New Roman" w:eastAsia="仿宋_GB2312" w:cs="Times New Roman"/>
          <w:color w:val="auto"/>
          <w:kern w:val="2"/>
          <w:sz w:val="32"/>
          <w:highlight w:val="none"/>
          <w:lang w:eastAsia="zh-CN"/>
        </w:rPr>
        <w:t>3</w:t>
      </w:r>
      <w:r>
        <w:rPr>
          <w:rFonts w:hint="eastAsia" w:ascii="仿宋_GB2312" w:hAnsi="Times New Roman" w:eastAsia="仿宋_GB2312"/>
          <w:color w:val="auto"/>
          <w:kern w:val="2"/>
          <w:sz w:val="32"/>
          <w:highlight w:val="none"/>
          <w:lang w:eastAsia="zh-CN"/>
        </w:rPr>
        <w:t>号）、《广东省城镇居住社区人居环境品质提升工作领导小组办公室关于印发〈广东省城镇老旧小区改造实施计划（</w:t>
      </w:r>
      <w:r>
        <w:rPr>
          <w:rFonts w:hint="default" w:ascii="Times New Roman" w:hAnsi="Times New Roman" w:eastAsia="仿宋_GB2312" w:cs="Times New Roman"/>
          <w:color w:val="auto"/>
          <w:kern w:val="2"/>
          <w:sz w:val="32"/>
          <w:highlight w:val="none"/>
          <w:lang w:eastAsia="zh-CN"/>
        </w:rPr>
        <w:t>2021</w:t>
      </w:r>
      <w:r>
        <w:rPr>
          <w:rFonts w:hint="eastAsia" w:ascii="仿宋_GB2312" w:hAnsi="Times New Roman" w:eastAsia="仿宋_GB2312"/>
          <w:color w:val="auto"/>
          <w:kern w:val="2"/>
          <w:sz w:val="32"/>
          <w:highlight w:val="none"/>
          <w:lang w:eastAsia="zh-CN"/>
        </w:rPr>
        <w:t>-</w:t>
      </w:r>
      <w:r>
        <w:rPr>
          <w:rFonts w:hint="default" w:ascii="Times New Roman" w:hAnsi="Times New Roman" w:eastAsia="仿宋_GB2312" w:cs="Times New Roman"/>
          <w:color w:val="auto"/>
          <w:kern w:val="2"/>
          <w:sz w:val="32"/>
          <w:highlight w:val="none"/>
          <w:lang w:eastAsia="zh-CN"/>
        </w:rPr>
        <w:t>2025</w:t>
      </w:r>
      <w:r>
        <w:rPr>
          <w:rFonts w:hint="eastAsia" w:ascii="仿宋_GB2312" w:hAnsi="Times New Roman" w:eastAsia="仿宋_GB2312"/>
          <w:color w:val="auto"/>
          <w:kern w:val="2"/>
          <w:sz w:val="32"/>
          <w:highlight w:val="none"/>
          <w:lang w:eastAsia="zh-CN"/>
        </w:rPr>
        <w:t xml:space="preserve"> 年）〉的通知》《转发住房和城乡建设部办公厅等关于扎实推进</w:t>
      </w:r>
      <w:r>
        <w:rPr>
          <w:rFonts w:hint="default" w:ascii="Times New Roman" w:hAnsi="Times New Roman" w:eastAsia="仿宋_GB2312" w:cs="Times New Roman"/>
          <w:color w:val="auto"/>
          <w:kern w:val="2"/>
          <w:sz w:val="32"/>
          <w:highlight w:val="none"/>
          <w:lang w:eastAsia="zh-CN"/>
        </w:rPr>
        <w:t>2023</w:t>
      </w:r>
      <w:r>
        <w:rPr>
          <w:rFonts w:hint="eastAsia" w:ascii="仿宋_GB2312" w:hAnsi="Times New Roman" w:eastAsia="仿宋_GB2312"/>
          <w:color w:val="auto"/>
          <w:kern w:val="2"/>
          <w:sz w:val="32"/>
          <w:highlight w:val="none"/>
          <w:lang w:eastAsia="zh-CN"/>
        </w:rPr>
        <w:t>年城镇老旧小区改造工作的通知》（粤建节〔</w:t>
      </w:r>
      <w:r>
        <w:rPr>
          <w:rFonts w:hint="default" w:ascii="Times New Roman" w:hAnsi="Times New Roman" w:eastAsia="仿宋_GB2312" w:cs="Times New Roman"/>
          <w:color w:val="auto"/>
          <w:kern w:val="2"/>
          <w:sz w:val="32"/>
          <w:highlight w:val="none"/>
          <w:lang w:eastAsia="zh-CN"/>
        </w:rPr>
        <w:t>2023</w:t>
      </w:r>
      <w:r>
        <w:rPr>
          <w:rFonts w:hint="eastAsia" w:ascii="仿宋_GB2312" w:hAnsi="Times New Roman" w:eastAsia="仿宋_GB2312"/>
          <w:color w:val="auto"/>
          <w:kern w:val="2"/>
          <w:sz w:val="32"/>
          <w:highlight w:val="none"/>
          <w:lang w:eastAsia="zh-CN"/>
        </w:rPr>
        <w:t>〕</w:t>
      </w:r>
      <w:r>
        <w:rPr>
          <w:rFonts w:hint="default" w:ascii="Times New Roman" w:hAnsi="Times New Roman" w:eastAsia="仿宋_GB2312" w:cs="Times New Roman"/>
          <w:color w:val="auto"/>
          <w:kern w:val="2"/>
          <w:sz w:val="32"/>
          <w:highlight w:val="none"/>
          <w:lang w:eastAsia="zh-CN"/>
        </w:rPr>
        <w:t>124</w:t>
      </w:r>
      <w:r>
        <w:rPr>
          <w:rFonts w:hint="eastAsia" w:ascii="仿宋_GB2312" w:hAnsi="Times New Roman" w:eastAsia="仿宋_GB2312"/>
          <w:color w:val="auto"/>
          <w:kern w:val="2"/>
          <w:sz w:val="32"/>
          <w:highlight w:val="none"/>
          <w:lang w:eastAsia="zh-CN"/>
        </w:rPr>
        <w:t>号）、《关于印发〈广东省提升县城基础设施建设能力行动方案〉的通知》（粤建城〔</w:t>
      </w:r>
      <w:r>
        <w:rPr>
          <w:rFonts w:hint="default" w:ascii="Times New Roman" w:hAnsi="Times New Roman" w:eastAsia="仿宋_GB2312" w:cs="Times New Roman"/>
          <w:color w:val="auto"/>
          <w:kern w:val="2"/>
          <w:sz w:val="32"/>
          <w:highlight w:val="none"/>
          <w:lang w:eastAsia="zh-CN"/>
        </w:rPr>
        <w:t>2023</w:t>
      </w:r>
      <w:r>
        <w:rPr>
          <w:rFonts w:hint="eastAsia" w:ascii="仿宋_GB2312" w:hAnsi="Times New Roman" w:eastAsia="仿宋_GB2312"/>
          <w:color w:val="auto"/>
          <w:kern w:val="2"/>
          <w:sz w:val="32"/>
          <w:highlight w:val="none"/>
          <w:lang w:eastAsia="zh-CN"/>
        </w:rPr>
        <w:t>〕</w:t>
      </w:r>
      <w:r>
        <w:rPr>
          <w:rFonts w:hint="default" w:ascii="Times New Roman" w:hAnsi="Times New Roman" w:eastAsia="仿宋_GB2312" w:cs="Times New Roman"/>
          <w:color w:val="auto"/>
          <w:kern w:val="2"/>
          <w:sz w:val="32"/>
          <w:highlight w:val="none"/>
          <w:lang w:eastAsia="zh-CN"/>
        </w:rPr>
        <w:t>65</w:t>
      </w:r>
      <w:r>
        <w:rPr>
          <w:rFonts w:hint="eastAsia" w:ascii="仿宋_GB2312" w:hAnsi="Times New Roman" w:eastAsia="仿宋_GB2312"/>
          <w:color w:val="auto"/>
          <w:kern w:val="2"/>
          <w:sz w:val="32"/>
          <w:highlight w:val="none"/>
          <w:lang w:eastAsia="zh-CN"/>
        </w:rPr>
        <w:t>号）等文件精神</w:t>
      </w:r>
      <w:r>
        <w:rPr>
          <w:rFonts w:hint="eastAsia" w:ascii="仿宋_GB2312" w:hAnsi="Times New Roman" w:eastAsia="仿宋_GB2312"/>
          <w:color w:val="auto"/>
          <w:sz w:val="32"/>
          <w:highlight w:val="none"/>
        </w:rPr>
        <w:t>，更好发挥城镇老旧小区改造在推动惠民生扩内需、推进城市更新和开发建设方式转型、促进经济高质量发展等方面的重要作用，满足人民群众美好生活需要</w:t>
      </w:r>
      <w:r>
        <w:rPr>
          <w:rFonts w:hint="eastAsia" w:ascii="仿宋_GB2312" w:hAnsi="Times New Roman" w:eastAsia="仿宋_GB2312"/>
          <w:color w:val="auto"/>
          <w:sz w:val="32"/>
          <w:highlight w:val="none"/>
          <w:lang w:eastAsia="zh-CN"/>
        </w:rPr>
        <w:t>，</w:t>
      </w:r>
      <w:r>
        <w:rPr>
          <w:rFonts w:hint="eastAsia" w:ascii="仿宋_GB2312" w:hAnsi="Times New Roman" w:eastAsia="仿宋_GB2312"/>
          <w:color w:val="auto"/>
          <w:kern w:val="2"/>
          <w:sz w:val="32"/>
          <w:highlight w:val="none"/>
          <w:lang w:eastAsia="zh-CN"/>
        </w:rPr>
        <w:t>根据国家和我省有关城镇老旧小区改造的政策及指导意见，</w:t>
      </w:r>
      <w:r>
        <w:rPr>
          <w:rFonts w:hint="eastAsia" w:ascii="仿宋_GB2312" w:hAnsi="Times New Roman" w:eastAsia="仿宋_GB2312"/>
          <w:color w:val="auto"/>
          <w:kern w:val="2"/>
          <w:sz w:val="32"/>
          <w:highlight w:val="none"/>
          <w:lang w:val="en-US" w:eastAsia="zh-CN"/>
        </w:rPr>
        <w:t>省财政设立专项资金，支持我省粤东西北地区的</w:t>
      </w:r>
      <w:r>
        <w:rPr>
          <w:rFonts w:hint="eastAsia" w:ascii="仿宋_GB2312" w:hAnsi="Times New Roman" w:eastAsia="仿宋_GB2312"/>
          <w:color w:val="auto"/>
          <w:kern w:val="2"/>
          <w:sz w:val="32"/>
          <w:highlight w:val="none"/>
          <w:lang w:eastAsia="zh-CN"/>
        </w:rPr>
        <w:t>城镇老旧小区改造工作。</w:t>
      </w:r>
      <w:r>
        <w:rPr>
          <w:rFonts w:hint="default" w:ascii="Times New Roman" w:hAnsi="Times New Roman" w:eastAsia="仿宋_GB2312" w:cs="Times New Roman"/>
          <w:color w:val="auto"/>
          <w:kern w:val="2"/>
          <w:sz w:val="32"/>
          <w:highlight w:val="none"/>
          <w:lang w:eastAsia="zh-CN"/>
        </w:rPr>
        <w:t>202</w:t>
      </w:r>
      <w:r>
        <w:rPr>
          <w:rFonts w:hint="default" w:ascii="Times New Roman" w:hAnsi="Times New Roman" w:eastAsia="仿宋_GB2312" w:cs="Times New Roman"/>
          <w:color w:val="auto"/>
          <w:kern w:val="2"/>
          <w:sz w:val="32"/>
          <w:highlight w:val="none"/>
          <w:lang w:val="en-US" w:eastAsia="zh-CN"/>
        </w:rPr>
        <w:t>4</w:t>
      </w:r>
      <w:r>
        <w:rPr>
          <w:rFonts w:hint="eastAsia" w:ascii="仿宋_GB2312" w:hAnsi="Times New Roman" w:eastAsia="仿宋_GB2312"/>
          <w:color w:val="auto"/>
          <w:kern w:val="2"/>
          <w:sz w:val="32"/>
          <w:highlight w:val="none"/>
          <w:lang w:eastAsia="zh-CN"/>
        </w:rPr>
        <w:t>年共安排城镇老旧小区改造</w:t>
      </w:r>
      <w:r>
        <w:rPr>
          <w:rFonts w:hint="eastAsia" w:ascii="仿宋_GB2312" w:hAnsi="Times New Roman" w:eastAsia="仿宋_GB2312"/>
          <w:color w:val="auto"/>
          <w:kern w:val="2"/>
          <w:sz w:val="32"/>
          <w:highlight w:val="none"/>
          <w:lang w:val="en-US" w:eastAsia="zh-CN"/>
        </w:rPr>
        <w:t>专项</w:t>
      </w:r>
      <w:r>
        <w:rPr>
          <w:rFonts w:hint="eastAsia" w:ascii="仿宋_GB2312" w:hAnsi="Times New Roman" w:eastAsia="仿宋_GB2312"/>
          <w:color w:val="auto"/>
          <w:kern w:val="2"/>
          <w:sz w:val="32"/>
          <w:highlight w:val="none"/>
          <w:lang w:eastAsia="zh-CN"/>
        </w:rPr>
        <w:t>资金</w:t>
      </w:r>
      <w:r>
        <w:rPr>
          <w:rFonts w:hint="default" w:ascii="Times New Roman" w:hAnsi="Times New Roman" w:eastAsia="仿宋_GB2312" w:cs="Times New Roman"/>
          <w:color w:val="auto"/>
          <w:kern w:val="2"/>
          <w:sz w:val="32"/>
          <w:highlight w:val="none"/>
          <w:lang w:val="en-US" w:eastAsia="zh-CN"/>
        </w:rPr>
        <w:t>18860</w:t>
      </w:r>
      <w:r>
        <w:rPr>
          <w:rFonts w:hint="eastAsia" w:ascii="仿宋_GB2312" w:hAnsi="Times New Roman" w:eastAsia="仿宋_GB2312"/>
          <w:color w:val="auto"/>
          <w:kern w:val="2"/>
          <w:sz w:val="32"/>
          <w:highlight w:val="none"/>
          <w:lang w:eastAsia="zh-CN"/>
        </w:rPr>
        <w:t>万元，</w:t>
      </w:r>
      <w:r>
        <w:rPr>
          <w:rFonts w:hint="eastAsia" w:ascii="仿宋_GB2312" w:hAnsi="Times New Roman" w:eastAsia="仿宋_GB2312"/>
          <w:color w:val="auto"/>
          <w:kern w:val="2"/>
          <w:sz w:val="32"/>
          <w:highlight w:val="none"/>
          <w:lang w:val="en-US" w:eastAsia="zh-CN"/>
        </w:rPr>
        <w:t>其中：</w:t>
      </w:r>
      <w:r>
        <w:rPr>
          <w:rFonts w:hint="default" w:ascii="Times New Roman" w:hAnsi="Times New Roman" w:eastAsia="仿宋_GB2312" w:cs="Times New Roman"/>
          <w:color w:val="auto"/>
          <w:kern w:val="2"/>
          <w:sz w:val="32"/>
          <w:highlight w:val="none"/>
          <w:lang w:val="en-US" w:eastAsia="zh-CN"/>
        </w:rPr>
        <w:t>18672</w:t>
      </w:r>
      <w:r>
        <w:rPr>
          <w:rFonts w:hint="eastAsia" w:ascii="仿宋_GB2312" w:hAnsi="Times New Roman" w:eastAsia="仿宋_GB2312"/>
          <w:color w:val="auto"/>
          <w:kern w:val="2"/>
          <w:sz w:val="32"/>
          <w:highlight w:val="none"/>
          <w:lang w:eastAsia="zh-CN"/>
        </w:rPr>
        <w:t>万元用于补助汕头、韶关、河源、梅州、惠州、汕尾、江门、阳江、湛江、茂名、肇庆、清远、潮州、揭阳、云浮市等</w:t>
      </w:r>
      <w:r>
        <w:rPr>
          <w:rFonts w:hint="default" w:ascii="Times New Roman" w:hAnsi="Times New Roman" w:eastAsia="仿宋_GB2312" w:cs="Times New Roman"/>
          <w:color w:val="auto"/>
          <w:kern w:val="2"/>
          <w:sz w:val="32"/>
          <w:highlight w:val="none"/>
          <w:lang w:eastAsia="zh-CN"/>
        </w:rPr>
        <w:t>15</w:t>
      </w:r>
      <w:r>
        <w:rPr>
          <w:rFonts w:hint="eastAsia" w:ascii="仿宋_GB2312" w:hAnsi="Times New Roman" w:eastAsia="仿宋_GB2312"/>
          <w:color w:val="auto"/>
          <w:kern w:val="2"/>
          <w:sz w:val="32"/>
          <w:highlight w:val="none"/>
          <w:lang w:eastAsia="zh-CN"/>
        </w:rPr>
        <w:t>个地级市（以下简称粤东西北地区）的城镇老旧小区改造项目</w:t>
      </w:r>
      <w:r>
        <w:rPr>
          <w:rFonts w:hint="eastAsia" w:ascii="仿宋_GB2312" w:hAnsi="Times New Roman" w:eastAsia="仿宋_GB2312"/>
          <w:color w:val="auto"/>
          <w:kern w:val="2"/>
          <w:sz w:val="32"/>
          <w:highlight w:val="none"/>
          <w:lang w:val="en-US" w:eastAsia="zh-CN"/>
        </w:rPr>
        <w:t>；</w:t>
      </w:r>
      <w:r>
        <w:rPr>
          <w:rFonts w:hint="default" w:ascii="Times New Roman" w:hAnsi="Times New Roman" w:eastAsia="仿宋_GB2312" w:cs="Times New Roman"/>
          <w:color w:val="auto"/>
          <w:kern w:val="2"/>
          <w:sz w:val="32"/>
          <w:highlight w:val="none"/>
          <w:lang w:val="en-US" w:eastAsia="zh-CN"/>
        </w:rPr>
        <w:t>188</w:t>
      </w:r>
      <w:r>
        <w:rPr>
          <w:rFonts w:hint="eastAsia" w:ascii="仿宋_GB2312" w:hAnsi="Times New Roman" w:eastAsia="仿宋_GB2312"/>
          <w:color w:val="auto"/>
          <w:kern w:val="2"/>
          <w:sz w:val="32"/>
          <w:highlight w:val="none"/>
          <w:lang w:eastAsia="zh-CN"/>
        </w:rPr>
        <w:t>万元用于省本级</w:t>
      </w:r>
      <w:r>
        <w:rPr>
          <w:rFonts w:hint="eastAsia" w:ascii="仿宋_GB2312" w:hAnsi="Times New Roman" w:eastAsia="仿宋_GB2312"/>
          <w:color w:val="auto"/>
          <w:kern w:val="2"/>
          <w:sz w:val="32"/>
          <w:highlight w:val="none"/>
          <w:lang w:val="en-US" w:eastAsia="zh-CN"/>
        </w:rPr>
        <w:t>开展城镇老旧小区改造相关管理、开展相关课题研究等</w:t>
      </w:r>
      <w:r>
        <w:rPr>
          <w:rFonts w:hint="eastAsia" w:ascii="仿宋_GB2312" w:hAnsi="Times New Roman" w:eastAsia="仿宋_GB2312"/>
          <w:color w:val="auto"/>
          <w:kern w:val="2"/>
          <w:sz w:val="32"/>
          <w:highlight w:val="none"/>
          <w:lang w:eastAsia="zh-CN"/>
        </w:rPr>
        <w:t>。</w:t>
      </w:r>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default" w:ascii="Times New Roman" w:hAnsi="Times New Roman" w:eastAsia="楷体_GB2312" w:cs="仿宋"/>
          <w:b/>
          <w:bCs/>
          <w:color w:val="auto"/>
          <w:kern w:val="0"/>
          <w:sz w:val="32"/>
          <w:szCs w:val="32"/>
          <w:highlight w:val="none"/>
          <w:lang w:val="en-US"/>
        </w:rPr>
      </w:pPr>
      <w:bookmarkStart w:id="9" w:name="_Toc10695"/>
      <w:bookmarkStart w:id="10" w:name="_Toc2599"/>
      <w:bookmarkStart w:id="11" w:name="_Toc29177"/>
      <w:r>
        <w:rPr>
          <w:rFonts w:hint="eastAsia" w:ascii="Times New Roman" w:hAnsi="Times New Roman" w:eastAsia="楷体_GB2312" w:cs="仿宋"/>
          <w:b/>
          <w:bCs/>
          <w:color w:val="auto"/>
          <w:kern w:val="0"/>
          <w:sz w:val="32"/>
          <w:szCs w:val="32"/>
          <w:highlight w:val="none"/>
        </w:rPr>
        <w:t>（</w:t>
      </w:r>
      <w:r>
        <w:rPr>
          <w:rFonts w:hint="eastAsia" w:ascii="Times New Roman" w:hAnsi="Times New Roman" w:eastAsia="楷体_GB2312" w:cs="仿宋"/>
          <w:b/>
          <w:bCs/>
          <w:color w:val="auto"/>
          <w:kern w:val="0"/>
          <w:sz w:val="32"/>
          <w:szCs w:val="32"/>
          <w:highlight w:val="none"/>
          <w:lang w:eastAsia="zh-CN"/>
        </w:rPr>
        <w:t>二</w:t>
      </w:r>
      <w:r>
        <w:rPr>
          <w:rFonts w:hint="eastAsia" w:ascii="Times New Roman" w:hAnsi="Times New Roman" w:eastAsia="楷体_GB2312" w:cs="仿宋"/>
          <w:b/>
          <w:bCs/>
          <w:color w:val="auto"/>
          <w:kern w:val="0"/>
          <w:sz w:val="32"/>
          <w:szCs w:val="32"/>
          <w:highlight w:val="none"/>
        </w:rPr>
        <w:t>）</w:t>
      </w:r>
      <w:bookmarkEnd w:id="9"/>
      <w:bookmarkEnd w:id="10"/>
      <w:r>
        <w:rPr>
          <w:rFonts w:hint="eastAsia" w:ascii="Times New Roman" w:hAnsi="Times New Roman" w:eastAsia="楷体_GB2312" w:cs="仿宋"/>
          <w:b/>
          <w:bCs/>
          <w:color w:val="auto"/>
          <w:kern w:val="0"/>
          <w:sz w:val="32"/>
          <w:szCs w:val="32"/>
          <w:highlight w:val="none"/>
          <w:lang w:val="en-US" w:eastAsia="zh-CN"/>
        </w:rPr>
        <w:t>资金分配方式</w:t>
      </w:r>
      <w:bookmarkEnd w:id="11"/>
    </w:p>
    <w:p>
      <w:pPr>
        <w:pStyle w:val="2"/>
        <w:ind w:left="0" w:leftChars="0" w:firstLine="640" w:firstLineChars="200"/>
        <w:rPr>
          <w:rFonts w:hint="eastAsia" w:ascii="仿宋_GB2312"/>
          <w:color w:val="auto"/>
          <w:sz w:val="32"/>
          <w:highlight w:val="none"/>
          <w:lang w:val="en-US" w:eastAsia="zh-CN"/>
        </w:rPr>
      </w:pPr>
      <w:r>
        <w:rPr>
          <w:rFonts w:hint="eastAsia" w:ascii="仿宋_GB2312"/>
          <w:color w:val="auto"/>
          <w:sz w:val="32"/>
          <w:highlight w:val="none"/>
          <w:lang w:val="en-US" w:eastAsia="zh-CN"/>
        </w:rPr>
        <w:t>专项资金主要采用因素法进行初始分配。按照各地报送的老旧小区改造建筑面积、改造户数、改造楼栋数、改造小区个数等因素以及相应权重，结合财政补助系数、绩效评价调节系数和项目库系数形成的综合补助系数进行分配，财力补助系数设置为8、9和10，共3档，绩效评价调节系数为0.90、0.95和1，共3档,项目库因素为0.90、1和1.10,共3档。因素权重分别为40%、40%、10%、10%。</w:t>
      </w:r>
    </w:p>
    <w:p>
      <w:pPr>
        <w:pStyle w:val="2"/>
        <w:ind w:left="0" w:leftChars="0" w:firstLine="640" w:firstLineChars="200"/>
        <w:rPr>
          <w:rFonts w:hint="eastAsia" w:ascii="仿宋_GB2312"/>
          <w:color w:val="auto"/>
          <w:sz w:val="32"/>
          <w:highlight w:val="none"/>
          <w:lang w:val="en-US" w:eastAsia="zh-CN"/>
        </w:rPr>
      </w:pPr>
      <w:r>
        <w:rPr>
          <w:rFonts w:hint="eastAsia" w:ascii="仿宋_GB2312"/>
          <w:color w:val="auto"/>
          <w:sz w:val="32"/>
          <w:highlight w:val="none"/>
          <w:lang w:val="en-US" w:eastAsia="zh-CN"/>
        </w:rPr>
        <w:t>计算各市基础性奖补和激励性奖补资金分配数的公式为：某地区的老旧小区改造资金=给各市县总补助资金×[（该地区老旧小区改造面积×该地区综合补助系数）÷∑（各地区老旧小区改造面积×相应地区综合补助系数）×相应权重+（该地区老旧小区改造户数×该地区综合补助系数）÷∑（各地区老旧小区改造户数×相应地区综合补助系数）×相应权重+（该地区老旧小区改造楼栋数×该地区综合补助系数）÷∑（各地区老旧小区改造楼栋数×相应地区综合补助系数）×相应权重+（该地区老旧小区改造个数×该地区综合补助系数）÷∑（各地区老旧小区改造个数×相应地区综合补助系数）×相应权重]。</w:t>
      </w:r>
    </w:p>
    <w:p>
      <w:pPr>
        <w:pStyle w:val="2"/>
        <w:ind w:left="0" w:leftChars="0" w:firstLine="640" w:firstLineChars="200"/>
        <w:rPr>
          <w:rFonts w:hint="eastAsia"/>
          <w:color w:val="auto"/>
          <w:highlight w:val="none"/>
          <w:lang w:eastAsia="zh-CN"/>
        </w:rPr>
      </w:pPr>
      <w:r>
        <w:rPr>
          <w:rFonts w:hint="eastAsia" w:ascii="仿宋_GB2312"/>
          <w:color w:val="auto"/>
          <w:sz w:val="32"/>
          <w:highlight w:val="none"/>
          <w:lang w:eastAsia="zh-CN"/>
        </w:rPr>
        <w:t>《广东省财政厅关于提前下达</w:t>
      </w:r>
      <w:r>
        <w:rPr>
          <w:rFonts w:hint="default" w:ascii="Times New Roman" w:hAnsi="Times New Roman" w:cs="Times New Roman"/>
          <w:color w:val="auto"/>
          <w:sz w:val="32"/>
          <w:highlight w:val="none"/>
          <w:lang w:eastAsia="zh-CN"/>
        </w:rPr>
        <w:t>2024</w:t>
      </w:r>
      <w:r>
        <w:rPr>
          <w:rFonts w:hint="eastAsia" w:ascii="仿宋_GB2312"/>
          <w:color w:val="auto"/>
          <w:sz w:val="32"/>
          <w:highlight w:val="none"/>
          <w:lang w:eastAsia="zh-CN"/>
        </w:rPr>
        <w:t>年省住房城乡建设厅主管专项资金的通知》</w:t>
      </w:r>
      <w:r>
        <w:rPr>
          <w:rFonts w:hint="eastAsia" w:ascii="仿宋_GB2312" w:hAnsi="Times New Roman" w:eastAsia="仿宋_GB2312"/>
          <w:color w:val="auto"/>
          <w:kern w:val="2"/>
          <w:sz w:val="32"/>
          <w:highlight w:val="none"/>
          <w:lang w:eastAsia="zh-CN"/>
        </w:rPr>
        <w:t>（粤财建〔</w:t>
      </w:r>
      <w:r>
        <w:rPr>
          <w:rFonts w:hint="default" w:ascii="Times New Roman" w:hAnsi="Times New Roman" w:eastAsia="仿宋_GB2312" w:cs="Times New Roman"/>
          <w:color w:val="auto"/>
          <w:kern w:val="2"/>
          <w:sz w:val="32"/>
          <w:highlight w:val="none"/>
          <w:lang w:eastAsia="zh-CN"/>
        </w:rPr>
        <w:t>202</w:t>
      </w:r>
      <w:r>
        <w:rPr>
          <w:rFonts w:hint="default" w:ascii="Times New Roman" w:hAnsi="Times New Roman" w:cs="Times New Roman"/>
          <w:color w:val="auto"/>
          <w:kern w:val="2"/>
          <w:sz w:val="32"/>
          <w:highlight w:val="none"/>
          <w:lang w:val="en-US" w:eastAsia="zh-CN"/>
        </w:rPr>
        <w:t>3</w:t>
      </w:r>
      <w:r>
        <w:rPr>
          <w:rFonts w:hint="eastAsia" w:ascii="仿宋_GB2312" w:hAnsi="Times New Roman" w:eastAsia="仿宋_GB2312"/>
          <w:color w:val="auto"/>
          <w:kern w:val="2"/>
          <w:sz w:val="32"/>
          <w:highlight w:val="none"/>
          <w:lang w:eastAsia="zh-CN"/>
        </w:rPr>
        <w:t>〕</w:t>
      </w:r>
      <w:r>
        <w:rPr>
          <w:rFonts w:hint="default" w:ascii="Times New Roman" w:hAnsi="Times New Roman" w:cs="Times New Roman"/>
          <w:color w:val="auto"/>
          <w:kern w:val="2"/>
          <w:sz w:val="32"/>
          <w:highlight w:val="none"/>
          <w:lang w:val="en-US" w:eastAsia="zh-CN"/>
        </w:rPr>
        <w:t>77</w:t>
      </w:r>
      <w:r>
        <w:rPr>
          <w:rFonts w:hint="eastAsia" w:ascii="仿宋_GB2312" w:hAnsi="Times New Roman" w:eastAsia="仿宋_GB2312"/>
          <w:color w:val="auto"/>
          <w:kern w:val="2"/>
          <w:sz w:val="32"/>
          <w:highlight w:val="none"/>
          <w:lang w:eastAsia="zh-CN"/>
        </w:rPr>
        <w:t>号）及时</w:t>
      </w:r>
      <w:r>
        <w:rPr>
          <w:rFonts w:hint="eastAsia" w:ascii="仿宋_GB2312" w:hAnsi="Times New Roman" w:eastAsia="仿宋_GB2312"/>
          <w:color w:val="auto"/>
          <w:kern w:val="2"/>
          <w:sz w:val="32"/>
          <w:highlight w:val="none"/>
          <w:lang w:val="en-US" w:eastAsia="zh-CN"/>
        </w:rPr>
        <w:t>足额</w:t>
      </w:r>
      <w:r>
        <w:rPr>
          <w:rFonts w:hint="eastAsia" w:ascii="仿宋_GB2312" w:hAnsi="Times New Roman" w:eastAsia="仿宋_GB2312"/>
          <w:color w:val="auto"/>
          <w:kern w:val="2"/>
          <w:sz w:val="32"/>
          <w:highlight w:val="none"/>
          <w:lang w:eastAsia="zh-CN"/>
        </w:rPr>
        <w:t>将</w:t>
      </w:r>
      <w:r>
        <w:rPr>
          <w:rFonts w:hint="eastAsia" w:ascii="仿宋_GB2312" w:hAnsi="Times New Roman"/>
          <w:color w:val="auto"/>
          <w:kern w:val="2"/>
          <w:sz w:val="32"/>
          <w:highlight w:val="none"/>
          <w:lang w:val="en-US" w:eastAsia="zh-CN"/>
        </w:rPr>
        <w:t>专项</w:t>
      </w:r>
      <w:r>
        <w:rPr>
          <w:rFonts w:hint="eastAsia" w:ascii="仿宋_GB2312" w:hAnsi="Times New Roman" w:eastAsia="仿宋_GB2312"/>
          <w:color w:val="auto"/>
          <w:kern w:val="2"/>
          <w:sz w:val="32"/>
          <w:highlight w:val="none"/>
          <w:lang w:eastAsia="zh-CN"/>
        </w:rPr>
        <w:t>资金分配下达给</w:t>
      </w:r>
      <w:r>
        <w:rPr>
          <w:rFonts w:hint="eastAsia" w:ascii="仿宋_GB2312" w:hAnsi="Times New Roman" w:eastAsia="仿宋_GB2312"/>
          <w:color w:val="auto"/>
          <w:kern w:val="2"/>
          <w:sz w:val="32"/>
          <w:highlight w:val="none"/>
          <w:lang w:val="en-US" w:eastAsia="zh-CN"/>
        </w:rPr>
        <w:t>相关市县</w:t>
      </w:r>
      <w:r>
        <w:rPr>
          <w:rFonts w:hint="eastAsia" w:ascii="仿宋_GB2312" w:hAnsi="Times New Roman" w:eastAsia="仿宋_GB2312"/>
          <w:color w:val="auto"/>
          <w:kern w:val="2"/>
          <w:sz w:val="32"/>
          <w:highlight w:val="none"/>
          <w:lang w:eastAsia="zh-CN"/>
        </w:rPr>
        <w:t>。</w:t>
      </w:r>
      <w:r>
        <w:rPr>
          <w:rFonts w:hint="eastAsia" w:ascii="仿宋_GB2312" w:hAnsi="Times New Roman"/>
          <w:color w:val="auto"/>
          <w:kern w:val="2"/>
          <w:sz w:val="32"/>
          <w:highlight w:val="none"/>
          <w:lang w:val="en-US" w:eastAsia="zh-CN"/>
        </w:rPr>
        <w:t>根据</w:t>
      </w:r>
      <w:r>
        <w:rPr>
          <w:rFonts w:hint="eastAsia" w:ascii="仿宋_GB2312" w:hAnsi="Times New Roman"/>
          <w:color w:val="auto"/>
          <w:kern w:val="2"/>
          <w:sz w:val="32"/>
          <w:highlight w:val="none"/>
          <w:lang w:eastAsia="zh-CN"/>
        </w:rPr>
        <w:t>《</w:t>
      </w:r>
      <w:r>
        <w:rPr>
          <w:rFonts w:hint="eastAsia" w:ascii="仿宋_GB2312" w:hAnsi="Times New Roman" w:eastAsia="仿宋_GB2312"/>
          <w:color w:val="auto"/>
          <w:kern w:val="2"/>
          <w:sz w:val="32"/>
          <w:highlight w:val="none"/>
          <w:lang w:eastAsia="zh-CN"/>
        </w:rPr>
        <w:t>广东省住房和城乡建设厅关于提前下达</w:t>
      </w:r>
      <w:r>
        <w:rPr>
          <w:rFonts w:hint="default" w:ascii="Times New Roman" w:hAnsi="Times New Roman" w:eastAsia="仿宋_GB2312" w:cs="Times New Roman"/>
          <w:color w:val="auto"/>
          <w:kern w:val="2"/>
          <w:sz w:val="32"/>
          <w:highlight w:val="none"/>
          <w:lang w:eastAsia="zh-CN"/>
        </w:rPr>
        <w:t>2024</w:t>
      </w:r>
      <w:r>
        <w:rPr>
          <w:rFonts w:hint="eastAsia" w:ascii="仿宋_GB2312" w:hAnsi="Times New Roman" w:eastAsia="仿宋_GB2312"/>
          <w:color w:val="auto"/>
          <w:kern w:val="2"/>
          <w:sz w:val="32"/>
          <w:highlight w:val="none"/>
          <w:lang w:eastAsia="zh-CN"/>
        </w:rPr>
        <w:t>年中央财政城镇保障性安居工程(老旧小区改造)补助资金和城镇老旧小区改造省级专项资金任务清单的通知</w:t>
      </w:r>
      <w:r>
        <w:rPr>
          <w:rFonts w:hint="eastAsia" w:ascii="仿宋_GB2312" w:hAnsi="Times New Roman"/>
          <w:color w:val="auto"/>
          <w:kern w:val="2"/>
          <w:sz w:val="32"/>
          <w:highlight w:val="none"/>
          <w:lang w:eastAsia="zh-CN"/>
        </w:rPr>
        <w:t>》粤建节函</w:t>
      </w:r>
      <w:r>
        <w:rPr>
          <w:rFonts w:hint="eastAsia" w:ascii="仿宋_GB2312" w:hAnsi="Times New Roman" w:eastAsia="仿宋_GB2312"/>
          <w:color w:val="auto"/>
          <w:kern w:val="2"/>
          <w:sz w:val="32"/>
          <w:highlight w:val="none"/>
          <w:lang w:eastAsia="zh-CN"/>
        </w:rPr>
        <w:t>〔</w:t>
      </w:r>
      <w:r>
        <w:rPr>
          <w:rFonts w:hint="default" w:ascii="Times New Roman" w:hAnsi="Times New Roman" w:eastAsia="仿宋_GB2312" w:cs="Times New Roman"/>
          <w:color w:val="auto"/>
          <w:kern w:val="2"/>
          <w:sz w:val="32"/>
          <w:highlight w:val="none"/>
          <w:lang w:eastAsia="zh-CN"/>
        </w:rPr>
        <w:t>202</w:t>
      </w:r>
      <w:r>
        <w:rPr>
          <w:rFonts w:hint="default" w:ascii="Times New Roman" w:hAnsi="Times New Roman" w:cs="Times New Roman"/>
          <w:color w:val="auto"/>
          <w:kern w:val="2"/>
          <w:sz w:val="32"/>
          <w:highlight w:val="none"/>
          <w:lang w:val="en-US" w:eastAsia="zh-CN"/>
        </w:rPr>
        <w:t>4</w:t>
      </w:r>
      <w:r>
        <w:rPr>
          <w:rFonts w:hint="eastAsia" w:ascii="仿宋_GB2312" w:hAnsi="Times New Roman" w:eastAsia="仿宋_GB2312"/>
          <w:color w:val="auto"/>
          <w:kern w:val="2"/>
          <w:sz w:val="32"/>
          <w:highlight w:val="none"/>
          <w:lang w:eastAsia="zh-CN"/>
        </w:rPr>
        <w:t>〕</w:t>
      </w:r>
      <w:r>
        <w:rPr>
          <w:rFonts w:hint="default" w:ascii="Times New Roman" w:hAnsi="Times New Roman" w:cs="Times New Roman"/>
          <w:color w:val="auto"/>
          <w:kern w:val="2"/>
          <w:sz w:val="32"/>
          <w:highlight w:val="none"/>
          <w:lang w:eastAsia="zh-CN"/>
        </w:rPr>
        <w:t>6</w:t>
      </w:r>
      <w:r>
        <w:rPr>
          <w:rFonts w:hint="eastAsia" w:ascii="仿宋_GB2312" w:hAnsi="Times New Roman"/>
          <w:color w:val="auto"/>
          <w:kern w:val="2"/>
          <w:sz w:val="32"/>
          <w:highlight w:val="none"/>
          <w:lang w:eastAsia="zh-CN"/>
        </w:rPr>
        <w:t>号），</w:t>
      </w:r>
      <w:r>
        <w:rPr>
          <w:rFonts w:hint="eastAsia" w:ascii="仿宋_GB2312" w:hAnsi="Times New Roman"/>
          <w:color w:val="auto"/>
          <w:kern w:val="2"/>
          <w:sz w:val="32"/>
          <w:highlight w:val="none"/>
          <w:lang w:val="en-US" w:eastAsia="zh-CN"/>
        </w:rPr>
        <w:t>我厅下达</w:t>
      </w:r>
      <w:r>
        <w:rPr>
          <w:rFonts w:hint="eastAsia" w:ascii="仿宋_GB2312" w:hAnsi="Times New Roman"/>
          <w:color w:val="auto"/>
          <w:sz w:val="32"/>
          <w:highlight w:val="none"/>
        </w:rPr>
        <w:t>城镇老旧小区改造任务，</w:t>
      </w:r>
      <w:r>
        <w:rPr>
          <w:rFonts w:hint="eastAsia" w:ascii="仿宋_GB2312" w:hAnsi="Times New Roman"/>
          <w:color w:val="auto"/>
          <w:sz w:val="32"/>
          <w:highlight w:val="none"/>
          <w:lang w:val="en-US" w:eastAsia="zh-CN"/>
        </w:rPr>
        <w:t>各地市逐级分解下达任务清单，项目由</w:t>
      </w:r>
      <w:r>
        <w:rPr>
          <w:rFonts w:hint="eastAsia" w:ascii="仿宋_GB2312" w:hAnsi="Times New Roman"/>
          <w:color w:val="auto"/>
          <w:sz w:val="32"/>
          <w:highlight w:val="none"/>
        </w:rPr>
        <w:t>有关市县住房城乡建设主管部门组织实施</w:t>
      </w:r>
      <w:r>
        <w:rPr>
          <w:rFonts w:hint="eastAsia" w:ascii="仿宋_GB2312" w:hAnsi="Times New Roman"/>
          <w:color w:val="auto"/>
          <w:sz w:val="32"/>
          <w:highlight w:val="none"/>
          <w:lang w:eastAsia="zh-CN"/>
        </w:rPr>
        <w:t>。</w:t>
      </w:r>
    </w:p>
    <w:p>
      <w:pPr>
        <w:keepNext/>
        <w:keepLines/>
        <w:pageBreakBefore w:val="0"/>
        <w:widowControl w:val="0"/>
        <w:kinsoku/>
        <w:wordWrap/>
        <w:overflowPunct/>
        <w:topLinePunct w:val="0"/>
        <w:autoSpaceDE/>
        <w:autoSpaceDN/>
        <w:bidi w:val="0"/>
        <w:adjustRightInd/>
        <w:snapToGrid w:val="0"/>
        <w:spacing w:line="360" w:lineRule="auto"/>
        <w:ind w:firstLine="642" w:firstLineChars="200"/>
        <w:textAlignment w:val="auto"/>
        <w:outlineLvl w:val="1"/>
        <w:rPr>
          <w:rFonts w:hint="default" w:ascii="Times New Roman" w:hAnsi="Times New Roman" w:eastAsia="楷体_GB2312" w:cs="仿宋"/>
          <w:b/>
          <w:bCs/>
          <w:color w:val="auto"/>
          <w:kern w:val="0"/>
          <w:sz w:val="32"/>
          <w:szCs w:val="32"/>
          <w:highlight w:val="none"/>
          <w:lang w:val="en-US" w:eastAsia="zh-CN"/>
        </w:rPr>
      </w:pPr>
      <w:bookmarkStart w:id="12" w:name="_Toc15354"/>
      <w:bookmarkStart w:id="13" w:name="_Toc5859"/>
      <w:bookmarkStart w:id="14" w:name="_Toc30095"/>
      <w:r>
        <w:rPr>
          <w:rFonts w:hint="eastAsia" w:ascii="Times New Roman" w:hAnsi="Times New Roman" w:eastAsia="楷体_GB2312" w:cs="仿宋"/>
          <w:b/>
          <w:bCs/>
          <w:color w:val="auto"/>
          <w:kern w:val="0"/>
          <w:sz w:val="32"/>
          <w:szCs w:val="32"/>
          <w:highlight w:val="none"/>
          <w:lang w:eastAsia="zh-CN"/>
        </w:rPr>
        <w:t>（三）</w:t>
      </w:r>
      <w:r>
        <w:rPr>
          <w:rFonts w:hint="eastAsia" w:ascii="Times New Roman" w:hAnsi="Times New Roman" w:eastAsia="楷体_GB2312" w:cs="仿宋"/>
          <w:b/>
          <w:bCs/>
          <w:color w:val="auto"/>
          <w:kern w:val="0"/>
          <w:sz w:val="32"/>
          <w:szCs w:val="32"/>
          <w:highlight w:val="none"/>
          <w:lang w:val="en-US" w:eastAsia="zh-CN"/>
        </w:rPr>
        <w:t>资金主要用途和扶持对象</w:t>
      </w:r>
      <w:bookmarkEnd w:id="12"/>
    </w:p>
    <w:p>
      <w:pPr>
        <w:keepNext/>
        <w:keepLines/>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Times New Roman" w:eastAsia="仿宋_GB2312" w:cs="Times New Roman"/>
          <w:color w:val="auto"/>
          <w:kern w:val="0"/>
          <w:sz w:val="32"/>
          <w:szCs w:val="32"/>
          <w:highlight w:val="none"/>
          <w:lang w:val="en-US" w:eastAsia="zh-CN" w:bidi="ar-SA"/>
        </w:rPr>
      </w:pPr>
      <w:r>
        <w:rPr>
          <w:rFonts w:hint="eastAsia" w:ascii="仿宋_GB2312"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color w:val="auto"/>
          <w:kern w:val="0"/>
          <w:sz w:val="32"/>
          <w:szCs w:val="32"/>
          <w:highlight w:val="none"/>
          <w:lang w:val="en-US" w:eastAsia="zh-CN" w:bidi="ar-SA"/>
        </w:rPr>
        <w:t>2024</w:t>
      </w:r>
      <w:r>
        <w:rPr>
          <w:rFonts w:hint="eastAsia" w:ascii="仿宋_GB2312" w:hAnsi="Times New Roman" w:eastAsia="仿宋_GB2312" w:cs="Times New Roman"/>
          <w:color w:val="auto"/>
          <w:kern w:val="0"/>
          <w:sz w:val="32"/>
          <w:szCs w:val="32"/>
          <w:highlight w:val="none"/>
          <w:lang w:val="en-US" w:eastAsia="zh-CN" w:bidi="ar-SA"/>
        </w:rPr>
        <w:t>年城镇老旧小区改造专项资金主要用于支持申报城镇老旧小区改造计划任务的城市中，粤东西北地区</w:t>
      </w:r>
      <w:r>
        <w:rPr>
          <w:rFonts w:hint="default" w:ascii="Times New Roman" w:hAnsi="Times New Roman" w:eastAsia="仿宋_GB2312" w:cs="Times New Roman"/>
          <w:color w:val="auto"/>
          <w:kern w:val="0"/>
          <w:sz w:val="32"/>
          <w:szCs w:val="32"/>
          <w:highlight w:val="none"/>
          <w:lang w:val="en-US" w:eastAsia="zh-CN" w:bidi="ar-SA"/>
        </w:rPr>
        <w:t>15</w:t>
      </w:r>
      <w:r>
        <w:rPr>
          <w:rFonts w:hint="eastAsia" w:ascii="仿宋_GB2312" w:hAnsi="Times New Roman" w:eastAsia="仿宋_GB2312" w:cs="Times New Roman"/>
          <w:color w:val="auto"/>
          <w:kern w:val="0"/>
          <w:sz w:val="32"/>
          <w:szCs w:val="32"/>
          <w:highlight w:val="none"/>
          <w:lang w:val="en-US" w:eastAsia="zh-CN" w:bidi="ar-SA"/>
        </w:rPr>
        <w:t>个地级市的城镇老旧小区改造项目。支出内容包括小区内水电路气等配套基础设施和公共服务设施建设改造，小区内房屋公共区域修缮、建筑节能改造，以及省级组织实施项目和省本级工作经费等。</w:t>
      </w:r>
    </w:p>
    <w:bookmarkEnd w:id="13"/>
    <w:bookmarkEnd w:id="14"/>
    <w:p>
      <w:pPr>
        <w:pStyle w:val="2"/>
        <w:ind w:left="0" w:leftChars="0" w:firstLine="642" w:firstLineChars="200"/>
        <w:outlineLvl w:val="1"/>
        <w:rPr>
          <w:rFonts w:hint="default" w:ascii="仿宋_GB2312" w:hAnsi="Times New Roman"/>
          <w:color w:val="auto"/>
          <w:sz w:val="32"/>
          <w:highlight w:val="none"/>
          <w:lang w:val="en-US"/>
        </w:rPr>
      </w:pPr>
      <w:bookmarkStart w:id="15" w:name="_Toc13676"/>
      <w:r>
        <w:rPr>
          <w:rFonts w:hint="eastAsia" w:ascii="Times New Roman" w:hAnsi="Times New Roman" w:eastAsia="楷体_GB2312" w:cs="仿宋"/>
          <w:b/>
          <w:bCs/>
          <w:color w:val="auto"/>
          <w:kern w:val="0"/>
          <w:sz w:val="32"/>
          <w:szCs w:val="32"/>
          <w:highlight w:val="none"/>
          <w:lang w:eastAsia="zh-CN"/>
        </w:rPr>
        <w:t>（</w:t>
      </w:r>
      <w:r>
        <w:rPr>
          <w:rFonts w:hint="eastAsia" w:ascii="Times New Roman" w:hAnsi="Times New Roman" w:eastAsia="楷体_GB2312" w:cs="仿宋"/>
          <w:b/>
          <w:bCs/>
          <w:color w:val="auto"/>
          <w:kern w:val="0"/>
          <w:sz w:val="32"/>
          <w:szCs w:val="32"/>
          <w:highlight w:val="none"/>
          <w:lang w:val="en-US" w:eastAsia="zh-CN"/>
        </w:rPr>
        <w:t>四</w:t>
      </w:r>
      <w:r>
        <w:rPr>
          <w:rFonts w:hint="eastAsia" w:ascii="Times New Roman" w:hAnsi="Times New Roman" w:eastAsia="楷体_GB2312" w:cs="仿宋"/>
          <w:b/>
          <w:bCs/>
          <w:color w:val="auto"/>
          <w:kern w:val="0"/>
          <w:sz w:val="32"/>
          <w:szCs w:val="32"/>
          <w:highlight w:val="none"/>
          <w:lang w:eastAsia="zh-CN"/>
        </w:rPr>
        <w:t>）</w:t>
      </w:r>
      <w:r>
        <w:rPr>
          <w:rFonts w:hint="eastAsia" w:ascii="Times New Roman" w:hAnsi="Times New Roman" w:eastAsia="楷体_GB2312" w:cs="仿宋"/>
          <w:b/>
          <w:bCs/>
          <w:color w:val="auto"/>
          <w:kern w:val="0"/>
          <w:sz w:val="32"/>
          <w:szCs w:val="32"/>
          <w:highlight w:val="none"/>
          <w:lang w:val="en-US" w:eastAsia="zh-CN"/>
        </w:rPr>
        <w:t>绩效目标</w:t>
      </w:r>
      <w:bookmarkEnd w:id="15"/>
    </w:p>
    <w:p>
      <w:pPr>
        <w:pStyle w:val="2"/>
        <w:ind w:left="0" w:leftChars="0" w:firstLine="640" w:firstLineChars="200"/>
        <w:rPr>
          <w:rFonts w:hint="default" w:ascii="仿宋_GB2312" w:hAnsi="Times New Roman"/>
          <w:color w:val="auto"/>
          <w:sz w:val="32"/>
          <w:highlight w:val="none"/>
          <w:lang w:val="en-US" w:eastAsia="zh-CN"/>
        </w:rPr>
      </w:pPr>
      <w:r>
        <w:rPr>
          <w:rFonts w:hint="default" w:ascii="Times New Roman" w:hAnsi="Times New Roman" w:cs="Times New Roman"/>
          <w:color w:val="auto"/>
          <w:sz w:val="32"/>
          <w:highlight w:val="none"/>
          <w:lang w:val="en-US" w:eastAsia="zh-CN"/>
        </w:rPr>
        <w:t>2024</w:t>
      </w:r>
      <w:r>
        <w:rPr>
          <w:rFonts w:hint="eastAsia" w:ascii="仿宋_GB2312" w:hAnsi="Times New Roman"/>
          <w:color w:val="auto"/>
          <w:sz w:val="32"/>
          <w:highlight w:val="none"/>
          <w:lang w:val="en-US" w:eastAsia="zh-CN"/>
        </w:rPr>
        <w:t>年绩效目标是：通过开展城镇老旧小区改造项目，改造一批雨污管网、停车场、充电桩、电梯等设施，改善不少于92301户老旧小区居民居住环境，改造建筑面积达到841.32万平方米，改造小区超</w:t>
      </w:r>
      <w:r>
        <w:rPr>
          <w:rFonts w:hint="eastAsia" w:ascii="Times New Roman" w:hAnsi="Times New Roman" w:cs="Times New Roman"/>
          <w:color w:val="auto"/>
          <w:sz w:val="32"/>
          <w:highlight w:val="none"/>
          <w:lang w:val="en-US" w:eastAsia="zh-CN"/>
        </w:rPr>
        <w:t>700</w:t>
      </w:r>
      <w:r>
        <w:rPr>
          <w:rFonts w:hint="eastAsia" w:ascii="仿宋_GB2312" w:hAnsi="Times New Roman"/>
          <w:color w:val="auto"/>
          <w:sz w:val="32"/>
          <w:highlight w:val="none"/>
          <w:lang w:val="en-US" w:eastAsia="zh-CN"/>
        </w:rPr>
        <w:t>个，改造楼栋数超9575栋，实现小区美化、亮化、绿化等目标，解决部分群众的急难愁盼问题。（详见表</w:t>
      </w:r>
      <w:r>
        <w:rPr>
          <w:rFonts w:hint="default" w:ascii="Times New Roman" w:hAnsi="Times New Roman" w:cs="Times New Roman"/>
          <w:color w:val="auto"/>
          <w:sz w:val="32"/>
          <w:highlight w:val="none"/>
          <w:lang w:val="en-US" w:eastAsia="zh-CN"/>
        </w:rPr>
        <w:t>1</w:t>
      </w:r>
      <w:r>
        <w:rPr>
          <w:rFonts w:hint="eastAsia" w:ascii="仿宋_GB2312" w:hAnsi="Times New Roman"/>
          <w:color w:val="auto"/>
          <w:sz w:val="32"/>
          <w:highlight w:val="none"/>
          <w:lang w:val="en-US" w:eastAsia="zh-CN"/>
        </w:rPr>
        <w:t>-</w:t>
      </w:r>
      <w:r>
        <w:rPr>
          <w:rFonts w:hint="default" w:ascii="Times New Roman" w:hAnsi="Times New Roman" w:cs="Times New Roman"/>
          <w:color w:val="auto"/>
          <w:sz w:val="32"/>
          <w:highlight w:val="none"/>
          <w:lang w:val="en-US" w:eastAsia="zh-CN"/>
        </w:rPr>
        <w:t>1</w:t>
      </w:r>
      <w:r>
        <w:rPr>
          <w:rFonts w:hint="eastAsia" w:ascii="仿宋_GB2312" w:hAnsi="Times New Roman"/>
          <w:color w:val="auto"/>
          <w:sz w:val="32"/>
          <w:highlight w:val="none"/>
          <w:lang w:val="en-US" w:eastAsia="zh-CN"/>
        </w:rPr>
        <w:t>）</w:t>
      </w:r>
    </w:p>
    <w:p>
      <w:pPr>
        <w:widowControl/>
        <w:jc w:val="center"/>
        <w:textAlignment w:val="center"/>
        <w:rPr>
          <w:rFonts w:hint="eastAsia" w:ascii="黑体" w:hAnsi="黑体" w:eastAsia="黑体" w:cs="黑体"/>
          <w:color w:val="auto"/>
          <w:kern w:val="0"/>
          <w:sz w:val="15"/>
          <w:szCs w:val="15"/>
          <w:highlight w:val="none"/>
          <w:lang w:bidi="ar"/>
        </w:rPr>
      </w:pPr>
    </w:p>
    <w:p>
      <w:pPr>
        <w:widowControl/>
        <w:jc w:val="center"/>
        <w:textAlignment w:val="center"/>
        <w:rPr>
          <w:rFonts w:hint="eastAsia" w:ascii="黑体" w:hAnsi="黑体" w:eastAsia="黑体" w:cs="黑体"/>
          <w:color w:val="auto"/>
          <w:kern w:val="0"/>
          <w:sz w:val="28"/>
          <w:szCs w:val="28"/>
          <w:highlight w:val="none"/>
          <w:lang w:bidi="ar"/>
        </w:rPr>
      </w:pPr>
      <w:r>
        <w:rPr>
          <w:rFonts w:hint="eastAsia" w:ascii="黑体" w:hAnsi="黑体" w:eastAsia="黑体" w:cs="黑体"/>
          <w:color w:val="auto"/>
          <w:kern w:val="0"/>
          <w:sz w:val="28"/>
          <w:szCs w:val="28"/>
          <w:highlight w:val="none"/>
          <w:lang w:bidi="ar"/>
        </w:rPr>
        <w:t>表</w:t>
      </w:r>
      <w:r>
        <w:rPr>
          <w:rFonts w:hint="default" w:ascii="Times New Roman" w:hAnsi="Times New Roman" w:eastAsia="黑体" w:cs="Times New Roman"/>
          <w:color w:val="auto"/>
          <w:kern w:val="0"/>
          <w:sz w:val="28"/>
          <w:szCs w:val="28"/>
          <w:highlight w:val="none"/>
          <w:lang w:bidi="ar"/>
        </w:rPr>
        <w:t>1</w:t>
      </w:r>
      <w:r>
        <w:rPr>
          <w:rFonts w:hint="eastAsia" w:ascii="黑体" w:hAnsi="黑体" w:eastAsia="黑体" w:cs="黑体"/>
          <w:color w:val="auto"/>
          <w:kern w:val="0"/>
          <w:sz w:val="28"/>
          <w:szCs w:val="28"/>
          <w:highlight w:val="none"/>
          <w:lang w:bidi="ar"/>
        </w:rPr>
        <w:t>-</w:t>
      </w:r>
      <w:r>
        <w:rPr>
          <w:rFonts w:hint="default" w:ascii="Times New Roman" w:hAnsi="Times New Roman" w:eastAsia="黑体" w:cs="Times New Roman"/>
          <w:color w:val="auto"/>
          <w:kern w:val="0"/>
          <w:sz w:val="28"/>
          <w:szCs w:val="28"/>
          <w:highlight w:val="none"/>
          <w:lang w:bidi="ar"/>
        </w:rPr>
        <w:t>1</w:t>
      </w:r>
      <w:r>
        <w:rPr>
          <w:rFonts w:hint="eastAsia" w:ascii="黑体" w:hAnsi="黑体" w:eastAsia="黑体" w:cs="黑体"/>
          <w:color w:val="auto"/>
          <w:kern w:val="0"/>
          <w:sz w:val="28"/>
          <w:szCs w:val="28"/>
          <w:highlight w:val="none"/>
          <w:lang w:bidi="ar"/>
        </w:rPr>
        <w:t xml:space="preserve"> </w:t>
      </w:r>
      <w:r>
        <w:rPr>
          <w:rFonts w:hint="default" w:ascii="Times New Roman" w:hAnsi="Times New Roman" w:eastAsia="黑体" w:cs="Times New Roman"/>
          <w:color w:val="auto"/>
          <w:kern w:val="0"/>
          <w:sz w:val="28"/>
          <w:szCs w:val="28"/>
          <w:highlight w:val="none"/>
          <w:lang w:bidi="ar"/>
        </w:rPr>
        <w:t>202</w:t>
      </w:r>
      <w:r>
        <w:rPr>
          <w:rFonts w:hint="default" w:ascii="Times New Roman" w:hAnsi="Times New Roman" w:eastAsia="黑体" w:cs="Times New Roman"/>
          <w:color w:val="auto"/>
          <w:kern w:val="0"/>
          <w:sz w:val="28"/>
          <w:szCs w:val="28"/>
          <w:highlight w:val="none"/>
          <w:lang w:val="en-US" w:eastAsia="zh-CN" w:bidi="ar"/>
        </w:rPr>
        <w:t>4</w:t>
      </w:r>
      <w:r>
        <w:rPr>
          <w:rFonts w:hint="eastAsia" w:ascii="黑体" w:hAnsi="黑体" w:eastAsia="黑体" w:cs="黑体"/>
          <w:color w:val="auto"/>
          <w:kern w:val="0"/>
          <w:sz w:val="28"/>
          <w:szCs w:val="28"/>
          <w:highlight w:val="none"/>
          <w:lang w:bidi="ar"/>
        </w:rPr>
        <w:t>年</w:t>
      </w:r>
      <w:r>
        <w:rPr>
          <w:rFonts w:hint="eastAsia" w:ascii="黑体" w:hAnsi="黑体" w:eastAsia="黑体" w:cs="黑体"/>
          <w:color w:val="auto"/>
          <w:kern w:val="0"/>
          <w:sz w:val="28"/>
          <w:szCs w:val="28"/>
          <w:highlight w:val="none"/>
          <w:lang w:eastAsia="zh-CN" w:bidi="ar"/>
        </w:rPr>
        <w:t>城镇老旧小区改造</w:t>
      </w:r>
      <w:r>
        <w:rPr>
          <w:rFonts w:hint="eastAsia" w:ascii="黑体" w:hAnsi="黑体" w:eastAsia="黑体" w:cs="黑体"/>
          <w:color w:val="auto"/>
          <w:kern w:val="0"/>
          <w:sz w:val="28"/>
          <w:szCs w:val="28"/>
          <w:highlight w:val="none"/>
          <w:lang w:val="en-US" w:eastAsia="zh-CN" w:bidi="ar"/>
        </w:rPr>
        <w:t>资金</w:t>
      </w:r>
      <w:r>
        <w:rPr>
          <w:rFonts w:hint="eastAsia" w:ascii="黑体" w:hAnsi="黑体" w:eastAsia="黑体" w:cs="黑体"/>
          <w:color w:val="auto"/>
          <w:kern w:val="0"/>
          <w:sz w:val="28"/>
          <w:szCs w:val="28"/>
          <w:highlight w:val="none"/>
          <w:lang w:bidi="ar"/>
        </w:rPr>
        <w:t>绩效目标表</w:t>
      </w:r>
    </w:p>
    <w:tbl>
      <w:tblPr>
        <w:tblStyle w:val="15"/>
        <w:tblW w:w="10379" w:type="dxa"/>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2"/>
        <w:gridCol w:w="1659"/>
        <w:gridCol w:w="2046"/>
        <w:gridCol w:w="2753"/>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资金名称</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战略领域</w:t>
            </w:r>
          </w:p>
        </w:tc>
        <w:tc>
          <w:tcPr>
            <w:tcW w:w="6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区域协调发展战略专项资金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财政事权</w:t>
            </w:r>
          </w:p>
        </w:tc>
        <w:tc>
          <w:tcPr>
            <w:tcW w:w="6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住房和城乡建设管理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政策任务</w:t>
            </w:r>
          </w:p>
        </w:tc>
        <w:tc>
          <w:tcPr>
            <w:tcW w:w="6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城镇老旧小区改造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省级业务主管部门</w:t>
            </w:r>
          </w:p>
        </w:tc>
        <w:tc>
          <w:tcPr>
            <w:tcW w:w="8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广东省住房和城乡建设厅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资金类型</w:t>
            </w:r>
          </w:p>
        </w:tc>
        <w:tc>
          <w:tcPr>
            <w:tcW w:w="8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实施周期</w:t>
            </w:r>
          </w:p>
        </w:tc>
        <w:tc>
          <w:tcPr>
            <w:tcW w:w="8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 xml:space="preserve">  资金需求（万元）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2024年金额</w:t>
            </w:r>
          </w:p>
        </w:tc>
        <w:tc>
          <w:tcPr>
            <w:tcW w:w="6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18860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用途范围</w:t>
            </w:r>
          </w:p>
        </w:tc>
        <w:tc>
          <w:tcPr>
            <w:tcW w:w="8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包括省本级工作经费，对申报城镇老旧小区改造计划任务的城市中，沿海经济带东西两翼和北部生态发展区和江门、肇庆、惠州 15 个地级市进行补助。主要用于小区内水电路气等配套基础设施和公共服务设施建设改造，小区内房屋公共区域修缮、建筑节能改造。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绩效指标</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一级指标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二级指标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三级指标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年度目标值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产出指标</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数量指标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改造小区数（个）</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改造户数（户）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≥92301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改造楼栋数（栋）</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改造建筑面积</w:t>
            </w:r>
            <w:r>
              <w:rPr>
                <w:rFonts w:hint="eastAsia" w:ascii="仿宋_GB2312" w:hAnsi="Times New Roman" w:eastAsia="仿宋_GB2312" w:cs="Times New Roman"/>
                <w:color w:val="auto"/>
                <w:sz w:val="24"/>
                <w:szCs w:val="24"/>
                <w:highlight w:val="none"/>
                <w:lang w:val="en-US" w:eastAsia="zh-CN" w:bidi="ar-SA"/>
              </w:rPr>
              <w:br w:type="textWrapping"/>
            </w:r>
            <w:r>
              <w:rPr>
                <w:rFonts w:hint="eastAsia" w:ascii="仿宋_GB2312" w:hAnsi="Times New Roman" w:eastAsia="仿宋_GB2312" w:cs="Times New Roman"/>
                <w:color w:val="auto"/>
                <w:sz w:val="24"/>
                <w:szCs w:val="24"/>
                <w:highlight w:val="none"/>
                <w:lang w:val="en-US" w:eastAsia="zh-CN" w:bidi="ar-SA"/>
              </w:rPr>
              <w:t>（万平方米）</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≥841.32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质量指标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开工目标完成率（%）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效益指标</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 xml:space="preserve">  社会效益指标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群众居住条件是否改善（是/否）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 xml:space="preserve">  服务对象满意度指标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老旧小区居民满意度</w:t>
            </w:r>
            <w:r>
              <w:rPr>
                <w:rFonts w:hint="eastAsia" w:ascii="仿宋_GB2312" w:hAnsi="Times New Roman" w:eastAsia="仿宋_GB2312" w:cs="Times New Roman"/>
                <w:color w:val="auto"/>
                <w:sz w:val="24"/>
                <w:szCs w:val="24"/>
                <w:highlight w:val="none"/>
                <w:lang w:val="en-US" w:eastAsia="zh-CN" w:bidi="ar-SA"/>
              </w:rPr>
              <w:br w:type="textWrapping"/>
            </w:r>
            <w:r>
              <w:rPr>
                <w:rFonts w:hint="eastAsia" w:ascii="仿宋_GB2312" w:hAnsi="Times New Roman" w:eastAsia="仿宋_GB2312" w:cs="Times New Roman"/>
                <w:color w:val="auto"/>
                <w:sz w:val="24"/>
                <w:szCs w:val="24"/>
                <w:highlight w:val="none"/>
                <w:lang w:val="en-US" w:eastAsia="zh-CN" w:bidi="ar-SA"/>
              </w:rPr>
              <w:t>（%）</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bidi="ar-SA"/>
              </w:rPr>
              <w:t>≥80</w:t>
            </w:r>
          </w:p>
        </w:tc>
      </w:tr>
    </w:tbl>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p>
      <w:pPr>
        <w:keepNext w:val="0"/>
        <w:keepLines w:val="0"/>
        <w:widowControl/>
        <w:suppressLineNumbers w:val="0"/>
        <w:jc w:val="center"/>
        <w:textAlignment w:val="center"/>
        <w:rPr>
          <w:rFonts w:hint="eastAsia" w:ascii="仿宋_GB2312" w:hAnsi="Times New Roman" w:eastAsia="仿宋_GB2312" w:cs="Times New Roman"/>
          <w:color w:val="auto"/>
          <w:sz w:val="24"/>
          <w:szCs w:val="24"/>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b w:val="0"/>
          <w:bCs w:val="0"/>
          <w:color w:val="auto"/>
          <w:kern w:val="2"/>
          <w:sz w:val="32"/>
          <w:szCs w:val="32"/>
          <w:highlight w:val="none"/>
          <w:lang w:val="en-US" w:eastAsia="zh-CN"/>
        </w:rPr>
      </w:pPr>
      <w:bookmarkStart w:id="16" w:name="_Toc11495"/>
      <w:bookmarkStart w:id="17" w:name="_Toc28262"/>
      <w:bookmarkStart w:id="18" w:name="_Toc25953"/>
      <w:r>
        <w:rPr>
          <w:rFonts w:hint="eastAsia" w:ascii="黑体" w:hAnsi="黑体" w:eastAsia="黑体" w:cs="黑体"/>
          <w:b w:val="0"/>
          <w:bCs w:val="0"/>
          <w:color w:val="auto"/>
          <w:kern w:val="2"/>
          <w:sz w:val="32"/>
          <w:szCs w:val="32"/>
          <w:highlight w:val="none"/>
          <w:lang w:val="en-US" w:eastAsia="zh-CN"/>
        </w:rPr>
        <w:t>二、自评情况</w:t>
      </w:r>
      <w:bookmarkEnd w:id="16"/>
    </w:p>
    <w:p>
      <w:pPr>
        <w:keepNext/>
        <w:keepLines/>
        <w:pageBreakBefore w:val="0"/>
        <w:widowControl w:val="0"/>
        <w:numPr>
          <w:ilvl w:val="-1"/>
          <w:numId w:val="0"/>
        </w:numPr>
        <w:kinsoku/>
        <w:wordWrap/>
        <w:overflowPunct/>
        <w:topLinePunct w:val="0"/>
        <w:autoSpaceDE/>
        <w:autoSpaceDN/>
        <w:bidi w:val="0"/>
        <w:adjustRightInd/>
        <w:snapToGrid w:val="0"/>
        <w:spacing w:line="360" w:lineRule="auto"/>
        <w:ind w:firstLine="642" w:firstLineChars="200"/>
        <w:textAlignment w:val="auto"/>
        <w:outlineLvl w:val="1"/>
        <w:rPr>
          <w:rFonts w:hint="eastAsia" w:ascii="Times New Roman" w:hAnsi="Times New Roman" w:eastAsia="楷体_GB2312" w:cs="仿宋"/>
          <w:b/>
          <w:bCs/>
          <w:color w:val="auto"/>
          <w:kern w:val="0"/>
          <w:sz w:val="32"/>
          <w:szCs w:val="32"/>
          <w:highlight w:val="none"/>
          <w:lang w:val="en-US" w:eastAsia="zh-CN"/>
        </w:rPr>
      </w:pPr>
      <w:bookmarkStart w:id="19" w:name="_Toc7281"/>
      <w:r>
        <w:rPr>
          <w:rFonts w:hint="eastAsia" w:ascii="Times New Roman" w:hAnsi="Times New Roman" w:eastAsia="楷体_GB2312" w:cs="仿宋"/>
          <w:b/>
          <w:bCs/>
          <w:color w:val="auto"/>
          <w:kern w:val="0"/>
          <w:sz w:val="32"/>
          <w:szCs w:val="32"/>
          <w:highlight w:val="none"/>
          <w:lang w:val="en-US" w:eastAsia="zh-CN"/>
        </w:rPr>
        <w:t>(一）自评结论</w:t>
      </w:r>
      <w:bookmarkEnd w:id="17"/>
      <w:bookmarkEnd w:id="18"/>
      <w:bookmarkEnd w:id="19"/>
    </w:p>
    <w:p>
      <w:pPr>
        <w:pStyle w:val="2"/>
        <w:ind w:left="0" w:leftChars="0" w:firstLine="640" w:firstLineChars="200"/>
        <w:rPr>
          <w:rFonts w:ascii="仿宋_GB2312"/>
          <w:color w:val="auto"/>
          <w:sz w:val="32"/>
          <w:highlight w:val="none"/>
        </w:rPr>
      </w:pPr>
      <w:r>
        <w:rPr>
          <w:rFonts w:hint="eastAsia" w:ascii="仿宋_GB2312" w:hAnsi="Times New Roman" w:eastAsia="仿宋_GB2312" w:cs="Times New Roman"/>
          <w:color w:val="auto"/>
          <w:kern w:val="0"/>
          <w:sz w:val="32"/>
          <w:szCs w:val="32"/>
          <w:highlight w:val="none"/>
          <w:lang w:val="en-US" w:eastAsia="zh-CN" w:bidi="ar-SA"/>
        </w:rPr>
        <w:t>按照</w:t>
      </w:r>
      <w:r>
        <w:rPr>
          <w:rFonts w:hint="eastAsia" w:ascii="仿宋_GB2312" w:hAnsi="等线"/>
          <w:color w:val="auto"/>
          <w:sz w:val="32"/>
          <w:highlight w:val="none"/>
        </w:rPr>
        <w:t>《广东省财政厅关于开展</w:t>
      </w:r>
      <w:r>
        <w:rPr>
          <w:rFonts w:hint="default" w:ascii="Times New Roman" w:hAnsi="Times New Roman" w:cs="Times New Roman"/>
          <w:color w:val="auto"/>
          <w:sz w:val="32"/>
          <w:highlight w:val="none"/>
        </w:rPr>
        <w:t>2025</w:t>
      </w:r>
      <w:r>
        <w:rPr>
          <w:rFonts w:hint="eastAsia" w:ascii="仿宋_GB2312" w:hAnsi="等线"/>
          <w:color w:val="auto"/>
          <w:sz w:val="32"/>
          <w:highlight w:val="none"/>
        </w:rPr>
        <w:t>年省级财政资金绩效自评工作的通知》</w:t>
      </w:r>
      <w:r>
        <w:rPr>
          <w:rFonts w:hint="eastAsia" w:ascii="仿宋_GB2312" w:hAnsi="Times New Roman" w:eastAsia="仿宋_GB2312" w:cs="Times New Roman"/>
          <w:color w:val="auto"/>
          <w:kern w:val="0"/>
          <w:sz w:val="32"/>
          <w:szCs w:val="32"/>
          <w:highlight w:val="none"/>
          <w:lang w:val="en-US" w:eastAsia="zh-CN" w:bidi="ar-SA"/>
        </w:rPr>
        <w:t>要求，我厅印发了</w:t>
      </w:r>
      <w:r>
        <w:rPr>
          <w:rFonts w:hint="eastAsia" w:ascii="仿宋_GB2312" w:hAnsi="等线"/>
          <w:color w:val="auto"/>
          <w:sz w:val="32"/>
          <w:highlight w:val="none"/>
          <w:lang w:eastAsia="zh-CN"/>
        </w:rPr>
        <w:t>《广东省住房和城乡建设厅关于开展2024年省级财政城镇老旧小区改造专项资金绩效评价工作的通知》</w:t>
      </w:r>
      <w:r>
        <w:rPr>
          <w:rFonts w:hint="eastAsia" w:ascii="仿宋_GB2312" w:hAnsi="Times New Roman" w:eastAsia="仿宋_GB2312" w:cs="Times New Roman"/>
          <w:color w:val="auto"/>
          <w:kern w:val="0"/>
          <w:sz w:val="32"/>
          <w:szCs w:val="32"/>
          <w:highlight w:val="none"/>
          <w:lang w:val="en-US" w:eastAsia="zh-CN" w:bidi="ar-SA"/>
        </w:rPr>
        <w:t>，组织开展了绩效自评工作，要求有关地市主管部门要高度重视，加强对县（市、区）的指导督导，严格按照要求落实相关工作内容，对资金使用情况开展绩效自评工作。有关地市按要求开展绩效自评，提交了自评报告、项目绩效自评指标评分表及佐证材料。</w:t>
      </w:r>
      <w:r>
        <w:rPr>
          <w:rFonts w:hint="eastAsia" w:ascii="Times New Roman" w:hAnsi="Times New Roman"/>
          <w:color w:val="auto"/>
          <w:sz w:val="32"/>
          <w:highlight w:val="none"/>
        </w:rPr>
        <w:t>根据对各地市自评材料的审核分析汇总情况，综合形成了</w:t>
      </w:r>
      <w:r>
        <w:rPr>
          <w:rFonts w:hint="eastAsia" w:ascii="仿宋_GB2312"/>
          <w:color w:val="auto"/>
          <w:sz w:val="32"/>
          <w:highlight w:val="none"/>
          <w:lang w:eastAsia="zh-CN"/>
        </w:rPr>
        <w:t>本</w:t>
      </w:r>
      <w:r>
        <w:rPr>
          <w:rFonts w:hint="eastAsia" w:ascii="仿宋_GB2312"/>
          <w:color w:val="auto"/>
          <w:sz w:val="32"/>
          <w:highlight w:val="none"/>
        </w:rPr>
        <w:t>项目绩效自评报告</w:t>
      </w:r>
      <w:r>
        <w:rPr>
          <w:rFonts w:hint="eastAsia" w:ascii="Times New Roman" w:hAnsi="Times New Roman"/>
          <w:color w:val="auto"/>
          <w:sz w:val="32"/>
          <w:highlight w:val="none"/>
        </w:rPr>
        <w:t>。</w:t>
      </w:r>
    </w:p>
    <w:p>
      <w:pPr>
        <w:spacing w:line="360" w:lineRule="auto"/>
        <w:ind w:firstLine="640" w:firstLineChars="200"/>
        <w:rPr>
          <w:rFonts w:hint="default"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bidi="ar-SA"/>
        </w:rPr>
        <w:t>根据对粤东西北地区有关市县自评材料的审核分析汇总情况，依据既定的评价指标体系，</w:t>
      </w:r>
      <w:r>
        <w:rPr>
          <w:rFonts w:hint="eastAsia" w:ascii="仿宋_GB2312" w:hAnsi="Times New Roman" w:eastAsia="仿宋_GB2312" w:cs="Times New Roman"/>
          <w:color w:val="auto"/>
          <w:sz w:val="32"/>
          <w:szCs w:val="32"/>
          <w:highlight w:val="none"/>
          <w:lang w:val="en-US" w:eastAsia="zh-CN" w:bidi="ar-SA"/>
        </w:rPr>
        <w:t>2024年城镇老旧小区改造项目完成了各项产出、效益指标，专项资金基本达到了预期使用效果。</w:t>
      </w:r>
      <w:bookmarkStart w:id="20" w:name="_Toc1937"/>
      <w:bookmarkStart w:id="21" w:name="_Toc30614"/>
      <w:bookmarkStart w:id="22" w:name="_Toc7393"/>
      <w:bookmarkStart w:id="23" w:name="_Toc24031"/>
      <w:bookmarkStart w:id="24" w:name="_Toc2585"/>
      <w:bookmarkStart w:id="25" w:name="_Toc18617_WPSOffice_Level3"/>
      <w:bookmarkStart w:id="26" w:name="_Toc15273"/>
      <w:r>
        <w:rPr>
          <w:rFonts w:hint="eastAsia" w:ascii="Times New Roman" w:hAnsi="Times New Roman" w:eastAsia="仿宋_GB2312" w:cs="Times New Roman"/>
          <w:b w:val="0"/>
          <w:bCs w:val="0"/>
          <w:color w:val="auto"/>
          <w:kern w:val="0"/>
          <w:sz w:val="32"/>
          <w:szCs w:val="32"/>
          <w:highlight w:val="none"/>
          <w:lang w:val="en-US" w:eastAsia="zh-CN" w:bidi="ar-SA"/>
        </w:rPr>
        <w:t>评价</w:t>
      </w:r>
      <w:r>
        <w:rPr>
          <w:rFonts w:hint="eastAsia" w:ascii="Times New Roman" w:hAnsi="Times New Roman" w:eastAsia="仿宋_GB2312" w:cs="Times New Roman"/>
          <w:b w:val="0"/>
          <w:bCs w:val="0"/>
          <w:color w:val="auto"/>
          <w:kern w:val="0"/>
          <w:sz w:val="32"/>
          <w:szCs w:val="32"/>
          <w:highlight w:val="none"/>
          <w:lang w:val="en-US" w:eastAsia="zh-CN"/>
        </w:rPr>
        <w:t>指标分析如下</w:t>
      </w:r>
      <w:bookmarkEnd w:id="20"/>
      <w:r>
        <w:rPr>
          <w:rFonts w:hint="eastAsia" w:ascii="Times New Roman" w:hAnsi="Times New Roman" w:eastAsia="仿宋_GB2312" w:cs="Times New Roman"/>
          <w:b w:val="0"/>
          <w:bCs w:val="0"/>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2"/>
        <w:rPr>
          <w:rFonts w:hint="eastAsia" w:ascii="Times New Roman" w:hAnsi="Times New Roman" w:eastAsia="仿宋_GB2312" w:cs="Times New Roman"/>
          <w:b/>
          <w:bCs/>
          <w:color w:val="auto"/>
          <w:kern w:val="0"/>
          <w:sz w:val="32"/>
          <w:szCs w:val="32"/>
          <w:highlight w:val="none"/>
          <w:lang w:val="en-US" w:eastAsia="zh-CN"/>
        </w:rPr>
      </w:pPr>
      <w:bookmarkStart w:id="27" w:name="_Toc9701"/>
      <w:r>
        <w:rPr>
          <w:rFonts w:hint="default" w:ascii="Times New Roman" w:hAnsi="Times New Roman" w:eastAsia="仿宋_GB2312" w:cs="Times New Roman"/>
          <w:b/>
          <w:bCs/>
          <w:color w:val="auto"/>
          <w:kern w:val="0"/>
          <w:sz w:val="32"/>
          <w:szCs w:val="32"/>
          <w:highlight w:val="none"/>
          <w:lang w:val="en-US" w:eastAsia="zh-CN"/>
        </w:rPr>
        <w:t>1</w:t>
      </w:r>
      <w:r>
        <w:rPr>
          <w:rFonts w:hint="eastAsia" w:ascii="Times New Roman" w:hAnsi="Times New Roman" w:eastAsia="仿宋_GB2312" w:cs="Times New Roman"/>
          <w:b/>
          <w:bCs/>
          <w:color w:val="auto"/>
          <w:kern w:val="0"/>
          <w:sz w:val="32"/>
          <w:szCs w:val="32"/>
          <w:highlight w:val="none"/>
          <w:lang w:val="en-US" w:eastAsia="zh-CN"/>
        </w:rPr>
        <w:t>.过程指标。</w:t>
      </w:r>
      <w:bookmarkEnd w:id="21"/>
      <w:bookmarkEnd w:id="22"/>
      <w:bookmarkEnd w:id="23"/>
      <w:bookmarkEnd w:id="24"/>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 w:eastAsia="仿宋_GB2312" w:cs="Times New Roman"/>
          <w:color w:val="auto"/>
          <w:kern w:val="0"/>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lang w:val="en-US" w:eastAsia="zh-CN" w:bidi="ar-SA"/>
        </w:rPr>
        <w:t>该指标主要从资金管理和事项管理两个方面考核项目资金支付情况，资金支出的规范性，项目实施的规范性和监管的有效性。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4"/>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w:t>
      </w:r>
      <w:r>
        <w:rPr>
          <w:rFonts w:hint="default" w:ascii="Times New Roman" w:hAnsi="Times New Roman" w:eastAsia="仿宋_GB2312" w:cs="Times New Roman"/>
          <w:b/>
          <w:bCs/>
          <w:color w:val="auto"/>
          <w:spacing w:val="0"/>
          <w:kern w:val="2"/>
          <w:sz w:val="32"/>
          <w:szCs w:val="32"/>
          <w:highlight w:val="none"/>
          <w:lang w:val="en-US" w:eastAsia="zh-CN"/>
        </w:rPr>
        <w:t>1</w:t>
      </w:r>
      <w:r>
        <w:rPr>
          <w:rFonts w:hint="eastAsia" w:ascii="仿宋_GB2312" w:hAnsi="仿宋_GB2312" w:eastAsia="仿宋_GB2312" w:cs="仿宋_GB2312"/>
          <w:b/>
          <w:bCs/>
          <w:color w:val="auto"/>
          <w:spacing w:val="0"/>
          <w:kern w:val="2"/>
          <w:sz w:val="32"/>
          <w:szCs w:val="32"/>
          <w:highlight w:val="none"/>
          <w:lang w:val="en-US" w:eastAsia="zh-CN"/>
        </w:rPr>
        <w:t>）资金管理（</w:t>
      </w:r>
      <w:r>
        <w:rPr>
          <w:rFonts w:hint="eastAsia" w:ascii="Times New Roman" w:hAnsi="Times New Roman" w:eastAsia="仿宋_GB2312" w:cs="仿宋"/>
          <w:b/>
          <w:bCs/>
          <w:color w:val="auto"/>
          <w:spacing w:val="-6"/>
          <w:kern w:val="0"/>
          <w:sz w:val="32"/>
          <w:szCs w:val="32"/>
          <w:highlight w:val="none"/>
          <w:lang w:val="en-US" w:eastAsia="zh-CN"/>
        </w:rPr>
        <w:t>资金支出率）。</w:t>
      </w:r>
    </w:p>
    <w:p>
      <w:pPr>
        <w:pStyle w:val="17"/>
        <w:spacing w:before="0" w:beforeLines="0" w:after="0" w:afterLines="0"/>
        <w:ind w:firstLine="640"/>
        <w:rPr>
          <w:rFonts w:hint="default" w:ascii="仿宋_GB2312" w:hAnsi="仿宋" w:eastAsia="仿宋_GB2312"/>
          <w:color w:val="auto"/>
          <w:sz w:val="32"/>
          <w:highlight w:val="none"/>
          <w:lang w:val="en-US" w:eastAsia="zh-CN"/>
        </w:rPr>
      </w:pPr>
      <w:r>
        <w:rPr>
          <w:rFonts w:hint="eastAsia" w:ascii="仿宋_GB2312" w:hAnsi="仿宋"/>
          <w:color w:val="auto"/>
          <w:sz w:val="32"/>
          <w:highlight w:val="none"/>
        </w:rPr>
        <w:t>省财政厅</w:t>
      </w:r>
      <w:r>
        <w:rPr>
          <w:rFonts w:hint="default" w:ascii="Times New Roman" w:hAnsi="Times New Roman" w:cs="Times New Roman"/>
          <w:color w:val="auto"/>
          <w:sz w:val="32"/>
          <w:highlight w:val="none"/>
        </w:rPr>
        <w:t>202</w:t>
      </w:r>
      <w:r>
        <w:rPr>
          <w:rFonts w:hint="default" w:ascii="Times New Roman" w:hAnsi="Times New Roman" w:cs="Times New Roman"/>
          <w:color w:val="auto"/>
          <w:sz w:val="32"/>
          <w:highlight w:val="none"/>
          <w:lang w:val="en-US" w:eastAsia="zh-CN"/>
        </w:rPr>
        <w:t>3</w:t>
      </w:r>
      <w:r>
        <w:rPr>
          <w:rFonts w:hint="eastAsia" w:ascii="仿宋_GB2312" w:hAnsi="仿宋"/>
          <w:color w:val="auto"/>
          <w:sz w:val="32"/>
          <w:highlight w:val="none"/>
        </w:rPr>
        <w:t>年</w:t>
      </w:r>
      <w:r>
        <w:rPr>
          <w:rFonts w:hint="default" w:ascii="Times New Roman" w:hAnsi="Times New Roman" w:cs="Times New Roman"/>
          <w:color w:val="auto"/>
          <w:sz w:val="32"/>
          <w:highlight w:val="none"/>
        </w:rPr>
        <w:t>12</w:t>
      </w:r>
      <w:r>
        <w:rPr>
          <w:rFonts w:hint="eastAsia" w:ascii="仿宋_GB2312" w:hAnsi="仿宋"/>
          <w:color w:val="auto"/>
          <w:sz w:val="32"/>
          <w:highlight w:val="none"/>
        </w:rPr>
        <w:t>月</w:t>
      </w:r>
      <w:r>
        <w:rPr>
          <w:rFonts w:hint="eastAsia" w:ascii="仿宋_GB2312" w:hAnsi="仿宋"/>
          <w:color w:val="auto"/>
          <w:sz w:val="32"/>
          <w:highlight w:val="none"/>
          <w:lang w:val="en-US" w:eastAsia="zh-CN"/>
        </w:rPr>
        <w:t>提前</w:t>
      </w:r>
      <w:r>
        <w:rPr>
          <w:rFonts w:hint="eastAsia" w:ascii="仿宋_GB2312" w:hAnsi="仿宋"/>
          <w:color w:val="auto"/>
          <w:sz w:val="32"/>
          <w:highlight w:val="none"/>
        </w:rPr>
        <w:t>下达专项资金</w:t>
      </w:r>
      <w:r>
        <w:rPr>
          <w:rFonts w:hint="eastAsia" w:ascii="仿宋_GB2312" w:hAnsi="仿宋"/>
          <w:color w:val="auto"/>
          <w:sz w:val="32"/>
          <w:highlight w:val="none"/>
          <w:lang w:eastAsia="zh-CN"/>
        </w:rPr>
        <w:t>，</w:t>
      </w:r>
      <w:r>
        <w:rPr>
          <w:rFonts w:hint="eastAsia" w:ascii="仿宋_GB2312" w:hAnsi="仿宋"/>
          <w:color w:val="auto"/>
          <w:sz w:val="32"/>
          <w:highlight w:val="none"/>
        </w:rPr>
        <w:t>按计划预算资金应于</w:t>
      </w:r>
      <w:r>
        <w:rPr>
          <w:rFonts w:hint="default" w:ascii="Times New Roman" w:hAnsi="Times New Roman" w:cs="Times New Roman"/>
          <w:color w:val="auto"/>
          <w:sz w:val="32"/>
          <w:highlight w:val="none"/>
        </w:rPr>
        <w:t>202</w:t>
      </w:r>
      <w:r>
        <w:rPr>
          <w:rFonts w:hint="default" w:ascii="Times New Roman" w:hAnsi="Times New Roman" w:cs="Times New Roman"/>
          <w:color w:val="auto"/>
          <w:sz w:val="32"/>
          <w:highlight w:val="none"/>
          <w:lang w:val="en-US" w:eastAsia="zh-CN"/>
        </w:rPr>
        <w:t>4</w:t>
      </w:r>
      <w:r>
        <w:rPr>
          <w:rFonts w:hint="eastAsia" w:ascii="仿宋_GB2312" w:hAnsi="仿宋"/>
          <w:color w:val="auto"/>
          <w:sz w:val="32"/>
          <w:highlight w:val="none"/>
        </w:rPr>
        <w:t>年底前完成支出。截至评价基准日，省级资金已支出</w:t>
      </w:r>
      <w:r>
        <w:rPr>
          <w:rFonts w:hint="default" w:ascii="Times New Roman" w:hAnsi="Times New Roman" w:cs="Times New Roman"/>
          <w:color w:val="auto"/>
          <w:sz w:val="32"/>
          <w:highlight w:val="none"/>
        </w:rPr>
        <w:t>3623</w:t>
      </w:r>
      <w:r>
        <w:rPr>
          <w:rFonts w:hint="eastAsia" w:ascii="仿宋_GB2312" w:hAnsi="仿宋"/>
          <w:color w:val="auto"/>
          <w:sz w:val="32"/>
          <w:highlight w:val="none"/>
        </w:rPr>
        <w:t>.</w:t>
      </w:r>
      <w:r>
        <w:rPr>
          <w:rFonts w:hint="default" w:ascii="Times New Roman" w:hAnsi="Times New Roman" w:cs="Times New Roman"/>
          <w:color w:val="auto"/>
          <w:sz w:val="32"/>
          <w:highlight w:val="none"/>
        </w:rPr>
        <w:t>3</w:t>
      </w:r>
      <w:r>
        <w:rPr>
          <w:rFonts w:hint="default" w:ascii="Times New Roman" w:hAnsi="Times New Roman" w:cs="Times New Roman"/>
          <w:color w:val="auto"/>
          <w:sz w:val="32"/>
          <w:highlight w:val="none"/>
          <w:lang w:val="en-US" w:eastAsia="zh-CN"/>
        </w:rPr>
        <w:t>5</w:t>
      </w:r>
      <w:r>
        <w:rPr>
          <w:rFonts w:hint="eastAsia" w:ascii="仿宋_GB2312" w:hAnsi="仿宋"/>
          <w:color w:val="auto"/>
          <w:sz w:val="32"/>
          <w:highlight w:val="none"/>
        </w:rPr>
        <w:t>万元，资金支出率为</w:t>
      </w:r>
      <w:r>
        <w:rPr>
          <w:rFonts w:hint="default" w:ascii="Times New Roman" w:hAnsi="Times New Roman" w:cs="Times New Roman"/>
          <w:color w:val="auto"/>
          <w:sz w:val="32"/>
          <w:highlight w:val="none"/>
        </w:rPr>
        <w:t>19</w:t>
      </w:r>
      <w:r>
        <w:rPr>
          <w:rFonts w:hint="eastAsia" w:ascii="仿宋_GB2312" w:hAnsi="仿宋"/>
          <w:color w:val="auto"/>
          <w:sz w:val="32"/>
          <w:highlight w:val="none"/>
        </w:rPr>
        <w:t>.</w:t>
      </w:r>
      <w:r>
        <w:rPr>
          <w:rFonts w:hint="default" w:ascii="Times New Roman" w:hAnsi="Times New Roman" w:cs="Times New Roman"/>
          <w:color w:val="auto"/>
          <w:sz w:val="32"/>
          <w:highlight w:val="none"/>
        </w:rPr>
        <w:t>21</w:t>
      </w:r>
      <w:r>
        <w:rPr>
          <w:rFonts w:hint="eastAsia" w:ascii="仿宋_GB2312" w:hAnsi="仿宋"/>
          <w:color w:val="auto"/>
          <w:sz w:val="32"/>
          <w:highlight w:val="none"/>
        </w:rPr>
        <w:t>%。</w:t>
      </w:r>
      <w:r>
        <w:rPr>
          <w:rFonts w:hint="eastAsia" w:ascii="仿宋_GB2312" w:hAnsi="仿宋"/>
          <w:color w:val="auto"/>
          <w:sz w:val="32"/>
          <w:highlight w:val="none"/>
          <w:lang w:val="en-US" w:eastAsia="zh-CN"/>
        </w:rPr>
        <w:t>其中：省本级支出情况较好，支出率为</w:t>
      </w:r>
      <w:r>
        <w:rPr>
          <w:rFonts w:hint="default" w:ascii="Times New Roman" w:hAnsi="Times New Roman" w:cs="Times New Roman"/>
          <w:color w:val="auto"/>
          <w:sz w:val="32"/>
          <w:highlight w:val="none"/>
          <w:lang w:val="en-US" w:eastAsia="zh-CN"/>
        </w:rPr>
        <w:t>100</w:t>
      </w:r>
      <w:r>
        <w:rPr>
          <w:rFonts w:hint="eastAsia" w:ascii="仿宋_GB2312" w:hAnsi="仿宋"/>
          <w:color w:val="auto"/>
          <w:sz w:val="32"/>
          <w:highlight w:val="none"/>
          <w:lang w:val="en-US" w:eastAsia="zh-CN"/>
        </w:rPr>
        <w:t>%。</w:t>
      </w:r>
      <w:r>
        <w:rPr>
          <w:rFonts w:hint="eastAsia" w:ascii="仿宋_GB2312" w:hAnsi="仿宋"/>
          <w:color w:val="auto"/>
          <w:kern w:val="2"/>
          <w:sz w:val="32"/>
          <w:szCs w:val="32"/>
          <w:highlight w:val="none"/>
        </w:rPr>
        <w:t>支出率</w:t>
      </w:r>
      <w:r>
        <w:rPr>
          <w:rFonts w:hint="eastAsia" w:ascii="仿宋_GB2312" w:hAnsi="仿宋"/>
          <w:color w:val="auto"/>
          <w:kern w:val="2"/>
          <w:sz w:val="32"/>
          <w:szCs w:val="32"/>
          <w:highlight w:val="none"/>
          <w:lang w:val="en-US" w:eastAsia="zh-CN"/>
        </w:rPr>
        <w:t>较低</w:t>
      </w:r>
      <w:r>
        <w:rPr>
          <w:rFonts w:hint="eastAsia" w:ascii="仿宋_GB2312" w:hAnsi="仿宋"/>
          <w:color w:val="auto"/>
          <w:kern w:val="2"/>
          <w:sz w:val="32"/>
          <w:szCs w:val="32"/>
          <w:highlight w:val="none"/>
        </w:rPr>
        <w:t>的主要原因</w:t>
      </w:r>
      <w:r>
        <w:rPr>
          <w:rFonts w:hint="eastAsia" w:ascii="仿宋_GB2312" w:hAnsi="仿宋"/>
          <w:color w:val="auto"/>
          <w:kern w:val="2"/>
          <w:sz w:val="32"/>
          <w:szCs w:val="32"/>
          <w:highlight w:val="none"/>
          <w:lang w:eastAsia="zh-CN"/>
        </w:rPr>
        <w:t>：</w:t>
      </w:r>
      <w:r>
        <w:rPr>
          <w:rFonts w:hint="eastAsia" w:ascii="仿宋_GB2312" w:hAnsi="仿宋"/>
          <w:b/>
          <w:bCs/>
          <w:color w:val="auto"/>
          <w:kern w:val="2"/>
          <w:sz w:val="32"/>
          <w:szCs w:val="32"/>
          <w:highlight w:val="none"/>
          <w:lang w:val="en-US" w:eastAsia="zh-CN"/>
        </w:rPr>
        <w:t>一</w:t>
      </w:r>
      <w:r>
        <w:rPr>
          <w:rFonts w:hint="eastAsia" w:ascii="仿宋_GB2312" w:hAnsi="仿宋"/>
          <w:b/>
          <w:bCs/>
          <w:color w:val="auto"/>
          <w:kern w:val="2"/>
          <w:sz w:val="32"/>
          <w:szCs w:val="32"/>
          <w:highlight w:val="none"/>
        </w:rPr>
        <w:t>是</w:t>
      </w:r>
      <w:r>
        <w:rPr>
          <w:rFonts w:hint="eastAsia" w:ascii="仿宋_GB2312" w:hAnsi="仿宋"/>
          <w:color w:val="auto"/>
          <w:kern w:val="2"/>
          <w:sz w:val="32"/>
          <w:szCs w:val="32"/>
          <w:highlight w:val="none"/>
        </w:rPr>
        <w:t>城镇老旧小区改造项目规划设计难度较高，项目内容涉及专业分类比较多，如路基沥青、污水排水处理、交通配套、广场改造、垃圾分类处理设施和立面改造环境整治等，且项目分散，所需的程序时间较长，一定程度影响项目资金支出。</w:t>
      </w:r>
      <w:r>
        <w:rPr>
          <w:rFonts w:hint="eastAsia" w:ascii="仿宋_GB2312" w:hAnsi="仿宋"/>
          <w:b/>
          <w:bCs/>
          <w:color w:val="auto"/>
          <w:kern w:val="2"/>
          <w:sz w:val="32"/>
          <w:szCs w:val="32"/>
          <w:highlight w:val="none"/>
          <w:lang w:val="en-US" w:eastAsia="zh-CN"/>
        </w:rPr>
        <w:t>二是</w:t>
      </w:r>
      <w:r>
        <w:rPr>
          <w:rFonts w:hint="eastAsia" w:ascii="仿宋_GB2312" w:hAnsi="仿宋"/>
          <w:color w:val="auto"/>
          <w:kern w:val="2"/>
          <w:sz w:val="32"/>
          <w:szCs w:val="32"/>
          <w:highlight w:val="none"/>
          <w:lang w:val="en-US" w:eastAsia="zh-CN"/>
        </w:rPr>
        <w:t>由于部分城镇老旧小区改造项目尾款需完成竣工验收后才支付，部分地市由于计划目标调整或基础建设条件差等原因，延缓了建设进度，工程量未达到支付要求，导致资金支付比例不理想。</w:t>
      </w:r>
      <w:r>
        <w:rPr>
          <w:rFonts w:hint="eastAsia" w:ascii="仿宋_GB2312" w:hAnsi="仿宋"/>
          <w:b/>
          <w:bCs/>
          <w:color w:val="auto"/>
          <w:kern w:val="2"/>
          <w:sz w:val="32"/>
          <w:szCs w:val="32"/>
          <w:highlight w:val="none"/>
          <w:lang w:val="en-US" w:eastAsia="zh-CN"/>
        </w:rPr>
        <w:t>三是</w:t>
      </w:r>
      <w:r>
        <w:rPr>
          <w:rFonts w:hint="eastAsia" w:ascii="仿宋_GB2312" w:hAnsi="仿宋"/>
          <w:color w:val="auto"/>
          <w:kern w:val="2"/>
          <w:sz w:val="32"/>
          <w:szCs w:val="32"/>
          <w:highlight w:val="none"/>
          <w:lang w:val="en-US" w:eastAsia="zh-CN"/>
        </w:rPr>
        <w:t>部分地市在统筹项目资金上未做到科学合理部署，优先使用债券资金较多；部分地市反映财政比较困难，申请资金拨付周期较长，需要“排队等待支付”等。据统计，大部分地市绩效指标完成进度远超资金支付进度，大部分专项资金结转到下一年度使用。</w:t>
      </w:r>
      <w:r>
        <w:rPr>
          <w:rFonts w:hint="eastAsia" w:ascii="仿宋_GB2312" w:hAnsi="仿宋"/>
          <w:color w:val="auto"/>
          <w:sz w:val="32"/>
          <w:highlight w:val="none"/>
        </w:rPr>
        <w:t>预算执行情况见表</w:t>
      </w:r>
      <w:r>
        <w:rPr>
          <w:rFonts w:hint="eastAsia" w:ascii="仿宋_GB2312" w:hAnsi="仿宋"/>
          <w:color w:val="auto"/>
          <w:sz w:val="32"/>
          <w:highlight w:val="none"/>
          <w:lang w:val="en-US" w:eastAsia="zh-CN"/>
        </w:rPr>
        <w:t>2</w:t>
      </w:r>
      <w:r>
        <w:rPr>
          <w:rFonts w:hint="eastAsia" w:ascii="仿宋_GB2312" w:hAnsi="仿宋"/>
          <w:color w:val="auto"/>
          <w:sz w:val="32"/>
          <w:highlight w:val="none"/>
        </w:rPr>
        <w:t>-</w:t>
      </w:r>
      <w:r>
        <w:rPr>
          <w:rFonts w:hint="eastAsia" w:ascii="仿宋_GB2312" w:hAnsi="仿宋"/>
          <w:color w:val="auto"/>
          <w:sz w:val="32"/>
          <w:highlight w:val="none"/>
          <w:lang w:val="en-US" w:eastAsia="zh-CN"/>
        </w:rPr>
        <w:t>2</w:t>
      </w:r>
      <w:r>
        <w:rPr>
          <w:rFonts w:hint="eastAsia" w:ascii="仿宋_GB2312" w:hAnsi="仿宋"/>
          <w:color w:val="auto"/>
          <w:sz w:val="32"/>
          <w:highlight w:val="none"/>
        </w:rPr>
        <w:t>。</w:t>
      </w:r>
    </w:p>
    <w:p>
      <w:pPr>
        <w:jc w:val="center"/>
        <w:rPr>
          <w:rFonts w:hint="eastAsia" w:eastAsia="黑体"/>
          <w:color w:val="auto"/>
          <w:sz w:val="28"/>
          <w:szCs w:val="28"/>
          <w:highlight w:val="none"/>
          <w:lang w:eastAsia="zh-CN"/>
        </w:rPr>
      </w:pPr>
      <w:r>
        <w:rPr>
          <w:rFonts w:eastAsia="黑体"/>
          <w:color w:val="auto"/>
          <w:sz w:val="28"/>
          <w:szCs w:val="28"/>
          <w:highlight w:val="none"/>
        </w:rPr>
        <w:t>表</w:t>
      </w:r>
      <w:r>
        <w:rPr>
          <w:rFonts w:hint="default" w:ascii="Times New Roman" w:hAnsi="Times New Roman" w:eastAsia="黑体" w:cs="Times New Roman"/>
          <w:color w:val="auto"/>
          <w:sz w:val="28"/>
          <w:szCs w:val="28"/>
          <w:highlight w:val="none"/>
          <w:lang w:val="en-US" w:eastAsia="zh-CN"/>
        </w:rPr>
        <w:t>2</w:t>
      </w:r>
      <w:r>
        <w:rPr>
          <w:rFonts w:hint="eastAsia" w:eastAsia="黑体"/>
          <w:color w:val="auto"/>
          <w:sz w:val="28"/>
          <w:szCs w:val="28"/>
          <w:highlight w:val="none"/>
        </w:rPr>
        <w:t>-</w:t>
      </w:r>
      <w:r>
        <w:rPr>
          <w:rFonts w:hint="default" w:ascii="Times New Roman" w:hAnsi="Times New Roman" w:eastAsia="黑体" w:cs="Times New Roman"/>
          <w:color w:val="auto"/>
          <w:sz w:val="28"/>
          <w:szCs w:val="28"/>
          <w:highlight w:val="none"/>
          <w:lang w:val="en-US" w:eastAsia="zh-CN"/>
        </w:rPr>
        <w:t>2</w:t>
      </w:r>
      <w:r>
        <w:rPr>
          <w:rFonts w:eastAsia="黑体"/>
          <w:color w:val="auto"/>
          <w:sz w:val="28"/>
          <w:szCs w:val="28"/>
          <w:highlight w:val="none"/>
        </w:rPr>
        <w:t xml:space="preserve"> </w:t>
      </w:r>
      <w:r>
        <w:rPr>
          <w:rFonts w:hint="eastAsia" w:eastAsia="黑体"/>
          <w:color w:val="auto"/>
          <w:sz w:val="28"/>
          <w:szCs w:val="28"/>
          <w:highlight w:val="none"/>
          <w:lang w:eastAsia="zh-CN"/>
        </w:rPr>
        <w:t>专项资金</w:t>
      </w:r>
      <w:r>
        <w:rPr>
          <w:rFonts w:eastAsia="黑体"/>
          <w:color w:val="auto"/>
          <w:sz w:val="28"/>
          <w:szCs w:val="28"/>
          <w:highlight w:val="none"/>
        </w:rPr>
        <w:t>预算执行情况</w:t>
      </w:r>
      <w:r>
        <w:rPr>
          <w:rFonts w:hint="eastAsia" w:eastAsia="黑体"/>
          <w:color w:val="auto"/>
          <w:sz w:val="28"/>
          <w:szCs w:val="28"/>
          <w:highlight w:val="none"/>
          <w:lang w:eastAsia="zh-CN"/>
        </w:rPr>
        <w:t>表</w:t>
      </w:r>
    </w:p>
    <w:p>
      <w:pPr>
        <w:pStyle w:val="10"/>
        <w:spacing w:after="0" w:line="240" w:lineRule="auto"/>
        <w:ind w:left="0" w:leftChars="0"/>
        <w:jc w:val="righ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单位：万元</w:t>
      </w:r>
    </w:p>
    <w:tbl>
      <w:tblPr>
        <w:tblStyle w:val="15"/>
        <w:tblW w:w="4814" w:type="pct"/>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1750"/>
        <w:gridCol w:w="1633"/>
        <w:gridCol w:w="1633"/>
        <w:gridCol w:w="1476"/>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地市</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预算指标</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到位资金</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实际支出</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default" w:ascii="仿宋_GB2312" w:hAnsi="宋体" w:eastAsia="仿宋_GB2312" w:cs="仿宋_GB2312"/>
                <w:b/>
                <w:bCs/>
                <w:i w:val="0"/>
                <w:iCs w:val="0"/>
                <w:color w:val="auto"/>
                <w:kern w:val="0"/>
                <w:sz w:val="24"/>
                <w:szCs w:val="24"/>
                <w:highlight w:val="none"/>
                <w:u w:val="none"/>
                <w:lang w:val="en-US" w:eastAsia="zh-CN" w:bidi="ar"/>
              </w:rPr>
              <w:t>合  计</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18860</w:t>
            </w:r>
            <w:r>
              <w:rPr>
                <w:rFonts w:hint="default" w:ascii="仿宋_GB2312" w:hAnsi="宋体" w:eastAsia="仿宋_GB2312" w:cs="仿宋_GB2312"/>
                <w:b/>
                <w:bCs/>
                <w:i w:val="0"/>
                <w:iCs w:val="0"/>
                <w:color w:val="auto"/>
                <w:kern w:val="0"/>
                <w:sz w:val="24"/>
                <w:szCs w:val="24"/>
                <w:highlight w:val="none"/>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18860</w:t>
            </w:r>
            <w:r>
              <w:rPr>
                <w:rFonts w:hint="default" w:ascii="仿宋_GB2312" w:hAnsi="宋体" w:eastAsia="仿宋_GB2312" w:cs="仿宋_GB2312"/>
                <w:b/>
                <w:bCs/>
                <w:i w:val="0"/>
                <w:iCs w:val="0"/>
                <w:color w:val="auto"/>
                <w:kern w:val="0"/>
                <w:sz w:val="24"/>
                <w:szCs w:val="24"/>
                <w:highlight w:val="none"/>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3623</w:t>
            </w:r>
            <w:r>
              <w:rPr>
                <w:rFonts w:hint="default" w:ascii="仿宋_GB2312" w:hAnsi="宋体" w:eastAsia="仿宋_GB2312" w:cs="仿宋_GB2312"/>
                <w:b/>
                <w:bCs/>
                <w:i w:val="0"/>
                <w:iCs w:val="0"/>
                <w:color w:val="auto"/>
                <w:kern w:val="0"/>
                <w:sz w:val="24"/>
                <w:szCs w:val="24"/>
                <w:u w:val="none"/>
                <w:lang w:val="en-US" w:eastAsia="zh-CN" w:bidi="ar"/>
              </w:rPr>
              <w:t>.</w:t>
            </w:r>
            <w:r>
              <w:rPr>
                <w:rFonts w:hint="default" w:ascii="Times New Roman" w:hAnsi="Times New Roman" w:eastAsia="仿宋_GB2312" w:cs="Times New Roman"/>
                <w:b/>
                <w:bCs/>
                <w:i w:val="0"/>
                <w:iCs w:val="0"/>
                <w:color w:val="auto"/>
                <w:kern w:val="0"/>
                <w:sz w:val="24"/>
                <w:szCs w:val="24"/>
                <w:u w:val="none"/>
                <w:lang w:val="en-US" w:eastAsia="zh-CN" w:bidi="ar"/>
              </w:rPr>
              <w:t>35</w:t>
            </w:r>
            <w:r>
              <w:rPr>
                <w:rFonts w:hint="default" w:ascii="仿宋_GB2312" w:hAnsi="宋体" w:eastAsia="仿宋_GB2312" w:cs="仿宋_GB2312"/>
                <w:b/>
                <w:bCs/>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19</w:t>
            </w:r>
            <w:r>
              <w:rPr>
                <w:rFonts w:hint="default" w:ascii="仿宋_GB2312" w:hAnsi="宋体" w:eastAsia="仿宋_GB2312" w:cs="仿宋_GB2312"/>
                <w:b/>
                <w:bCs/>
                <w:i w:val="0"/>
                <w:iCs w:val="0"/>
                <w:color w:val="auto"/>
                <w:kern w:val="0"/>
                <w:sz w:val="24"/>
                <w:szCs w:val="24"/>
                <w:u w:val="none"/>
                <w:lang w:val="en-US" w:eastAsia="zh-CN" w:bidi="ar"/>
              </w:rPr>
              <w:t>.</w:t>
            </w:r>
            <w:r>
              <w:rPr>
                <w:rFonts w:hint="default" w:ascii="Times New Roman" w:hAnsi="Times New Roman" w:eastAsia="仿宋_GB2312" w:cs="Times New Roman"/>
                <w:b/>
                <w:bCs/>
                <w:i w:val="0"/>
                <w:iCs w:val="0"/>
                <w:color w:val="auto"/>
                <w:kern w:val="0"/>
                <w:sz w:val="24"/>
                <w:szCs w:val="24"/>
                <w:u w:val="none"/>
                <w:lang w:val="en-US" w:eastAsia="zh-CN" w:bidi="ar"/>
              </w:rPr>
              <w:t>21</w:t>
            </w:r>
            <w:r>
              <w:rPr>
                <w:rFonts w:hint="default" w:ascii="仿宋_GB2312" w:hAnsi="宋体" w:eastAsia="仿宋_GB2312" w:cs="仿宋_GB2312"/>
                <w:b/>
                <w:bCs/>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汕头市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3378</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3378</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152</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93</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53</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韶关市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1443</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1443</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658</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54</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45</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64</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河源市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1094</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1094</w:t>
            </w:r>
            <w:r>
              <w:rPr>
                <w:rFonts w:hint="eastAsia" w:ascii="仿宋_GB2312" w:hAnsi="宋体" w:eastAsia="仿宋_GB2312" w:cs="仿宋_GB2312"/>
                <w:i w:val="0"/>
                <w:iCs w:val="0"/>
                <w:color w:val="auto"/>
                <w:kern w:val="0"/>
                <w:sz w:val="24"/>
                <w:szCs w:val="24"/>
                <w:highlight w:val="none"/>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39</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梅州市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1358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1358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34</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10</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51</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惠州市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655</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655</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48</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92</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47</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汕尾市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541</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541</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171</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23</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31</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65</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江门市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2545</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2545</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1204</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96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47</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35</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阳江市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2146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2146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375</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17</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47</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湛江市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841</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841</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29</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0</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87</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茂名市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2779</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2779</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160</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67</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78</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肇庆市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851</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851</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367</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13</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43</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14</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清远市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147</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147</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80</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潮州市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316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316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15</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82</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揭阳市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176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176</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110</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62</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50</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云浮市</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402</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402</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36</w:t>
            </w:r>
            <w:r>
              <w:rPr>
                <w:rFonts w:hint="eastAsia"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58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w:t>
            </w:r>
            <w:r>
              <w:rPr>
                <w:rFonts w:hint="default" w:ascii="仿宋_GB2312" w:hAnsi="宋体" w:eastAsia="仿宋_GB2312" w:cs="仿宋_GB2312"/>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10</w:t>
            </w:r>
            <w:r>
              <w:rPr>
                <w:rFonts w:hint="default" w:ascii="仿宋_GB2312" w:hAnsi="宋体"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省本级</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188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188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188</w:t>
            </w:r>
            <w:r>
              <w:rPr>
                <w:rFonts w:hint="eastAsia" w:ascii="仿宋_GB2312" w:hAnsi="宋体" w:eastAsia="仿宋_GB2312" w:cs="仿宋_GB2312"/>
                <w:i w:val="0"/>
                <w:iCs w:val="0"/>
                <w:color w:val="auto"/>
                <w:kern w:val="0"/>
                <w:sz w:val="24"/>
                <w:szCs w:val="24"/>
                <w:u w:val="none"/>
                <w:lang w:val="en-US" w:eastAsia="zh-CN" w:bidi="ar"/>
              </w:rPr>
              <w:t xml:space="preserve"> </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100</w:t>
            </w:r>
            <w:r>
              <w:rPr>
                <w:rFonts w:hint="default" w:ascii="仿宋_GB2312" w:hAnsi="宋体" w:eastAsia="仿宋_GB2312" w:cs="仿宋_GB2312"/>
                <w:i w:val="0"/>
                <w:iCs w:val="0"/>
                <w:color w:val="auto"/>
                <w:kern w:val="0"/>
                <w:sz w:val="24"/>
                <w:szCs w:val="24"/>
                <w:u w:val="none"/>
                <w:lang w:val="en-US" w:eastAsia="zh-CN" w:bidi="ar"/>
              </w:rPr>
              <w:t>%</w:t>
            </w:r>
          </w:p>
        </w:tc>
      </w:tr>
    </w:tbl>
    <w:p>
      <w:pPr>
        <w:rPr>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4"/>
        <w:rPr>
          <w:rFonts w:hint="eastAsia" w:ascii="仿宋_GB2312" w:hAnsi="仿宋_GB2312" w:eastAsia="仿宋_GB2312" w:cs="仿宋_GB2312"/>
          <w:b/>
          <w:bCs/>
          <w:color w:val="auto"/>
          <w:sz w:val="32"/>
          <w:szCs w:val="32"/>
          <w:highlight w:val="none"/>
          <w:lang w:val="en-US" w:eastAsia="zh-CN"/>
        </w:rPr>
      </w:pPr>
      <w:bookmarkStart w:id="28" w:name="_Toc15608"/>
      <w:r>
        <w:rPr>
          <w:rFonts w:hint="eastAsia" w:ascii="仿宋_GB2312" w:hAnsi="仿宋_GB2312" w:eastAsia="仿宋_GB2312" w:cs="仿宋_GB2312"/>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）事项管理</w:t>
      </w:r>
      <w:bookmarkEnd w:id="28"/>
      <w:r>
        <w:rPr>
          <w:rFonts w:hint="eastAsia" w:ascii="仿宋_GB2312" w:hAnsi="仿宋_GB2312" w:eastAsia="仿宋_GB2312" w:cs="仿宋_GB2312"/>
          <w:b/>
          <w:bCs/>
          <w:color w:val="auto"/>
          <w:sz w:val="32"/>
          <w:szCs w:val="32"/>
          <w:highlight w:val="none"/>
          <w:lang w:val="en-US" w:eastAsia="zh-CN"/>
        </w:rPr>
        <w:t>（监管有效性）。</w:t>
      </w:r>
    </w:p>
    <w:p>
      <w:pPr>
        <w:pStyle w:val="2"/>
        <w:ind w:left="0" w:leftChars="0" w:firstLine="640" w:firstLineChars="200"/>
        <w:rPr>
          <w:rFonts w:hint="eastAsia" w:ascii="仿宋_GB2312" w:hAnsi="Times New Roman" w:eastAsia="仿宋_GB2312" w:cs="Times New Roman"/>
          <w:color w:val="auto"/>
          <w:kern w:val="0"/>
          <w:sz w:val="32"/>
          <w:szCs w:val="20"/>
          <w:highlight w:val="none"/>
          <w:lang w:val="en-US" w:eastAsia="zh-CN" w:bidi="ar-SA"/>
        </w:rPr>
      </w:pPr>
      <w:r>
        <w:rPr>
          <w:rFonts w:hint="eastAsia" w:ascii="仿宋_GB2312" w:hAnsi="Times New Roman" w:eastAsia="仿宋_GB2312" w:cs="Times New Roman"/>
          <w:color w:val="auto"/>
          <w:kern w:val="0"/>
          <w:sz w:val="32"/>
          <w:szCs w:val="20"/>
          <w:highlight w:val="none"/>
          <w:lang w:val="en-US" w:eastAsia="zh-CN" w:bidi="ar-SA"/>
        </w:rPr>
        <w:t>我厅制定了比较</w:t>
      </w:r>
      <w:r>
        <w:rPr>
          <w:rFonts w:hint="eastAsia" w:ascii="仿宋_GB2312" w:hAnsi="Times New Roman" w:cs="Times New Roman"/>
          <w:color w:val="auto"/>
          <w:kern w:val="0"/>
          <w:sz w:val="32"/>
          <w:szCs w:val="20"/>
          <w:highlight w:val="none"/>
          <w:lang w:val="en-US" w:eastAsia="zh-CN" w:bidi="ar-SA"/>
        </w:rPr>
        <w:t>规范</w:t>
      </w:r>
      <w:r>
        <w:rPr>
          <w:rFonts w:hint="eastAsia" w:ascii="仿宋_GB2312" w:hAnsi="Times New Roman" w:eastAsia="仿宋_GB2312" w:cs="Times New Roman"/>
          <w:color w:val="auto"/>
          <w:kern w:val="0"/>
          <w:sz w:val="32"/>
          <w:szCs w:val="20"/>
          <w:highlight w:val="none"/>
          <w:lang w:val="en-US" w:eastAsia="zh-CN" w:bidi="ar-SA"/>
        </w:rPr>
        <w:t>的专项资金项目实施程序，明晰了省级主管部门、市县人民政府和业务主管部门的责任，并且按程序推进项目实施。有关市县能够按照要求开展城镇老旧小区改造，项目完成后按规定组织开展验收工作。省级业务主管部门能够认真做好项目实施监管，开展预算执行监控，及时掌握并督促项目建设进度。有关市县能够按照专项资金有关管理制度规定，建立健全管理制度，落实管理责任，保障完成项目绩效目标。</w:t>
      </w:r>
      <w:r>
        <w:rPr>
          <w:rFonts w:hint="eastAsia" w:ascii="仿宋_GB2312" w:hAnsi="Times New Roman" w:cs="Times New Roman"/>
          <w:color w:val="auto"/>
          <w:kern w:val="0"/>
          <w:sz w:val="32"/>
          <w:szCs w:val="20"/>
          <w:highlight w:val="none"/>
          <w:lang w:val="en-US" w:eastAsia="zh-CN" w:bidi="ar-SA"/>
        </w:rPr>
        <w:t>存在的主要问</w:t>
      </w:r>
      <w:r>
        <w:rPr>
          <w:rFonts w:hint="eastAsia" w:ascii="仿宋_GB2312" w:hAnsi="Times New Roman" w:eastAsia="仿宋_GB2312" w:cs="Times New Roman"/>
          <w:color w:val="auto"/>
          <w:kern w:val="0"/>
          <w:sz w:val="32"/>
          <w:szCs w:val="20"/>
          <w:highlight w:val="none"/>
          <w:lang w:val="en-US" w:eastAsia="zh-CN" w:bidi="ar-SA"/>
        </w:rPr>
        <w:t>题是部分市县的项目推进工作效率有待提高。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2"/>
        <w:rPr>
          <w:rFonts w:hint="default" w:ascii="Times New Roman" w:hAnsi="Times New Roman" w:eastAsia="仿宋_GB2312" w:cs="Times New Roman"/>
          <w:b/>
          <w:bCs/>
          <w:color w:val="auto"/>
          <w:kern w:val="0"/>
          <w:sz w:val="32"/>
          <w:szCs w:val="32"/>
          <w:highlight w:val="none"/>
          <w:lang w:val="en-US" w:eastAsia="zh-CN"/>
        </w:rPr>
      </w:pPr>
      <w:bookmarkStart w:id="29" w:name="_Toc10516"/>
      <w:bookmarkStart w:id="30" w:name="_Toc31093"/>
      <w:bookmarkStart w:id="31" w:name="_Toc17661"/>
      <w:r>
        <w:rPr>
          <w:rFonts w:hint="default" w:ascii="Times New Roman" w:hAnsi="Times New Roman" w:eastAsia="仿宋_GB2312" w:cs="Times New Roman"/>
          <w:b/>
          <w:bCs/>
          <w:color w:val="auto"/>
          <w:kern w:val="0"/>
          <w:sz w:val="32"/>
          <w:szCs w:val="32"/>
          <w:highlight w:val="none"/>
          <w:lang w:val="en-US" w:eastAsia="zh-CN"/>
        </w:rPr>
        <w:t>2</w:t>
      </w:r>
      <w:r>
        <w:rPr>
          <w:rFonts w:hint="eastAsia" w:ascii="Times New Roman" w:hAnsi="Times New Roman" w:eastAsia="仿宋_GB2312" w:cs="Times New Roman"/>
          <w:b/>
          <w:bCs/>
          <w:color w:val="auto"/>
          <w:kern w:val="0"/>
          <w:sz w:val="32"/>
          <w:szCs w:val="32"/>
          <w:highlight w:val="none"/>
          <w:lang w:val="en-US" w:eastAsia="zh-CN"/>
        </w:rPr>
        <w:t>.产出</w:t>
      </w:r>
      <w:bookmarkEnd w:id="29"/>
      <w:bookmarkEnd w:id="30"/>
      <w:r>
        <w:rPr>
          <w:rFonts w:hint="eastAsia" w:ascii="Times New Roman" w:hAnsi="Times New Roman" w:eastAsia="仿宋_GB2312" w:cs="Times New Roman"/>
          <w:b/>
          <w:bCs/>
          <w:color w:val="auto"/>
          <w:kern w:val="0"/>
          <w:sz w:val="32"/>
          <w:szCs w:val="32"/>
          <w:highlight w:val="none"/>
          <w:lang w:val="en-US" w:eastAsia="zh-CN"/>
        </w:rPr>
        <w:t>指标。</w:t>
      </w:r>
      <w:bookmarkEnd w:id="31"/>
    </w:p>
    <w:p>
      <w:pPr>
        <w:pStyle w:val="2"/>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该指标主要包括完成数量、质量、时效和成本四个方面。</w:t>
      </w:r>
    </w:p>
    <w:p>
      <w:pPr>
        <w:pStyle w:val="10"/>
        <w:ind w:left="0" w:leftChars="0" w:firstLine="640" w:firstLineChars="200"/>
        <w:rPr>
          <w:rFonts w:hint="eastAsia" w:ascii="仿宋_GB2312" w:hAnsi="Times New Roman" w:eastAsia="仿宋_GB2312" w:cs="Times New Roman"/>
          <w:color w:val="auto"/>
          <w:kern w:val="0"/>
          <w:sz w:val="32"/>
          <w:szCs w:val="20"/>
          <w:highlight w:val="none"/>
          <w:lang w:val="en-US" w:eastAsia="zh-CN" w:bidi="ar-SA"/>
        </w:rPr>
        <w:sectPr>
          <w:footerReference r:id="rId4" w:type="default"/>
          <w:pgSz w:w="11906" w:h="16838"/>
          <w:pgMar w:top="2041" w:right="1417" w:bottom="1417" w:left="1531" w:header="851" w:footer="992" w:gutter="0"/>
          <w:pgNumType w:fmt="numberInDash" w:start="1"/>
          <w:cols w:space="425" w:num="1"/>
          <w:docGrid w:type="lines" w:linePitch="312" w:charSpace="0"/>
        </w:sectPr>
      </w:pP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lang w:val="en-US" w:eastAsia="zh-CN"/>
        </w:rPr>
        <w:t>）数量指标。</w:t>
      </w:r>
      <w:r>
        <w:rPr>
          <w:rFonts w:hint="eastAsia" w:ascii="仿宋_GB2312" w:hAnsi="Times New Roman" w:eastAsia="仿宋_GB2312" w:cs="Times New Roman"/>
          <w:b/>
          <w:bCs/>
          <w:color w:val="auto"/>
          <w:kern w:val="0"/>
          <w:sz w:val="32"/>
          <w:szCs w:val="20"/>
          <w:highlight w:val="none"/>
          <w:lang w:val="en-US" w:eastAsia="zh-CN" w:bidi="ar-SA"/>
        </w:rPr>
        <w:t>一是</w:t>
      </w:r>
      <w:r>
        <w:rPr>
          <w:rFonts w:hint="eastAsia" w:ascii="仿宋_GB2312" w:hAnsi="仿宋_GB2312" w:eastAsia="仿宋_GB2312" w:cs="仿宋_GB2312"/>
          <w:color w:val="auto"/>
          <w:sz w:val="32"/>
          <w:highlight w:val="none"/>
        </w:rPr>
        <w:t>开工改造小区数</w:t>
      </w:r>
      <w:r>
        <w:rPr>
          <w:rFonts w:hint="eastAsia" w:ascii="仿宋_GB2312" w:hAnsi="仿宋_GB2312" w:eastAsia="仿宋_GB2312" w:cs="仿宋_GB2312"/>
          <w:color w:val="auto"/>
          <w:sz w:val="32"/>
          <w:highlight w:val="none"/>
          <w:lang w:val="en-US" w:eastAsia="zh-CN"/>
        </w:rPr>
        <w:t>计划完成</w:t>
      </w:r>
      <w:r>
        <w:rPr>
          <w:rFonts w:hint="default" w:ascii="Times New Roman" w:hAnsi="Times New Roman" w:eastAsia="仿宋_GB2312" w:cs="Times New Roman"/>
          <w:color w:val="auto"/>
          <w:sz w:val="32"/>
          <w:highlight w:val="none"/>
        </w:rPr>
        <w:t>700</w:t>
      </w:r>
      <w:r>
        <w:rPr>
          <w:rFonts w:hint="eastAsia" w:ascii="仿宋_GB2312" w:hAnsi="仿宋_GB2312" w:eastAsia="仿宋_GB2312" w:cs="仿宋_GB2312"/>
          <w:color w:val="auto"/>
          <w:sz w:val="32"/>
          <w:highlight w:val="none"/>
          <w:lang w:val="en-US" w:eastAsia="zh-CN"/>
        </w:rPr>
        <w:t>个，实际完成</w:t>
      </w:r>
      <w:r>
        <w:rPr>
          <w:rFonts w:hint="default" w:ascii="Times New Roman" w:hAnsi="Times New Roman" w:eastAsia="仿宋_GB2312" w:cs="Times New Roman"/>
          <w:color w:val="auto"/>
          <w:sz w:val="32"/>
          <w:highlight w:val="none"/>
          <w:lang w:val="en-US" w:eastAsia="zh-CN"/>
        </w:rPr>
        <w:t>1161</w:t>
      </w:r>
      <w:r>
        <w:rPr>
          <w:rFonts w:hint="eastAsia" w:ascii="仿宋_GB2312" w:hAnsi="仿宋_GB2312" w:eastAsia="仿宋_GB2312" w:cs="仿宋_GB2312"/>
          <w:color w:val="auto"/>
          <w:sz w:val="32"/>
          <w:highlight w:val="none"/>
          <w:lang w:val="en-US" w:eastAsia="zh-CN"/>
        </w:rPr>
        <w:t>个，完成率为</w:t>
      </w:r>
      <w:r>
        <w:rPr>
          <w:rFonts w:hint="default" w:ascii="Times New Roman" w:hAnsi="Times New Roman" w:eastAsia="仿宋_GB2312" w:cs="Times New Roman"/>
          <w:color w:val="auto"/>
          <w:sz w:val="32"/>
          <w:highlight w:val="none"/>
          <w:lang w:val="en-US" w:eastAsia="zh-CN"/>
        </w:rPr>
        <w:t>165</w:t>
      </w:r>
      <w:r>
        <w:rPr>
          <w:rFonts w:hint="eastAsia" w:ascii="仿宋_GB2312" w:hAnsi="仿宋_GB2312" w:eastAsia="仿宋_GB2312" w:cs="仿宋_GB2312"/>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86</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color w:val="auto"/>
          <w:sz w:val="32"/>
          <w:highlight w:val="none"/>
          <w:lang w:val="en-US" w:eastAsia="zh-CN"/>
        </w:rPr>
        <w:t>开工改造户数计划完成</w:t>
      </w:r>
      <w:r>
        <w:rPr>
          <w:rFonts w:hint="default" w:ascii="Times New Roman" w:hAnsi="Times New Roman" w:eastAsia="仿宋_GB2312" w:cs="Times New Roman"/>
          <w:color w:val="auto"/>
          <w:sz w:val="32"/>
          <w:highlight w:val="none"/>
          <w:lang w:val="en-US" w:eastAsia="zh-CN"/>
        </w:rPr>
        <w:t>92301</w:t>
      </w:r>
      <w:r>
        <w:rPr>
          <w:rFonts w:hint="eastAsia" w:ascii="仿宋_GB2312" w:hAnsi="仿宋_GB2312" w:eastAsia="仿宋_GB2312" w:cs="仿宋_GB2312"/>
          <w:color w:val="auto"/>
          <w:sz w:val="32"/>
          <w:highlight w:val="none"/>
          <w:lang w:val="en-US" w:eastAsia="zh-CN"/>
        </w:rPr>
        <w:t>户，实际完成</w:t>
      </w:r>
      <w:r>
        <w:rPr>
          <w:rFonts w:hint="default" w:ascii="Times New Roman" w:hAnsi="Times New Roman" w:eastAsia="仿宋_GB2312" w:cs="Times New Roman"/>
          <w:color w:val="auto"/>
          <w:sz w:val="32"/>
          <w:highlight w:val="none"/>
          <w:lang w:val="en-US" w:eastAsia="zh-CN"/>
        </w:rPr>
        <w:t>154903</w:t>
      </w:r>
      <w:r>
        <w:rPr>
          <w:rFonts w:hint="eastAsia" w:ascii="仿宋_GB2312" w:hAnsi="仿宋_GB2312" w:eastAsia="仿宋_GB2312" w:cs="仿宋_GB2312"/>
          <w:color w:val="auto"/>
          <w:sz w:val="32"/>
          <w:highlight w:val="none"/>
          <w:lang w:val="en-US" w:eastAsia="zh-CN"/>
        </w:rPr>
        <w:t>户，完成率为</w:t>
      </w:r>
      <w:r>
        <w:rPr>
          <w:rFonts w:hint="default" w:ascii="Times New Roman" w:hAnsi="Times New Roman" w:eastAsia="仿宋_GB2312" w:cs="Times New Roman"/>
          <w:color w:val="auto"/>
          <w:sz w:val="32"/>
          <w:highlight w:val="none"/>
          <w:lang w:val="en-US" w:eastAsia="zh-CN"/>
        </w:rPr>
        <w:t>167</w:t>
      </w:r>
      <w:r>
        <w:rPr>
          <w:rFonts w:hint="eastAsia" w:ascii="仿宋_GB2312" w:hAnsi="仿宋_GB2312" w:eastAsia="仿宋_GB2312" w:cs="仿宋_GB2312"/>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82</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color w:val="auto"/>
          <w:sz w:val="32"/>
          <w:highlight w:val="none"/>
          <w:lang w:val="en-US" w:eastAsia="zh-CN"/>
        </w:rPr>
        <w:t>开工改造楼栋计划完成</w:t>
      </w:r>
      <w:r>
        <w:rPr>
          <w:rFonts w:hint="default" w:ascii="Times New Roman" w:hAnsi="Times New Roman" w:eastAsia="仿宋_GB2312" w:cs="Times New Roman"/>
          <w:color w:val="auto"/>
          <w:sz w:val="32"/>
          <w:highlight w:val="none"/>
          <w:lang w:val="en-US" w:eastAsia="zh-CN"/>
        </w:rPr>
        <w:t>9575</w:t>
      </w:r>
      <w:r>
        <w:rPr>
          <w:rFonts w:hint="eastAsia" w:ascii="仿宋_GB2312" w:hAnsi="仿宋_GB2312" w:eastAsia="仿宋_GB2312" w:cs="仿宋_GB2312"/>
          <w:color w:val="auto"/>
          <w:sz w:val="32"/>
          <w:highlight w:val="none"/>
          <w:lang w:val="en-US" w:eastAsia="zh-CN"/>
        </w:rPr>
        <w:t>栋，实际完成</w:t>
      </w:r>
      <w:r>
        <w:rPr>
          <w:rFonts w:hint="default" w:ascii="Times New Roman" w:hAnsi="Times New Roman" w:eastAsia="仿宋_GB2312" w:cs="Times New Roman"/>
          <w:color w:val="auto"/>
          <w:sz w:val="32"/>
          <w:highlight w:val="none"/>
          <w:lang w:val="en-US" w:eastAsia="zh-CN"/>
        </w:rPr>
        <w:t>15504</w:t>
      </w:r>
      <w:r>
        <w:rPr>
          <w:rFonts w:hint="eastAsia" w:ascii="仿宋_GB2312" w:hAnsi="仿宋_GB2312" w:eastAsia="仿宋_GB2312" w:cs="仿宋_GB2312"/>
          <w:color w:val="auto"/>
          <w:sz w:val="32"/>
          <w:highlight w:val="none"/>
          <w:lang w:val="en-US" w:eastAsia="zh-CN"/>
        </w:rPr>
        <w:t>栋，完成率为</w:t>
      </w:r>
      <w:r>
        <w:rPr>
          <w:rFonts w:hint="default" w:ascii="Times New Roman" w:hAnsi="Times New Roman" w:eastAsia="仿宋_GB2312" w:cs="Times New Roman"/>
          <w:color w:val="auto"/>
          <w:sz w:val="32"/>
          <w:highlight w:val="none"/>
          <w:lang w:val="en-US" w:eastAsia="zh-CN"/>
        </w:rPr>
        <w:t>161</w:t>
      </w:r>
      <w:r>
        <w:rPr>
          <w:rFonts w:hint="eastAsia" w:ascii="仿宋_GB2312" w:hAnsi="仿宋_GB2312" w:eastAsia="仿宋_GB2312" w:cs="仿宋_GB2312"/>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92</w:t>
      </w:r>
      <w:r>
        <w:rPr>
          <w:rFonts w:hint="eastAsia" w:ascii="仿宋_GB2312" w:hAnsi="仿宋_GB2312" w:eastAsia="仿宋_GB2312" w:cs="仿宋_GB2312"/>
          <w:color w:val="auto"/>
          <w:sz w:val="32"/>
          <w:highlight w:val="none"/>
          <w:lang w:val="en-US" w:eastAsia="zh-CN"/>
        </w:rPr>
        <w:t>%。</w:t>
      </w:r>
      <w:r>
        <w:rPr>
          <w:rFonts w:hint="eastAsia" w:ascii="仿宋_GB2312" w:hAnsi="仿宋_GB2312" w:eastAsia="仿宋_GB2312" w:cs="仿宋_GB2312"/>
          <w:b/>
          <w:bCs/>
          <w:color w:val="auto"/>
          <w:sz w:val="32"/>
          <w:highlight w:val="none"/>
          <w:lang w:val="en-US" w:eastAsia="zh-CN"/>
        </w:rPr>
        <w:t>四是</w:t>
      </w:r>
      <w:r>
        <w:rPr>
          <w:rFonts w:hint="eastAsia" w:ascii="仿宋_GB2312" w:hAnsi="仿宋_GB2312" w:eastAsia="仿宋_GB2312" w:cs="仿宋_GB2312"/>
          <w:color w:val="auto"/>
          <w:sz w:val="32"/>
          <w:highlight w:val="none"/>
          <w:lang w:val="en-US" w:eastAsia="zh-CN"/>
        </w:rPr>
        <w:t>开工改造建筑面积数计划完成</w:t>
      </w:r>
      <w:r>
        <w:rPr>
          <w:rFonts w:hint="default" w:ascii="Times New Roman" w:hAnsi="Times New Roman" w:eastAsia="仿宋_GB2312" w:cs="Times New Roman"/>
          <w:color w:val="auto"/>
          <w:sz w:val="32"/>
          <w:highlight w:val="none"/>
          <w:lang w:val="en-US" w:eastAsia="zh-CN"/>
        </w:rPr>
        <w:t>841</w:t>
      </w:r>
      <w:r>
        <w:rPr>
          <w:rFonts w:hint="eastAsia" w:ascii="仿宋_GB2312" w:hAnsi="仿宋_GB2312" w:eastAsia="仿宋_GB2312" w:cs="仿宋_GB2312"/>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32</w:t>
      </w:r>
      <w:r>
        <w:rPr>
          <w:rFonts w:hint="eastAsia" w:ascii="仿宋_GB2312" w:hAnsi="仿宋_GB2312" w:eastAsia="仿宋_GB2312" w:cs="仿宋_GB2312"/>
          <w:color w:val="auto"/>
          <w:sz w:val="32"/>
          <w:highlight w:val="none"/>
          <w:lang w:val="en-US" w:eastAsia="zh-CN"/>
        </w:rPr>
        <w:t>万平方米，实际完成</w:t>
      </w:r>
      <w:r>
        <w:rPr>
          <w:rFonts w:hint="default" w:ascii="Times New Roman" w:hAnsi="Times New Roman" w:eastAsia="仿宋_GB2312" w:cs="Times New Roman"/>
          <w:color w:val="auto"/>
          <w:sz w:val="32"/>
          <w:highlight w:val="none"/>
          <w:lang w:val="en-US" w:eastAsia="zh-CN"/>
        </w:rPr>
        <w:t>1401</w:t>
      </w:r>
      <w:r>
        <w:rPr>
          <w:rFonts w:hint="eastAsia" w:ascii="仿宋_GB2312" w:hAnsi="仿宋_GB2312" w:eastAsia="仿宋_GB2312" w:cs="仿宋_GB2312"/>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82</w:t>
      </w:r>
      <w:r>
        <w:rPr>
          <w:rFonts w:hint="eastAsia" w:ascii="仿宋_GB2312" w:hAnsi="仿宋_GB2312" w:eastAsia="仿宋_GB2312" w:cs="仿宋_GB2312"/>
          <w:color w:val="auto"/>
          <w:sz w:val="32"/>
          <w:highlight w:val="none"/>
          <w:lang w:val="en-US" w:eastAsia="zh-CN"/>
        </w:rPr>
        <w:t>万平方米，完成率为</w:t>
      </w:r>
      <w:r>
        <w:rPr>
          <w:rFonts w:hint="default" w:ascii="Times New Roman" w:hAnsi="Times New Roman" w:eastAsia="仿宋_GB2312" w:cs="Times New Roman"/>
          <w:color w:val="auto"/>
          <w:sz w:val="32"/>
          <w:highlight w:val="none"/>
          <w:lang w:val="en-US" w:eastAsia="zh-CN"/>
        </w:rPr>
        <w:t>166</w:t>
      </w:r>
      <w:r>
        <w:rPr>
          <w:rFonts w:hint="eastAsia" w:ascii="仿宋_GB2312" w:hAnsi="仿宋_GB2312" w:eastAsia="仿宋_GB2312" w:cs="仿宋_GB2312"/>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62</w:t>
      </w:r>
      <w:r>
        <w:rPr>
          <w:rFonts w:hint="eastAsia" w:ascii="仿宋_GB2312" w:hAnsi="仿宋_GB2312" w:eastAsia="仿宋_GB2312" w:cs="仿宋_GB2312"/>
          <w:color w:val="auto"/>
          <w:sz w:val="32"/>
          <w:highlight w:val="none"/>
          <w:lang w:val="en-US" w:eastAsia="zh-CN"/>
        </w:rPr>
        <w:t>%。</w:t>
      </w:r>
      <w:r>
        <w:rPr>
          <w:rFonts w:hint="eastAsia" w:ascii="仿宋_GB2312" w:hAnsi="Times New Roman" w:eastAsia="仿宋_GB2312" w:cs="Times New Roman"/>
          <w:color w:val="auto"/>
          <w:kern w:val="0"/>
          <w:sz w:val="32"/>
          <w:szCs w:val="20"/>
          <w:highlight w:val="none"/>
          <w:u w:val="none"/>
          <w:lang w:val="en-US" w:eastAsia="zh-CN" w:bidi="ar-SA"/>
        </w:rPr>
        <w:t>所有数量指标均超过省下达的绩效指标值。</w:t>
      </w:r>
      <w:r>
        <w:rPr>
          <w:rFonts w:hint="eastAsia" w:ascii="仿宋_GB2312" w:hAnsi="Times New Roman" w:eastAsia="仿宋_GB2312" w:cs="Times New Roman"/>
          <w:color w:val="auto"/>
          <w:kern w:val="0"/>
          <w:sz w:val="32"/>
          <w:szCs w:val="20"/>
          <w:highlight w:val="none"/>
          <w:lang w:val="en-US" w:eastAsia="zh-CN" w:bidi="ar-SA"/>
        </w:rPr>
        <w:t>（见表</w:t>
      </w:r>
      <w:r>
        <w:rPr>
          <w:rFonts w:hint="default" w:ascii="Times New Roman" w:hAnsi="Times New Roman" w:eastAsia="仿宋_GB2312" w:cs="Times New Roman"/>
          <w:color w:val="auto"/>
          <w:kern w:val="0"/>
          <w:sz w:val="32"/>
          <w:szCs w:val="20"/>
          <w:highlight w:val="none"/>
          <w:lang w:val="en-US" w:eastAsia="zh-CN" w:bidi="ar-SA"/>
        </w:rPr>
        <w:t>2</w:t>
      </w:r>
      <w:r>
        <w:rPr>
          <w:rFonts w:hint="eastAsia" w:ascii="仿宋_GB2312" w:hAnsi="Times New Roman" w:eastAsia="仿宋_GB2312" w:cs="Times New Roman"/>
          <w:color w:val="auto"/>
          <w:kern w:val="0"/>
          <w:sz w:val="32"/>
          <w:szCs w:val="20"/>
          <w:highlight w:val="none"/>
          <w:lang w:val="en-US" w:eastAsia="zh-CN" w:bidi="ar-SA"/>
        </w:rPr>
        <w:t>-</w:t>
      </w:r>
      <w:r>
        <w:rPr>
          <w:rFonts w:hint="default" w:ascii="Times New Roman" w:hAnsi="Times New Roman" w:eastAsia="仿宋_GB2312" w:cs="Times New Roman"/>
          <w:color w:val="auto"/>
          <w:kern w:val="0"/>
          <w:sz w:val="32"/>
          <w:szCs w:val="20"/>
          <w:highlight w:val="none"/>
          <w:lang w:val="en-US" w:eastAsia="zh-CN" w:bidi="ar-SA"/>
        </w:rPr>
        <w:t>3</w:t>
      </w:r>
      <w:r>
        <w:rPr>
          <w:rFonts w:hint="eastAsia" w:ascii="仿宋_GB2312" w:hAnsi="Times New Roman" w:eastAsia="仿宋_GB2312" w:cs="Times New Roman"/>
          <w:color w:val="auto"/>
          <w:kern w:val="0"/>
          <w:sz w:val="32"/>
          <w:szCs w:val="20"/>
          <w:highlight w:val="none"/>
          <w:lang w:val="en-US" w:eastAsia="zh-CN" w:bidi="ar-SA"/>
        </w:rPr>
        <w:t>、附件</w:t>
      </w:r>
      <w:r>
        <w:rPr>
          <w:rFonts w:hint="default" w:ascii="Times New Roman" w:hAnsi="Times New Roman" w:eastAsia="仿宋_GB2312" w:cs="Times New Roman"/>
          <w:color w:val="auto"/>
          <w:kern w:val="0"/>
          <w:sz w:val="32"/>
          <w:szCs w:val="20"/>
          <w:highlight w:val="none"/>
          <w:lang w:val="en-US" w:eastAsia="zh-CN" w:bidi="ar-SA"/>
        </w:rPr>
        <w:t>2</w:t>
      </w:r>
      <w:r>
        <w:rPr>
          <w:rFonts w:hint="eastAsia" w:ascii="仿宋_GB2312" w:hAnsi="Times New Roman" w:eastAsia="仿宋_GB2312" w:cs="Times New Roman"/>
          <w:color w:val="auto"/>
          <w:kern w:val="0"/>
          <w:sz w:val="32"/>
          <w:szCs w:val="20"/>
          <w:highlight w:val="none"/>
          <w:lang w:val="en-US" w:eastAsia="zh-CN" w:bidi="ar-SA"/>
        </w:rPr>
        <w:t>）。</w:t>
      </w:r>
    </w:p>
    <w:p>
      <w:pPr>
        <w:pStyle w:val="10"/>
        <w:jc w:val="center"/>
        <w:rPr>
          <w:rFonts w:hint="eastAsia" w:ascii="仿宋_GB2312" w:hAnsi="Times New Roman" w:eastAsia="仿宋_GB2312" w:cs="Times New Roman"/>
          <w:color w:val="auto"/>
          <w:kern w:val="0"/>
          <w:sz w:val="32"/>
          <w:szCs w:val="20"/>
          <w:highlight w:val="none"/>
          <w:lang w:val="en-US" w:eastAsia="zh-CN" w:bidi="ar-SA"/>
        </w:rPr>
      </w:pPr>
      <w:r>
        <w:rPr>
          <w:rFonts w:hint="eastAsia" w:ascii="黑体" w:hAnsi="黑体" w:eastAsia="黑体" w:cs="黑体"/>
          <w:color w:val="auto"/>
          <w:kern w:val="0"/>
          <w:sz w:val="28"/>
          <w:szCs w:val="28"/>
          <w:highlight w:val="none"/>
          <w:lang w:bidi="ar"/>
        </w:rPr>
        <w:t>表</w:t>
      </w:r>
      <w:r>
        <w:rPr>
          <w:rFonts w:hint="default" w:ascii="Times New Roman" w:hAnsi="Times New Roman" w:eastAsia="黑体" w:cs="Times New Roman"/>
          <w:color w:val="auto"/>
          <w:kern w:val="0"/>
          <w:sz w:val="28"/>
          <w:szCs w:val="28"/>
          <w:highlight w:val="none"/>
          <w:lang w:val="en-US" w:eastAsia="zh-CN" w:bidi="ar"/>
        </w:rPr>
        <w:t>2</w:t>
      </w:r>
      <w:r>
        <w:rPr>
          <w:rFonts w:hint="eastAsia" w:ascii="黑体" w:hAnsi="黑体" w:eastAsia="黑体" w:cs="黑体"/>
          <w:color w:val="auto"/>
          <w:kern w:val="0"/>
          <w:sz w:val="28"/>
          <w:szCs w:val="28"/>
          <w:highlight w:val="none"/>
          <w:lang w:bidi="ar"/>
        </w:rPr>
        <w:t>-</w:t>
      </w:r>
      <w:r>
        <w:rPr>
          <w:rFonts w:hint="default" w:ascii="Times New Roman" w:hAnsi="Times New Roman" w:eastAsia="黑体" w:cs="Times New Roman"/>
          <w:color w:val="auto"/>
          <w:kern w:val="0"/>
          <w:sz w:val="28"/>
          <w:szCs w:val="28"/>
          <w:highlight w:val="none"/>
          <w:lang w:val="en-US" w:eastAsia="zh-CN" w:bidi="ar"/>
        </w:rPr>
        <w:t>3</w:t>
      </w:r>
      <w:r>
        <w:rPr>
          <w:rFonts w:hint="eastAsia" w:ascii="黑体" w:hAnsi="黑体" w:eastAsia="黑体" w:cs="黑体"/>
          <w:color w:val="auto"/>
          <w:kern w:val="0"/>
          <w:sz w:val="28"/>
          <w:szCs w:val="28"/>
          <w:highlight w:val="none"/>
          <w:lang w:val="en-US" w:eastAsia="zh-CN" w:bidi="ar"/>
        </w:rPr>
        <w:t xml:space="preserve"> </w:t>
      </w:r>
      <w:r>
        <w:rPr>
          <w:rFonts w:hint="default" w:ascii="Times New Roman" w:hAnsi="Times New Roman" w:eastAsia="黑体" w:cs="Times New Roman"/>
          <w:color w:val="auto"/>
          <w:kern w:val="0"/>
          <w:sz w:val="28"/>
          <w:szCs w:val="28"/>
          <w:highlight w:val="none"/>
          <w:lang w:val="en-US" w:eastAsia="zh-CN" w:bidi="ar"/>
        </w:rPr>
        <w:t>1</w:t>
      </w:r>
      <w:r>
        <w:rPr>
          <w:rFonts w:hint="default" w:ascii="Times New Roman" w:hAnsi="Times New Roman" w:eastAsia="黑体" w:cs="Times New Roman"/>
          <w:b w:val="0"/>
          <w:bCs w:val="0"/>
          <w:i w:val="0"/>
          <w:iCs w:val="0"/>
          <w:color w:val="auto"/>
          <w:kern w:val="0"/>
          <w:sz w:val="28"/>
          <w:szCs w:val="28"/>
          <w:u w:val="none"/>
          <w:lang w:val="en-US" w:eastAsia="zh-CN" w:bidi="ar"/>
        </w:rPr>
        <w:t>5</w:t>
      </w:r>
      <w:r>
        <w:rPr>
          <w:rFonts w:hint="eastAsia" w:ascii="黑体" w:hAnsi="宋体" w:eastAsia="黑体" w:cs="黑体"/>
          <w:b w:val="0"/>
          <w:bCs w:val="0"/>
          <w:i w:val="0"/>
          <w:iCs w:val="0"/>
          <w:color w:val="auto"/>
          <w:kern w:val="0"/>
          <w:sz w:val="28"/>
          <w:szCs w:val="28"/>
          <w:u w:val="none"/>
          <w:lang w:val="en-US" w:eastAsia="zh-CN" w:bidi="ar"/>
        </w:rPr>
        <w:t>个地级市老旧小区改造任务完成情况表</w:t>
      </w:r>
    </w:p>
    <w:tbl>
      <w:tblPr>
        <w:tblStyle w:val="15"/>
        <w:tblW w:w="5742" w:type="pct"/>
        <w:tblInd w:w="-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478"/>
        <w:gridCol w:w="1800"/>
        <w:gridCol w:w="1260"/>
        <w:gridCol w:w="1455"/>
        <w:gridCol w:w="1627"/>
        <w:gridCol w:w="1755"/>
        <w:gridCol w:w="2225"/>
        <w:gridCol w:w="1890"/>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序号</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地市</w:t>
            </w:r>
          </w:p>
        </w:tc>
        <w:tc>
          <w:tcPr>
            <w:tcW w:w="19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改造计划（粤财建〔</w:t>
            </w:r>
            <w:r>
              <w:rPr>
                <w:rFonts w:hint="default" w:ascii="Times New Roman" w:hAnsi="Times New Roman" w:eastAsia="仿宋_GB2312" w:cs="Times New Roman"/>
                <w:b/>
                <w:bCs/>
                <w:i w:val="0"/>
                <w:iCs w:val="0"/>
                <w:color w:val="auto"/>
                <w:kern w:val="0"/>
                <w:sz w:val="22"/>
                <w:szCs w:val="22"/>
                <w:u w:val="none"/>
                <w:lang w:val="en-US" w:eastAsia="zh-CN" w:bidi="ar"/>
              </w:rPr>
              <w:t>2023</w:t>
            </w:r>
            <w:r>
              <w:rPr>
                <w:rFonts w:hint="default" w:ascii="仿宋_GB2312" w:hAnsi="宋体" w:eastAsia="仿宋_GB2312" w:cs="仿宋_GB2312"/>
                <w:b/>
                <w:bCs/>
                <w:i w:val="0"/>
                <w:iCs w:val="0"/>
                <w:color w:val="auto"/>
                <w:kern w:val="0"/>
                <w:sz w:val="22"/>
                <w:szCs w:val="22"/>
                <w:u w:val="none"/>
                <w:lang w:val="en-US" w:eastAsia="zh-CN" w:bidi="ar"/>
              </w:rPr>
              <w:t>〕</w:t>
            </w:r>
            <w:r>
              <w:rPr>
                <w:rFonts w:hint="default" w:ascii="Times New Roman" w:hAnsi="Times New Roman" w:eastAsia="仿宋_GB2312" w:cs="Times New Roman"/>
                <w:b/>
                <w:bCs/>
                <w:i w:val="0"/>
                <w:iCs w:val="0"/>
                <w:color w:val="auto"/>
                <w:kern w:val="0"/>
                <w:sz w:val="22"/>
                <w:szCs w:val="22"/>
                <w:u w:val="none"/>
                <w:lang w:val="en-US" w:eastAsia="zh-CN" w:bidi="ar"/>
              </w:rPr>
              <w:t>77</w:t>
            </w:r>
            <w:r>
              <w:rPr>
                <w:rFonts w:hint="default" w:ascii="仿宋_GB2312" w:hAnsi="宋体" w:eastAsia="仿宋_GB2312" w:cs="仿宋_GB2312"/>
                <w:b/>
                <w:bCs/>
                <w:i w:val="0"/>
                <w:iCs w:val="0"/>
                <w:color w:val="auto"/>
                <w:kern w:val="0"/>
                <w:sz w:val="22"/>
                <w:szCs w:val="22"/>
                <w:u w:val="none"/>
                <w:lang w:val="en-US" w:eastAsia="zh-CN" w:bidi="ar"/>
              </w:rPr>
              <w:t>号）</w:t>
            </w:r>
          </w:p>
        </w:tc>
        <w:tc>
          <w:tcPr>
            <w:tcW w:w="23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实际完成数（在建+完工）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建筑面积数（万平方米)</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户数（户）</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楼栋数（栋）</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小区数（个）</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建筑面积数（万平方米)</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户数（户）</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楼栋数（栋）</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b/>
                <w:bCs/>
                <w:i w:val="0"/>
                <w:iCs w:val="0"/>
                <w:color w:val="auto"/>
                <w:kern w:val="0"/>
                <w:sz w:val="22"/>
                <w:szCs w:val="22"/>
                <w:u w:val="none"/>
                <w:lang w:val="en-US" w:eastAsia="zh-CN" w:bidi="ar"/>
              </w:rPr>
            </w:pPr>
            <w:r>
              <w:rPr>
                <w:rFonts w:hint="default" w:ascii="仿宋_GB2312" w:hAnsi="宋体" w:eastAsia="仿宋_GB2312" w:cs="仿宋_GB2312"/>
                <w:b/>
                <w:bCs/>
                <w:i w:val="0"/>
                <w:iCs w:val="0"/>
                <w:color w:val="auto"/>
                <w:kern w:val="0"/>
                <w:sz w:val="22"/>
                <w:szCs w:val="22"/>
                <w:u w:val="none"/>
                <w:lang w:val="en-US" w:eastAsia="zh-CN" w:bidi="ar"/>
              </w:rPr>
              <w:t>小区数（个）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841</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32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92301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9575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700</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1401</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82</w:t>
            </w:r>
            <w:r>
              <w:rPr>
                <w:rFonts w:hint="default"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154903</w:t>
            </w:r>
            <w:r>
              <w:rPr>
                <w:rFonts w:hint="default"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15504</w:t>
            </w:r>
            <w:r>
              <w:rPr>
                <w:rFonts w:hint="default"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1161</w:t>
            </w:r>
            <w:r>
              <w:rPr>
                <w:rFonts w:hint="default"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汕头市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166</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88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19136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538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75</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284</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28</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32562</w:t>
            </w:r>
            <w:r>
              <w:rPr>
                <w:rFonts w:hint="eastAsia"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926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124</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韶关市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60</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6413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454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78</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111</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11826</w:t>
            </w:r>
            <w:r>
              <w:rPr>
                <w:rFonts w:hint="eastAsia"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844</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159</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河源市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55</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4714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581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81</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50</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7169</w:t>
            </w:r>
            <w:r>
              <w:rPr>
                <w:rFonts w:hint="eastAsia"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793</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47</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梅州市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68</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19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7029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478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104</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139</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60</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14162</w:t>
            </w:r>
            <w:r>
              <w:rPr>
                <w:rFonts w:hint="eastAsia"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999</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206</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惠州市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21</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87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3594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541</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21</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87</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3594</w:t>
            </w:r>
            <w:r>
              <w:rPr>
                <w:rFonts w:hint="eastAsia"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541</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汕尾市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24</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1963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629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16</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24</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1963</w:t>
            </w:r>
            <w:r>
              <w:rPr>
                <w:rFonts w:hint="eastAsia" w:ascii="仿宋_GB2312" w:hAnsi="宋体" w:eastAsia="仿宋_GB2312" w:cs="仿宋_GB2312"/>
                <w:i w:val="0"/>
                <w:iCs w:val="0"/>
                <w:color w:val="auto"/>
                <w:kern w:val="0"/>
                <w:sz w:val="22"/>
                <w:szCs w:val="22"/>
                <w:highlight w:val="none"/>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629</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16</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江门市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126</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85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14966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844</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19</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227</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27</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26571</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1299</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29</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阳江市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78</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53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5685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3142</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35</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107</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7600</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4470</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51</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湛江市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37</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5164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220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104</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68</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74</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8872</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548</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119</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茂名市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113</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14063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1499</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230</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79</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28757</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3136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239</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肇庆市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41</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3887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216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59</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48</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31</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4464</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256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80</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清远市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42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442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46</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28</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637</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潮州市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42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1821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25</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21</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2836</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138</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揭阳市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1079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55</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08</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1079</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55</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w:t>
            </w:r>
            <w:r>
              <w:rPr>
                <w:rFonts w:hint="eastAsia" w:ascii="仿宋_GB2312" w:hAnsi="宋体" w:eastAsia="仿宋_GB2312" w:cs="仿宋_GB2312"/>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iCs w:val="0"/>
                <w:color w:val="auto"/>
                <w:kern w:val="0"/>
                <w:sz w:val="22"/>
                <w:szCs w:val="22"/>
                <w:u w:val="none"/>
                <w:lang w:val="en-US" w:eastAsia="zh-CN" w:bidi="ar"/>
              </w:rPr>
              <w:t>云浮市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19</w:t>
            </w:r>
            <w:r>
              <w:rPr>
                <w:rFonts w:hint="default"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2345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247</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21</w:t>
            </w:r>
            <w:r>
              <w:rPr>
                <w:rFonts w:hint="eastAsia" w:ascii="仿宋_GB2312" w:hAnsi="宋体"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31</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2811</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814</w:t>
            </w:r>
            <w:r>
              <w:rPr>
                <w:rFonts w:hint="eastAsia" w:ascii="仿宋_GB2312" w:hAnsi="宋体" w:eastAsia="仿宋_GB2312" w:cs="仿宋_GB2312"/>
                <w:i w:val="0"/>
                <w:iCs w:val="0"/>
                <w:color w:val="auto"/>
                <w:kern w:val="0"/>
                <w:sz w:val="22"/>
                <w:szCs w:val="22"/>
                <w:u w:val="none"/>
                <w:lang w:val="en-US" w:eastAsia="zh-CN" w:bidi="ar"/>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仿宋_GB2312" w:hAnsi="宋体" w:eastAsia="仿宋_GB2312" w:cs="仿宋_GB2312"/>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15</w:t>
            </w:r>
            <w:r>
              <w:rPr>
                <w:rFonts w:hint="eastAsia" w:ascii="仿宋_GB2312" w:hAnsi="宋体" w:eastAsia="仿宋_GB2312" w:cs="仿宋_GB2312"/>
                <w:i w:val="0"/>
                <w:iCs w:val="0"/>
                <w:color w:val="auto"/>
                <w:kern w:val="0"/>
                <w:sz w:val="22"/>
                <w:szCs w:val="22"/>
                <w:u w:val="none"/>
                <w:lang w:val="en-US" w:eastAsia="zh-CN" w:bidi="ar"/>
              </w:rPr>
              <w:t xml:space="preserve"> </w:t>
            </w:r>
          </w:p>
        </w:tc>
      </w:tr>
    </w:tbl>
    <w:p>
      <w:pPr>
        <w:pStyle w:val="10"/>
        <w:rPr>
          <w:rFonts w:hint="eastAsia" w:ascii="仿宋_GB2312" w:hAnsi="Times New Roman" w:eastAsia="仿宋_GB2312" w:cs="Times New Roman"/>
          <w:color w:val="auto"/>
          <w:kern w:val="0"/>
          <w:sz w:val="32"/>
          <w:szCs w:val="20"/>
          <w:highlight w:val="none"/>
          <w:lang w:val="en-US" w:eastAsia="zh-CN" w:bidi="ar-SA"/>
        </w:rPr>
        <w:sectPr>
          <w:pgSz w:w="16838" w:h="11906" w:orient="landscape"/>
          <w:pgMar w:top="1531" w:right="2041" w:bottom="1417" w:left="1417" w:header="851" w:footer="992" w:gutter="0"/>
          <w:pgNumType w:fmt="numberInDash"/>
          <w:cols w:space="425" w:num="1"/>
          <w:docGrid w:type="lines" w:linePitch="312" w:charSpace="0"/>
        </w:sectPr>
      </w:pPr>
    </w:p>
    <w:p>
      <w:pPr>
        <w:ind w:firstLine="640" w:firstLineChars="200"/>
        <w:rPr>
          <w:rFonts w:hint="default"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仿宋_GB2312"/>
          <w:b w:val="0"/>
          <w:bCs w:val="0"/>
          <w:color w:val="auto"/>
          <w:sz w:val="32"/>
          <w:szCs w:val="32"/>
          <w:highlight w:val="none"/>
          <w:lang w:val="en-US" w:eastAsia="zh-CN"/>
        </w:rPr>
        <w:t>）质量指标。</w:t>
      </w:r>
      <w:r>
        <w:rPr>
          <w:rFonts w:hint="eastAsia" w:ascii="仿宋_GB2312" w:hAnsi="Times New Roman" w:eastAsia="仿宋_GB2312" w:cs="Times New Roman"/>
          <w:color w:val="auto"/>
          <w:kern w:val="0"/>
          <w:sz w:val="32"/>
          <w:szCs w:val="20"/>
          <w:highlight w:val="none"/>
          <w:lang w:val="en-US" w:eastAsia="zh-CN" w:bidi="ar-SA"/>
        </w:rPr>
        <w:t>有关市县</w:t>
      </w:r>
      <w:r>
        <w:rPr>
          <w:rFonts w:hint="default" w:ascii="Times New Roman" w:hAnsi="Times New Roman" w:eastAsia="仿宋_GB2312" w:cs="Times New Roman"/>
          <w:color w:val="auto"/>
          <w:kern w:val="0"/>
          <w:sz w:val="32"/>
          <w:szCs w:val="20"/>
          <w:highlight w:val="none"/>
          <w:lang w:val="en-US" w:eastAsia="zh-CN" w:bidi="ar-SA"/>
        </w:rPr>
        <w:t>2024</w:t>
      </w:r>
      <w:r>
        <w:rPr>
          <w:rFonts w:hint="eastAsia" w:ascii="仿宋_GB2312" w:hAnsi="Times New Roman" w:eastAsia="仿宋_GB2312" w:cs="Times New Roman"/>
          <w:color w:val="auto"/>
          <w:kern w:val="0"/>
          <w:sz w:val="32"/>
          <w:szCs w:val="20"/>
          <w:highlight w:val="none"/>
          <w:lang w:val="en-US" w:eastAsia="zh-CN" w:bidi="ar-SA"/>
        </w:rPr>
        <w:t>年城镇老旧小区改造项目实施单位严格执行</w:t>
      </w:r>
      <w:r>
        <w:rPr>
          <w:rFonts w:hint="eastAsia" w:ascii="仿宋_GB2312" w:hAnsi="仿宋" w:eastAsia="仿宋_GB2312"/>
          <w:b w:val="0"/>
          <w:bCs w:val="0"/>
          <w:color w:val="auto"/>
          <w:kern w:val="2"/>
          <w:sz w:val="32"/>
          <w:highlight w:val="none"/>
          <w:lang w:val="en-US" w:eastAsia="zh-CN"/>
        </w:rPr>
        <w:t>《广东省住房和城乡建设厅关于印发</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广东省城镇老旧小区改造工作指引（</w:t>
      </w:r>
      <w:r>
        <w:rPr>
          <w:rFonts w:hint="default" w:ascii="Times New Roman" w:hAnsi="Times New Roman" w:eastAsia="仿宋_GB2312" w:cs="Times New Roman"/>
          <w:b w:val="0"/>
          <w:bCs w:val="0"/>
          <w:color w:val="auto"/>
          <w:kern w:val="2"/>
          <w:sz w:val="32"/>
          <w:highlight w:val="none"/>
          <w:lang w:val="en-US" w:eastAsia="zh-CN"/>
        </w:rPr>
        <w:t>2022</w:t>
      </w:r>
      <w:r>
        <w:rPr>
          <w:rFonts w:hint="eastAsia" w:ascii="仿宋_GB2312" w:hAnsi="仿宋" w:eastAsia="仿宋_GB2312"/>
          <w:b w:val="0"/>
          <w:bCs w:val="0"/>
          <w:color w:val="auto"/>
          <w:kern w:val="2"/>
          <w:sz w:val="32"/>
          <w:highlight w:val="none"/>
          <w:lang w:val="en-US" w:eastAsia="zh-CN"/>
        </w:rPr>
        <w:t>版）</w:t>
      </w:r>
      <w:r>
        <w:rPr>
          <w:rFonts w:hint="eastAsia" w:ascii="仿宋_GB2312" w:hAnsi="仿宋" w:eastAsia="仿宋_GB2312" w:cs="Times New Roman"/>
          <w:color w:val="auto"/>
          <w:kern w:val="0"/>
          <w:sz w:val="32"/>
          <w:szCs w:val="32"/>
          <w:highlight w:val="none"/>
          <w:lang w:val="en-US" w:eastAsia="zh-CN" w:bidi="ar-SA"/>
        </w:rPr>
        <w:t>〉</w:t>
      </w:r>
      <w:r>
        <w:rPr>
          <w:rFonts w:hint="eastAsia" w:ascii="仿宋_GB2312" w:hAnsi="仿宋" w:eastAsia="仿宋_GB2312"/>
          <w:b w:val="0"/>
          <w:bCs w:val="0"/>
          <w:color w:val="auto"/>
          <w:kern w:val="2"/>
          <w:sz w:val="32"/>
          <w:highlight w:val="none"/>
          <w:lang w:val="en-US" w:eastAsia="zh-CN"/>
        </w:rPr>
        <w:t>的通知》</w:t>
      </w:r>
      <w:r>
        <w:rPr>
          <w:rFonts w:hint="eastAsia" w:ascii="仿宋_GB2312" w:hAnsi="Times New Roman" w:eastAsia="仿宋_GB2312" w:cs="Times New Roman"/>
          <w:color w:val="auto"/>
          <w:kern w:val="0"/>
          <w:sz w:val="32"/>
          <w:szCs w:val="20"/>
          <w:highlight w:val="none"/>
          <w:lang w:val="en-US" w:eastAsia="zh-CN" w:bidi="ar-SA"/>
        </w:rPr>
        <w:t>《广东省城镇老旧小区改造技术导则（试行）》《广东省建设工程质量管理条例》《广东省建设项目安全设施监督管理办法》等规定，结合本地城镇老旧小区改造项目实际，制定并落实有针对性的规章制度，完善城镇老旧小区改造质量安全事中事后监管机制。制定城镇老旧小区改造质量通病防治导则并强化运用，压实建设单位、设计单位、施工单位、监理单位等参建单位质量安全责任。严把工程质量关，项目工程质量符合规定。住房城乡建设、监察等部门在日常监管中未发现存在工程质量问题；也未发现经群众信访投诉、审计发现、媒体曝光等城镇老旧小区改造项目存在工程质量安全问题。完善质量安全管理机制、一次性验收通过率均为</w:t>
      </w:r>
      <w:r>
        <w:rPr>
          <w:rFonts w:hint="default" w:ascii="Times New Roman" w:hAnsi="Times New Roman" w:eastAsia="仿宋_GB2312" w:cs="Times New Roman"/>
          <w:color w:val="auto"/>
          <w:kern w:val="0"/>
          <w:sz w:val="32"/>
          <w:szCs w:val="20"/>
          <w:highlight w:val="none"/>
          <w:lang w:val="en-US" w:eastAsia="zh-CN" w:bidi="ar-SA"/>
        </w:rPr>
        <w:t>100</w:t>
      </w:r>
      <w:r>
        <w:rPr>
          <w:rFonts w:hint="eastAsia" w:ascii="仿宋_GB2312" w:hAnsi="Times New Roman" w:eastAsia="仿宋_GB2312" w:cs="Times New Roman"/>
          <w:color w:val="auto"/>
          <w:kern w:val="0"/>
          <w:sz w:val="32"/>
          <w:szCs w:val="20"/>
          <w:highlight w:val="none"/>
          <w:lang w:val="en-US" w:eastAsia="zh-CN" w:bidi="ar-SA"/>
        </w:rPr>
        <w:t>%。</w:t>
      </w:r>
    </w:p>
    <w:p>
      <w:pPr>
        <w:ind w:firstLine="640" w:firstLineChars="200"/>
        <w:rPr>
          <w:rFonts w:hint="eastAsia" w:ascii="仿宋_GB2312" w:hAnsi="Times New Roman" w:eastAsia="仿宋_GB2312" w:cs="Times New Roman"/>
          <w:color w:val="auto"/>
          <w:kern w:val="0"/>
          <w:sz w:val="32"/>
          <w:szCs w:val="20"/>
          <w:highlight w:val="none"/>
          <w:lang w:val="en-US" w:eastAsia="zh-CN" w:bidi="ar-SA"/>
        </w:rPr>
      </w:pPr>
      <w:r>
        <w:rPr>
          <w:rFonts w:hint="eastAsia" w:ascii="Times New Roman" w:hAnsi="Times New Roman" w:eastAsia="仿宋_GB2312" w:cs="仿宋_GB2312"/>
          <w:b w:val="0"/>
          <w:bCs w:val="0"/>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3</w:t>
      </w:r>
      <w:r>
        <w:rPr>
          <w:rFonts w:hint="eastAsia" w:ascii="Times New Roman" w:hAnsi="Times New Roman" w:eastAsia="仿宋_GB2312" w:cs="仿宋_GB2312"/>
          <w:b w:val="0"/>
          <w:bCs w:val="0"/>
          <w:color w:val="auto"/>
          <w:sz w:val="32"/>
          <w:szCs w:val="32"/>
          <w:highlight w:val="none"/>
          <w:lang w:val="en-US" w:eastAsia="zh-CN"/>
        </w:rPr>
        <w:t>）时效指标。</w:t>
      </w:r>
      <w:r>
        <w:rPr>
          <w:rFonts w:hint="eastAsia" w:ascii="仿宋_GB2312" w:hAnsi="Times New Roman" w:eastAsia="仿宋_GB2312" w:cs="Times New Roman"/>
          <w:color w:val="auto"/>
          <w:kern w:val="0"/>
          <w:sz w:val="32"/>
          <w:szCs w:val="20"/>
          <w:highlight w:val="none"/>
          <w:lang w:val="en-US" w:eastAsia="zh-CN" w:bidi="ar-SA"/>
        </w:rPr>
        <w:t>开工目标按时完成率、项目计划执行率均为</w:t>
      </w:r>
      <w:r>
        <w:rPr>
          <w:rFonts w:hint="default" w:ascii="Times New Roman" w:hAnsi="Times New Roman" w:eastAsia="仿宋_GB2312" w:cs="Times New Roman"/>
          <w:color w:val="auto"/>
          <w:kern w:val="0"/>
          <w:sz w:val="32"/>
          <w:szCs w:val="20"/>
          <w:highlight w:val="none"/>
          <w:lang w:val="en-US" w:eastAsia="zh-CN" w:bidi="ar-SA"/>
        </w:rPr>
        <w:t>100</w:t>
      </w:r>
      <w:r>
        <w:rPr>
          <w:rFonts w:hint="eastAsia" w:ascii="仿宋_GB2312" w:hAnsi="Times New Roman" w:eastAsia="仿宋_GB2312" w:cs="Times New Roman"/>
          <w:color w:val="auto"/>
          <w:kern w:val="0"/>
          <w:sz w:val="32"/>
          <w:szCs w:val="20"/>
          <w:highlight w:val="none"/>
          <w:lang w:val="en-US" w:eastAsia="zh-CN" w:bidi="ar-SA"/>
        </w:rPr>
        <w:t>%，完成进度达到预期目标。（详见表</w:t>
      </w:r>
      <w:r>
        <w:rPr>
          <w:rFonts w:hint="default" w:ascii="Times New Roman" w:hAnsi="Times New Roman" w:eastAsia="仿宋_GB2312" w:cs="Times New Roman"/>
          <w:color w:val="auto"/>
          <w:kern w:val="0"/>
          <w:sz w:val="32"/>
          <w:szCs w:val="20"/>
          <w:highlight w:val="none"/>
          <w:lang w:val="en-US" w:eastAsia="zh-CN" w:bidi="ar-SA"/>
        </w:rPr>
        <w:t>2</w:t>
      </w:r>
      <w:r>
        <w:rPr>
          <w:rFonts w:hint="eastAsia" w:ascii="仿宋_GB2312" w:hAnsi="Times New Roman" w:eastAsia="仿宋_GB2312" w:cs="Times New Roman"/>
          <w:color w:val="auto"/>
          <w:kern w:val="0"/>
          <w:sz w:val="32"/>
          <w:szCs w:val="20"/>
          <w:highlight w:val="none"/>
          <w:lang w:val="en-US" w:eastAsia="zh-CN" w:bidi="ar-SA"/>
        </w:rPr>
        <w:t>-</w:t>
      </w:r>
      <w:r>
        <w:rPr>
          <w:rFonts w:hint="default" w:ascii="Times New Roman" w:hAnsi="Times New Roman" w:eastAsia="仿宋_GB2312" w:cs="Times New Roman"/>
          <w:color w:val="auto"/>
          <w:kern w:val="0"/>
          <w:sz w:val="32"/>
          <w:szCs w:val="20"/>
          <w:highlight w:val="none"/>
          <w:lang w:val="en-US" w:eastAsia="zh-CN" w:bidi="ar-SA"/>
        </w:rPr>
        <w:t>3</w:t>
      </w:r>
      <w:r>
        <w:rPr>
          <w:rFonts w:hint="eastAsia" w:ascii="仿宋_GB2312" w:hAnsi="Times New Roman" w:eastAsia="仿宋_GB2312" w:cs="Times New Roman"/>
          <w:color w:val="auto"/>
          <w:kern w:val="0"/>
          <w:sz w:val="32"/>
          <w:szCs w:val="20"/>
          <w:highlight w:val="none"/>
          <w:lang w:val="en-US" w:eastAsia="zh-CN" w:bidi="ar-SA"/>
        </w:rPr>
        <w:t>）</w:t>
      </w:r>
    </w:p>
    <w:p>
      <w:pPr>
        <w:pStyle w:val="2"/>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）成本指标（成本控制≦</w:t>
      </w:r>
      <w:r>
        <w:rPr>
          <w:rFonts w:hint="default" w:ascii="Times New Roman" w:hAnsi="Times New Roman" w:eastAsia="仿宋_GB2312" w:cs="Times New Roman"/>
          <w:color w:val="auto"/>
          <w:kern w:val="2"/>
          <w:sz w:val="32"/>
          <w:szCs w:val="32"/>
          <w:highlight w:val="none"/>
          <w:lang w:val="en-US" w:eastAsia="zh-CN" w:bidi="ar-SA"/>
        </w:rPr>
        <w:t>100</w:t>
      </w:r>
      <w:r>
        <w:rPr>
          <w:rFonts w:hint="eastAsia" w:ascii="Times New Roman" w:hAnsi="Times New Roman" w:eastAsia="仿宋_GB2312" w:cs="Times New Roman"/>
          <w:color w:val="auto"/>
          <w:kern w:val="2"/>
          <w:sz w:val="32"/>
          <w:szCs w:val="32"/>
          <w:highlight w:val="none"/>
          <w:lang w:val="en-US" w:eastAsia="zh-CN" w:bidi="ar-SA"/>
        </w:rPr>
        <w:t>%）。</w:t>
      </w:r>
    </w:p>
    <w:p>
      <w:pPr>
        <w:pStyle w:val="2"/>
        <w:ind w:left="0" w:leftChars="0" w:firstLine="640" w:firstLineChars="200"/>
        <w:rPr>
          <w:rFonts w:hint="eastAsia" w:ascii="仿宋_GB2312" w:hAnsi="仿宋" w:eastAsia="仿宋_GB2312"/>
          <w:color w:val="auto"/>
          <w:sz w:val="32"/>
          <w:highlight w:val="none"/>
        </w:rPr>
      </w:pPr>
      <w:r>
        <w:rPr>
          <w:rFonts w:hint="eastAsia" w:ascii="Times New Roman" w:hAnsi="Times New Roman" w:cs="Times New Roman"/>
          <w:color w:val="auto"/>
          <w:kern w:val="2"/>
          <w:sz w:val="32"/>
          <w:szCs w:val="32"/>
          <w:highlight w:val="none"/>
          <w:lang w:val="en-US" w:eastAsia="zh-CN" w:bidi="ar-SA"/>
        </w:rPr>
        <w:t>各地</w:t>
      </w:r>
      <w:r>
        <w:rPr>
          <w:rFonts w:hint="default" w:ascii="Times New Roman" w:hAnsi="Times New Roman" w:cs="Times New Roman"/>
          <w:color w:val="auto"/>
          <w:kern w:val="2"/>
          <w:sz w:val="32"/>
          <w:szCs w:val="32"/>
          <w:highlight w:val="none"/>
          <w:lang w:val="en-US" w:eastAsia="zh-CN" w:bidi="ar-SA"/>
        </w:rPr>
        <w:t>2024</w:t>
      </w:r>
      <w:r>
        <w:rPr>
          <w:rFonts w:hint="eastAsia" w:ascii="Times New Roman" w:hAnsi="Times New Roman" w:cs="Times New Roman"/>
          <w:color w:val="auto"/>
          <w:kern w:val="2"/>
          <w:sz w:val="32"/>
          <w:szCs w:val="32"/>
          <w:highlight w:val="none"/>
          <w:lang w:val="en-US" w:eastAsia="zh-CN" w:bidi="ar-SA"/>
        </w:rPr>
        <w:t>年</w:t>
      </w:r>
      <w:r>
        <w:rPr>
          <w:rFonts w:hint="eastAsia" w:ascii="仿宋_GB2312" w:hAnsi="Times New Roman" w:eastAsia="仿宋_GB2312" w:cs="Times New Roman"/>
          <w:color w:val="auto"/>
          <w:kern w:val="0"/>
          <w:sz w:val="32"/>
          <w:szCs w:val="20"/>
          <w:highlight w:val="none"/>
          <w:lang w:val="en-US" w:eastAsia="zh-CN" w:bidi="ar-SA"/>
        </w:rPr>
        <w:t>城镇老旧小区改造</w:t>
      </w:r>
      <w:r>
        <w:rPr>
          <w:rFonts w:hint="eastAsia" w:ascii="仿宋_GB2312" w:hAnsi="仿宋" w:eastAsia="仿宋_GB2312"/>
          <w:color w:val="auto"/>
          <w:sz w:val="32"/>
          <w:highlight w:val="none"/>
        </w:rPr>
        <w:t>基本按定额编制预算，</w:t>
      </w:r>
      <w:r>
        <w:rPr>
          <w:rFonts w:hint="eastAsia" w:ascii="仿宋_GB2312" w:hAnsi="仿宋" w:eastAsia="仿宋_GB2312"/>
          <w:color w:val="auto"/>
          <w:sz w:val="32"/>
          <w:highlight w:val="none"/>
          <w:lang w:eastAsia="zh-CN"/>
        </w:rPr>
        <w:t>以此</w:t>
      </w:r>
      <w:r>
        <w:rPr>
          <w:rFonts w:hint="eastAsia" w:ascii="仿宋_GB2312" w:hAnsi="仿宋" w:eastAsia="仿宋_GB2312"/>
          <w:color w:val="auto"/>
          <w:sz w:val="32"/>
          <w:highlight w:val="none"/>
        </w:rPr>
        <w:t>作为合同造价。工程竣工验收后，由施工单位编制决算，主管部门审核后报本级财政局（投资审核中心）审核，按审核结果结算工程款。项目的实施成本基本在合理范围。根据自评材料核查，与同类项目或市场价格比较，有关县（市、区）</w:t>
      </w:r>
      <w:r>
        <w:rPr>
          <w:rFonts w:hint="eastAsia" w:ascii="仿宋_GB2312" w:hAnsi="Times New Roman" w:eastAsia="仿宋_GB2312" w:cs="Times New Roman"/>
          <w:color w:val="auto"/>
          <w:kern w:val="0"/>
          <w:sz w:val="32"/>
          <w:szCs w:val="20"/>
          <w:highlight w:val="none"/>
          <w:lang w:val="en-US" w:eastAsia="zh-CN" w:bidi="ar-SA"/>
        </w:rPr>
        <w:t>城镇老旧小区改造</w:t>
      </w:r>
      <w:r>
        <w:rPr>
          <w:rFonts w:hint="eastAsia" w:ascii="仿宋_GB2312" w:hAnsi="仿宋" w:eastAsia="仿宋_GB2312"/>
          <w:color w:val="auto"/>
          <w:sz w:val="32"/>
          <w:highlight w:val="none"/>
        </w:rPr>
        <w:t>项目实施成本（包括工程造价、勘测设计费用、物品采购单价等）基本上在合理范围，未发现造价明显高于市场价格的情况。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2" w:firstLineChars="200"/>
        <w:textAlignment w:val="auto"/>
        <w:outlineLvl w:val="2"/>
        <w:rPr>
          <w:rFonts w:hint="default" w:ascii="Times New Roman" w:hAnsi="Times New Roman" w:eastAsia="仿宋_GB2312" w:cs="Times New Roman"/>
          <w:b/>
          <w:bCs/>
          <w:color w:val="auto"/>
          <w:kern w:val="0"/>
          <w:sz w:val="32"/>
          <w:szCs w:val="32"/>
          <w:highlight w:val="none"/>
          <w:lang w:val="en-US" w:eastAsia="zh-CN"/>
        </w:rPr>
      </w:pPr>
      <w:bookmarkStart w:id="32" w:name="_Toc9246"/>
      <w:bookmarkStart w:id="33" w:name="_Toc28141"/>
      <w:r>
        <w:rPr>
          <w:rFonts w:hint="default" w:ascii="Times New Roman" w:hAnsi="Times New Roman" w:eastAsia="仿宋_GB2312" w:cs="Times New Roman"/>
          <w:b/>
          <w:bCs/>
          <w:color w:val="auto"/>
          <w:kern w:val="0"/>
          <w:sz w:val="32"/>
          <w:szCs w:val="32"/>
          <w:highlight w:val="none"/>
          <w:lang w:val="en-US" w:eastAsia="zh-CN"/>
        </w:rPr>
        <w:t>3</w:t>
      </w:r>
      <w:r>
        <w:rPr>
          <w:rFonts w:hint="eastAsia" w:ascii="Times New Roman" w:hAnsi="Times New Roman" w:eastAsia="仿宋_GB2312" w:cs="Times New Roman"/>
          <w:b/>
          <w:bCs/>
          <w:color w:val="auto"/>
          <w:kern w:val="0"/>
          <w:sz w:val="32"/>
          <w:szCs w:val="32"/>
          <w:highlight w:val="none"/>
          <w:lang w:val="en-US" w:eastAsia="zh-CN"/>
        </w:rPr>
        <w:t>.</w:t>
      </w:r>
      <w:bookmarkEnd w:id="32"/>
      <w:r>
        <w:rPr>
          <w:rFonts w:hint="eastAsia" w:ascii="Times New Roman" w:hAnsi="Times New Roman" w:eastAsia="仿宋_GB2312" w:cs="Times New Roman"/>
          <w:b/>
          <w:bCs/>
          <w:color w:val="auto"/>
          <w:kern w:val="0"/>
          <w:sz w:val="32"/>
          <w:szCs w:val="32"/>
          <w:highlight w:val="none"/>
          <w:lang w:val="en-US" w:eastAsia="zh-CN"/>
        </w:rPr>
        <w:t>效益指标</w:t>
      </w:r>
      <w:bookmarkEnd w:id="33"/>
      <w:r>
        <w:rPr>
          <w:rFonts w:hint="eastAsia" w:ascii="Times New Roman" w:hAnsi="Times New Roman" w:eastAsia="仿宋_GB2312" w:cs="Times New Roman"/>
          <w:b/>
          <w:bCs/>
          <w:color w:val="auto"/>
          <w:kern w:val="0"/>
          <w:sz w:val="32"/>
          <w:szCs w:val="32"/>
          <w:highlight w:val="none"/>
          <w:lang w:val="en-US" w:eastAsia="zh-CN"/>
        </w:rPr>
        <w:t>。</w:t>
      </w:r>
    </w:p>
    <w:p>
      <w:pPr>
        <w:pStyle w:val="2"/>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bookmarkStart w:id="34" w:name="_Toc22043"/>
      <w:r>
        <w:rPr>
          <w:rFonts w:hint="eastAsia" w:ascii="Times New Roman" w:hAnsi="Times New Roman" w:eastAsia="仿宋_GB2312" w:cs="Times New Roman"/>
          <w:color w:val="auto"/>
          <w:kern w:val="2"/>
          <w:sz w:val="32"/>
          <w:szCs w:val="32"/>
          <w:highlight w:val="none"/>
          <w:lang w:val="en-US" w:eastAsia="zh-CN" w:bidi="ar-SA"/>
        </w:rPr>
        <w:t>该指标主要从社会效益、可持续影响</w:t>
      </w:r>
      <w:r>
        <w:rPr>
          <w:rFonts w:hint="eastAsia" w:ascii="Times New Roman" w:hAnsi="Times New Roman" w:cs="Times New Roman"/>
          <w:color w:val="auto"/>
          <w:kern w:val="2"/>
          <w:sz w:val="32"/>
          <w:szCs w:val="32"/>
          <w:highlight w:val="none"/>
          <w:lang w:val="en-US" w:eastAsia="zh-CN" w:bidi="ar-SA"/>
        </w:rPr>
        <w:t>和满意度指标</w:t>
      </w:r>
      <w:r>
        <w:rPr>
          <w:rFonts w:hint="eastAsia" w:ascii="Times New Roman" w:hAnsi="Times New Roman" w:eastAsia="仿宋_GB2312" w:cs="Times New Roman"/>
          <w:color w:val="auto"/>
          <w:kern w:val="2"/>
          <w:sz w:val="32"/>
          <w:szCs w:val="32"/>
          <w:highlight w:val="none"/>
          <w:lang w:val="en-US" w:eastAsia="zh-CN" w:bidi="ar-SA"/>
        </w:rPr>
        <w:t>三个方面进行考核。</w:t>
      </w:r>
    </w:p>
    <w:bookmarkEnd w:id="34"/>
    <w:p>
      <w:pPr>
        <w:spacing w:line="360" w:lineRule="auto"/>
        <w:ind w:firstLine="640" w:firstLineChars="200"/>
        <w:rPr>
          <w:rFonts w:hint="eastAsia" w:ascii="仿宋_GB2312" w:hAnsi="仿宋" w:eastAsia="仿宋_GB2312" w:cs="Times New Roman"/>
          <w:color w:val="auto"/>
          <w:kern w:val="2"/>
          <w:sz w:val="32"/>
          <w:szCs w:val="24"/>
          <w:highlight w:val="none"/>
          <w:lang w:val="en-US" w:eastAsia="zh-CN" w:bidi="ar-SA"/>
        </w:rPr>
      </w:pPr>
      <w:r>
        <w:rPr>
          <w:rFonts w:hint="eastAsia" w:ascii="仿宋_GB2312" w:hAnsi="仿宋" w:eastAsia="仿宋_GB2312" w:cs="Times New Roman"/>
          <w:color w:val="auto"/>
          <w:kern w:val="2"/>
          <w:sz w:val="32"/>
          <w:szCs w:val="24"/>
          <w:highlight w:val="none"/>
          <w:lang w:val="en-US" w:eastAsia="zh-CN" w:bidi="ar-SA"/>
        </w:rPr>
        <w:t>（</w:t>
      </w:r>
      <w:r>
        <w:rPr>
          <w:rFonts w:hint="default" w:ascii="Times New Roman" w:hAnsi="Times New Roman" w:eastAsia="仿宋_GB2312" w:cs="Times New Roman"/>
          <w:color w:val="auto"/>
          <w:kern w:val="2"/>
          <w:sz w:val="32"/>
          <w:szCs w:val="24"/>
          <w:highlight w:val="none"/>
          <w:lang w:val="en-US" w:eastAsia="zh-CN" w:bidi="ar-SA"/>
        </w:rPr>
        <w:t>1</w:t>
      </w:r>
      <w:r>
        <w:rPr>
          <w:rFonts w:hint="eastAsia" w:ascii="仿宋_GB2312" w:hAnsi="仿宋" w:eastAsia="仿宋_GB2312" w:cs="Times New Roman"/>
          <w:color w:val="auto"/>
          <w:kern w:val="2"/>
          <w:sz w:val="32"/>
          <w:szCs w:val="24"/>
          <w:highlight w:val="none"/>
          <w:lang w:val="en-US" w:eastAsia="zh-CN" w:bidi="ar-SA"/>
        </w:rPr>
        <w:t>）社会效益指标-群众居住条件改善（是/否）。</w:t>
      </w:r>
      <w:r>
        <w:rPr>
          <w:rFonts w:hint="eastAsia" w:ascii="仿宋_GB2312" w:hAnsi="仿宋" w:eastAsia="仿宋_GB2312" w:cs="Times New Roman"/>
          <w:b/>
          <w:bCs/>
          <w:color w:val="auto"/>
          <w:kern w:val="2"/>
          <w:sz w:val="32"/>
          <w:szCs w:val="24"/>
          <w:highlight w:val="none"/>
          <w:lang w:val="en-US" w:eastAsia="zh-CN" w:bidi="ar-SA"/>
        </w:rPr>
        <w:t>一是</w:t>
      </w:r>
      <w:r>
        <w:rPr>
          <w:rFonts w:hint="eastAsia" w:ascii="仿宋_GB2312" w:hAnsi="仿宋" w:eastAsia="仿宋_GB2312" w:cs="Times New Roman"/>
          <w:b w:val="0"/>
          <w:bCs w:val="0"/>
          <w:color w:val="auto"/>
          <w:kern w:val="2"/>
          <w:sz w:val="32"/>
          <w:szCs w:val="24"/>
          <w:highlight w:val="none"/>
          <w:lang w:val="en-US" w:eastAsia="zh-CN" w:bidi="ar-SA"/>
        </w:rPr>
        <w:t>对于在老旧管线等市政配套基础设施、小区内建筑物本体公共部位维修，以及公共区域无障碍设施、适老化改造、适儿化改造等方面存在短板的小区，有将相关设施短板纳入改造方案的小区达到</w:t>
      </w:r>
      <w:r>
        <w:rPr>
          <w:rFonts w:hint="default" w:ascii="Times New Roman" w:hAnsi="Times New Roman" w:eastAsia="仿宋_GB2312" w:cs="Times New Roman"/>
          <w:b w:val="0"/>
          <w:bCs w:val="0"/>
          <w:color w:val="auto"/>
          <w:kern w:val="2"/>
          <w:sz w:val="32"/>
          <w:szCs w:val="24"/>
          <w:highlight w:val="none"/>
          <w:lang w:val="en-US" w:eastAsia="zh-CN" w:bidi="ar-SA"/>
        </w:rPr>
        <w:t>1</w:t>
      </w:r>
      <w:r>
        <w:rPr>
          <w:rFonts w:hint="eastAsia" w:ascii="Times New Roman" w:hAnsi="Times New Roman" w:eastAsia="仿宋_GB2312" w:cs="Times New Roman"/>
          <w:b w:val="0"/>
          <w:bCs w:val="0"/>
          <w:color w:val="auto"/>
          <w:kern w:val="2"/>
          <w:sz w:val="32"/>
          <w:szCs w:val="24"/>
          <w:highlight w:val="none"/>
          <w:lang w:val="en-US" w:eastAsia="zh-CN" w:bidi="ar-SA"/>
        </w:rPr>
        <w:t>00</w:t>
      </w:r>
      <w:r>
        <w:rPr>
          <w:rFonts w:hint="eastAsia" w:ascii="仿宋_GB2312" w:hAnsi="仿宋" w:eastAsia="仿宋_GB2312" w:cs="Times New Roman"/>
          <w:b w:val="0"/>
          <w:bCs w:val="0"/>
          <w:color w:val="auto"/>
          <w:kern w:val="2"/>
          <w:sz w:val="32"/>
          <w:szCs w:val="24"/>
          <w:highlight w:val="none"/>
          <w:lang w:val="en-US" w:eastAsia="zh-CN" w:bidi="ar-SA"/>
        </w:rPr>
        <w:t>%，</w:t>
      </w:r>
      <w:r>
        <w:rPr>
          <w:rFonts w:hint="eastAsia" w:ascii="仿宋_GB2312" w:hAnsi="仿宋_GB2312" w:eastAsia="仿宋_GB2312" w:cs="仿宋_GB2312"/>
          <w:b w:val="0"/>
          <w:bCs w:val="0"/>
          <w:color w:val="auto"/>
          <w:kern w:val="2"/>
          <w:sz w:val="32"/>
          <w:szCs w:val="24"/>
          <w:highlight w:val="none"/>
          <w:lang w:val="en-US" w:eastAsia="zh-CN" w:bidi="ar-SA"/>
        </w:rPr>
        <w:t>高于</w:t>
      </w:r>
      <w:r>
        <w:rPr>
          <w:rFonts w:hint="default" w:ascii="Times New Roman" w:hAnsi="Times New Roman" w:eastAsia="仿宋_GB2312" w:cs="Times New Roman"/>
          <w:b w:val="0"/>
          <w:bCs w:val="0"/>
          <w:color w:val="auto"/>
          <w:kern w:val="2"/>
          <w:sz w:val="32"/>
          <w:szCs w:val="24"/>
          <w:highlight w:val="none"/>
          <w:lang w:val="en-US" w:eastAsia="zh-CN" w:bidi="ar-SA"/>
        </w:rPr>
        <w:t>70</w:t>
      </w:r>
      <w:r>
        <w:rPr>
          <w:rFonts w:hint="eastAsia" w:ascii="仿宋_GB2312" w:hAnsi="仿宋_GB2312" w:eastAsia="仿宋_GB2312" w:cs="仿宋_GB2312"/>
          <w:b w:val="0"/>
          <w:bCs w:val="0"/>
          <w:color w:val="auto"/>
          <w:kern w:val="2"/>
          <w:sz w:val="32"/>
          <w:szCs w:val="24"/>
          <w:highlight w:val="none"/>
          <w:lang w:val="en-US" w:eastAsia="zh-CN" w:bidi="ar-SA"/>
        </w:rPr>
        <w:t>%以上的标准。</w:t>
      </w:r>
      <w:r>
        <w:rPr>
          <w:rFonts w:hint="eastAsia" w:ascii="仿宋_GB2312" w:hAnsi="仿宋" w:eastAsia="仿宋_GB2312" w:cs="Times New Roman"/>
          <w:b/>
          <w:bCs/>
          <w:color w:val="auto"/>
          <w:kern w:val="2"/>
          <w:sz w:val="32"/>
          <w:szCs w:val="24"/>
          <w:highlight w:val="none"/>
          <w:lang w:val="en-US" w:eastAsia="zh-CN" w:bidi="ar-SA"/>
        </w:rPr>
        <w:t>二是</w:t>
      </w:r>
      <w:r>
        <w:rPr>
          <w:rFonts w:hint="eastAsia" w:ascii="仿宋_GB2312" w:hAnsi="仿宋" w:eastAsia="仿宋_GB2312" w:cs="Times New Roman"/>
          <w:b w:val="0"/>
          <w:bCs w:val="0"/>
          <w:color w:val="auto"/>
          <w:kern w:val="2"/>
          <w:sz w:val="32"/>
          <w:szCs w:val="24"/>
          <w:highlight w:val="none"/>
          <w:lang w:val="en-US" w:eastAsia="zh-CN" w:bidi="ar-SA"/>
        </w:rPr>
        <w:t>对于存在停车、加装电梯、充电、安防、照明、智能信包箱及快件箱等完善类短板的小区，有相关内容纳入改造方案的小区达到</w:t>
      </w:r>
      <w:r>
        <w:rPr>
          <w:rFonts w:hint="default" w:ascii="Times New Roman" w:hAnsi="Times New Roman" w:eastAsia="仿宋_GB2312" w:cs="Times New Roman"/>
          <w:b w:val="0"/>
          <w:bCs w:val="0"/>
          <w:color w:val="auto"/>
          <w:kern w:val="2"/>
          <w:sz w:val="32"/>
          <w:szCs w:val="24"/>
          <w:highlight w:val="none"/>
          <w:lang w:val="en-US" w:eastAsia="zh-CN" w:bidi="ar-SA"/>
        </w:rPr>
        <w:t>1</w:t>
      </w:r>
      <w:r>
        <w:rPr>
          <w:rFonts w:hint="eastAsia" w:ascii="Times New Roman" w:hAnsi="Times New Roman" w:eastAsia="仿宋_GB2312" w:cs="Times New Roman"/>
          <w:b w:val="0"/>
          <w:bCs w:val="0"/>
          <w:color w:val="auto"/>
          <w:kern w:val="2"/>
          <w:sz w:val="32"/>
          <w:szCs w:val="24"/>
          <w:highlight w:val="none"/>
          <w:lang w:val="en-US" w:eastAsia="zh-CN" w:bidi="ar-SA"/>
        </w:rPr>
        <w:t>00</w:t>
      </w:r>
      <w:r>
        <w:rPr>
          <w:rFonts w:hint="eastAsia" w:ascii="仿宋_GB2312" w:hAnsi="仿宋" w:eastAsia="仿宋_GB2312" w:cs="Times New Roman"/>
          <w:b w:val="0"/>
          <w:bCs w:val="0"/>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，高于</w:t>
      </w:r>
      <w:r>
        <w:rPr>
          <w:rFonts w:hint="default" w:ascii="Times New Roman" w:hAnsi="Times New Roman" w:eastAsia="仿宋_GB2312" w:cs="Times New Roman"/>
          <w:color w:val="auto"/>
          <w:kern w:val="2"/>
          <w:sz w:val="32"/>
          <w:szCs w:val="24"/>
          <w:highlight w:val="none"/>
          <w:lang w:val="en-US" w:eastAsia="zh-CN" w:bidi="ar-SA"/>
        </w:rPr>
        <w:t>70</w:t>
      </w:r>
      <w:r>
        <w:rPr>
          <w:rFonts w:hint="eastAsia" w:ascii="仿宋_GB2312" w:hAnsi="仿宋_GB2312" w:eastAsia="仿宋_GB2312" w:cs="仿宋_GB2312"/>
          <w:color w:val="auto"/>
          <w:kern w:val="2"/>
          <w:sz w:val="32"/>
          <w:szCs w:val="24"/>
          <w:highlight w:val="none"/>
          <w:lang w:val="en-US" w:eastAsia="zh-CN" w:bidi="ar-SA"/>
        </w:rPr>
        <w:t>%以上的标准。</w:t>
      </w:r>
      <w:r>
        <w:rPr>
          <w:rFonts w:hint="eastAsia" w:ascii="仿宋_GB2312" w:hAnsi="仿宋" w:eastAsia="仿宋_GB2312" w:cs="Times New Roman"/>
          <w:b/>
          <w:bCs/>
          <w:color w:val="auto"/>
          <w:kern w:val="2"/>
          <w:sz w:val="32"/>
          <w:szCs w:val="24"/>
          <w:highlight w:val="none"/>
          <w:lang w:val="en-US" w:eastAsia="zh-CN" w:bidi="ar-SA"/>
        </w:rPr>
        <w:t>三是</w:t>
      </w:r>
      <w:r>
        <w:rPr>
          <w:rFonts w:hint="eastAsia" w:ascii="仿宋_GB2312" w:hAnsi="仿宋" w:eastAsia="仿宋_GB2312" w:cs="Times New Roman"/>
          <w:color w:val="auto"/>
          <w:kern w:val="2"/>
          <w:sz w:val="32"/>
          <w:szCs w:val="24"/>
          <w:highlight w:val="none"/>
          <w:lang w:val="en-US" w:eastAsia="zh-CN" w:bidi="ar-SA"/>
        </w:rPr>
        <w:t>对存在养老、托育、助餐等提升类设施短板的小区，有相关设施短板纳入改造方案，拟在片区层面统筹实施的小区占</w:t>
      </w:r>
      <w:r>
        <w:rPr>
          <w:rFonts w:hint="default" w:ascii="Times New Roman" w:hAnsi="Times New Roman" w:eastAsia="仿宋_GB2312" w:cs="Times New Roman"/>
          <w:color w:val="auto"/>
          <w:kern w:val="2"/>
          <w:sz w:val="32"/>
          <w:szCs w:val="24"/>
          <w:highlight w:val="none"/>
          <w:lang w:val="en-US" w:eastAsia="zh-CN" w:bidi="ar-SA"/>
        </w:rPr>
        <w:t>48</w:t>
      </w:r>
      <w:r>
        <w:rPr>
          <w:rFonts w:hint="eastAsia" w:ascii="仿宋_GB2312" w:hAnsi="仿宋" w:eastAsia="仿宋_GB2312" w:cs="Times New Roman"/>
          <w:color w:val="auto"/>
          <w:kern w:val="2"/>
          <w:sz w:val="32"/>
          <w:szCs w:val="24"/>
          <w:highlight w:val="none"/>
          <w:lang w:val="en-US" w:eastAsia="zh-CN" w:bidi="ar-SA"/>
        </w:rPr>
        <w:t>.</w:t>
      </w:r>
      <w:r>
        <w:rPr>
          <w:rFonts w:hint="default" w:ascii="Times New Roman" w:hAnsi="Times New Roman" w:eastAsia="仿宋_GB2312" w:cs="Times New Roman"/>
          <w:color w:val="auto"/>
          <w:kern w:val="2"/>
          <w:sz w:val="32"/>
          <w:szCs w:val="24"/>
          <w:highlight w:val="none"/>
          <w:lang w:val="en-US" w:eastAsia="zh-CN" w:bidi="ar-SA"/>
        </w:rPr>
        <w:t>86</w:t>
      </w:r>
      <w:r>
        <w:rPr>
          <w:rFonts w:hint="eastAsia" w:ascii="仿宋_GB2312" w:hAnsi="仿宋_GB2312" w:eastAsia="仿宋_GB2312" w:cs="仿宋_GB2312"/>
          <w:color w:val="auto"/>
          <w:kern w:val="2"/>
          <w:sz w:val="32"/>
          <w:szCs w:val="24"/>
          <w:highlight w:val="none"/>
          <w:lang w:val="en-US" w:eastAsia="zh-CN" w:bidi="ar-SA"/>
        </w:rPr>
        <w:t>%，略低于</w:t>
      </w:r>
      <w:r>
        <w:rPr>
          <w:rFonts w:hint="default" w:ascii="Times New Roman" w:hAnsi="Times New Roman" w:eastAsia="仿宋_GB2312" w:cs="Times New Roman"/>
          <w:color w:val="auto"/>
          <w:kern w:val="2"/>
          <w:sz w:val="32"/>
          <w:szCs w:val="24"/>
          <w:highlight w:val="none"/>
          <w:lang w:val="en-US" w:eastAsia="zh-CN" w:bidi="ar-SA"/>
        </w:rPr>
        <w:t>50</w:t>
      </w:r>
      <w:r>
        <w:rPr>
          <w:rFonts w:hint="eastAsia" w:ascii="仿宋_GB2312" w:hAnsi="仿宋_GB2312" w:eastAsia="仿宋_GB2312" w:cs="仿宋_GB2312"/>
          <w:color w:val="auto"/>
          <w:kern w:val="2"/>
          <w:sz w:val="32"/>
          <w:szCs w:val="24"/>
          <w:highlight w:val="none"/>
          <w:lang w:val="en-US" w:eastAsia="zh-CN" w:bidi="ar-SA"/>
        </w:rPr>
        <w:t>%以上的标准。</w:t>
      </w:r>
      <w:r>
        <w:rPr>
          <w:rFonts w:hint="eastAsia" w:ascii="仿宋_GB2312" w:hAnsi="仿宋" w:eastAsia="仿宋_GB2312" w:cs="Times New Roman"/>
          <w:b/>
          <w:bCs/>
          <w:color w:val="auto"/>
          <w:kern w:val="2"/>
          <w:sz w:val="32"/>
          <w:szCs w:val="24"/>
          <w:highlight w:val="none"/>
          <w:lang w:val="en-US" w:eastAsia="zh-CN" w:bidi="ar-SA"/>
        </w:rPr>
        <w:t>四是</w:t>
      </w:r>
      <w:r>
        <w:rPr>
          <w:rFonts w:hint="eastAsia" w:ascii="仿宋_GB2312" w:hAnsi="仿宋" w:eastAsia="仿宋_GB2312" w:cs="Times New Roman"/>
          <w:color w:val="auto"/>
          <w:kern w:val="2"/>
          <w:sz w:val="32"/>
          <w:szCs w:val="24"/>
          <w:highlight w:val="none"/>
          <w:lang w:val="en-US" w:eastAsia="zh-CN" w:bidi="ar-SA"/>
        </w:rPr>
        <w:t>与相邻小区及周边地区联动、连片实施改造小区占年度计划改造小区比例</w:t>
      </w:r>
      <w:r>
        <w:rPr>
          <w:rFonts w:hint="eastAsia" w:ascii="仿宋_GB2312" w:hAnsi="仿宋" w:eastAsia="仿宋_GB2312" w:cs="Times New Roman"/>
          <w:b w:val="0"/>
          <w:bCs w:val="0"/>
          <w:color w:val="auto"/>
          <w:kern w:val="2"/>
          <w:sz w:val="32"/>
          <w:szCs w:val="24"/>
          <w:highlight w:val="none"/>
          <w:lang w:val="en-US" w:eastAsia="zh-CN" w:bidi="ar-SA"/>
        </w:rPr>
        <w:t>达到</w:t>
      </w:r>
      <w:r>
        <w:rPr>
          <w:rFonts w:hint="default" w:ascii="Times New Roman" w:hAnsi="Times New Roman" w:eastAsia="仿宋_GB2312" w:cs="Times New Roman"/>
          <w:color w:val="auto"/>
          <w:kern w:val="2"/>
          <w:sz w:val="32"/>
          <w:szCs w:val="24"/>
          <w:highlight w:val="none"/>
          <w:lang w:val="en-US" w:eastAsia="zh-CN" w:bidi="ar-SA"/>
        </w:rPr>
        <w:t>10</w:t>
      </w:r>
      <w:r>
        <w:rPr>
          <w:rFonts w:hint="eastAsia" w:ascii="Times New Roman" w:hAnsi="Times New Roman" w:eastAsia="仿宋_GB2312" w:cs="Times New Roman"/>
          <w:color w:val="auto"/>
          <w:kern w:val="2"/>
          <w:sz w:val="32"/>
          <w:szCs w:val="24"/>
          <w:highlight w:val="none"/>
          <w:lang w:val="en-US" w:eastAsia="zh-CN" w:bidi="ar-SA"/>
        </w:rPr>
        <w:t>0</w:t>
      </w:r>
      <w:r>
        <w:rPr>
          <w:rFonts w:hint="eastAsia" w:ascii="仿宋_GB2312" w:hAnsi="仿宋" w:eastAsia="仿宋_GB2312" w:cs="Times New Roman"/>
          <w:color w:val="auto"/>
          <w:kern w:val="2"/>
          <w:sz w:val="32"/>
          <w:szCs w:val="24"/>
          <w:highlight w:val="none"/>
          <w:lang w:val="en-US" w:eastAsia="zh-CN" w:bidi="ar-SA"/>
        </w:rPr>
        <w:t>%，高于</w:t>
      </w:r>
      <w:r>
        <w:rPr>
          <w:rFonts w:hint="default" w:ascii="Times New Roman" w:hAnsi="Times New Roman" w:eastAsia="仿宋_GB2312" w:cs="Times New Roman"/>
          <w:color w:val="auto"/>
          <w:kern w:val="2"/>
          <w:sz w:val="32"/>
          <w:szCs w:val="24"/>
          <w:highlight w:val="none"/>
          <w:lang w:val="en-US" w:eastAsia="zh-CN" w:bidi="ar-SA"/>
        </w:rPr>
        <w:t>50</w:t>
      </w:r>
      <w:r>
        <w:rPr>
          <w:rFonts w:hint="eastAsia" w:ascii="仿宋_GB2312" w:hAnsi="仿宋" w:eastAsia="仿宋_GB2312" w:cs="Times New Roman"/>
          <w:color w:val="auto"/>
          <w:kern w:val="2"/>
          <w:sz w:val="32"/>
          <w:szCs w:val="24"/>
          <w:highlight w:val="none"/>
          <w:lang w:val="en-US" w:eastAsia="zh-CN" w:bidi="ar-SA"/>
        </w:rPr>
        <w:t>%以上的标准。</w:t>
      </w:r>
    </w:p>
    <w:p>
      <w:pPr>
        <w:numPr>
          <w:ilvl w:val="0"/>
          <w:numId w:val="0"/>
        </w:numPr>
        <w:ind w:firstLine="640" w:firstLineChars="200"/>
        <w:rPr>
          <w:rFonts w:hint="default" w:ascii="Times New Roman" w:hAnsi="Times New Roman"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）可持续影响指标-长效管理机制（</w:t>
      </w:r>
      <w:r>
        <w:rPr>
          <w:rFonts w:hint="default" w:ascii="Times New Roman" w:hAnsi="Times New Roman" w:eastAsia="仿宋_GB2312" w:cs="Times New Roman"/>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将改造后水电气信等专营设施设备产权依照法定程序移交给专业经营单位，由其负责维护管理的小区，占年度计划改造小区比例的</w:t>
      </w:r>
      <w:r>
        <w:rPr>
          <w:rFonts w:hint="default" w:ascii="Times New Roman" w:hAnsi="Times New Roman" w:eastAsia="仿宋_GB2312" w:cs="Times New Roman"/>
          <w:b w:val="0"/>
          <w:bCs w:val="0"/>
          <w:color w:val="auto"/>
          <w:sz w:val="32"/>
          <w:szCs w:val="32"/>
          <w:highlight w:val="none"/>
          <w:lang w:val="en-US" w:eastAsia="zh-CN"/>
        </w:rPr>
        <w:t>94</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29</w:t>
      </w:r>
      <w:r>
        <w:rPr>
          <w:rFonts w:hint="eastAsia" w:ascii="仿宋_GB2312" w:hAnsi="仿宋_GB2312" w:eastAsia="仿宋_GB2312" w:cs="仿宋_GB2312"/>
          <w:color w:val="auto"/>
          <w:kern w:val="2"/>
          <w:sz w:val="32"/>
          <w:szCs w:val="24"/>
          <w:highlight w:val="none"/>
          <w:lang w:val="en-US" w:eastAsia="zh-CN" w:bidi="ar-SA"/>
        </w:rPr>
        <w:t>%，高于</w:t>
      </w:r>
      <w:r>
        <w:rPr>
          <w:rFonts w:hint="default" w:ascii="Times New Roman" w:hAnsi="Times New Roman" w:eastAsia="仿宋_GB2312" w:cs="Times New Roman"/>
          <w:color w:val="auto"/>
          <w:kern w:val="2"/>
          <w:sz w:val="32"/>
          <w:szCs w:val="24"/>
          <w:highlight w:val="none"/>
          <w:lang w:val="en-US" w:eastAsia="zh-CN" w:bidi="ar-SA"/>
        </w:rPr>
        <w:t>50</w:t>
      </w:r>
      <w:r>
        <w:rPr>
          <w:rFonts w:hint="eastAsia" w:ascii="仿宋_GB2312" w:hAnsi="仿宋_GB2312" w:eastAsia="仿宋_GB2312" w:cs="仿宋_GB2312"/>
          <w:color w:val="auto"/>
          <w:kern w:val="2"/>
          <w:sz w:val="32"/>
          <w:szCs w:val="24"/>
          <w:highlight w:val="none"/>
          <w:lang w:val="en-US" w:eastAsia="zh-CN" w:bidi="ar-SA"/>
        </w:rPr>
        <w:t>%以上的标准。</w:t>
      </w:r>
      <w:r>
        <w:rPr>
          <w:rFonts w:hint="eastAsia" w:ascii="仿宋_GB2312" w:hAnsi="仿宋_GB2312" w:eastAsia="仿宋_GB2312" w:cs="仿宋_GB2312"/>
          <w:b/>
          <w:bCs/>
          <w:color w:val="auto"/>
          <w:kern w:val="2"/>
          <w:sz w:val="32"/>
          <w:szCs w:val="24"/>
          <w:highlight w:val="none"/>
          <w:lang w:val="en-US" w:eastAsia="zh-CN" w:bidi="ar-SA"/>
        </w:rPr>
        <w:t>二是</w:t>
      </w:r>
      <w:r>
        <w:rPr>
          <w:rFonts w:hint="eastAsia" w:ascii="仿宋_GB2312" w:hAnsi="仿宋_GB2312" w:eastAsia="仿宋_GB2312" w:cs="仿宋_GB2312"/>
          <w:b w:val="0"/>
          <w:bCs w:val="0"/>
          <w:color w:val="auto"/>
          <w:kern w:val="2"/>
          <w:sz w:val="32"/>
          <w:szCs w:val="24"/>
          <w:highlight w:val="none"/>
          <w:lang w:val="en-US" w:eastAsia="zh-CN" w:bidi="ar-SA"/>
        </w:rPr>
        <w:t>建立健全住宅专项维修资金归集、使用、续筹机制占年度计划改造小区比例为</w:t>
      </w:r>
      <w:r>
        <w:rPr>
          <w:rFonts w:hint="default" w:ascii="Times New Roman" w:hAnsi="Times New Roman" w:eastAsia="仿宋_GB2312" w:cs="Times New Roman"/>
          <w:b w:val="0"/>
          <w:bCs w:val="0"/>
          <w:color w:val="auto"/>
          <w:kern w:val="2"/>
          <w:sz w:val="32"/>
          <w:szCs w:val="24"/>
          <w:highlight w:val="none"/>
          <w:lang w:val="en-US" w:eastAsia="zh-CN" w:bidi="ar-SA"/>
        </w:rPr>
        <w:t>10</w:t>
      </w:r>
      <w:r>
        <w:rPr>
          <w:rFonts w:hint="eastAsia" w:ascii="仿宋_GB2312" w:hAnsi="仿宋_GB2312" w:eastAsia="仿宋_GB2312" w:cs="仿宋_GB2312"/>
          <w:b w:val="0"/>
          <w:bCs w:val="0"/>
          <w:color w:val="auto"/>
          <w:kern w:val="2"/>
          <w:sz w:val="32"/>
          <w:szCs w:val="24"/>
          <w:highlight w:val="none"/>
          <w:lang w:val="en-US" w:eastAsia="zh-CN" w:bidi="ar-SA"/>
        </w:rPr>
        <w:t>.</w:t>
      </w:r>
      <w:r>
        <w:rPr>
          <w:rFonts w:hint="default" w:ascii="Times New Roman" w:hAnsi="Times New Roman" w:eastAsia="仿宋_GB2312" w:cs="Times New Roman"/>
          <w:b w:val="0"/>
          <w:bCs w:val="0"/>
          <w:color w:val="auto"/>
          <w:kern w:val="2"/>
          <w:sz w:val="32"/>
          <w:szCs w:val="24"/>
          <w:highlight w:val="none"/>
          <w:lang w:val="en-US" w:eastAsia="zh-CN" w:bidi="ar-SA"/>
        </w:rPr>
        <w:t>14</w:t>
      </w:r>
      <w:r>
        <w:rPr>
          <w:rFonts w:hint="eastAsia" w:ascii="仿宋_GB2312" w:hAnsi="仿宋_GB2312" w:eastAsia="仿宋_GB2312" w:cs="仿宋_GB2312"/>
          <w:b w:val="0"/>
          <w:bCs w:val="0"/>
          <w:color w:val="auto"/>
          <w:kern w:val="2"/>
          <w:sz w:val="32"/>
          <w:szCs w:val="24"/>
          <w:highlight w:val="none"/>
          <w:lang w:val="en-US" w:eastAsia="zh-CN" w:bidi="ar-SA"/>
        </w:rPr>
        <w:t>%，低于</w:t>
      </w:r>
      <w:r>
        <w:rPr>
          <w:rFonts w:hint="default" w:ascii="Times New Roman" w:hAnsi="Times New Roman" w:eastAsia="仿宋_GB2312" w:cs="Times New Roman"/>
          <w:b w:val="0"/>
          <w:bCs w:val="0"/>
          <w:color w:val="auto"/>
          <w:kern w:val="2"/>
          <w:sz w:val="32"/>
          <w:szCs w:val="24"/>
          <w:highlight w:val="none"/>
          <w:lang w:val="en-US" w:eastAsia="zh-CN" w:bidi="ar-SA"/>
        </w:rPr>
        <w:t>40</w:t>
      </w:r>
      <w:r>
        <w:rPr>
          <w:rFonts w:hint="eastAsia" w:ascii="仿宋_GB2312" w:hAnsi="仿宋_GB2312" w:eastAsia="仿宋_GB2312" w:cs="仿宋_GB2312"/>
          <w:b w:val="0"/>
          <w:bCs w:val="0"/>
          <w:color w:val="auto"/>
          <w:kern w:val="2"/>
          <w:sz w:val="32"/>
          <w:szCs w:val="24"/>
          <w:highlight w:val="none"/>
          <w:lang w:val="en-US" w:eastAsia="zh-CN" w:bidi="ar-SA"/>
        </w:rPr>
        <w:t>%以上的标准。</w:t>
      </w:r>
      <w:r>
        <w:rPr>
          <w:rFonts w:hint="eastAsia" w:ascii="仿宋_GB2312" w:hAnsi="仿宋_GB2312" w:eastAsia="仿宋_GB2312" w:cs="仿宋_GB2312"/>
          <w:b w:val="0"/>
          <w:bCs w:val="0"/>
          <w:color w:val="auto"/>
          <w:sz w:val="32"/>
          <w:szCs w:val="32"/>
          <w:highlight w:val="none"/>
          <w:lang w:val="en-US" w:eastAsia="zh-CN"/>
        </w:rPr>
        <w:t>总体上，</w:t>
      </w:r>
      <w:r>
        <w:rPr>
          <w:rFonts w:hint="eastAsia" w:ascii="仿宋_GB2312" w:hAnsi="仿宋_GB2312" w:eastAsia="仿宋_GB2312" w:cs="仿宋_GB2312"/>
          <w:b w:val="0"/>
          <w:bCs w:val="0"/>
          <w:color w:val="auto"/>
          <w:kern w:val="2"/>
          <w:sz w:val="32"/>
          <w:szCs w:val="24"/>
          <w:highlight w:val="none"/>
          <w:lang w:val="en-US" w:eastAsia="zh-CN" w:bidi="ar-SA"/>
        </w:rPr>
        <w:t>建立健全住宅专项维修资金归集、使用、续筹机制</w:t>
      </w:r>
      <w:r>
        <w:rPr>
          <w:rFonts w:hint="eastAsia" w:ascii="Times New Roman" w:hAnsi="Times New Roman" w:eastAsia="仿宋_GB2312" w:cs="仿宋_GB2312"/>
          <w:b w:val="0"/>
          <w:bCs w:val="0"/>
          <w:color w:val="auto"/>
          <w:sz w:val="32"/>
          <w:szCs w:val="32"/>
          <w:highlight w:val="none"/>
          <w:lang w:val="en-US" w:eastAsia="zh-CN"/>
        </w:rPr>
        <w:t>占比偏低。</w:t>
      </w:r>
    </w:p>
    <w:p>
      <w:pPr>
        <w:widowControl w:val="0"/>
        <w:spacing w:before="0" w:after="0" w:line="360" w:lineRule="auto"/>
        <w:ind w:firstLine="640" w:firstLineChars="200"/>
        <w:jc w:val="both"/>
        <w:outlineLvl w:val="9"/>
        <w:rPr>
          <w:rFonts w:hint="default" w:ascii="仿宋_GB2312" w:hAnsi="仿宋" w:eastAsia="仿宋_GB2312" w:cs="Times New Roman"/>
          <w:b w:val="0"/>
          <w:bCs w:val="0"/>
          <w:color w:val="auto"/>
          <w:kern w:val="28"/>
          <w:sz w:val="32"/>
          <w:szCs w:val="32"/>
          <w:highlight w:val="none"/>
          <w:lang w:val="en-US" w:eastAsia="zh-CN" w:bidi="ar-SA"/>
        </w:rPr>
      </w:pPr>
      <w:r>
        <w:rPr>
          <w:rFonts w:hint="eastAsia" w:ascii="仿宋_GB2312" w:hAnsi="仿宋" w:eastAsia="仿宋_GB2312" w:cs="Times New Roman"/>
          <w:b w:val="0"/>
          <w:bCs w:val="0"/>
          <w:color w:val="auto"/>
          <w:kern w:val="28"/>
          <w:sz w:val="32"/>
          <w:szCs w:val="32"/>
          <w:highlight w:val="none"/>
          <w:lang w:val="en-US" w:eastAsia="zh-CN" w:bidi="ar-SA"/>
        </w:rPr>
        <w:t>（</w:t>
      </w:r>
      <w:r>
        <w:rPr>
          <w:rFonts w:hint="default" w:ascii="Times New Roman" w:hAnsi="Times New Roman" w:eastAsia="仿宋_GB2312" w:cs="Times New Roman"/>
          <w:b w:val="0"/>
          <w:bCs w:val="0"/>
          <w:color w:val="auto"/>
          <w:kern w:val="28"/>
          <w:sz w:val="32"/>
          <w:szCs w:val="32"/>
          <w:highlight w:val="none"/>
          <w:lang w:val="en-US" w:eastAsia="zh-CN" w:bidi="ar-SA"/>
        </w:rPr>
        <w:t>3</w:t>
      </w:r>
      <w:r>
        <w:rPr>
          <w:rFonts w:hint="eastAsia" w:ascii="仿宋_GB2312" w:hAnsi="仿宋" w:eastAsia="仿宋_GB2312" w:cs="Times New Roman"/>
          <w:b w:val="0"/>
          <w:bCs w:val="0"/>
          <w:color w:val="auto"/>
          <w:kern w:val="28"/>
          <w:sz w:val="32"/>
          <w:szCs w:val="32"/>
          <w:highlight w:val="none"/>
          <w:lang w:val="en-US" w:eastAsia="zh-CN" w:bidi="ar-SA"/>
        </w:rPr>
        <w:t>）满意度指标-服务对象满意度≧</w:t>
      </w:r>
      <w:r>
        <w:rPr>
          <w:rFonts w:hint="default" w:ascii="Times New Roman" w:hAnsi="Times New Roman" w:eastAsia="仿宋_GB2312" w:cs="Times New Roman"/>
          <w:b w:val="0"/>
          <w:bCs w:val="0"/>
          <w:color w:val="auto"/>
          <w:kern w:val="28"/>
          <w:sz w:val="32"/>
          <w:szCs w:val="32"/>
          <w:highlight w:val="none"/>
          <w:lang w:val="en-US" w:eastAsia="zh-CN" w:bidi="ar-SA"/>
        </w:rPr>
        <w:t>90</w:t>
      </w:r>
      <w:r>
        <w:rPr>
          <w:rFonts w:hint="eastAsia" w:ascii="仿宋_GB2312" w:hAnsi="仿宋" w:eastAsia="仿宋_GB2312" w:cs="Times New Roman"/>
          <w:b w:val="0"/>
          <w:bCs w:val="0"/>
          <w:color w:val="auto"/>
          <w:kern w:val="28"/>
          <w:sz w:val="32"/>
          <w:szCs w:val="32"/>
          <w:highlight w:val="none"/>
          <w:lang w:val="en-US" w:eastAsia="zh-CN" w:bidi="ar-SA"/>
        </w:rPr>
        <w:t>%。根据各地市提供的城镇老旧小区改造项目绩效自评材料，服务对象满意度平均为</w:t>
      </w:r>
      <w:r>
        <w:rPr>
          <w:rFonts w:hint="default" w:ascii="Times New Roman" w:hAnsi="Times New Roman" w:eastAsia="仿宋_GB2312" w:cs="Times New Roman"/>
          <w:b w:val="0"/>
          <w:bCs w:val="0"/>
          <w:color w:val="auto"/>
          <w:kern w:val="28"/>
          <w:sz w:val="32"/>
          <w:szCs w:val="32"/>
          <w:highlight w:val="none"/>
          <w:lang w:val="en-US" w:eastAsia="zh-CN" w:bidi="ar-SA"/>
        </w:rPr>
        <w:t>93</w:t>
      </w:r>
      <w:r>
        <w:rPr>
          <w:rFonts w:hint="eastAsia" w:ascii="仿宋_GB2312" w:hAnsi="仿宋" w:eastAsia="仿宋_GB2312" w:cs="Times New Roman"/>
          <w:b w:val="0"/>
          <w:bCs w:val="0"/>
          <w:color w:val="auto"/>
          <w:kern w:val="28"/>
          <w:sz w:val="32"/>
          <w:szCs w:val="32"/>
          <w:highlight w:val="none"/>
          <w:lang w:val="en-US" w:eastAsia="zh-CN" w:bidi="ar-SA"/>
        </w:rPr>
        <w:t>.</w:t>
      </w:r>
      <w:r>
        <w:rPr>
          <w:rFonts w:hint="default" w:ascii="Times New Roman" w:hAnsi="Times New Roman" w:eastAsia="仿宋_GB2312" w:cs="Times New Roman"/>
          <w:b w:val="0"/>
          <w:bCs w:val="0"/>
          <w:color w:val="auto"/>
          <w:kern w:val="28"/>
          <w:sz w:val="32"/>
          <w:szCs w:val="32"/>
          <w:highlight w:val="none"/>
          <w:lang w:val="en-US" w:eastAsia="zh-CN" w:bidi="ar-SA"/>
        </w:rPr>
        <w:t>25</w:t>
      </w:r>
      <w:r>
        <w:rPr>
          <w:rFonts w:hint="eastAsia" w:ascii="仿宋_GB2312" w:hAnsi="仿宋" w:eastAsia="仿宋_GB2312" w:cs="Times New Roman"/>
          <w:b w:val="0"/>
          <w:bCs w:val="0"/>
          <w:color w:val="auto"/>
          <w:kern w:val="28"/>
          <w:sz w:val="32"/>
          <w:szCs w:val="32"/>
          <w:highlight w:val="none"/>
          <w:lang w:val="en-US" w:eastAsia="zh-CN" w:bidi="ar-SA"/>
        </w:rPr>
        <w:t>%，</w:t>
      </w:r>
      <w:r>
        <w:rPr>
          <w:rFonts w:hint="eastAsia" w:ascii="仿宋_GB2312" w:hAnsi="仿宋" w:eastAsia="仿宋_GB2312" w:cs="Times New Roman"/>
          <w:b w:val="0"/>
          <w:bCs w:val="0"/>
          <w:color w:val="auto"/>
          <w:kern w:val="28"/>
          <w:sz w:val="32"/>
          <w:szCs w:val="32"/>
          <w:highlight w:val="none"/>
          <w:u w:val="none"/>
          <w:lang w:val="en-US" w:eastAsia="zh-CN" w:bidi="ar-SA"/>
        </w:rPr>
        <w:t>超过了≧</w:t>
      </w:r>
      <w:r>
        <w:rPr>
          <w:rFonts w:hint="default" w:ascii="Times New Roman" w:hAnsi="Times New Roman" w:eastAsia="仿宋_GB2312" w:cs="Times New Roman"/>
          <w:b w:val="0"/>
          <w:bCs w:val="0"/>
          <w:color w:val="auto"/>
          <w:kern w:val="28"/>
          <w:sz w:val="32"/>
          <w:szCs w:val="32"/>
          <w:highlight w:val="none"/>
          <w:u w:val="none"/>
          <w:lang w:val="en-US" w:eastAsia="zh-CN" w:bidi="ar-SA"/>
        </w:rPr>
        <w:t>90</w:t>
      </w:r>
      <w:r>
        <w:rPr>
          <w:rFonts w:hint="eastAsia" w:ascii="仿宋_GB2312" w:hAnsi="仿宋" w:eastAsia="仿宋_GB2312" w:cs="Times New Roman"/>
          <w:b w:val="0"/>
          <w:bCs w:val="0"/>
          <w:color w:val="auto"/>
          <w:kern w:val="28"/>
          <w:sz w:val="32"/>
          <w:szCs w:val="32"/>
          <w:highlight w:val="none"/>
          <w:u w:val="none"/>
          <w:lang w:val="en-US" w:eastAsia="zh-CN" w:bidi="ar-SA"/>
        </w:rPr>
        <w:t>%的既定指标值，</w:t>
      </w:r>
      <w:r>
        <w:rPr>
          <w:rFonts w:hint="eastAsia" w:ascii="仿宋_GB2312" w:hAnsi="仿宋" w:eastAsia="仿宋_GB2312" w:cs="Times New Roman"/>
          <w:b w:val="0"/>
          <w:bCs w:val="0"/>
          <w:color w:val="auto"/>
          <w:kern w:val="28"/>
          <w:sz w:val="32"/>
          <w:szCs w:val="32"/>
          <w:highlight w:val="none"/>
          <w:lang w:val="en-US" w:eastAsia="zh-CN" w:bidi="ar-SA"/>
        </w:rPr>
        <w:t>服务对象满意度较高。</w:t>
      </w:r>
    </w:p>
    <w:p>
      <w:pPr>
        <w:keepNext/>
        <w:keepLines/>
        <w:numPr>
          <w:ilvl w:val="0"/>
          <w:numId w:val="1"/>
        </w:numPr>
        <w:snapToGrid w:val="0"/>
        <w:spacing w:line="360" w:lineRule="auto"/>
        <w:ind w:firstLine="642" w:firstLineChars="200"/>
        <w:outlineLvl w:val="1"/>
        <w:rPr>
          <w:rFonts w:hint="eastAsia" w:ascii="楷体" w:hAnsi="楷体" w:eastAsia="楷体" w:cs="楷体"/>
          <w:b/>
          <w:bCs/>
          <w:color w:val="auto"/>
          <w:sz w:val="32"/>
          <w:szCs w:val="32"/>
          <w:highlight w:val="none"/>
        </w:rPr>
      </w:pPr>
      <w:bookmarkStart w:id="35" w:name="_Toc32472"/>
      <w:bookmarkStart w:id="36" w:name="_Toc17188"/>
      <w:bookmarkStart w:id="37" w:name="_Toc16238"/>
      <w:r>
        <w:rPr>
          <w:rFonts w:hint="eastAsia" w:ascii="楷体" w:hAnsi="楷体" w:eastAsia="楷体" w:cs="楷体"/>
          <w:b/>
          <w:bCs/>
          <w:color w:val="auto"/>
          <w:sz w:val="32"/>
          <w:szCs w:val="32"/>
          <w:highlight w:val="none"/>
        </w:rPr>
        <w:t>专项资金使用绩效</w:t>
      </w:r>
      <w:bookmarkEnd w:id="35"/>
      <w:bookmarkEnd w:id="36"/>
    </w:p>
    <w:p>
      <w:pPr>
        <w:pStyle w:val="3"/>
        <w:spacing w:before="0" w:after="0" w:line="360" w:lineRule="auto"/>
        <w:ind w:firstLine="642" w:firstLineChars="200"/>
        <w:outlineLvl w:val="2"/>
        <w:rPr>
          <w:rFonts w:hint="eastAsia" w:ascii="仿宋_GB2312" w:hAnsi="仿宋" w:eastAsia="仿宋_GB2312"/>
          <w:color w:val="auto"/>
          <w:highlight w:val="none"/>
        </w:rPr>
      </w:pPr>
      <w:bookmarkStart w:id="38" w:name="_Toc2323"/>
      <w:bookmarkStart w:id="39" w:name="_Toc31050"/>
      <w:bookmarkStart w:id="40" w:name="_Toc27487"/>
      <w:bookmarkStart w:id="41" w:name="_Toc42021445"/>
      <w:r>
        <w:rPr>
          <w:rFonts w:hint="default" w:ascii="Times New Roman" w:hAnsi="Times New Roman" w:eastAsia="仿宋_GB2312" w:cs="Times New Roman"/>
          <w:color w:val="auto"/>
          <w:highlight w:val="none"/>
        </w:rPr>
        <w:t>1</w:t>
      </w:r>
      <w:r>
        <w:rPr>
          <w:rFonts w:hint="eastAsia" w:ascii="仿宋_GB2312" w:hAnsi="仿宋" w:eastAsia="仿宋_GB2312"/>
          <w:color w:val="auto"/>
          <w:highlight w:val="none"/>
        </w:rPr>
        <w:t>.专项</w:t>
      </w:r>
      <w:r>
        <w:rPr>
          <w:rFonts w:hint="eastAsia" w:ascii="仿宋_GB2312" w:hAnsi="Times New Roman" w:eastAsia="仿宋_GB2312"/>
          <w:color w:val="auto"/>
          <w:kern w:val="2"/>
          <w:szCs w:val="24"/>
          <w:highlight w:val="none"/>
        </w:rPr>
        <w:t>资金</w:t>
      </w:r>
      <w:r>
        <w:rPr>
          <w:rFonts w:hint="eastAsia" w:ascii="仿宋_GB2312" w:hAnsi="仿宋" w:eastAsia="仿宋_GB2312"/>
          <w:color w:val="auto"/>
          <w:highlight w:val="none"/>
        </w:rPr>
        <w:t>支出情况。</w:t>
      </w:r>
      <w:bookmarkEnd w:id="38"/>
      <w:bookmarkEnd w:id="39"/>
      <w:bookmarkEnd w:id="40"/>
      <w:bookmarkEnd w:id="41"/>
    </w:p>
    <w:p>
      <w:pPr>
        <w:pStyle w:val="2"/>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根据省住房和城乡建设厅综合材料和有关地市报送的自评材料统计，省财政厅共下达</w:t>
      </w: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w:t>
      </w:r>
      <w:r>
        <w:rPr>
          <w:rFonts w:hint="eastAsia" w:ascii="仿宋_GB2312" w:hAnsi="Times New Roman" w:eastAsia="仿宋_GB2312"/>
          <w:color w:val="auto"/>
          <w:kern w:val="2"/>
          <w:sz w:val="32"/>
          <w:highlight w:val="none"/>
          <w:lang w:eastAsia="zh-CN"/>
        </w:rPr>
        <w:t>城镇老旧小区改造</w:t>
      </w:r>
      <w:r>
        <w:rPr>
          <w:rFonts w:hint="eastAsia" w:ascii="Times New Roman" w:hAnsi="Times New Roman" w:eastAsia="仿宋_GB2312" w:cs="Times New Roman"/>
          <w:color w:val="auto"/>
          <w:kern w:val="2"/>
          <w:sz w:val="32"/>
          <w:szCs w:val="32"/>
          <w:highlight w:val="none"/>
          <w:lang w:val="en-US" w:eastAsia="zh-CN" w:bidi="ar-SA"/>
        </w:rPr>
        <w:t>专项资金共计</w:t>
      </w:r>
      <w:r>
        <w:rPr>
          <w:rFonts w:hint="default" w:ascii="Times New Roman" w:hAnsi="Times New Roman" w:eastAsia="仿宋_GB2312" w:cs="Times New Roman"/>
          <w:color w:val="auto"/>
          <w:kern w:val="2"/>
          <w:sz w:val="32"/>
          <w:szCs w:val="32"/>
          <w:highlight w:val="none"/>
          <w:lang w:val="en-US" w:eastAsia="zh-CN" w:bidi="ar-SA"/>
        </w:rPr>
        <w:t>18860</w:t>
      </w:r>
      <w:r>
        <w:rPr>
          <w:rFonts w:hint="eastAsia" w:ascii="Times New Roman" w:hAnsi="Times New Roman" w:eastAsia="仿宋_GB2312" w:cs="Times New Roman"/>
          <w:color w:val="auto"/>
          <w:kern w:val="2"/>
          <w:sz w:val="32"/>
          <w:szCs w:val="32"/>
          <w:highlight w:val="none"/>
          <w:lang w:val="en-US" w:eastAsia="zh-CN" w:bidi="ar-SA"/>
        </w:rPr>
        <w:t>万元，已足额落实到位。截至</w:t>
      </w: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w:t>
      </w:r>
      <w:r>
        <w:rPr>
          <w:rFonts w:hint="default" w:ascii="Times New Roman" w:hAnsi="Times New Roman" w:eastAsia="仿宋_GB2312" w:cs="Times New Roman"/>
          <w:color w:val="auto"/>
          <w:kern w:val="2"/>
          <w:sz w:val="32"/>
          <w:szCs w:val="32"/>
          <w:highlight w:val="none"/>
          <w:lang w:val="en-US" w:eastAsia="zh-CN" w:bidi="ar-SA"/>
        </w:rPr>
        <w:t>12</w:t>
      </w:r>
      <w:r>
        <w:rPr>
          <w:rFonts w:hint="eastAsia" w:ascii="Times New Roman" w:hAnsi="Times New Roman" w:eastAsia="仿宋_GB2312" w:cs="Times New Roman"/>
          <w:color w:val="auto"/>
          <w:kern w:val="2"/>
          <w:sz w:val="32"/>
          <w:szCs w:val="32"/>
          <w:highlight w:val="none"/>
          <w:lang w:val="en-US" w:eastAsia="zh-CN" w:bidi="ar-SA"/>
        </w:rPr>
        <w:t>月</w:t>
      </w:r>
      <w:r>
        <w:rPr>
          <w:rFonts w:hint="default" w:ascii="Times New Roman" w:hAnsi="Times New Roman" w:eastAsia="仿宋_GB2312" w:cs="Times New Roman"/>
          <w:color w:val="auto"/>
          <w:kern w:val="2"/>
          <w:sz w:val="32"/>
          <w:szCs w:val="32"/>
          <w:highlight w:val="none"/>
          <w:lang w:val="en-US" w:eastAsia="zh-CN" w:bidi="ar-SA"/>
        </w:rPr>
        <w:t>31</w:t>
      </w:r>
      <w:r>
        <w:rPr>
          <w:rFonts w:hint="eastAsia" w:ascii="Times New Roman" w:hAnsi="Times New Roman" w:eastAsia="仿宋_GB2312" w:cs="Times New Roman"/>
          <w:color w:val="auto"/>
          <w:kern w:val="2"/>
          <w:sz w:val="32"/>
          <w:szCs w:val="32"/>
          <w:highlight w:val="none"/>
          <w:lang w:val="en-US" w:eastAsia="zh-CN" w:bidi="ar-SA"/>
        </w:rPr>
        <w:t>日，实际支出</w:t>
      </w:r>
      <w:r>
        <w:rPr>
          <w:rFonts w:hint="default" w:ascii="Times New Roman" w:hAnsi="Times New Roman" w:eastAsia="仿宋_GB2312" w:cs="Times New Roman"/>
          <w:color w:val="auto"/>
          <w:kern w:val="2"/>
          <w:sz w:val="32"/>
          <w:szCs w:val="32"/>
          <w:highlight w:val="none"/>
          <w:lang w:val="en-US" w:eastAsia="zh-CN" w:bidi="ar-SA"/>
        </w:rPr>
        <w:t>3623</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35</w:t>
      </w:r>
      <w:r>
        <w:rPr>
          <w:rFonts w:hint="eastAsia" w:ascii="Times New Roman" w:hAnsi="Times New Roman" w:eastAsia="仿宋_GB2312" w:cs="Times New Roman"/>
          <w:color w:val="auto"/>
          <w:kern w:val="2"/>
          <w:sz w:val="32"/>
          <w:szCs w:val="32"/>
          <w:highlight w:val="none"/>
          <w:lang w:val="en-US" w:eastAsia="zh-CN" w:bidi="ar-SA"/>
        </w:rPr>
        <w:t>万元，支出率</w:t>
      </w:r>
      <w:r>
        <w:rPr>
          <w:rFonts w:hint="default" w:ascii="Times New Roman" w:hAnsi="Times New Roman" w:eastAsia="仿宋_GB2312" w:cs="Times New Roman"/>
          <w:color w:val="auto"/>
          <w:kern w:val="2"/>
          <w:sz w:val="32"/>
          <w:szCs w:val="32"/>
          <w:highlight w:val="none"/>
          <w:lang w:val="en-US" w:eastAsia="zh-CN" w:bidi="ar-SA"/>
        </w:rPr>
        <w:t>19</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21</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color w:val="auto"/>
          <w:kern w:val="2"/>
          <w:sz w:val="32"/>
          <w:szCs w:val="32"/>
          <w:highlight w:val="none"/>
          <w:lang w:val="en-US" w:eastAsia="zh-CN" w:bidi="ar-SA"/>
        </w:rPr>
        <w:t>，其中：下达省本级工作经费</w:t>
      </w:r>
      <w:r>
        <w:rPr>
          <w:rFonts w:hint="default" w:ascii="Times New Roman" w:hAnsi="Times New Roman" w:cs="Times New Roman"/>
          <w:color w:val="auto"/>
          <w:kern w:val="2"/>
          <w:sz w:val="32"/>
          <w:szCs w:val="32"/>
          <w:highlight w:val="none"/>
          <w:lang w:val="en-US" w:eastAsia="zh-CN" w:bidi="ar-SA"/>
        </w:rPr>
        <w:t>188</w:t>
      </w:r>
      <w:r>
        <w:rPr>
          <w:rFonts w:hint="eastAsia" w:ascii="Times New Roman" w:hAnsi="Times New Roman" w:cs="Times New Roman"/>
          <w:color w:val="auto"/>
          <w:kern w:val="2"/>
          <w:sz w:val="32"/>
          <w:szCs w:val="32"/>
          <w:highlight w:val="none"/>
          <w:lang w:val="en-US" w:eastAsia="zh-CN" w:bidi="ar-SA"/>
        </w:rPr>
        <w:t>万元，实际支出</w:t>
      </w:r>
      <w:r>
        <w:rPr>
          <w:rFonts w:hint="default" w:ascii="Times New Roman" w:hAnsi="Times New Roman" w:cs="Times New Roman"/>
          <w:color w:val="auto"/>
          <w:kern w:val="2"/>
          <w:sz w:val="32"/>
          <w:szCs w:val="32"/>
          <w:highlight w:val="none"/>
          <w:lang w:val="en-US" w:eastAsia="zh-CN" w:bidi="ar-SA"/>
        </w:rPr>
        <w:t>188</w:t>
      </w:r>
      <w:r>
        <w:rPr>
          <w:rFonts w:hint="eastAsia" w:ascii="Times New Roman" w:hAnsi="Times New Roman" w:cs="Times New Roman"/>
          <w:color w:val="auto"/>
          <w:kern w:val="2"/>
          <w:sz w:val="32"/>
          <w:szCs w:val="32"/>
          <w:highlight w:val="none"/>
          <w:lang w:val="en-US" w:eastAsia="zh-CN" w:bidi="ar-SA"/>
        </w:rPr>
        <w:t>万元，支出率为</w:t>
      </w:r>
      <w:r>
        <w:rPr>
          <w:rFonts w:hint="default" w:ascii="Times New Roman" w:hAnsi="Times New Roman" w:cs="Times New Roman"/>
          <w:color w:val="auto"/>
          <w:kern w:val="2"/>
          <w:sz w:val="32"/>
          <w:szCs w:val="32"/>
          <w:highlight w:val="none"/>
          <w:lang w:val="en-US" w:eastAsia="zh-CN" w:bidi="ar-SA"/>
        </w:rPr>
        <w:t>100</w:t>
      </w:r>
      <w:r>
        <w:rPr>
          <w:rFonts w:hint="eastAsia" w:ascii="Times New Roman" w:hAnsi="Times New Roman" w:cs="Times New Roman"/>
          <w:color w:val="auto"/>
          <w:kern w:val="2"/>
          <w:sz w:val="32"/>
          <w:szCs w:val="32"/>
          <w:highlight w:val="none"/>
          <w:lang w:val="en-US" w:eastAsia="zh-CN" w:bidi="ar-SA"/>
        </w:rPr>
        <w:t>%；下达</w:t>
      </w:r>
      <w:r>
        <w:rPr>
          <w:rFonts w:hint="default" w:ascii="Times New Roman" w:hAnsi="Times New Roman" w:cs="Times New Roman"/>
          <w:color w:val="auto"/>
          <w:kern w:val="2"/>
          <w:sz w:val="32"/>
          <w:szCs w:val="32"/>
          <w:highlight w:val="none"/>
          <w:lang w:val="en-US" w:eastAsia="zh-CN" w:bidi="ar-SA"/>
        </w:rPr>
        <w:t>15</w:t>
      </w:r>
      <w:r>
        <w:rPr>
          <w:rFonts w:hint="eastAsia" w:ascii="Times New Roman" w:hAnsi="Times New Roman" w:cs="Times New Roman"/>
          <w:color w:val="auto"/>
          <w:kern w:val="2"/>
          <w:sz w:val="32"/>
          <w:szCs w:val="32"/>
          <w:highlight w:val="none"/>
          <w:lang w:val="en-US" w:eastAsia="zh-CN" w:bidi="ar-SA"/>
        </w:rPr>
        <w:t>个地市</w:t>
      </w:r>
      <w:r>
        <w:rPr>
          <w:rFonts w:hint="eastAsia" w:ascii="仿宋_GB2312" w:hAnsi="Times New Roman" w:eastAsia="仿宋_GB2312"/>
          <w:color w:val="auto"/>
          <w:kern w:val="2"/>
          <w:sz w:val="32"/>
          <w:highlight w:val="none"/>
          <w:lang w:eastAsia="zh-CN"/>
        </w:rPr>
        <w:t>城镇老旧小区改造</w:t>
      </w:r>
      <w:r>
        <w:rPr>
          <w:rFonts w:hint="eastAsia" w:ascii="仿宋_GB2312" w:hAnsi="Times New Roman"/>
          <w:color w:val="auto"/>
          <w:kern w:val="2"/>
          <w:sz w:val="32"/>
          <w:highlight w:val="none"/>
          <w:lang w:val="en-US" w:eastAsia="zh-CN"/>
        </w:rPr>
        <w:t>资金为</w:t>
      </w:r>
      <w:r>
        <w:rPr>
          <w:rFonts w:hint="default" w:ascii="Times New Roman" w:hAnsi="Times New Roman" w:cs="Times New Roman"/>
          <w:color w:val="auto"/>
          <w:kern w:val="2"/>
          <w:sz w:val="32"/>
          <w:highlight w:val="none"/>
          <w:lang w:val="en-US" w:eastAsia="zh-CN"/>
        </w:rPr>
        <w:t>18672</w:t>
      </w:r>
      <w:r>
        <w:rPr>
          <w:rFonts w:hint="eastAsia" w:ascii="仿宋_GB2312" w:hAnsi="Times New Roman"/>
          <w:color w:val="auto"/>
          <w:kern w:val="2"/>
          <w:sz w:val="32"/>
          <w:highlight w:val="none"/>
          <w:lang w:val="en-US" w:eastAsia="zh-CN"/>
        </w:rPr>
        <w:t>万元，实际支出</w:t>
      </w:r>
      <w:r>
        <w:rPr>
          <w:rFonts w:hint="default" w:ascii="Times New Roman" w:hAnsi="Times New Roman" w:cs="Times New Roman"/>
          <w:color w:val="auto"/>
          <w:kern w:val="2"/>
          <w:sz w:val="32"/>
          <w:highlight w:val="none"/>
          <w:lang w:val="en-US" w:eastAsia="zh-CN"/>
        </w:rPr>
        <w:t>3435</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35</w:t>
      </w:r>
      <w:r>
        <w:rPr>
          <w:rFonts w:hint="eastAsia" w:ascii="仿宋_GB2312" w:hAnsi="Times New Roman"/>
          <w:color w:val="auto"/>
          <w:kern w:val="2"/>
          <w:sz w:val="32"/>
          <w:highlight w:val="none"/>
          <w:lang w:val="en-US" w:eastAsia="zh-CN"/>
        </w:rPr>
        <w:t>万元，支出率为</w:t>
      </w:r>
      <w:r>
        <w:rPr>
          <w:rFonts w:hint="default" w:ascii="Times New Roman" w:hAnsi="Times New Roman" w:cs="Times New Roman"/>
          <w:color w:val="auto"/>
          <w:kern w:val="2"/>
          <w:sz w:val="32"/>
          <w:highlight w:val="none"/>
          <w:lang w:val="en-US" w:eastAsia="zh-CN"/>
        </w:rPr>
        <w:t>18</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40</w:t>
      </w:r>
      <w:r>
        <w:rPr>
          <w:rFonts w:hint="eastAsia" w:ascii="仿宋_GB2312" w:hAnsi="Times New Roman"/>
          <w:color w:val="auto"/>
          <w:kern w:val="2"/>
          <w:sz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。（详见表</w:t>
      </w: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w:t>
      </w:r>
      <w:bookmarkStart w:id="42" w:name="_Toc42021446"/>
    </w:p>
    <w:p>
      <w:pPr>
        <w:pStyle w:val="3"/>
        <w:spacing w:before="0" w:after="0" w:line="360" w:lineRule="auto"/>
        <w:ind w:firstLine="642" w:firstLineChars="200"/>
        <w:outlineLvl w:val="2"/>
        <w:rPr>
          <w:rFonts w:hint="eastAsia" w:ascii="仿宋_GB2312" w:hAnsi="仿宋" w:eastAsia="仿宋_GB2312"/>
          <w:color w:val="auto"/>
          <w:highlight w:val="none"/>
        </w:rPr>
      </w:pPr>
      <w:bookmarkStart w:id="43" w:name="_Toc27187"/>
      <w:bookmarkStart w:id="44" w:name="_Toc31206"/>
      <w:bookmarkStart w:id="45" w:name="_Toc29500"/>
      <w:r>
        <w:rPr>
          <w:rFonts w:hint="default" w:ascii="Times New Roman" w:hAnsi="Times New Roman" w:eastAsia="仿宋_GB2312" w:cs="Times New Roman"/>
          <w:color w:val="auto"/>
          <w:highlight w:val="none"/>
        </w:rPr>
        <w:t>2</w:t>
      </w:r>
      <w:r>
        <w:rPr>
          <w:rFonts w:hint="eastAsia" w:ascii="仿宋_GB2312" w:hAnsi="仿宋" w:eastAsia="仿宋_GB2312"/>
          <w:color w:val="auto"/>
          <w:highlight w:val="none"/>
        </w:rPr>
        <w:t>.专项资金完成绩效目标情况。</w:t>
      </w:r>
      <w:bookmarkEnd w:id="42"/>
      <w:bookmarkEnd w:id="43"/>
      <w:bookmarkEnd w:id="44"/>
      <w:bookmarkEnd w:id="45"/>
    </w:p>
    <w:p>
      <w:pPr>
        <w:pStyle w:val="2"/>
        <w:ind w:left="0" w:leftChars="0" w:firstLine="640" w:firstLineChars="200"/>
        <w:rPr>
          <w:rFonts w:hint="eastAsia" w:ascii="仿宋_GB2312" w:hAnsi="仿宋" w:eastAsia="仿宋_GB2312" w:cstheme="minorBidi"/>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截至</w:t>
      </w: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w:t>
      </w:r>
      <w:r>
        <w:rPr>
          <w:rFonts w:hint="default" w:ascii="Times New Roman" w:hAnsi="Times New Roman" w:eastAsia="仿宋_GB2312" w:cs="Times New Roman"/>
          <w:color w:val="auto"/>
          <w:kern w:val="2"/>
          <w:sz w:val="32"/>
          <w:szCs w:val="32"/>
          <w:highlight w:val="none"/>
          <w:lang w:val="en-US" w:eastAsia="zh-CN" w:bidi="ar-SA"/>
        </w:rPr>
        <w:t>12</w:t>
      </w:r>
      <w:r>
        <w:rPr>
          <w:rFonts w:hint="eastAsia" w:ascii="Times New Roman" w:hAnsi="Times New Roman" w:eastAsia="仿宋_GB2312" w:cs="Times New Roman"/>
          <w:color w:val="auto"/>
          <w:kern w:val="2"/>
          <w:sz w:val="32"/>
          <w:szCs w:val="32"/>
          <w:highlight w:val="none"/>
          <w:lang w:val="en-US" w:eastAsia="zh-CN" w:bidi="ar-SA"/>
        </w:rPr>
        <w:t>月</w:t>
      </w:r>
      <w:r>
        <w:rPr>
          <w:rFonts w:hint="default" w:ascii="Times New Roman" w:hAnsi="Times New Roman" w:eastAsia="仿宋_GB2312" w:cs="Times New Roman"/>
          <w:color w:val="auto"/>
          <w:kern w:val="2"/>
          <w:sz w:val="32"/>
          <w:szCs w:val="32"/>
          <w:highlight w:val="none"/>
          <w:lang w:val="en-US" w:eastAsia="zh-CN" w:bidi="ar-SA"/>
        </w:rPr>
        <w:t>31</w:t>
      </w:r>
      <w:r>
        <w:rPr>
          <w:rFonts w:hint="eastAsia" w:ascii="Times New Roman" w:hAnsi="Times New Roman" w:eastAsia="仿宋_GB2312" w:cs="Times New Roman"/>
          <w:color w:val="auto"/>
          <w:kern w:val="2"/>
          <w:sz w:val="32"/>
          <w:szCs w:val="32"/>
          <w:highlight w:val="none"/>
          <w:lang w:val="en-US" w:eastAsia="zh-CN" w:bidi="ar-SA"/>
        </w:rPr>
        <w:t>日，</w:t>
      </w: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年粤东西北地区和江门、肇庆</w:t>
      </w:r>
      <w:r>
        <w:rPr>
          <w:rFonts w:hint="eastAsia" w:ascii="仿宋_GB2312" w:hAnsi="仿宋_GB2312" w:eastAsia="仿宋_GB2312" w:cs="仿宋_GB2312"/>
          <w:color w:val="auto"/>
          <w:sz w:val="32"/>
          <w:highlight w:val="none"/>
        </w:rPr>
        <w:t>、惠</w:t>
      </w:r>
      <w:r>
        <w:rPr>
          <w:rFonts w:hint="eastAsia" w:ascii="Times New Roman" w:hAnsi="Times New Roman" w:eastAsia="仿宋_GB2312" w:cs="Times New Roman"/>
          <w:color w:val="auto"/>
          <w:kern w:val="2"/>
          <w:sz w:val="32"/>
          <w:szCs w:val="32"/>
          <w:highlight w:val="none"/>
          <w:lang w:val="en-US" w:eastAsia="zh-CN" w:bidi="ar-SA"/>
        </w:rPr>
        <w:t>州等</w:t>
      </w:r>
      <w:r>
        <w:rPr>
          <w:rFonts w:hint="default" w:ascii="Times New Roman" w:hAnsi="Times New Roman" w:eastAsia="仿宋_GB2312" w:cs="Times New Roman"/>
          <w:color w:val="auto"/>
          <w:kern w:val="2"/>
          <w:sz w:val="32"/>
          <w:szCs w:val="32"/>
          <w:highlight w:val="none"/>
          <w:lang w:val="en-US" w:eastAsia="zh-CN" w:bidi="ar-SA"/>
        </w:rPr>
        <w:t>15</w:t>
      </w:r>
      <w:r>
        <w:rPr>
          <w:rFonts w:hint="eastAsia" w:ascii="Times New Roman" w:hAnsi="Times New Roman" w:eastAsia="仿宋_GB2312" w:cs="Times New Roman"/>
          <w:color w:val="auto"/>
          <w:kern w:val="2"/>
          <w:sz w:val="32"/>
          <w:szCs w:val="32"/>
          <w:highlight w:val="none"/>
          <w:lang w:val="en-US" w:eastAsia="zh-CN" w:bidi="ar-SA"/>
        </w:rPr>
        <w:t>个地级市</w:t>
      </w:r>
      <w:r>
        <w:rPr>
          <w:rFonts w:hint="eastAsia" w:ascii="仿宋_GB2312" w:hAnsi="Times New Roman" w:eastAsia="仿宋_GB2312"/>
          <w:color w:val="auto"/>
          <w:kern w:val="2"/>
          <w:sz w:val="32"/>
          <w:highlight w:val="none"/>
          <w:lang w:eastAsia="zh-CN"/>
        </w:rPr>
        <w:t>城镇老旧小区改造</w:t>
      </w:r>
      <w:r>
        <w:rPr>
          <w:rFonts w:hint="eastAsia" w:ascii="仿宋_GB2312" w:hAnsi="Times New Roman"/>
          <w:color w:val="auto"/>
          <w:kern w:val="2"/>
          <w:sz w:val="32"/>
          <w:highlight w:val="none"/>
          <w:lang w:val="en-US" w:eastAsia="zh-CN"/>
        </w:rPr>
        <w:t>项目完成改造建筑面积</w:t>
      </w:r>
      <w:r>
        <w:rPr>
          <w:rFonts w:hint="default" w:ascii="Times New Roman" w:hAnsi="Times New Roman" w:cs="Times New Roman"/>
          <w:color w:val="auto"/>
          <w:kern w:val="2"/>
          <w:sz w:val="32"/>
          <w:highlight w:val="none"/>
          <w:lang w:val="en-US" w:eastAsia="zh-CN"/>
        </w:rPr>
        <w:t>1401</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82</w:t>
      </w:r>
      <w:r>
        <w:rPr>
          <w:rFonts w:hint="eastAsia" w:ascii="仿宋_GB2312" w:hAnsi="Times New Roman"/>
          <w:color w:val="auto"/>
          <w:kern w:val="2"/>
          <w:sz w:val="32"/>
          <w:highlight w:val="none"/>
          <w:lang w:val="en-US" w:eastAsia="zh-CN"/>
        </w:rPr>
        <w:t>万平方米、</w:t>
      </w:r>
      <w:r>
        <w:rPr>
          <w:rFonts w:hint="default" w:ascii="Times New Roman" w:hAnsi="Times New Roman" w:cs="Times New Roman"/>
          <w:color w:val="auto"/>
          <w:kern w:val="2"/>
          <w:sz w:val="32"/>
          <w:highlight w:val="none"/>
          <w:lang w:val="en-US" w:eastAsia="zh-CN"/>
        </w:rPr>
        <w:t>154903</w:t>
      </w:r>
      <w:r>
        <w:rPr>
          <w:rFonts w:hint="eastAsia" w:ascii="仿宋_GB2312" w:hAnsi="Times New Roman"/>
          <w:color w:val="auto"/>
          <w:kern w:val="2"/>
          <w:sz w:val="32"/>
          <w:highlight w:val="none"/>
          <w:lang w:val="en-US" w:eastAsia="zh-CN"/>
        </w:rPr>
        <w:t>户、</w:t>
      </w:r>
      <w:r>
        <w:rPr>
          <w:rFonts w:hint="default" w:ascii="Times New Roman" w:hAnsi="Times New Roman" w:cs="Times New Roman"/>
          <w:color w:val="auto"/>
          <w:kern w:val="2"/>
          <w:sz w:val="32"/>
          <w:highlight w:val="none"/>
          <w:lang w:val="en-US" w:eastAsia="zh-CN"/>
        </w:rPr>
        <w:t>15504</w:t>
      </w:r>
      <w:r>
        <w:rPr>
          <w:rFonts w:hint="eastAsia" w:ascii="仿宋_GB2312" w:hAnsi="Times New Roman"/>
          <w:color w:val="auto"/>
          <w:kern w:val="2"/>
          <w:sz w:val="32"/>
          <w:highlight w:val="none"/>
          <w:lang w:val="en-US" w:eastAsia="zh-CN"/>
        </w:rPr>
        <w:t>栋楼和</w:t>
      </w:r>
      <w:r>
        <w:rPr>
          <w:rFonts w:hint="default" w:ascii="Times New Roman" w:hAnsi="Times New Roman" w:cs="Times New Roman"/>
          <w:color w:val="auto"/>
          <w:kern w:val="2"/>
          <w:sz w:val="32"/>
          <w:highlight w:val="none"/>
          <w:lang w:val="en-US" w:eastAsia="zh-CN"/>
        </w:rPr>
        <w:t>1161</w:t>
      </w:r>
      <w:r>
        <w:rPr>
          <w:rFonts w:hint="eastAsia" w:ascii="仿宋_GB2312" w:hAnsi="Times New Roman"/>
          <w:color w:val="auto"/>
          <w:kern w:val="2"/>
          <w:sz w:val="32"/>
          <w:highlight w:val="none"/>
          <w:lang w:val="en-US" w:eastAsia="zh-CN"/>
        </w:rPr>
        <w:t>个小区，完成率分别为</w:t>
      </w:r>
      <w:r>
        <w:rPr>
          <w:rFonts w:hint="default" w:ascii="Times New Roman" w:hAnsi="Times New Roman" w:cs="Times New Roman"/>
          <w:color w:val="auto"/>
          <w:kern w:val="2"/>
          <w:sz w:val="32"/>
          <w:highlight w:val="none"/>
          <w:lang w:val="en-US" w:eastAsia="zh-CN"/>
        </w:rPr>
        <w:t>166</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62</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167</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82</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161</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92</w:t>
      </w:r>
      <w:r>
        <w:rPr>
          <w:rFonts w:hint="eastAsia" w:ascii="仿宋_GB2312" w:hAnsi="Times New Roman"/>
          <w:color w:val="auto"/>
          <w:kern w:val="2"/>
          <w:sz w:val="32"/>
          <w:highlight w:val="none"/>
          <w:lang w:val="en-US" w:eastAsia="zh-CN"/>
        </w:rPr>
        <w:t>%和</w:t>
      </w:r>
      <w:r>
        <w:rPr>
          <w:rFonts w:hint="default" w:ascii="Times New Roman" w:hAnsi="Times New Roman" w:cs="Times New Roman"/>
          <w:color w:val="auto"/>
          <w:kern w:val="2"/>
          <w:sz w:val="32"/>
          <w:highlight w:val="none"/>
          <w:lang w:val="en-US" w:eastAsia="zh-CN"/>
        </w:rPr>
        <w:t>165</w:t>
      </w:r>
      <w:r>
        <w:rPr>
          <w:rFonts w:hint="eastAsia" w:ascii="仿宋_GB2312" w:hAnsi="Times New Roman"/>
          <w:color w:val="auto"/>
          <w:kern w:val="2"/>
          <w:sz w:val="32"/>
          <w:highlight w:val="none"/>
          <w:lang w:val="en-US" w:eastAsia="zh-CN"/>
        </w:rPr>
        <w:t>.</w:t>
      </w:r>
      <w:r>
        <w:rPr>
          <w:rFonts w:hint="default" w:ascii="Times New Roman" w:hAnsi="Times New Roman" w:cs="Times New Roman"/>
          <w:color w:val="auto"/>
          <w:kern w:val="2"/>
          <w:sz w:val="32"/>
          <w:highlight w:val="none"/>
          <w:lang w:val="en-US" w:eastAsia="zh-CN"/>
        </w:rPr>
        <w:t>86</w:t>
      </w:r>
      <w:r>
        <w:rPr>
          <w:rFonts w:hint="eastAsia" w:ascii="仿宋_GB2312" w:hAnsi="Times New Roman"/>
          <w:color w:val="auto"/>
          <w:kern w:val="2"/>
          <w:sz w:val="32"/>
          <w:highlight w:val="none"/>
          <w:lang w:val="en-US" w:eastAsia="zh-CN"/>
        </w:rPr>
        <w:t>%，均超额完成任务。</w:t>
      </w:r>
      <w:r>
        <w:rPr>
          <w:rFonts w:hint="eastAsia" w:ascii="仿宋_GB2312" w:hAnsi="仿宋" w:eastAsia="仿宋_GB2312" w:cstheme="minorBidi"/>
          <w:color w:val="auto"/>
          <w:kern w:val="2"/>
          <w:sz w:val="32"/>
          <w:szCs w:val="24"/>
          <w:highlight w:val="none"/>
          <w:lang w:val="en-US" w:eastAsia="zh-CN" w:bidi="ar-SA"/>
        </w:rPr>
        <w:t>老旧小区改造工作，改善了居民的生活环境，降低了安全隐患，解决了居民反映强烈的问题。居民生活环境显著改善，进一步满足居民生活便利需要和改善型生活需求，让居民的生活更方便、更舒心、更美好。居民满意度</w:t>
      </w:r>
      <w:r>
        <w:rPr>
          <w:rFonts w:hint="eastAsia" w:ascii="仿宋_GB2312" w:hAnsi="仿宋" w:cstheme="minorBidi"/>
          <w:color w:val="auto"/>
          <w:kern w:val="2"/>
          <w:sz w:val="32"/>
          <w:szCs w:val="24"/>
          <w:highlight w:val="none"/>
          <w:lang w:val="en-US" w:eastAsia="zh-CN" w:bidi="ar-SA"/>
        </w:rPr>
        <w:t>为</w:t>
      </w:r>
      <w:r>
        <w:rPr>
          <w:rFonts w:hint="default" w:ascii="Times New Roman" w:hAnsi="Times New Roman" w:cs="Times New Roman"/>
          <w:color w:val="auto"/>
          <w:kern w:val="2"/>
          <w:sz w:val="32"/>
          <w:szCs w:val="24"/>
          <w:highlight w:val="none"/>
          <w:lang w:val="en-US" w:eastAsia="zh-CN" w:bidi="ar-SA"/>
        </w:rPr>
        <w:t>93</w:t>
      </w:r>
      <w:r>
        <w:rPr>
          <w:rFonts w:hint="eastAsia" w:ascii="仿宋_GB2312" w:hAnsi="仿宋" w:cstheme="minorBidi"/>
          <w:color w:val="auto"/>
          <w:kern w:val="2"/>
          <w:sz w:val="32"/>
          <w:szCs w:val="24"/>
          <w:highlight w:val="none"/>
          <w:lang w:val="en-US" w:eastAsia="zh-CN" w:bidi="ar-SA"/>
        </w:rPr>
        <w:t>.</w:t>
      </w:r>
      <w:r>
        <w:rPr>
          <w:rFonts w:hint="default" w:ascii="Times New Roman" w:hAnsi="Times New Roman" w:cs="Times New Roman"/>
          <w:color w:val="auto"/>
          <w:kern w:val="2"/>
          <w:sz w:val="32"/>
          <w:szCs w:val="24"/>
          <w:highlight w:val="none"/>
          <w:lang w:val="en-US" w:eastAsia="zh-CN" w:bidi="ar-SA"/>
        </w:rPr>
        <w:t>25</w:t>
      </w:r>
      <w:r>
        <w:rPr>
          <w:rFonts w:hint="eastAsia" w:ascii="仿宋_GB2312" w:hAnsi="仿宋" w:cstheme="minorBidi"/>
          <w:color w:val="auto"/>
          <w:kern w:val="2"/>
          <w:sz w:val="32"/>
          <w:szCs w:val="24"/>
          <w:highlight w:val="none"/>
          <w:lang w:val="en-US" w:eastAsia="zh-CN" w:bidi="ar-SA"/>
        </w:rPr>
        <w:t>%</w:t>
      </w:r>
      <w:r>
        <w:rPr>
          <w:rFonts w:hint="eastAsia" w:ascii="仿宋_GB2312" w:hAnsi="仿宋" w:eastAsia="仿宋_GB2312" w:cstheme="minorBidi"/>
          <w:color w:val="auto"/>
          <w:kern w:val="2"/>
          <w:sz w:val="32"/>
          <w:szCs w:val="24"/>
          <w:highlight w:val="none"/>
          <w:lang w:val="en-US" w:eastAsia="zh-CN" w:bidi="ar-SA"/>
        </w:rPr>
        <w:t>，居民的获得感、幸福感和安全感进一步提升。</w:t>
      </w:r>
    </w:p>
    <w:p>
      <w:pPr>
        <w:pStyle w:val="3"/>
        <w:spacing w:before="0" w:after="0" w:line="360" w:lineRule="auto"/>
        <w:ind w:firstLine="642" w:firstLineChars="200"/>
        <w:outlineLvl w:val="2"/>
        <w:rPr>
          <w:rFonts w:hint="eastAsia" w:ascii="仿宋_GB2312" w:hAnsi="仿宋" w:eastAsia="仿宋_GB2312"/>
          <w:color w:val="auto"/>
          <w:highlight w:val="none"/>
          <w:lang w:val="en-US" w:eastAsia="zh-CN"/>
        </w:rPr>
      </w:pPr>
      <w:bookmarkStart w:id="46" w:name="_Toc24670"/>
      <w:bookmarkStart w:id="47" w:name="_Toc12713"/>
      <w:bookmarkStart w:id="48" w:name="_Toc12647"/>
      <w:r>
        <w:rPr>
          <w:rFonts w:hint="default" w:ascii="Times New Roman" w:hAnsi="Times New Roman" w:eastAsia="仿宋_GB2312" w:cs="Times New Roman"/>
          <w:color w:val="auto"/>
          <w:highlight w:val="none"/>
        </w:rPr>
        <w:t>3</w:t>
      </w:r>
      <w:r>
        <w:rPr>
          <w:rFonts w:hint="eastAsia" w:ascii="仿宋_GB2312" w:hAnsi="仿宋" w:eastAsia="仿宋_GB2312"/>
          <w:color w:val="auto"/>
          <w:highlight w:val="none"/>
        </w:rPr>
        <w:t>.专项资金分用途使用绩效。</w:t>
      </w:r>
      <w:bookmarkEnd w:id="46"/>
      <w:bookmarkEnd w:id="47"/>
      <w:bookmarkEnd w:id="48"/>
    </w:p>
    <w:bookmarkEnd w:id="37"/>
    <w:p>
      <w:pPr>
        <w:pStyle w:val="3"/>
        <w:spacing w:before="0" w:after="0" w:line="360" w:lineRule="auto"/>
        <w:ind w:firstLine="642" w:firstLineChars="200"/>
        <w:outlineLvl w:val="3"/>
        <w:rPr>
          <w:rFonts w:hint="eastAsia" w:ascii="仿宋_GB2312" w:hAnsi="仿宋" w:eastAsia="仿宋_GB2312"/>
          <w:color w:val="auto"/>
          <w:highlight w:val="none"/>
          <w:lang w:val="en-US" w:eastAsia="zh-CN"/>
        </w:rPr>
      </w:pPr>
      <w:bookmarkStart w:id="49" w:name="_Toc18709"/>
      <w:bookmarkStart w:id="50" w:name="_Toc7832"/>
      <w:bookmarkStart w:id="51" w:name="_Toc1383"/>
      <w:bookmarkStart w:id="52" w:name="_Toc18262"/>
      <w:bookmarkStart w:id="53" w:name="_Toc32041"/>
      <w:bookmarkStart w:id="54" w:name="_Toc6266"/>
      <w:bookmarkStart w:id="55" w:name="_Toc4184"/>
      <w:bookmarkStart w:id="56" w:name="_Toc512491983"/>
      <w:r>
        <w:rPr>
          <w:rFonts w:hint="eastAsia" w:ascii="仿宋_GB2312" w:hAnsi="仿宋" w:eastAsia="仿宋_GB2312"/>
          <w:color w:val="auto"/>
          <w:highlight w:val="none"/>
        </w:rPr>
        <w:t>（</w:t>
      </w:r>
      <w:r>
        <w:rPr>
          <w:rFonts w:hint="default" w:ascii="Times New Roman" w:hAnsi="Times New Roman" w:eastAsia="仿宋_GB2312" w:cs="Times New Roman"/>
          <w:color w:val="auto"/>
          <w:highlight w:val="none"/>
          <w:lang w:val="en-US" w:eastAsia="zh-CN"/>
        </w:rPr>
        <w:t>1</w:t>
      </w:r>
      <w:r>
        <w:rPr>
          <w:rFonts w:hint="eastAsia" w:ascii="仿宋_GB2312" w:hAnsi="仿宋" w:eastAsia="仿宋_GB2312"/>
          <w:color w:val="auto"/>
          <w:highlight w:val="none"/>
        </w:rPr>
        <w:t>）年度目标任务全面完成，</w:t>
      </w:r>
      <w:bookmarkEnd w:id="49"/>
      <w:bookmarkEnd w:id="50"/>
      <w:bookmarkEnd w:id="51"/>
      <w:bookmarkEnd w:id="52"/>
      <w:r>
        <w:rPr>
          <w:rFonts w:hint="eastAsia" w:ascii="仿宋_GB2312" w:hAnsi="Times New Roman" w:eastAsia="仿宋_GB2312"/>
          <w:b/>
          <w:bCs/>
          <w:color w:val="auto"/>
          <w:kern w:val="2"/>
          <w:sz w:val="32"/>
          <w:highlight w:val="none"/>
          <w:lang w:val="en-US" w:eastAsia="zh-CN"/>
        </w:rPr>
        <w:t>提升老旧小区环境品质</w:t>
      </w:r>
      <w:r>
        <w:rPr>
          <w:rFonts w:hint="eastAsia" w:ascii="仿宋_GB2312" w:hAnsi="仿宋" w:eastAsia="仿宋_GB2312"/>
          <w:color w:val="auto"/>
          <w:highlight w:val="none"/>
          <w:lang w:eastAsia="zh-CN"/>
        </w:rPr>
        <w:t>。</w:t>
      </w:r>
    </w:p>
    <w:p>
      <w:pPr>
        <w:numPr>
          <w:ilvl w:val="0"/>
          <w:numId w:val="0"/>
        </w:numPr>
        <w:ind w:firstLine="640" w:firstLineChars="200"/>
        <w:rPr>
          <w:rFonts w:hint="eastAsia" w:ascii="仿宋_GB2312" w:hAnsi="仿宋" w:eastAsia="仿宋_GB2312"/>
          <w:color w:val="auto"/>
          <w:sz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年粤东西北地区和江门、肇庆</w:t>
      </w:r>
      <w:r>
        <w:rPr>
          <w:rFonts w:hint="eastAsia" w:ascii="仿宋_GB2312" w:hAnsi="仿宋_GB2312" w:eastAsia="仿宋_GB2312" w:cs="仿宋_GB2312"/>
          <w:color w:val="auto"/>
          <w:sz w:val="32"/>
          <w:highlight w:val="none"/>
        </w:rPr>
        <w:t>、惠</w:t>
      </w:r>
      <w:r>
        <w:rPr>
          <w:rFonts w:hint="eastAsia" w:ascii="Times New Roman" w:hAnsi="Times New Roman" w:eastAsia="仿宋_GB2312" w:cs="Times New Roman"/>
          <w:color w:val="auto"/>
          <w:kern w:val="2"/>
          <w:sz w:val="32"/>
          <w:szCs w:val="32"/>
          <w:highlight w:val="none"/>
          <w:lang w:val="en-US" w:eastAsia="zh-CN" w:bidi="ar-SA"/>
        </w:rPr>
        <w:t>州等</w:t>
      </w:r>
      <w:r>
        <w:rPr>
          <w:rFonts w:hint="default" w:ascii="Times New Roman" w:hAnsi="Times New Roman" w:eastAsia="仿宋_GB2312" w:cs="Times New Roman"/>
          <w:color w:val="auto"/>
          <w:kern w:val="2"/>
          <w:sz w:val="32"/>
          <w:szCs w:val="32"/>
          <w:highlight w:val="none"/>
          <w:lang w:val="en-US" w:eastAsia="zh-CN" w:bidi="ar-SA"/>
        </w:rPr>
        <w:t>15</w:t>
      </w:r>
      <w:r>
        <w:rPr>
          <w:rFonts w:hint="eastAsia" w:ascii="Times New Roman" w:hAnsi="Times New Roman" w:eastAsia="仿宋_GB2312" w:cs="Times New Roman"/>
          <w:color w:val="auto"/>
          <w:kern w:val="2"/>
          <w:sz w:val="32"/>
          <w:szCs w:val="32"/>
          <w:highlight w:val="none"/>
          <w:lang w:val="en-US" w:eastAsia="zh-CN" w:bidi="ar-SA"/>
        </w:rPr>
        <w:t>个地级市</w:t>
      </w:r>
      <w:r>
        <w:rPr>
          <w:rFonts w:hint="eastAsia" w:ascii="仿宋_GB2312" w:hAnsi="Times New Roman" w:eastAsia="仿宋_GB2312" w:cs="Times New Roman"/>
          <w:color w:val="auto"/>
          <w:kern w:val="0"/>
          <w:sz w:val="32"/>
          <w:szCs w:val="20"/>
          <w:highlight w:val="none"/>
          <w:lang w:val="en-US" w:eastAsia="zh-CN" w:bidi="ar-SA"/>
        </w:rPr>
        <w:t>实际完成</w:t>
      </w:r>
      <w:r>
        <w:rPr>
          <w:rFonts w:hint="eastAsia" w:ascii="仿宋_GB2312" w:hAnsi="Times New Roman" w:eastAsia="仿宋_GB2312" w:cs="Times New Roman"/>
          <w:color w:val="auto"/>
          <w:kern w:val="0"/>
          <w:sz w:val="32"/>
          <w:szCs w:val="20"/>
          <w:highlight w:val="none"/>
        </w:rPr>
        <w:t>新开工改造城镇老旧小区</w:t>
      </w:r>
      <w:r>
        <w:rPr>
          <w:rFonts w:hint="default" w:ascii="Times New Roman" w:hAnsi="Times New Roman" w:eastAsia="仿宋_GB2312" w:cs="Times New Roman"/>
          <w:color w:val="auto"/>
          <w:kern w:val="0"/>
          <w:sz w:val="32"/>
          <w:szCs w:val="20"/>
          <w:highlight w:val="none"/>
        </w:rPr>
        <w:t>1161</w:t>
      </w:r>
      <w:r>
        <w:rPr>
          <w:rFonts w:hint="eastAsia" w:ascii="仿宋_GB2312" w:hAnsi="Times New Roman" w:eastAsia="仿宋_GB2312" w:cs="Times New Roman"/>
          <w:color w:val="auto"/>
          <w:kern w:val="0"/>
          <w:sz w:val="32"/>
          <w:szCs w:val="20"/>
          <w:highlight w:val="none"/>
          <w:lang w:val="en-US" w:eastAsia="zh-CN"/>
        </w:rPr>
        <w:t>个，</w:t>
      </w:r>
      <w:r>
        <w:rPr>
          <w:rFonts w:hint="eastAsia" w:ascii="仿宋_GB2312" w:hAnsi="仿宋_GB2312" w:eastAsia="仿宋_GB2312" w:cs="仿宋_GB2312"/>
          <w:color w:val="auto"/>
          <w:sz w:val="32"/>
          <w:highlight w:val="none"/>
          <w:lang w:val="en-US" w:eastAsia="zh-CN"/>
        </w:rPr>
        <w:t>全面</w:t>
      </w:r>
      <w:r>
        <w:rPr>
          <w:rFonts w:hint="eastAsia" w:ascii="仿宋_GB2312" w:hAnsi="仿宋_GB2312" w:eastAsia="仿宋_GB2312" w:cs="仿宋_GB2312"/>
          <w:color w:val="auto"/>
          <w:sz w:val="32"/>
          <w:highlight w:val="none"/>
          <w:lang w:eastAsia="zh-CN"/>
        </w:rPr>
        <w:t>完成了</w:t>
      </w:r>
      <w:r>
        <w:rPr>
          <w:rFonts w:hint="default" w:ascii="Times New Roman" w:hAnsi="Times New Roman" w:eastAsia="仿宋_GB2312" w:cs="Times New Roman"/>
          <w:color w:val="auto"/>
          <w:kern w:val="2"/>
          <w:sz w:val="32"/>
          <w:szCs w:val="24"/>
          <w:highlight w:val="none"/>
          <w:lang w:val="en-US" w:eastAsia="zh-CN" w:bidi="ar-SA"/>
        </w:rPr>
        <w:t>2024</w:t>
      </w:r>
      <w:r>
        <w:rPr>
          <w:rFonts w:hint="eastAsia" w:ascii="仿宋_GB2312" w:hAnsi="仿宋" w:eastAsia="仿宋_GB2312" w:cstheme="minorBidi"/>
          <w:color w:val="auto"/>
          <w:kern w:val="2"/>
          <w:sz w:val="32"/>
          <w:szCs w:val="24"/>
          <w:highlight w:val="none"/>
          <w:lang w:val="en-US" w:eastAsia="zh-CN" w:bidi="ar-SA"/>
        </w:rPr>
        <w:t>年</w:t>
      </w:r>
      <w:r>
        <w:rPr>
          <w:rFonts w:hint="eastAsia" w:ascii="仿宋_GB2312" w:hAnsi="Times New Roman" w:eastAsia="仿宋_GB2312"/>
          <w:color w:val="auto"/>
          <w:kern w:val="2"/>
          <w:sz w:val="32"/>
          <w:highlight w:val="none"/>
          <w:lang w:eastAsia="zh-CN"/>
        </w:rPr>
        <w:t>城镇老旧小区改造</w:t>
      </w:r>
      <w:r>
        <w:rPr>
          <w:rFonts w:hint="eastAsia" w:ascii="仿宋_GB2312" w:hAnsi="仿宋_GB2312" w:eastAsia="仿宋_GB2312" w:cs="仿宋_GB2312"/>
          <w:color w:val="auto"/>
          <w:sz w:val="32"/>
          <w:highlight w:val="none"/>
          <w:lang w:eastAsia="zh-CN"/>
        </w:rPr>
        <w:t>计划任务，有效补齐了</w:t>
      </w:r>
      <w:r>
        <w:rPr>
          <w:rFonts w:hint="eastAsia" w:ascii="仿宋_GB2312" w:hAnsi="仿宋_GB2312" w:eastAsia="仿宋_GB2312" w:cs="仿宋_GB2312"/>
          <w:color w:val="auto"/>
          <w:sz w:val="32"/>
          <w:highlight w:val="none"/>
          <w:lang w:val="en-US" w:eastAsia="zh-CN"/>
        </w:rPr>
        <w:t>城镇</w:t>
      </w:r>
      <w:r>
        <w:rPr>
          <w:rFonts w:hint="eastAsia" w:ascii="仿宋_GB2312" w:hAnsi="仿宋_GB2312" w:eastAsia="仿宋_GB2312" w:cs="仿宋_GB2312"/>
          <w:color w:val="auto"/>
          <w:sz w:val="32"/>
          <w:highlight w:val="none"/>
          <w:lang w:eastAsia="zh-CN"/>
        </w:rPr>
        <w:t>老旧小区基础设施短板，完善了</w:t>
      </w:r>
      <w:r>
        <w:rPr>
          <w:rFonts w:hint="eastAsia" w:ascii="仿宋_GB2312" w:hAnsi="仿宋_GB2312" w:eastAsia="仿宋_GB2312" w:cs="仿宋_GB2312"/>
          <w:color w:val="auto"/>
          <w:sz w:val="32"/>
          <w:highlight w:val="none"/>
          <w:lang w:val="en-US" w:eastAsia="zh-CN"/>
        </w:rPr>
        <w:t>城镇</w:t>
      </w:r>
      <w:r>
        <w:rPr>
          <w:rFonts w:hint="eastAsia" w:ascii="仿宋_GB2312" w:hAnsi="仿宋_GB2312" w:eastAsia="仿宋_GB2312" w:cs="仿宋_GB2312"/>
          <w:color w:val="auto"/>
          <w:sz w:val="32"/>
          <w:highlight w:val="none"/>
          <w:lang w:eastAsia="zh-CN"/>
        </w:rPr>
        <w:t>老旧小区服务配套设施。</w:t>
      </w:r>
      <w:r>
        <w:rPr>
          <w:rFonts w:hint="eastAsia" w:ascii="仿宋_GB2312" w:hAnsi="仿宋" w:eastAsia="仿宋_GB2312"/>
          <w:color w:val="auto"/>
          <w:sz w:val="32"/>
          <w:highlight w:val="none"/>
        </w:rPr>
        <w:t>老旧小区改造充分结合居民意愿、因地制宜地开展，以修缮完善老旧小区的配套基础设施和公共服务设施、建筑外立面及楼道，完善消防、卫生、体育活动设施和划定车位、加建充电桩等为重点，</w:t>
      </w:r>
      <w:r>
        <w:rPr>
          <w:rFonts w:hint="eastAsia" w:ascii="仿宋_GB2312" w:hAnsi="仿宋_GB2312" w:eastAsia="仿宋_GB2312" w:cs="仿宋_GB2312"/>
          <w:color w:val="auto"/>
          <w:sz w:val="32"/>
          <w:highlight w:val="none"/>
          <w:lang w:eastAsia="zh-CN"/>
        </w:rPr>
        <w:t>水电气信等老旧管线做到应改尽改，大力推进加装电梯增进居民生活便利，</w:t>
      </w:r>
      <w:r>
        <w:rPr>
          <w:rFonts w:hint="eastAsia" w:ascii="仿宋_GB2312" w:hAnsi="仿宋" w:eastAsia="仿宋_GB2312"/>
          <w:color w:val="auto"/>
          <w:sz w:val="32"/>
          <w:highlight w:val="none"/>
        </w:rPr>
        <w:t>通过改造使原本陈旧、功能缺失的老旧小区面貌焕然一新</w:t>
      </w:r>
      <w:r>
        <w:rPr>
          <w:rFonts w:hint="eastAsia" w:ascii="仿宋_GB2312" w:hAnsi="仿宋" w:eastAsia="仿宋_GB2312"/>
          <w:color w:val="auto"/>
          <w:sz w:val="32"/>
          <w:highlight w:val="none"/>
          <w:lang w:eastAsia="zh-CN"/>
        </w:rPr>
        <w:t>。</w:t>
      </w:r>
      <w:bookmarkStart w:id="57" w:name="_Toc14730"/>
      <w:bookmarkStart w:id="58" w:name="_Toc32719"/>
      <w:bookmarkStart w:id="59" w:name="_Toc16419"/>
      <w:bookmarkStart w:id="60" w:name="_Toc12011"/>
    </w:p>
    <w:p>
      <w:pPr>
        <w:pStyle w:val="2"/>
        <w:numPr>
          <w:ilvl w:val="0"/>
          <w:numId w:val="0"/>
        </w:numPr>
        <w:ind w:left="0" w:leftChars="0" w:firstLine="0" w:firstLineChars="0"/>
        <w:outlineLvl w:val="3"/>
        <w:rPr>
          <w:rFonts w:hint="eastAsia" w:ascii="仿宋_GB2312" w:hAnsi="仿宋" w:eastAsia="仿宋_GB2312" w:cstheme="minorBidi"/>
          <w:b/>
          <w:bCs/>
          <w:color w:val="auto"/>
          <w:kern w:val="0"/>
          <w:sz w:val="32"/>
          <w:szCs w:val="32"/>
          <w:highlight w:val="none"/>
          <w:lang w:val="en-US" w:eastAsia="zh-CN" w:bidi="ar-SA"/>
        </w:rPr>
      </w:pPr>
      <w:r>
        <w:rPr>
          <w:rFonts w:hint="eastAsia" w:ascii="仿宋_GB2312" w:hAnsi="仿宋" w:cstheme="minorBidi"/>
          <w:b/>
          <w:bCs/>
          <w:color w:val="auto"/>
          <w:kern w:val="0"/>
          <w:sz w:val="32"/>
          <w:szCs w:val="32"/>
          <w:highlight w:val="none"/>
          <w:lang w:val="en-US" w:eastAsia="zh-CN" w:bidi="ar-SA"/>
        </w:rPr>
        <w:t xml:space="preserve">   （</w:t>
      </w:r>
      <w:r>
        <w:rPr>
          <w:rFonts w:hint="default" w:ascii="Times New Roman" w:hAnsi="Times New Roman" w:cs="Times New Roman"/>
          <w:b/>
          <w:bCs/>
          <w:color w:val="auto"/>
          <w:kern w:val="0"/>
          <w:sz w:val="32"/>
          <w:szCs w:val="32"/>
          <w:highlight w:val="none"/>
          <w:lang w:val="en-US" w:eastAsia="zh-CN" w:bidi="ar-SA"/>
        </w:rPr>
        <w:t>2</w:t>
      </w:r>
      <w:r>
        <w:rPr>
          <w:rFonts w:hint="eastAsia" w:ascii="仿宋_GB2312" w:hAnsi="仿宋" w:cstheme="minorBidi"/>
          <w:b/>
          <w:bCs/>
          <w:color w:val="auto"/>
          <w:kern w:val="0"/>
          <w:sz w:val="32"/>
          <w:szCs w:val="32"/>
          <w:highlight w:val="none"/>
          <w:lang w:val="en-US" w:eastAsia="zh-CN" w:bidi="ar-SA"/>
        </w:rPr>
        <w:t>）</w:t>
      </w:r>
      <w:r>
        <w:rPr>
          <w:rFonts w:hint="eastAsia" w:ascii="仿宋_GB2312" w:hAnsi="仿宋" w:eastAsia="仿宋_GB2312" w:cstheme="minorBidi"/>
          <w:b/>
          <w:bCs/>
          <w:color w:val="auto"/>
          <w:kern w:val="0"/>
          <w:sz w:val="32"/>
          <w:szCs w:val="32"/>
          <w:highlight w:val="none"/>
          <w:lang w:val="en-US" w:eastAsia="zh-CN" w:bidi="ar-SA"/>
        </w:rPr>
        <w:t>完成</w:t>
      </w:r>
      <w:r>
        <w:rPr>
          <w:rFonts w:hint="default" w:ascii="Times New Roman" w:hAnsi="Times New Roman" w:eastAsia="仿宋_GB2312" w:cs="Times New Roman"/>
          <w:b/>
          <w:bCs/>
          <w:color w:val="auto"/>
          <w:kern w:val="0"/>
          <w:sz w:val="32"/>
          <w:szCs w:val="32"/>
          <w:highlight w:val="none"/>
          <w:lang w:val="en-US" w:eastAsia="zh-CN" w:bidi="ar-SA"/>
        </w:rPr>
        <w:t>2023</w:t>
      </w:r>
      <w:r>
        <w:rPr>
          <w:rFonts w:hint="eastAsia" w:ascii="仿宋_GB2312" w:hAnsi="仿宋" w:eastAsia="仿宋_GB2312" w:cstheme="minorBidi"/>
          <w:b/>
          <w:bCs/>
          <w:color w:val="auto"/>
          <w:kern w:val="0"/>
          <w:sz w:val="32"/>
          <w:szCs w:val="32"/>
          <w:highlight w:val="none"/>
          <w:lang w:val="en-US" w:eastAsia="zh-CN" w:bidi="ar-SA"/>
        </w:rPr>
        <w:t>年重点评价问题整改“回头看”，确保整改成效落地落实。</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default" w:ascii="仿宋_GB2312" w:hAnsi="仿宋" w:eastAsia="仿宋_GB2312"/>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2023</w:t>
      </w:r>
      <w:r>
        <w:rPr>
          <w:rFonts w:hint="eastAsia" w:ascii="仿宋_GB2312" w:hAnsi="仿宋" w:eastAsia="仿宋_GB2312"/>
          <w:color w:val="auto"/>
          <w:sz w:val="32"/>
          <w:highlight w:val="none"/>
          <w:lang w:val="en-US" w:eastAsia="zh-CN"/>
        </w:rPr>
        <w:t>年广东省十件民生实事（第三件：持续推进城镇保障性安居工程建设）省级财政资金重点绩效评价发现问题清单</w:t>
      </w:r>
      <w:r>
        <w:rPr>
          <w:rFonts w:hint="eastAsia" w:ascii="仿宋_GB2312" w:hAnsi="仿宋"/>
          <w:color w:val="auto"/>
          <w:sz w:val="32"/>
          <w:highlight w:val="none"/>
          <w:lang w:val="en-US" w:eastAsia="zh-CN"/>
        </w:rPr>
        <w:t>提出</w:t>
      </w:r>
      <w:r>
        <w:rPr>
          <w:rFonts w:hint="default" w:ascii="Times New Roman" w:hAnsi="Times New Roman" w:cs="Times New Roman"/>
          <w:color w:val="auto"/>
          <w:sz w:val="32"/>
          <w:highlight w:val="none"/>
          <w:lang w:val="en-US" w:eastAsia="zh-CN"/>
        </w:rPr>
        <w:t>2023</w:t>
      </w:r>
      <w:r>
        <w:rPr>
          <w:rFonts w:hint="eastAsia" w:ascii="仿宋_GB2312" w:hAnsi="仿宋"/>
          <w:color w:val="auto"/>
          <w:sz w:val="32"/>
          <w:highlight w:val="none"/>
          <w:lang w:val="en-US" w:eastAsia="zh-CN"/>
        </w:rPr>
        <w:t>年</w:t>
      </w:r>
      <w:r>
        <w:rPr>
          <w:rFonts w:hint="eastAsia" w:ascii="仿宋_GB2312" w:hAnsi="Times New Roman" w:eastAsia="仿宋_GB2312"/>
          <w:color w:val="auto"/>
          <w:kern w:val="2"/>
          <w:sz w:val="32"/>
          <w:highlight w:val="none"/>
          <w:lang w:eastAsia="zh-CN"/>
        </w:rPr>
        <w:t>城镇老旧小区改造</w:t>
      </w:r>
      <w:r>
        <w:rPr>
          <w:rFonts w:hint="eastAsia" w:ascii="仿宋_GB2312" w:hAnsi="Times New Roman"/>
          <w:color w:val="auto"/>
          <w:kern w:val="2"/>
          <w:sz w:val="32"/>
          <w:highlight w:val="none"/>
          <w:lang w:val="en-US" w:eastAsia="zh-CN"/>
        </w:rPr>
        <w:t>项目存在“绩效指标的年度目标值设置合理性不足；省级专项资金分配方式存在优化空间”等问题。我厅高度重视，迅速组织力量进行整改。在整改过程中，不仅聚焦问题本身，还注重从制度层面查找漏洞，完善工作机制，确保问题不再反弹。</w:t>
      </w:r>
      <w:r>
        <w:rPr>
          <w:rFonts w:hint="eastAsia" w:ascii="仿宋_GB2312" w:hAnsi="Times New Roman"/>
          <w:b/>
          <w:bCs/>
          <w:color w:val="auto"/>
          <w:kern w:val="2"/>
          <w:sz w:val="32"/>
          <w:highlight w:val="none"/>
          <w:lang w:val="en-US" w:eastAsia="zh-CN"/>
        </w:rPr>
        <w:t>一是</w:t>
      </w:r>
      <w:r>
        <w:rPr>
          <w:rFonts w:hint="eastAsia" w:ascii="仿宋_GB2312" w:hAnsi="Times New Roman"/>
          <w:color w:val="auto"/>
          <w:kern w:val="2"/>
          <w:sz w:val="32"/>
          <w:highlight w:val="none"/>
          <w:lang w:val="en-US" w:eastAsia="zh-CN"/>
        </w:rPr>
        <w:t>我厅加强资金绩效评价工作，确保在下一年度完成更科学、合理、完整的绩效指标设置。</w:t>
      </w:r>
      <w:r>
        <w:rPr>
          <w:rFonts w:hint="eastAsia" w:ascii="仿宋_GB2312" w:hAnsi="Times New Roman"/>
          <w:b/>
          <w:bCs/>
          <w:color w:val="auto"/>
          <w:kern w:val="2"/>
          <w:sz w:val="32"/>
          <w:highlight w:val="none"/>
          <w:lang w:val="en-US" w:eastAsia="zh-CN"/>
        </w:rPr>
        <w:t>二是</w:t>
      </w:r>
      <w:r>
        <w:rPr>
          <w:rFonts w:hint="eastAsia" w:ascii="仿宋_GB2312" w:hAnsi="Times New Roman"/>
          <w:color w:val="auto"/>
          <w:kern w:val="2"/>
          <w:sz w:val="32"/>
          <w:highlight w:val="none"/>
          <w:lang w:val="en-US" w:eastAsia="zh-CN"/>
        </w:rPr>
        <w:t>我厅根据每年</w:t>
      </w:r>
      <w:r>
        <w:rPr>
          <w:rFonts w:hint="eastAsia" w:ascii="仿宋_GB2312" w:hAnsi="Times New Roman" w:eastAsia="仿宋_GB2312"/>
          <w:color w:val="auto"/>
          <w:kern w:val="2"/>
          <w:sz w:val="32"/>
          <w:highlight w:val="none"/>
          <w:lang w:eastAsia="zh-CN"/>
        </w:rPr>
        <w:t>城镇老旧小区改造</w:t>
      </w:r>
      <w:r>
        <w:rPr>
          <w:rFonts w:hint="eastAsia" w:ascii="仿宋_GB2312" w:hAnsi="Times New Roman"/>
          <w:color w:val="auto"/>
          <w:kern w:val="2"/>
          <w:sz w:val="32"/>
          <w:highlight w:val="none"/>
          <w:lang w:val="en-US" w:eastAsia="zh-CN"/>
        </w:rPr>
        <w:t>目标任务的变动情况，不断持续优化资金分配方式，提高资金使用效益。同时，指导各地级以上市进一步熟悉掌握住房保障政策、制度，围绕年度绩效目标优化资金分配方式，合规合理分配专项资金，使财政资金使用效益最大化。此次“回头看”工作，我厅对整改情况进行了全面复查。从复查结果来看，之前发现的问题已得到有效解决，相关工作流程更加规范，工作效率也有了显著提升。我厅还以此次“回头看”为契机，进一步强化了对相关工作的日常监管，确保各项工作在规范的轨道上高质量推进。</w:t>
      </w:r>
    </w:p>
    <w:p>
      <w:pPr>
        <w:pStyle w:val="2"/>
        <w:keepNext w:val="0"/>
        <w:keepLines w:val="0"/>
        <w:pageBreakBefore w:val="0"/>
        <w:widowControl w:val="0"/>
        <w:numPr>
          <w:ilvl w:val="0"/>
          <w:numId w:val="0"/>
        </w:numPr>
        <w:kinsoku/>
        <w:wordWrap/>
        <w:overflowPunct/>
        <w:topLinePunct w:val="0"/>
        <w:autoSpaceDE/>
        <w:autoSpaceDN/>
        <w:bidi w:val="0"/>
        <w:adjustRightInd/>
        <w:snapToGrid/>
        <w:ind w:left="0" w:leftChars="0" w:firstLine="642" w:firstLineChars="200"/>
        <w:textAlignment w:val="auto"/>
        <w:outlineLvl w:val="3"/>
        <w:rPr>
          <w:rFonts w:hint="eastAsia" w:ascii="仿宋_GB2312" w:hAnsi="仿宋" w:eastAsia="仿宋_GB2312" w:cstheme="minorBidi"/>
          <w:b/>
          <w:bCs/>
          <w:color w:val="auto"/>
          <w:kern w:val="0"/>
          <w:sz w:val="32"/>
          <w:szCs w:val="32"/>
          <w:highlight w:val="none"/>
          <w:lang w:val="en-US" w:eastAsia="zh-CN" w:bidi="ar-SA"/>
        </w:rPr>
      </w:pPr>
      <w:r>
        <w:rPr>
          <w:rFonts w:hint="eastAsia" w:ascii="仿宋_GB2312" w:hAnsi="仿宋" w:cstheme="minorBidi"/>
          <w:b/>
          <w:bCs/>
          <w:color w:val="auto"/>
          <w:kern w:val="0"/>
          <w:sz w:val="32"/>
          <w:szCs w:val="32"/>
          <w:highlight w:val="none"/>
          <w:lang w:val="en-US" w:eastAsia="zh-CN" w:bidi="ar-SA"/>
        </w:rPr>
        <w:t>（</w:t>
      </w:r>
      <w:r>
        <w:rPr>
          <w:rFonts w:hint="default" w:ascii="Times New Roman" w:hAnsi="Times New Roman" w:cs="Times New Roman"/>
          <w:b/>
          <w:bCs/>
          <w:color w:val="auto"/>
          <w:kern w:val="0"/>
          <w:sz w:val="32"/>
          <w:szCs w:val="32"/>
          <w:highlight w:val="none"/>
          <w:lang w:val="en-US" w:eastAsia="zh-CN" w:bidi="ar-SA"/>
        </w:rPr>
        <w:t>3</w:t>
      </w:r>
      <w:r>
        <w:rPr>
          <w:rFonts w:hint="eastAsia" w:ascii="仿宋_GB2312" w:hAnsi="仿宋" w:cstheme="minorBidi"/>
          <w:b/>
          <w:bCs/>
          <w:color w:val="auto"/>
          <w:kern w:val="0"/>
          <w:sz w:val="32"/>
          <w:szCs w:val="32"/>
          <w:highlight w:val="none"/>
          <w:lang w:val="en-US" w:eastAsia="zh-CN" w:bidi="ar-SA"/>
        </w:rPr>
        <w:t>）</w:t>
      </w:r>
      <w:r>
        <w:rPr>
          <w:rFonts w:hint="eastAsia" w:ascii="仿宋_GB2312" w:hAnsi="仿宋" w:eastAsia="仿宋_GB2312" w:cstheme="minorBidi"/>
          <w:b/>
          <w:bCs/>
          <w:color w:val="auto"/>
          <w:kern w:val="0"/>
          <w:sz w:val="32"/>
          <w:szCs w:val="32"/>
          <w:highlight w:val="none"/>
          <w:lang w:val="en-US" w:eastAsia="zh-CN" w:bidi="ar-SA"/>
        </w:rPr>
        <w:t>强化政策指引与宣传推广，推动老旧小区改造高质量发展。</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9"/>
        <w:rPr>
          <w:rFonts w:hint="default" w:ascii="仿宋_GB2312" w:hAnsi="Times New Roman" w:eastAsia="仿宋_GB2312" w:cstheme="minorBidi"/>
          <w:b/>
          <w:bCs/>
          <w:color w:val="auto"/>
          <w:kern w:val="2"/>
          <w:sz w:val="32"/>
          <w:szCs w:val="24"/>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在全国范围内率先印发《广东省结合城镇老旧小区改造加强历史文化保护利用工作指引》，指导各地以绣花功夫推进城市更新，让城市留住记忆，让人民记住乡愁。工作指引</w:t>
      </w:r>
      <w:r>
        <w:rPr>
          <w:rFonts w:hint="eastAsia" w:ascii="仿宋_GB2312" w:hAnsi="黑体" w:eastAsia="仿宋_GB2312" w:cs="Times New Roman"/>
          <w:b w:val="0"/>
          <w:bCs w:val="0"/>
          <w:color w:val="auto"/>
          <w:sz w:val="32"/>
          <w:szCs w:val="32"/>
          <w:highlight w:val="none"/>
          <w:lang w:eastAsia="zh-CN"/>
        </w:rPr>
        <w:t>对保护利用工作流程、片区整体保护、散点型历史文化资源保护、名录外</w:t>
      </w:r>
      <w:r>
        <w:rPr>
          <w:rFonts w:hint="eastAsia" w:ascii="仿宋_GB2312" w:hAnsi="黑体" w:eastAsia="仿宋_GB2312" w:cs="Times New Roman"/>
          <w:b w:val="0"/>
          <w:bCs w:val="0"/>
          <w:color w:val="auto"/>
          <w:sz w:val="32"/>
          <w:szCs w:val="32"/>
          <w:highlight w:val="none"/>
          <w:lang w:val="en-US" w:eastAsia="zh-CN"/>
        </w:rPr>
        <w:t>改造项目赋能、活化利用工作措施等均提出了针对性解决方案。</w:t>
      </w:r>
      <w:r>
        <w:rPr>
          <w:rFonts w:hint="eastAsia" w:ascii="仿宋_GB2312" w:hAnsi="黑体" w:eastAsia="仿宋_GB2312" w:cs="Times New Roman"/>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联合央视、广东卫视、中国建设报、南方日报等平台开展全方位宣传，重点宣传老旧小区改造的做法、经验、成效，《广东省老旧小区改造中央资金申报取得新突破》《</w:t>
      </w:r>
      <w:r>
        <w:rPr>
          <w:rFonts w:hint="default" w:ascii="Times New Roman" w:hAnsi="Times New Roman" w:eastAsia="仿宋_GB2312" w:cs="Times New Roman"/>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年广东</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495</w:t>
      </w:r>
      <w:r>
        <w:rPr>
          <w:rFonts w:hint="eastAsia" w:ascii="仿宋_GB2312" w:hAnsi="仿宋_GB2312" w:eastAsia="仿宋_GB2312" w:cs="仿宋_GB2312"/>
          <w:color w:val="auto"/>
          <w:sz w:val="32"/>
          <w:szCs w:val="32"/>
          <w:highlight w:val="none"/>
          <w:lang w:val="en-US" w:eastAsia="zh-CN"/>
        </w:rPr>
        <w:t>个老旧小区纳入国家部委考核》先后在广东卫视新闻联播栏目播报；印发《广东省城镇老旧小区改造案例图集》，宣传推广典型案例。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3"/>
        <w:rPr>
          <w:rFonts w:hint="default" w:ascii="仿宋_GB2312" w:hAnsi="仿宋" w:eastAsia="仿宋_GB2312" w:cstheme="minorBidi"/>
          <w:b/>
          <w:bCs/>
          <w:color w:val="auto"/>
          <w:kern w:val="0"/>
          <w:sz w:val="32"/>
          <w:szCs w:val="32"/>
          <w:highlight w:val="none"/>
          <w:lang w:val="en-US" w:eastAsia="zh-CN" w:bidi="ar-SA"/>
        </w:rPr>
      </w:pPr>
      <w:r>
        <w:rPr>
          <w:rFonts w:hint="eastAsia" w:ascii="仿宋_GB2312" w:hAnsi="仿宋" w:eastAsia="仿宋_GB2312" w:cstheme="minorBidi"/>
          <w:b/>
          <w:bCs/>
          <w:color w:val="auto"/>
          <w:kern w:val="0"/>
          <w:sz w:val="32"/>
          <w:szCs w:val="32"/>
          <w:highlight w:val="none"/>
          <w:lang w:val="en-US" w:eastAsia="zh-CN" w:bidi="ar-SA"/>
        </w:rPr>
        <w:t>（</w:t>
      </w:r>
      <w:r>
        <w:rPr>
          <w:rFonts w:hint="default" w:ascii="Times New Roman" w:hAnsi="Times New Roman" w:eastAsia="仿宋_GB2312" w:cs="Times New Roman"/>
          <w:b/>
          <w:bCs/>
          <w:color w:val="auto"/>
          <w:kern w:val="0"/>
          <w:sz w:val="32"/>
          <w:szCs w:val="32"/>
          <w:highlight w:val="none"/>
          <w:lang w:val="en-US" w:eastAsia="zh-CN" w:bidi="ar-SA"/>
        </w:rPr>
        <w:t>4</w:t>
      </w:r>
      <w:r>
        <w:rPr>
          <w:rFonts w:hint="eastAsia" w:ascii="仿宋_GB2312" w:hAnsi="仿宋" w:eastAsia="仿宋_GB2312" w:cstheme="minorBidi"/>
          <w:b/>
          <w:bCs/>
          <w:color w:val="auto"/>
          <w:kern w:val="0"/>
          <w:sz w:val="32"/>
          <w:szCs w:val="32"/>
          <w:highlight w:val="none"/>
          <w:lang w:val="en-US" w:eastAsia="zh-CN" w:bidi="ar-SA"/>
        </w:rPr>
        <w:t>）共建共治共享，提高各方“凝聚力”。</w:t>
      </w:r>
    </w:p>
    <w:p>
      <w:pPr>
        <w:pStyle w:val="2"/>
        <w:keepNext w:val="0"/>
        <w:keepLines w:val="0"/>
        <w:pageBreakBefore w:val="0"/>
        <w:widowControl w:val="0"/>
        <w:kinsoku/>
        <w:wordWrap/>
        <w:overflowPunct/>
        <w:topLinePunct w:val="0"/>
        <w:autoSpaceDE/>
        <w:autoSpaceDN/>
        <w:bidi w:val="0"/>
        <w:adjustRightInd/>
        <w:snapToGrid/>
        <w:ind w:left="0" w:leftChars="0" w:firstLine="64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cs="仿宋_GB2312"/>
          <w:b/>
          <w:bCs/>
          <w:color w:val="auto"/>
          <w:sz w:val="32"/>
          <w:szCs w:val="32"/>
          <w:highlight w:val="none"/>
          <w:lang w:val="en-US" w:eastAsia="zh-CN"/>
        </w:rPr>
        <w:t>一是</w:t>
      </w:r>
      <w:r>
        <w:rPr>
          <w:rFonts w:hint="eastAsia" w:ascii="仿宋_GB2312" w:hAnsi="仿宋_GB2312" w:cs="仿宋_GB2312"/>
          <w:b w:val="0"/>
          <w:bCs/>
          <w:color w:val="auto"/>
          <w:sz w:val="32"/>
          <w:szCs w:val="32"/>
          <w:highlight w:val="none"/>
          <w:lang w:val="en-US" w:eastAsia="zh-CN"/>
        </w:rPr>
        <w:t>我厅</w:t>
      </w:r>
      <w:r>
        <w:rPr>
          <w:rFonts w:hint="eastAsia" w:ascii="仿宋_GB2312" w:hAnsi="仿宋_GB2312" w:eastAsia="仿宋_GB2312" w:cs="仿宋_GB2312"/>
          <w:b w:val="0"/>
          <w:bCs/>
          <w:color w:val="auto"/>
          <w:sz w:val="32"/>
          <w:szCs w:val="32"/>
          <w:highlight w:val="none"/>
          <w:lang w:eastAsia="zh-CN"/>
        </w:rPr>
        <w:t>与省民政厅等部门多次联合组织党建引领居民参与城镇老旧小区改造案例宣讲和经验分享，指导各地结合实际</w:t>
      </w:r>
      <w:r>
        <w:rPr>
          <w:rFonts w:hint="default" w:ascii="仿宋_GB2312" w:hAnsi="仿宋_GB2312" w:eastAsia="仿宋_GB2312" w:cs="仿宋_GB2312"/>
          <w:color w:val="auto"/>
          <w:sz w:val="32"/>
          <w:szCs w:val="32"/>
          <w:highlight w:val="none"/>
          <w:lang w:eastAsia="zh-CN"/>
        </w:rPr>
        <w:t>进行有效探索</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要求各地补齐老旧小区基础设施和公共服务短板，改善县城人居环境品质，提高县城承载力；</w:t>
      </w:r>
      <w:r>
        <w:rPr>
          <w:rFonts w:hint="eastAsia" w:ascii="仿宋_GB2312" w:hAnsi="仿宋_GB2312" w:eastAsia="仿宋_GB2312" w:cs="仿宋_GB2312"/>
          <w:color w:val="auto"/>
          <w:sz w:val="32"/>
          <w:szCs w:val="32"/>
          <w:lang w:eastAsia="zh-CN"/>
        </w:rPr>
        <w:t>联合省民政厅、省残联召开全省住房城乡建设领域无障碍环境建设和适老化改造工作部署会，</w:t>
      </w:r>
      <w:r>
        <w:rPr>
          <w:rFonts w:hint="eastAsia" w:ascii="仿宋_GB2312" w:hAnsi="仿宋_GB2312" w:eastAsia="仿宋_GB2312" w:cs="仿宋_GB2312"/>
          <w:color w:val="auto"/>
          <w:sz w:val="32"/>
          <w:szCs w:val="32"/>
          <w:lang w:val="en-US" w:eastAsia="zh-CN"/>
        </w:rPr>
        <w:t>要求各地为残疾人和老年人打通日常出行堵点、解决公共服务难点、消除居家生活痛点。</w:t>
      </w:r>
      <w:r>
        <w:rPr>
          <w:rFonts w:hint="eastAsia" w:ascii="仿宋_GB2312" w:hAnsi="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highlight w:val="none"/>
          <w:lang w:val="en-US" w:eastAsia="zh-CN"/>
        </w:rPr>
        <w:t>是</w:t>
      </w:r>
      <w:r>
        <w:rPr>
          <w:rFonts w:hint="eastAsia" w:ascii="仿宋_GB2312" w:hAnsi="仿宋_GB2312" w:eastAsia="仿宋_GB2312" w:cs="仿宋_GB2312"/>
          <w:color w:val="auto"/>
          <w:sz w:val="32"/>
          <w:szCs w:val="32"/>
          <w:highlight w:val="none"/>
          <w:lang w:val="en-US" w:eastAsia="zh-CN"/>
        </w:rPr>
        <w:t>在城镇老旧小区改造过程中尊重居民意愿，</w:t>
      </w:r>
      <w:r>
        <w:rPr>
          <w:rFonts w:hint="eastAsia" w:ascii="仿宋_GB2312" w:hAnsi="仿宋_GB2312" w:eastAsia="仿宋_GB2312" w:cs="仿宋_GB2312"/>
          <w:color w:val="auto"/>
          <w:sz w:val="32"/>
          <w:szCs w:val="32"/>
          <w:highlight w:val="none"/>
        </w:rPr>
        <w:t>逐步形成有事好商量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众人的事情由众人商量的改造环境。政府不简单包办，积极引导群众参与改造的多个环节当中，有效解决改造中遇到的实际难题。通过深度参与改造工作，</w:t>
      </w:r>
      <w:r>
        <w:rPr>
          <w:rFonts w:hint="eastAsia" w:ascii="仿宋_GB2312" w:hAnsi="仿宋_GB2312" w:eastAsia="仿宋_GB2312" w:cs="仿宋_GB2312"/>
          <w:color w:val="auto"/>
          <w:sz w:val="32"/>
          <w:szCs w:val="32"/>
          <w:highlight w:val="none"/>
          <w:lang w:val="en-US" w:eastAsia="zh-CN"/>
        </w:rPr>
        <w:t>居民</w:t>
      </w:r>
      <w:r>
        <w:rPr>
          <w:rFonts w:hint="eastAsia" w:ascii="仿宋_GB2312" w:hAnsi="仿宋_GB2312" w:eastAsia="仿宋_GB2312" w:cs="仿宋_GB2312"/>
          <w:color w:val="auto"/>
          <w:sz w:val="32"/>
          <w:szCs w:val="32"/>
          <w:highlight w:val="none"/>
        </w:rPr>
        <w:t>切身体会社区环境变化，提升了主人翁意识。</w:t>
      </w:r>
      <w:r>
        <w:rPr>
          <w:rFonts w:hint="eastAsia" w:ascii="仿宋_GB2312" w:hAnsi="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鼓励居民出资。鼓励居民通过直接出资、使用住房公积金和住宅专项维修资金、让渡小区公共收益等方式出资，提升老旧小区居民参与度，拓宽改造资金筹集渠道。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3"/>
        <w:rPr>
          <w:rFonts w:hint="default" w:ascii="仿宋_GB2312" w:hAnsi="仿宋" w:eastAsia="仿宋_GB2312" w:cstheme="minorBidi"/>
          <w:b/>
          <w:bCs/>
          <w:color w:val="auto"/>
          <w:kern w:val="0"/>
          <w:sz w:val="32"/>
          <w:szCs w:val="32"/>
          <w:highlight w:val="none"/>
          <w:lang w:val="en-US" w:eastAsia="zh-CN" w:bidi="ar-SA"/>
        </w:rPr>
      </w:pPr>
      <w:r>
        <w:rPr>
          <w:rFonts w:hint="eastAsia" w:ascii="仿宋_GB2312" w:hAnsi="仿宋" w:eastAsia="仿宋_GB2312" w:cstheme="minorBidi"/>
          <w:b/>
          <w:bCs/>
          <w:color w:val="auto"/>
          <w:kern w:val="0"/>
          <w:sz w:val="32"/>
          <w:szCs w:val="32"/>
          <w:highlight w:val="none"/>
          <w:lang w:val="en-US" w:eastAsia="zh-CN" w:bidi="ar-SA"/>
        </w:rPr>
        <w:t>（</w:t>
      </w:r>
      <w:r>
        <w:rPr>
          <w:rFonts w:hint="default" w:ascii="Times New Roman" w:hAnsi="Times New Roman" w:eastAsia="仿宋_GB2312" w:cs="Times New Roman"/>
          <w:b/>
          <w:bCs/>
          <w:color w:val="auto"/>
          <w:kern w:val="0"/>
          <w:sz w:val="32"/>
          <w:szCs w:val="32"/>
          <w:highlight w:val="none"/>
          <w:lang w:val="en-US" w:eastAsia="zh-CN" w:bidi="ar-SA"/>
        </w:rPr>
        <w:t>5</w:t>
      </w:r>
      <w:r>
        <w:rPr>
          <w:rFonts w:hint="eastAsia" w:ascii="仿宋_GB2312" w:hAnsi="仿宋" w:eastAsia="仿宋_GB2312" w:cstheme="minorBidi"/>
          <w:b/>
          <w:bCs/>
          <w:color w:val="auto"/>
          <w:kern w:val="0"/>
          <w:sz w:val="32"/>
          <w:szCs w:val="32"/>
          <w:highlight w:val="none"/>
          <w:lang w:val="en-US" w:eastAsia="zh-CN" w:bidi="ar-SA"/>
        </w:rPr>
        <w:t>）工作机制基本健全，</w:t>
      </w:r>
      <w:bookmarkEnd w:id="57"/>
      <w:bookmarkEnd w:id="58"/>
      <w:bookmarkEnd w:id="59"/>
      <w:bookmarkEnd w:id="60"/>
      <w:r>
        <w:rPr>
          <w:rFonts w:hint="eastAsia" w:ascii="仿宋_GB2312" w:hAnsi="仿宋" w:eastAsia="仿宋_GB2312" w:cstheme="minorBidi"/>
          <w:b/>
          <w:bCs/>
          <w:color w:val="auto"/>
          <w:kern w:val="0"/>
          <w:sz w:val="32"/>
          <w:szCs w:val="32"/>
          <w:highlight w:val="none"/>
          <w:lang w:val="en-US" w:eastAsia="zh-CN" w:bidi="ar-SA"/>
        </w:rPr>
        <w:t>管理体系更加完备。</w:t>
      </w:r>
    </w:p>
    <w:p>
      <w:pPr>
        <w:numPr>
          <w:ilvl w:val="-1"/>
          <w:numId w:val="0"/>
        </w:numPr>
        <w:spacing w:line="600" w:lineRule="exact"/>
        <w:ind w:firstLine="642"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 w:eastAsia="仿宋_GB2312"/>
          <w:b/>
          <w:bCs/>
          <w:color w:val="auto"/>
          <w:kern w:val="2"/>
          <w:sz w:val="32"/>
          <w:highlight w:val="none"/>
          <w:lang w:val="en-US" w:eastAsia="zh-CN"/>
        </w:rPr>
        <w:t>一是</w:t>
      </w:r>
      <w:r>
        <w:rPr>
          <w:rFonts w:hint="eastAsia" w:ascii="仿宋_GB2312" w:hAnsi="仿宋" w:eastAsia="仿宋_GB2312"/>
          <w:b w:val="0"/>
          <w:bCs w:val="0"/>
          <w:color w:val="auto"/>
          <w:kern w:val="2"/>
          <w:sz w:val="32"/>
          <w:highlight w:val="none"/>
          <w:lang w:val="en-US" w:eastAsia="zh-CN"/>
        </w:rPr>
        <w:t>统筹协调工作机制基本健全。</w:t>
      </w:r>
      <w:r>
        <w:rPr>
          <w:rFonts w:hint="eastAsia" w:ascii="仿宋_GB2312" w:hAnsi="仿宋_GB2312" w:eastAsia="仿宋_GB2312" w:cs="仿宋_GB2312"/>
          <w:color w:val="auto"/>
          <w:sz w:val="32"/>
          <w:szCs w:val="32"/>
          <w:highlight w:val="none"/>
          <w:lang w:val="en-US" w:eastAsia="zh-CN"/>
        </w:rPr>
        <w:t>坚持高位推动，省级成立广东省城镇居住社区人居环境品质提升工作领导小组，由分管副省长任组长，省发展改革委等</w:t>
      </w:r>
      <w:r>
        <w:rPr>
          <w:rFonts w:hint="default" w:ascii="Times New Roman" w:hAnsi="Times New Roman" w:eastAsia="仿宋_GB2312" w:cs="Times New Roman"/>
          <w:color w:val="auto"/>
          <w:sz w:val="32"/>
          <w:szCs w:val="32"/>
          <w:highlight w:val="none"/>
          <w:lang w:val="en-US" w:eastAsia="zh-CN"/>
        </w:rPr>
        <w:t>33</w:t>
      </w:r>
      <w:r>
        <w:rPr>
          <w:rFonts w:hint="eastAsia" w:ascii="仿宋_GB2312" w:hAnsi="仿宋_GB2312" w:eastAsia="仿宋_GB2312" w:cs="仿宋_GB2312"/>
          <w:color w:val="auto"/>
          <w:sz w:val="32"/>
          <w:szCs w:val="32"/>
          <w:highlight w:val="none"/>
          <w:lang w:val="en-US" w:eastAsia="zh-CN"/>
        </w:rPr>
        <w:t>个部门及专营单位参与，统筹推进城镇老旧小区改造工作。</w:t>
      </w:r>
      <w:r>
        <w:rPr>
          <w:rFonts w:hint="default" w:ascii="Times New Roman" w:hAnsi="Times New Roman" w:eastAsia="仿宋_GB2312"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个地级以上城市（不包括深圳市）均成立了由市政府主要负责人或分管负责人任组长的工作领导小组，形成了</w:t>
      </w:r>
      <w:r>
        <w:rPr>
          <w:rFonts w:hint="eastAsia" w:ascii="仿宋_GB2312" w:hAnsi="仿宋_GB2312" w:eastAsia="仿宋_GB2312" w:cs="仿宋_GB2312"/>
          <w:b w:val="0"/>
          <w:i w:val="0"/>
          <w:caps w:val="0"/>
          <w:color w:val="auto"/>
          <w:spacing w:val="0"/>
          <w:sz w:val="32"/>
          <w:szCs w:val="32"/>
          <w:highlight w:val="none"/>
          <w:shd w:val="clear" w:color="auto" w:fill="auto"/>
        </w:rPr>
        <w:t>政府统筹、条块协作、各部门齐抓共管的工作</w:t>
      </w:r>
      <w:r>
        <w:rPr>
          <w:rFonts w:hint="eastAsia" w:ascii="仿宋_GB2312" w:hAnsi="仿宋_GB2312" w:eastAsia="仿宋_GB2312" w:cs="仿宋_GB2312"/>
          <w:b w:val="0"/>
          <w:i w:val="0"/>
          <w:caps w:val="0"/>
          <w:color w:val="auto"/>
          <w:spacing w:val="0"/>
          <w:sz w:val="32"/>
          <w:szCs w:val="32"/>
          <w:highlight w:val="none"/>
          <w:shd w:val="clear"/>
          <w:lang w:eastAsia="zh-CN"/>
        </w:rPr>
        <w:t>格局</w:t>
      </w:r>
      <w:r>
        <w:rPr>
          <w:rFonts w:hint="eastAsia" w:ascii="仿宋_GB2312" w:hAnsi="仿宋_GB2312" w:eastAsia="仿宋_GB2312" w:cs="仿宋_GB2312"/>
          <w:b w:val="0"/>
          <w:i w:val="0"/>
          <w:caps w:val="0"/>
          <w:color w:val="auto"/>
          <w:spacing w:val="0"/>
          <w:sz w:val="32"/>
          <w:szCs w:val="32"/>
          <w:highlight w:val="none"/>
          <w:shd w:val="clear" w:color="auto" w:fill="auto"/>
        </w:rPr>
        <w:t>。</w:t>
      </w:r>
      <w:r>
        <w:rPr>
          <w:rFonts w:hint="eastAsia" w:ascii="仿宋_GB2312" w:hAnsi="仿宋" w:eastAsia="仿宋_GB2312"/>
          <w:b/>
          <w:bCs/>
          <w:color w:val="auto"/>
          <w:kern w:val="2"/>
          <w:sz w:val="32"/>
          <w:highlight w:val="none"/>
          <w:lang w:val="en-US" w:eastAsia="zh-CN"/>
        </w:rPr>
        <w:t>二是</w:t>
      </w:r>
      <w:r>
        <w:rPr>
          <w:rFonts w:hint="default" w:ascii="仿宋_GB2312" w:hAnsi="仿宋_GB2312" w:eastAsia="仿宋_GB2312" w:cs="仿宋_GB2312"/>
          <w:b w:val="0"/>
          <w:bCs w:val="0"/>
          <w:color w:val="auto"/>
          <w:sz w:val="32"/>
          <w:szCs w:val="32"/>
          <w:highlight w:val="none"/>
        </w:rPr>
        <w:t>制度体系</w:t>
      </w:r>
      <w:r>
        <w:rPr>
          <w:rFonts w:hint="eastAsia" w:ascii="仿宋_GB2312" w:hAnsi="仿宋_GB2312" w:eastAsia="仿宋_GB2312" w:cs="仿宋_GB2312"/>
          <w:b w:val="0"/>
          <w:bCs w:val="0"/>
          <w:color w:val="auto"/>
          <w:sz w:val="32"/>
          <w:szCs w:val="32"/>
          <w:highlight w:val="none"/>
          <w:lang w:eastAsia="zh-CN"/>
        </w:rPr>
        <w:t>不断完善</w:t>
      </w:r>
      <w:r>
        <w:rPr>
          <w:rFonts w:hint="eastAsia" w:ascii="仿宋_GB2312" w:hAnsi="仿宋" w:eastAsia="仿宋_GB2312"/>
          <w:b w:val="0"/>
          <w:bCs w:val="0"/>
          <w:color w:val="auto"/>
          <w:kern w:val="2"/>
          <w:sz w:val="32"/>
          <w:highlight w:val="none"/>
          <w:lang w:val="en-US" w:eastAsia="zh-CN"/>
        </w:rPr>
        <w:t>。政策制定与时俱进，在落实国家政策文件要求的基础上，积极研究制订我省积极稳妥推进城市更新行动的政策文件。</w:t>
      </w:r>
      <w:r>
        <w:rPr>
          <w:rFonts w:hint="eastAsia" w:ascii="仿宋_GB2312" w:hAnsi="仿宋_GB2312" w:eastAsia="仿宋_GB2312" w:cs="仿宋_GB2312"/>
          <w:color w:val="auto"/>
          <w:sz w:val="32"/>
          <w:szCs w:val="32"/>
          <w:highlight w:val="none"/>
          <w:lang w:val="en-US" w:eastAsia="zh-CN"/>
        </w:rPr>
        <w:t>目前我省已出台</w:t>
      </w:r>
      <w:r>
        <w:rPr>
          <w:rFonts w:hint="eastAsia" w:ascii="仿宋_GB2312" w:hAnsi="仿宋" w:eastAsia="仿宋_GB2312"/>
          <w:b w:val="0"/>
          <w:bCs w:val="0"/>
          <w:color w:val="auto"/>
          <w:kern w:val="2"/>
          <w:sz w:val="32"/>
          <w:highlight w:val="none"/>
          <w:lang w:val="en-US" w:eastAsia="zh-CN"/>
        </w:rPr>
        <w:t>《广东省人民政府办公厅关于全面推进城镇老旧小区改造工作的实施意见》《广东省城镇老旧小区改造实施计划（</w:t>
      </w:r>
      <w:r>
        <w:rPr>
          <w:rFonts w:hint="default" w:ascii="Times New Roman" w:hAnsi="Times New Roman" w:eastAsia="仿宋_GB2312" w:cs="Times New Roman"/>
          <w:b w:val="0"/>
          <w:bCs w:val="0"/>
          <w:color w:val="auto"/>
          <w:kern w:val="2"/>
          <w:sz w:val="32"/>
          <w:highlight w:val="none"/>
          <w:lang w:val="en-US" w:eastAsia="zh-CN"/>
        </w:rPr>
        <w:t>2021</w:t>
      </w:r>
      <w:r>
        <w:rPr>
          <w:rFonts w:hint="eastAsia" w:ascii="仿宋_GB2312" w:hAnsi="仿宋" w:eastAsia="仿宋_GB2312"/>
          <w:b w:val="0"/>
          <w:bCs w:val="0"/>
          <w:color w:val="auto"/>
          <w:kern w:val="2"/>
          <w:sz w:val="32"/>
          <w:highlight w:val="none"/>
          <w:lang w:val="en-US" w:eastAsia="zh-CN"/>
        </w:rPr>
        <w:t>-</w:t>
      </w:r>
      <w:r>
        <w:rPr>
          <w:rFonts w:hint="default" w:ascii="Times New Roman" w:hAnsi="Times New Roman" w:eastAsia="仿宋_GB2312" w:cs="Times New Roman"/>
          <w:b w:val="0"/>
          <w:bCs w:val="0"/>
          <w:color w:val="auto"/>
          <w:kern w:val="2"/>
          <w:sz w:val="32"/>
          <w:highlight w:val="none"/>
          <w:lang w:val="en-US" w:eastAsia="zh-CN"/>
        </w:rPr>
        <w:t>2025</w:t>
      </w:r>
      <w:r>
        <w:rPr>
          <w:rFonts w:hint="eastAsia" w:ascii="仿宋_GB2312" w:hAnsi="仿宋" w:eastAsia="仿宋_GB2312"/>
          <w:b w:val="0"/>
          <w:bCs w:val="0"/>
          <w:color w:val="auto"/>
          <w:kern w:val="2"/>
          <w:sz w:val="32"/>
          <w:highlight w:val="none"/>
          <w:lang w:val="en-US" w:eastAsia="zh-CN"/>
        </w:rPr>
        <w:t>年）》《广东省自然资源厅关于继续深化若干规划用地改革事项的通知》《广东省住房和城乡建设厅 广东省发展和改革委员会 广东省财政厅关于进一步促进城镇老旧小区改造规范化提升质量和效果的通知》</w:t>
      </w:r>
      <w:r>
        <w:rPr>
          <w:rFonts w:hint="eastAsia" w:ascii="仿宋_GB2312" w:hAnsi="仿宋" w:eastAsia="仿宋_GB2312"/>
          <w:b w:val="0"/>
          <w:bCs w:val="0"/>
          <w:color w:val="auto"/>
          <w:kern w:val="2"/>
          <w:sz w:val="32"/>
          <w:highlight w:val="none"/>
          <w:u w:val="none"/>
          <w:lang w:val="en-US" w:eastAsia="zh-CN"/>
        </w:rPr>
        <w:t>《广东省人民政府关于深化改革加快推动“三旧”改造促进高质量发展的指导意见》《关于进一步明确城镇老旧小区改造施工和竣工等项目统计标准的通知》《广东省城镇老旧小区改造多渠道筹资指引》等</w:t>
      </w:r>
      <w:r>
        <w:rPr>
          <w:rFonts w:hint="eastAsia" w:ascii="仿宋_GB2312" w:hAnsi="仿宋_GB2312" w:eastAsia="仿宋_GB2312" w:cs="仿宋_GB2312"/>
          <w:b w:val="0"/>
          <w:bCs w:val="0"/>
          <w:color w:val="auto"/>
          <w:sz w:val="32"/>
          <w:szCs w:val="32"/>
          <w:highlight w:val="none"/>
          <w:lang w:eastAsia="zh-CN"/>
        </w:rPr>
        <w:t>一系列政策制度</w:t>
      </w:r>
      <w:r>
        <w:rPr>
          <w:rFonts w:hint="eastAsia" w:ascii="仿宋_GB2312" w:hAnsi="仿宋_GB2312" w:eastAsia="仿宋_GB2312" w:cs="仿宋_GB2312"/>
          <w:color w:val="auto"/>
          <w:sz w:val="32"/>
          <w:szCs w:val="32"/>
          <w:highlight w:val="none"/>
          <w:lang w:val="en-US" w:eastAsia="zh-CN"/>
        </w:rPr>
        <w:t>文件，具有广东特色的</w:t>
      </w:r>
      <w:r>
        <w:rPr>
          <w:rFonts w:hint="default" w:ascii="仿宋_GB2312" w:hAnsi="仿宋_GB2312" w:eastAsia="仿宋_GB2312" w:cs="仿宋_GB2312"/>
          <w:b w:val="0"/>
          <w:bCs w:val="0"/>
          <w:color w:val="auto"/>
          <w:sz w:val="32"/>
          <w:szCs w:val="32"/>
          <w:highlight w:val="none"/>
        </w:rPr>
        <w:t>制度体系</w:t>
      </w:r>
      <w:r>
        <w:rPr>
          <w:rFonts w:hint="eastAsia" w:ascii="仿宋_GB2312" w:hAnsi="仿宋_GB2312" w:eastAsia="仿宋_GB2312" w:cs="仿宋_GB2312"/>
          <w:b w:val="0"/>
          <w:bCs w:val="0"/>
          <w:color w:val="auto"/>
          <w:sz w:val="32"/>
          <w:szCs w:val="32"/>
          <w:highlight w:val="none"/>
          <w:lang w:eastAsia="zh-CN"/>
        </w:rPr>
        <w:t>不断完善，为深入推进城镇老旧小区改造提供有效保障。</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b w:val="0"/>
          <w:bCs w:val="0"/>
          <w:color w:val="auto"/>
          <w:sz w:val="32"/>
          <w:szCs w:val="32"/>
          <w:highlight w:val="none"/>
          <w:lang w:eastAsia="zh-CN"/>
        </w:rPr>
        <w:t>强化督导调研。形成“主要领导每月重点通报，分管领导季度专项调度，业务处室日常实地调研”的督导机制，实现地市现场督导全覆盖、重点地市现场督导三次以上，压实各地属地责任。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3"/>
        <w:rPr>
          <w:rFonts w:hint="eastAsia" w:ascii="仿宋_GB2312" w:hAnsi="Times New Roman" w:eastAsia="仿宋_GB2312" w:cstheme="minorBidi"/>
          <w:b/>
          <w:bCs/>
          <w:color w:val="auto"/>
          <w:kern w:val="2"/>
          <w:sz w:val="32"/>
          <w:szCs w:val="24"/>
          <w:highlight w:val="none"/>
          <w:lang w:val="en-US" w:eastAsia="zh-CN" w:bidi="ar-SA"/>
        </w:rPr>
      </w:pPr>
      <w:r>
        <w:rPr>
          <w:rFonts w:hint="eastAsia" w:ascii="仿宋_GB2312" w:hAnsi="Times New Roman" w:eastAsia="仿宋_GB2312" w:cstheme="minorBidi"/>
          <w:b/>
          <w:bCs/>
          <w:color w:val="auto"/>
          <w:kern w:val="2"/>
          <w:sz w:val="32"/>
          <w:szCs w:val="24"/>
          <w:highlight w:val="none"/>
          <w:lang w:val="en-US" w:eastAsia="zh-CN" w:bidi="ar-SA"/>
        </w:rPr>
        <w:t>（</w:t>
      </w:r>
      <w:r>
        <w:rPr>
          <w:rFonts w:hint="default" w:ascii="Times New Roman" w:hAnsi="Times New Roman" w:eastAsia="仿宋_GB2312" w:cs="Times New Roman"/>
          <w:b/>
          <w:bCs/>
          <w:color w:val="auto"/>
          <w:kern w:val="2"/>
          <w:sz w:val="32"/>
          <w:szCs w:val="24"/>
          <w:highlight w:val="none"/>
          <w:lang w:val="en-US" w:eastAsia="zh-CN" w:bidi="ar-SA"/>
        </w:rPr>
        <w:t>6</w:t>
      </w:r>
      <w:r>
        <w:rPr>
          <w:rFonts w:hint="eastAsia" w:ascii="仿宋_GB2312" w:hAnsi="Times New Roman" w:eastAsia="仿宋_GB2312" w:cstheme="minorBidi"/>
          <w:b/>
          <w:bCs/>
          <w:color w:val="auto"/>
          <w:kern w:val="2"/>
          <w:sz w:val="32"/>
          <w:szCs w:val="24"/>
          <w:highlight w:val="none"/>
          <w:lang w:val="en-US" w:eastAsia="zh-CN" w:bidi="ar-SA"/>
        </w:rPr>
        <w:t>）“百县千镇万村”引领，推动县域老旧小区</w:t>
      </w:r>
      <w:r>
        <w:rPr>
          <w:rFonts w:hint="default" w:ascii="仿宋_GB2312" w:hAnsi="Times New Roman" w:eastAsia="仿宋_GB2312" w:cstheme="minorBidi"/>
          <w:b/>
          <w:bCs/>
          <w:color w:val="auto"/>
          <w:kern w:val="2"/>
          <w:sz w:val="32"/>
          <w:szCs w:val="24"/>
          <w:highlight w:val="none"/>
          <w:lang w:val="en-US" w:eastAsia="zh-CN" w:bidi="ar-SA"/>
        </w:rPr>
        <w:t>扩面提质</w:t>
      </w:r>
      <w:r>
        <w:rPr>
          <w:rFonts w:hint="eastAsia" w:ascii="仿宋_GB2312" w:hAnsi="Times New Roman" w:eastAsia="仿宋_GB2312" w:cstheme="minorBidi"/>
          <w:b/>
          <w:bCs/>
          <w:color w:val="auto"/>
          <w:kern w:val="2"/>
          <w:sz w:val="32"/>
          <w:szCs w:val="24"/>
          <w:highlight w:val="none"/>
          <w:lang w:val="en-US" w:eastAsia="zh-CN" w:bidi="ar-SA"/>
        </w:rPr>
        <w:t>。</w:t>
      </w:r>
    </w:p>
    <w:p>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结合“百县千镇万村高质量发展工程”要求，推动老旧小区改造工作</w:t>
      </w:r>
      <w:r>
        <w:rPr>
          <w:rFonts w:hint="default" w:ascii="仿宋_GB2312" w:hAnsi="仿宋_GB2312" w:eastAsia="仿宋_GB2312" w:cs="仿宋_GB2312"/>
          <w:color w:val="auto"/>
          <w:sz w:val="32"/>
          <w:szCs w:val="32"/>
          <w:highlight w:val="none"/>
          <w:lang w:val="en-US"/>
        </w:rPr>
        <w:t>由地级以上市城区</w:t>
      </w:r>
      <w:r>
        <w:rPr>
          <w:rFonts w:hint="eastAsia" w:ascii="仿宋_GB2312" w:hAnsi="仿宋_GB2312" w:eastAsia="仿宋_GB2312" w:cs="仿宋_GB2312"/>
          <w:color w:val="auto"/>
          <w:sz w:val="32"/>
          <w:szCs w:val="32"/>
          <w:highlight w:val="none"/>
        </w:rPr>
        <w:t>向县城扩面提质，提高县城承载能力。</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lang w:eastAsia="zh-CN"/>
        </w:rPr>
        <w:t>厅</w:t>
      </w:r>
      <w:r>
        <w:rPr>
          <w:rFonts w:hint="eastAsia" w:ascii="仿宋_GB2312" w:hAnsi="仿宋_GB2312" w:eastAsia="仿宋_GB2312" w:cs="仿宋_GB2312"/>
          <w:color w:val="auto"/>
          <w:sz w:val="32"/>
          <w:szCs w:val="32"/>
          <w:highlight w:val="none"/>
        </w:rPr>
        <w:t>分别在</w:t>
      </w:r>
      <w:r>
        <w:rPr>
          <w:rFonts w:hint="eastAsia" w:ascii="仿宋_GB2312" w:hAnsi="仿宋_GB2312" w:eastAsia="仿宋_GB2312" w:cs="仿宋_GB2312"/>
          <w:color w:val="auto"/>
          <w:sz w:val="32"/>
          <w:szCs w:val="32"/>
          <w:highlight w:val="none"/>
          <w:lang w:eastAsia="zh-CN"/>
        </w:rPr>
        <w:t>韶关市</w:t>
      </w:r>
      <w:r>
        <w:rPr>
          <w:rFonts w:hint="eastAsia" w:ascii="仿宋_GB2312" w:hAnsi="仿宋_GB2312" w:eastAsia="仿宋_GB2312" w:cs="仿宋_GB2312"/>
          <w:color w:val="auto"/>
          <w:sz w:val="32"/>
          <w:szCs w:val="32"/>
          <w:highlight w:val="none"/>
        </w:rPr>
        <w:t>始兴县和</w:t>
      </w:r>
      <w:r>
        <w:rPr>
          <w:rFonts w:hint="eastAsia" w:ascii="仿宋_GB2312" w:hAnsi="仿宋_GB2312" w:eastAsia="仿宋_GB2312" w:cs="仿宋_GB2312"/>
          <w:color w:val="auto"/>
          <w:sz w:val="32"/>
          <w:szCs w:val="32"/>
          <w:highlight w:val="none"/>
          <w:lang w:eastAsia="zh-CN"/>
        </w:rPr>
        <w:t>梅州市</w:t>
      </w:r>
      <w:r>
        <w:rPr>
          <w:rFonts w:hint="eastAsia" w:ascii="仿宋_GB2312" w:hAnsi="仿宋_GB2312" w:eastAsia="仿宋_GB2312" w:cs="仿宋_GB2312"/>
          <w:color w:val="auto"/>
          <w:sz w:val="32"/>
          <w:szCs w:val="32"/>
          <w:highlight w:val="none"/>
        </w:rPr>
        <w:t>丰顺县举办县城老旧小区改造现场观摩活动，交流经验做法。</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韶关市</w:t>
      </w:r>
      <w:r>
        <w:rPr>
          <w:rFonts w:hint="eastAsia" w:ascii="仿宋_GB2312" w:hAnsi="仿宋_GB2312" w:eastAsia="仿宋_GB2312" w:cs="仿宋_GB2312"/>
          <w:b w:val="0"/>
          <w:bCs w:val="0"/>
          <w:color w:val="auto"/>
          <w:sz w:val="32"/>
          <w:szCs w:val="32"/>
          <w:highlight w:val="none"/>
        </w:rPr>
        <w:t>始兴县坚</w:t>
      </w:r>
      <w:r>
        <w:rPr>
          <w:rFonts w:hint="eastAsia" w:ascii="仿宋_GB2312" w:hAnsi="仿宋_GB2312" w:eastAsia="仿宋_GB2312" w:cs="仿宋_GB2312"/>
          <w:color w:val="auto"/>
          <w:sz w:val="32"/>
          <w:szCs w:val="32"/>
          <w:highlight w:val="none"/>
        </w:rPr>
        <w:t>持“小切口、大变化”，提高小区“民生温度”；坚持“小地标、大文化”，增添城市“文化厚度”；坚持“小网格、大治理”，拓展社区“共治深度”，已改造小区面貌靓、里子实、服务好、文化兴、党建红、业态活，得到人民群众的普遍称赞</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梅州市</w:t>
      </w:r>
      <w:r>
        <w:rPr>
          <w:rFonts w:hint="eastAsia" w:ascii="仿宋_GB2312" w:hAnsi="仿宋_GB2312" w:eastAsia="仿宋_GB2312" w:cs="仿宋_GB2312"/>
          <w:b w:val="0"/>
          <w:bCs w:val="0"/>
          <w:color w:val="auto"/>
          <w:sz w:val="32"/>
          <w:szCs w:val="32"/>
          <w:highlight w:val="none"/>
        </w:rPr>
        <w:t>丰顺县</w:t>
      </w:r>
      <w:r>
        <w:rPr>
          <w:rFonts w:hint="eastAsia" w:ascii="仿宋_GB2312" w:hAnsi="仿宋_GB2312" w:eastAsia="仿宋_GB2312" w:cs="仿宋_GB2312"/>
          <w:color w:val="auto"/>
          <w:sz w:val="32"/>
          <w:szCs w:val="32"/>
          <w:highlight w:val="none"/>
        </w:rPr>
        <w:t>把老旧小区改造列为党建赋能“书记领航项目”，创新实践“老旧小区+片区改造”模式，坚持高标规划、以点带面，高效协同、多方联动，交出了一份居民得实惠、小区得提升、老城得提质、苏区得发展的民生答卷。</w:t>
      </w:r>
    </w:p>
    <w:bookmarkEnd w:id="53"/>
    <w:bookmarkEnd w:id="54"/>
    <w:bookmarkEnd w:id="55"/>
    <w:p>
      <w:pPr>
        <w:pStyle w:val="24"/>
        <w:tabs>
          <w:tab w:val="left" w:pos="1843"/>
        </w:tabs>
        <w:spacing w:line="360" w:lineRule="auto"/>
        <w:ind w:firstLine="645" w:firstLineChars="201"/>
        <w:outlineLvl w:val="1"/>
        <w:rPr>
          <w:rFonts w:hint="eastAsia" w:eastAsia="楷体_GB2312" w:cs="仿宋"/>
          <w:b/>
          <w:bCs/>
          <w:color w:val="auto"/>
          <w:kern w:val="0"/>
          <w:sz w:val="32"/>
          <w:szCs w:val="32"/>
          <w:highlight w:val="none"/>
        </w:rPr>
      </w:pPr>
      <w:bookmarkStart w:id="61" w:name="_Toc12111"/>
      <w:bookmarkStart w:id="62" w:name="_Toc8493"/>
      <w:r>
        <w:rPr>
          <w:rFonts w:hint="eastAsia" w:eastAsia="楷体_GB2312" w:cs="仿宋"/>
          <w:b/>
          <w:bCs/>
          <w:color w:val="auto"/>
          <w:kern w:val="0"/>
          <w:sz w:val="32"/>
          <w:szCs w:val="32"/>
          <w:highlight w:val="none"/>
        </w:rPr>
        <w:t>（三）专项资金使用绩效存在的问题</w:t>
      </w:r>
      <w:bookmarkEnd w:id="61"/>
      <w:bookmarkEnd w:id="62"/>
    </w:p>
    <w:p>
      <w:pPr>
        <w:numPr>
          <w:ilvl w:val="0"/>
          <w:numId w:val="0"/>
        </w:numPr>
        <w:ind w:left="0" w:leftChars="0" w:firstLine="642" w:firstLineChars="200"/>
        <w:jc w:val="both"/>
        <w:outlineLvl w:val="2"/>
        <w:rPr>
          <w:rFonts w:hint="eastAsia" w:ascii="仿宋_GB2312" w:hAnsi="仿宋_GB2312" w:eastAsia="仿宋_GB2312"/>
          <w:b/>
          <w:bCs/>
          <w:color w:val="auto"/>
          <w:kern w:val="0"/>
          <w:sz w:val="32"/>
          <w:szCs w:val="32"/>
          <w:highlight w:val="none"/>
          <w:lang w:val="en-US" w:eastAsia="zh-CN"/>
        </w:rPr>
      </w:pPr>
      <w:bookmarkStart w:id="63" w:name="_Toc8015"/>
      <w:bookmarkStart w:id="64" w:name="_Toc26185"/>
      <w:r>
        <w:rPr>
          <w:rFonts w:hint="default" w:ascii="Times New Roman" w:hAnsi="Times New Roman" w:eastAsia="仿宋_GB2312" w:cs="Times New Roman"/>
          <w:b/>
          <w:bCs/>
          <w:color w:val="auto"/>
          <w:kern w:val="0"/>
          <w:sz w:val="32"/>
          <w:szCs w:val="32"/>
          <w:highlight w:val="none"/>
          <w:lang w:val="en-US" w:eastAsia="zh-CN"/>
        </w:rPr>
        <w:t>1</w:t>
      </w:r>
      <w:r>
        <w:rPr>
          <w:rFonts w:hint="eastAsia" w:ascii="仿宋_GB2312" w:hAnsi="仿宋_GB2312" w:eastAsia="仿宋_GB2312"/>
          <w:b/>
          <w:bCs/>
          <w:color w:val="auto"/>
          <w:kern w:val="0"/>
          <w:sz w:val="32"/>
          <w:szCs w:val="32"/>
          <w:highlight w:val="none"/>
          <w:lang w:val="en-US" w:eastAsia="zh-CN"/>
        </w:rPr>
        <w:t>.省级补助资金支出进度未达到预期目标。</w:t>
      </w:r>
      <w:bookmarkEnd w:id="63"/>
      <w:bookmarkEnd w:id="64"/>
    </w:p>
    <w:p>
      <w:pPr>
        <w:numPr>
          <w:ilvl w:val="0"/>
          <w:numId w:val="0"/>
        </w:numPr>
        <w:ind w:firstLine="640" w:firstLineChars="200"/>
        <w:jc w:val="both"/>
        <w:rPr>
          <w:rFonts w:hint="eastAsia" w:ascii="仿宋_GB2312" w:hAnsi="仿宋_GB2312" w:eastAsia="仿宋_GB2312" w:cstheme="minorBidi"/>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2024</w:t>
      </w:r>
      <w:r>
        <w:rPr>
          <w:rFonts w:hint="eastAsia" w:ascii="仿宋_GB2312" w:hAnsi="仿宋_GB2312" w:eastAsia="仿宋_GB2312"/>
          <w:b w:val="0"/>
          <w:bCs w:val="0"/>
          <w:color w:val="auto"/>
          <w:kern w:val="0"/>
          <w:sz w:val="32"/>
          <w:szCs w:val="32"/>
          <w:highlight w:val="none"/>
          <w:lang w:val="en-US" w:eastAsia="zh-CN"/>
        </w:rPr>
        <w:t>年，</w:t>
      </w:r>
      <w:r>
        <w:rPr>
          <w:rFonts w:hint="eastAsia" w:ascii="Times New Roman" w:hAnsi="Times New Roman" w:eastAsia="仿宋_GB2312" w:cs="Times New Roman"/>
          <w:color w:val="auto"/>
          <w:kern w:val="2"/>
          <w:sz w:val="32"/>
          <w:szCs w:val="32"/>
          <w:highlight w:val="none"/>
          <w:lang w:val="en-US" w:eastAsia="zh-CN" w:bidi="ar-SA"/>
        </w:rPr>
        <w:t>省财政厅共下达专项资金共计</w:t>
      </w:r>
      <w:r>
        <w:rPr>
          <w:rFonts w:hint="default" w:ascii="Times New Roman" w:hAnsi="Times New Roman" w:eastAsia="仿宋_GB2312" w:cs="Times New Roman"/>
          <w:color w:val="auto"/>
          <w:kern w:val="2"/>
          <w:sz w:val="32"/>
          <w:szCs w:val="32"/>
          <w:highlight w:val="none"/>
          <w:lang w:val="en-US" w:eastAsia="zh-CN" w:bidi="ar-SA"/>
        </w:rPr>
        <w:t>18860</w:t>
      </w:r>
      <w:r>
        <w:rPr>
          <w:rFonts w:hint="eastAsia" w:ascii="Times New Roman" w:hAnsi="Times New Roman" w:eastAsia="仿宋_GB2312" w:cs="Times New Roman"/>
          <w:color w:val="auto"/>
          <w:kern w:val="2"/>
          <w:sz w:val="32"/>
          <w:szCs w:val="32"/>
          <w:highlight w:val="none"/>
          <w:lang w:val="en-US" w:eastAsia="zh-CN" w:bidi="ar-SA"/>
        </w:rPr>
        <w:t>万元，已足额落实到位。截至</w:t>
      </w:r>
      <w:r>
        <w:rPr>
          <w:rFonts w:hint="default" w:ascii="Times New Roman" w:hAnsi="Times New Roman" w:eastAsia="仿宋_GB2312" w:cs="Times New Roman"/>
          <w:color w:val="auto"/>
          <w:kern w:val="2"/>
          <w:sz w:val="32"/>
          <w:szCs w:val="32"/>
          <w:highlight w:val="none"/>
          <w:lang w:val="en-US" w:eastAsia="zh-CN" w:bidi="ar-SA"/>
        </w:rPr>
        <w:t>202</w:t>
      </w:r>
      <w:r>
        <w:rPr>
          <w:rFonts w:hint="default" w:ascii="Times New Roman" w:hAnsi="Times New Roman" w:cs="Times New Roman"/>
          <w:color w:val="auto"/>
          <w:kern w:val="2"/>
          <w:sz w:val="32"/>
          <w:szCs w:val="32"/>
          <w:highlight w:val="none"/>
          <w:lang w:val="en-US" w:eastAsia="zh-CN" w:bidi="ar-SA"/>
        </w:rPr>
        <w:t>4</w:t>
      </w:r>
      <w:r>
        <w:rPr>
          <w:rFonts w:hint="eastAsia" w:ascii="Times New Roman" w:hAnsi="Times New Roman" w:eastAsia="仿宋_GB2312" w:cs="Times New Roman"/>
          <w:color w:val="auto"/>
          <w:kern w:val="2"/>
          <w:sz w:val="32"/>
          <w:szCs w:val="32"/>
          <w:highlight w:val="none"/>
          <w:lang w:val="en-US" w:eastAsia="zh-CN" w:bidi="ar-SA"/>
        </w:rPr>
        <w:t>年</w:t>
      </w:r>
      <w:r>
        <w:rPr>
          <w:rFonts w:hint="default" w:ascii="Times New Roman" w:hAnsi="Times New Roman" w:eastAsia="仿宋_GB2312" w:cs="Times New Roman"/>
          <w:color w:val="auto"/>
          <w:kern w:val="2"/>
          <w:sz w:val="32"/>
          <w:szCs w:val="32"/>
          <w:highlight w:val="none"/>
          <w:lang w:val="en-US" w:eastAsia="zh-CN" w:bidi="ar-SA"/>
        </w:rPr>
        <w:t>12</w:t>
      </w:r>
      <w:r>
        <w:rPr>
          <w:rFonts w:hint="eastAsia" w:ascii="Times New Roman" w:hAnsi="Times New Roman" w:eastAsia="仿宋_GB2312" w:cs="Times New Roman"/>
          <w:color w:val="auto"/>
          <w:kern w:val="2"/>
          <w:sz w:val="32"/>
          <w:szCs w:val="32"/>
          <w:highlight w:val="none"/>
          <w:lang w:val="en-US" w:eastAsia="zh-CN" w:bidi="ar-SA"/>
        </w:rPr>
        <w:t>月</w:t>
      </w:r>
      <w:r>
        <w:rPr>
          <w:rFonts w:hint="default" w:ascii="Times New Roman" w:hAnsi="Times New Roman" w:eastAsia="仿宋_GB2312" w:cs="Times New Roman"/>
          <w:color w:val="auto"/>
          <w:kern w:val="2"/>
          <w:sz w:val="32"/>
          <w:szCs w:val="32"/>
          <w:highlight w:val="none"/>
          <w:lang w:val="en-US" w:eastAsia="zh-CN" w:bidi="ar-SA"/>
        </w:rPr>
        <w:t>31</w:t>
      </w:r>
      <w:r>
        <w:rPr>
          <w:rFonts w:hint="eastAsia" w:ascii="Times New Roman" w:hAnsi="Times New Roman" w:eastAsia="仿宋_GB2312" w:cs="Times New Roman"/>
          <w:color w:val="auto"/>
          <w:kern w:val="2"/>
          <w:sz w:val="32"/>
          <w:szCs w:val="32"/>
          <w:highlight w:val="none"/>
          <w:lang w:val="en-US" w:eastAsia="zh-CN" w:bidi="ar-SA"/>
        </w:rPr>
        <w:t>日，实际支出</w:t>
      </w:r>
      <w:r>
        <w:rPr>
          <w:rFonts w:hint="default" w:ascii="Times New Roman" w:hAnsi="Times New Roman" w:eastAsia="仿宋_GB2312" w:cs="Times New Roman"/>
          <w:color w:val="auto"/>
          <w:kern w:val="2"/>
          <w:sz w:val="32"/>
          <w:szCs w:val="32"/>
          <w:highlight w:val="none"/>
          <w:lang w:val="en-US" w:eastAsia="zh-CN" w:bidi="ar-SA"/>
        </w:rPr>
        <w:t>3623</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35</w:t>
      </w:r>
      <w:r>
        <w:rPr>
          <w:rFonts w:hint="eastAsia" w:ascii="Times New Roman" w:hAnsi="Times New Roman" w:eastAsia="仿宋_GB2312" w:cs="Times New Roman"/>
          <w:color w:val="auto"/>
          <w:kern w:val="2"/>
          <w:sz w:val="32"/>
          <w:szCs w:val="32"/>
          <w:highlight w:val="none"/>
          <w:lang w:val="en-US" w:eastAsia="zh-CN" w:bidi="ar-SA"/>
        </w:rPr>
        <w:t>万元，支出率</w:t>
      </w:r>
      <w:r>
        <w:rPr>
          <w:rFonts w:hint="default" w:ascii="Times New Roman" w:hAnsi="Times New Roman" w:eastAsia="仿宋_GB2312" w:cs="Times New Roman"/>
          <w:color w:val="auto"/>
          <w:kern w:val="2"/>
          <w:sz w:val="32"/>
          <w:szCs w:val="32"/>
          <w:highlight w:val="none"/>
          <w:lang w:val="en-US" w:eastAsia="zh-CN" w:bidi="ar-SA"/>
        </w:rPr>
        <w:t>19</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21</w:t>
      </w:r>
      <w:r>
        <w:rPr>
          <w:rFonts w:hint="eastAsia" w:ascii="Times New Roman" w:hAnsi="Times New Roman" w:eastAsia="仿宋_GB2312" w:cs="Times New Roman"/>
          <w:color w:val="auto"/>
          <w:kern w:val="2"/>
          <w:sz w:val="32"/>
          <w:szCs w:val="32"/>
          <w:highlight w:val="none"/>
          <w:lang w:val="en-US" w:eastAsia="zh-CN" w:bidi="ar-SA"/>
        </w:rPr>
        <w:t>%，总体上支出率较低。</w:t>
      </w:r>
      <w:r>
        <w:rPr>
          <w:rFonts w:hint="eastAsia" w:ascii="仿宋_GB2312" w:hAnsi="仿宋_GB2312" w:eastAsia="仿宋_GB2312"/>
          <w:b w:val="0"/>
          <w:bCs w:val="0"/>
          <w:color w:val="auto"/>
          <w:kern w:val="0"/>
          <w:sz w:val="32"/>
          <w:szCs w:val="32"/>
          <w:highlight w:val="none"/>
          <w:lang w:val="en-US" w:eastAsia="zh-CN"/>
        </w:rPr>
        <w:t>一方面，</w:t>
      </w:r>
      <w:r>
        <w:rPr>
          <w:rFonts w:hint="eastAsia" w:ascii="仿宋_GB2312" w:hAnsi="仿宋_GB2312" w:eastAsia="仿宋_GB2312"/>
          <w:b w:val="0"/>
          <w:bCs w:val="0"/>
          <w:color w:val="auto"/>
          <w:kern w:val="0"/>
          <w:sz w:val="32"/>
          <w:szCs w:val="32"/>
          <w:highlight w:val="none"/>
        </w:rPr>
        <w:t>部分</w:t>
      </w:r>
      <w:r>
        <w:rPr>
          <w:rFonts w:hint="eastAsia" w:ascii="仿宋_GB2312" w:hAnsi="仿宋_GB2312" w:eastAsia="仿宋_GB2312"/>
          <w:b w:val="0"/>
          <w:bCs w:val="0"/>
          <w:color w:val="auto"/>
          <w:kern w:val="0"/>
          <w:sz w:val="32"/>
          <w:szCs w:val="32"/>
          <w:highlight w:val="none"/>
          <w:lang w:val="en-US" w:eastAsia="zh-CN"/>
        </w:rPr>
        <w:t>市县</w:t>
      </w:r>
      <w:r>
        <w:rPr>
          <w:rFonts w:hint="eastAsia" w:ascii="仿宋_GB2312" w:hAnsi="仿宋_GB2312" w:eastAsia="仿宋_GB2312"/>
          <w:b w:val="0"/>
          <w:bCs w:val="0"/>
          <w:color w:val="auto"/>
          <w:kern w:val="0"/>
          <w:sz w:val="32"/>
          <w:szCs w:val="32"/>
          <w:highlight w:val="none"/>
        </w:rPr>
        <w:t>没有平衡好</w:t>
      </w:r>
      <w:r>
        <w:rPr>
          <w:rFonts w:hint="eastAsia" w:ascii="仿宋_GB2312" w:hAnsi="仿宋_GB2312" w:eastAsia="仿宋_GB2312"/>
          <w:b w:val="0"/>
          <w:bCs w:val="0"/>
          <w:color w:val="auto"/>
          <w:kern w:val="0"/>
          <w:sz w:val="32"/>
          <w:szCs w:val="32"/>
          <w:highlight w:val="none"/>
          <w:lang w:val="en-US" w:eastAsia="zh-CN"/>
        </w:rPr>
        <w:t>专项</w:t>
      </w:r>
      <w:r>
        <w:rPr>
          <w:rFonts w:hint="eastAsia" w:ascii="仿宋_GB2312" w:hAnsi="仿宋_GB2312" w:eastAsia="仿宋_GB2312"/>
          <w:b w:val="0"/>
          <w:bCs w:val="0"/>
          <w:color w:val="auto"/>
          <w:kern w:val="0"/>
          <w:sz w:val="32"/>
          <w:szCs w:val="32"/>
          <w:highlight w:val="none"/>
        </w:rPr>
        <w:t>资金和政府专项债的关系，优先以政府专项债资金进行支付</w:t>
      </w:r>
      <w:r>
        <w:rPr>
          <w:rFonts w:hint="eastAsia" w:ascii="仿宋_GB2312" w:hAnsi="仿宋_GB2312" w:eastAsia="仿宋_GB2312"/>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2024</w:t>
      </w:r>
      <w:r>
        <w:rPr>
          <w:rFonts w:hint="eastAsia" w:ascii="仿宋_GB2312" w:hAnsi="仿宋_GB2312" w:eastAsia="仿宋_GB2312"/>
          <w:b w:val="0"/>
          <w:bCs w:val="0"/>
          <w:color w:val="auto"/>
          <w:kern w:val="0"/>
          <w:sz w:val="32"/>
          <w:szCs w:val="32"/>
          <w:highlight w:val="none"/>
          <w:lang w:val="en-US" w:eastAsia="zh-CN"/>
        </w:rPr>
        <w:t>年较多</w:t>
      </w:r>
      <w:r>
        <w:rPr>
          <w:rFonts w:hint="eastAsia" w:ascii="仿宋_GB2312" w:hAnsi="仿宋_GB2312" w:eastAsia="仿宋_GB2312"/>
          <w:b w:val="0"/>
          <w:bCs w:val="0"/>
          <w:color w:val="auto"/>
          <w:kern w:val="0"/>
          <w:sz w:val="32"/>
          <w:szCs w:val="32"/>
          <w:highlight w:val="none"/>
        </w:rPr>
        <w:t>项目使用</w:t>
      </w:r>
      <w:r>
        <w:rPr>
          <w:rFonts w:hint="eastAsia" w:ascii="仿宋_GB2312" w:hAnsi="仿宋_GB2312" w:eastAsia="仿宋_GB2312"/>
          <w:b w:val="0"/>
          <w:bCs w:val="0"/>
          <w:color w:val="auto"/>
          <w:kern w:val="0"/>
          <w:sz w:val="32"/>
          <w:szCs w:val="32"/>
          <w:highlight w:val="none"/>
          <w:lang w:val="en-US" w:eastAsia="zh-CN"/>
        </w:rPr>
        <w:t>了</w:t>
      </w:r>
      <w:r>
        <w:rPr>
          <w:rFonts w:hint="eastAsia" w:ascii="仿宋_GB2312" w:hAnsi="仿宋_GB2312" w:eastAsia="仿宋_GB2312"/>
          <w:b w:val="0"/>
          <w:bCs w:val="0"/>
          <w:color w:val="auto"/>
          <w:kern w:val="0"/>
          <w:sz w:val="32"/>
          <w:szCs w:val="32"/>
          <w:highlight w:val="none"/>
        </w:rPr>
        <w:t>地方政府专项债券用于老旧小区改造</w:t>
      </w:r>
      <w:r>
        <w:rPr>
          <w:rFonts w:hint="eastAsia" w:ascii="仿宋_GB2312" w:hAnsi="仿宋_GB2312" w:eastAsia="仿宋_GB2312"/>
          <w:b w:val="0"/>
          <w:bCs w:val="0"/>
          <w:color w:val="auto"/>
          <w:kern w:val="0"/>
          <w:sz w:val="32"/>
          <w:szCs w:val="32"/>
          <w:highlight w:val="none"/>
          <w:lang w:eastAsia="zh-CN"/>
        </w:rPr>
        <w:t>，</w:t>
      </w:r>
      <w:r>
        <w:rPr>
          <w:rFonts w:hint="eastAsia" w:ascii="仿宋_GB2312" w:hAnsi="仿宋_GB2312" w:eastAsia="仿宋_GB2312"/>
          <w:b w:val="0"/>
          <w:bCs w:val="0"/>
          <w:color w:val="auto"/>
          <w:kern w:val="0"/>
          <w:sz w:val="32"/>
          <w:szCs w:val="32"/>
          <w:highlight w:val="none"/>
        </w:rPr>
        <w:t>专项债一定程度上</w:t>
      </w:r>
      <w:r>
        <w:rPr>
          <w:rFonts w:hint="eastAsia" w:ascii="仿宋_GB2312" w:hAnsi="仿宋_GB2312" w:eastAsia="仿宋_GB2312"/>
          <w:b w:val="0"/>
          <w:bCs w:val="0"/>
          <w:color w:val="auto"/>
          <w:kern w:val="0"/>
          <w:sz w:val="32"/>
          <w:szCs w:val="32"/>
          <w:highlight w:val="none"/>
          <w:lang w:val="en-US" w:eastAsia="zh-CN"/>
        </w:rPr>
        <w:t>影响</w:t>
      </w:r>
      <w:r>
        <w:rPr>
          <w:rFonts w:hint="eastAsia" w:ascii="仿宋_GB2312" w:hAnsi="仿宋_GB2312" w:eastAsia="仿宋_GB2312"/>
          <w:b w:val="0"/>
          <w:bCs w:val="0"/>
          <w:color w:val="auto"/>
          <w:kern w:val="0"/>
          <w:sz w:val="32"/>
          <w:szCs w:val="32"/>
          <w:highlight w:val="none"/>
        </w:rPr>
        <w:t>了</w:t>
      </w:r>
      <w:r>
        <w:rPr>
          <w:rFonts w:hint="eastAsia" w:ascii="仿宋_GB2312" w:hAnsi="仿宋_GB2312" w:eastAsia="仿宋_GB2312"/>
          <w:b w:val="0"/>
          <w:bCs w:val="0"/>
          <w:color w:val="auto"/>
          <w:kern w:val="0"/>
          <w:sz w:val="32"/>
          <w:szCs w:val="32"/>
          <w:highlight w:val="none"/>
          <w:lang w:val="en-US" w:eastAsia="zh-CN"/>
        </w:rPr>
        <w:t>专项</w:t>
      </w:r>
      <w:r>
        <w:rPr>
          <w:rFonts w:hint="eastAsia" w:ascii="仿宋_GB2312" w:hAnsi="仿宋_GB2312" w:eastAsia="仿宋_GB2312"/>
          <w:b w:val="0"/>
          <w:bCs w:val="0"/>
          <w:color w:val="auto"/>
          <w:kern w:val="0"/>
          <w:sz w:val="32"/>
          <w:szCs w:val="32"/>
          <w:highlight w:val="none"/>
        </w:rPr>
        <w:t>资金支付进度</w:t>
      </w:r>
      <w:r>
        <w:rPr>
          <w:rFonts w:hint="eastAsia" w:ascii="仿宋_GB2312" w:hAnsi="仿宋_GB2312" w:eastAsia="仿宋_GB2312"/>
          <w:b w:val="0"/>
          <w:bCs w:val="0"/>
          <w:color w:val="auto"/>
          <w:kern w:val="0"/>
          <w:sz w:val="32"/>
          <w:szCs w:val="32"/>
          <w:highlight w:val="none"/>
          <w:lang w:eastAsia="zh-CN"/>
        </w:rPr>
        <w:t>，</w:t>
      </w:r>
      <w:r>
        <w:rPr>
          <w:rFonts w:hint="eastAsia" w:ascii="仿宋_GB2312" w:hAnsi="仿宋_GB2312" w:eastAsia="仿宋_GB2312"/>
          <w:b w:val="0"/>
          <w:bCs w:val="0"/>
          <w:color w:val="auto"/>
          <w:kern w:val="0"/>
          <w:sz w:val="32"/>
          <w:szCs w:val="32"/>
          <w:highlight w:val="none"/>
        </w:rPr>
        <w:t>致使</w:t>
      </w:r>
      <w:r>
        <w:rPr>
          <w:rFonts w:hint="eastAsia" w:ascii="仿宋_GB2312" w:hAnsi="仿宋_GB2312" w:eastAsia="仿宋_GB2312"/>
          <w:b w:val="0"/>
          <w:bCs w:val="0"/>
          <w:color w:val="auto"/>
          <w:kern w:val="0"/>
          <w:sz w:val="32"/>
          <w:szCs w:val="32"/>
          <w:highlight w:val="none"/>
          <w:lang w:val="en-US" w:eastAsia="zh-CN"/>
        </w:rPr>
        <w:t>专项</w:t>
      </w:r>
      <w:r>
        <w:rPr>
          <w:rFonts w:hint="eastAsia" w:ascii="仿宋_GB2312" w:hAnsi="仿宋_GB2312" w:eastAsia="仿宋_GB2312"/>
          <w:b w:val="0"/>
          <w:bCs w:val="0"/>
          <w:color w:val="auto"/>
          <w:kern w:val="0"/>
          <w:sz w:val="32"/>
          <w:szCs w:val="32"/>
          <w:highlight w:val="none"/>
        </w:rPr>
        <w:t>资金支付</w:t>
      </w:r>
      <w:r>
        <w:rPr>
          <w:rFonts w:hint="eastAsia" w:ascii="仿宋_GB2312" w:hAnsi="仿宋_GB2312" w:eastAsia="仿宋_GB2312"/>
          <w:b w:val="0"/>
          <w:bCs w:val="0"/>
          <w:color w:val="auto"/>
          <w:kern w:val="0"/>
          <w:sz w:val="32"/>
          <w:szCs w:val="32"/>
          <w:highlight w:val="none"/>
          <w:lang w:val="en-US" w:eastAsia="zh-CN"/>
        </w:rPr>
        <w:t>进度较慢</w:t>
      </w:r>
      <w:r>
        <w:rPr>
          <w:rFonts w:hint="eastAsia" w:ascii="仿宋_GB2312" w:hAnsi="仿宋_GB2312" w:eastAsia="仿宋_GB2312"/>
          <w:b w:val="0"/>
          <w:bCs w:val="0"/>
          <w:color w:val="auto"/>
          <w:kern w:val="0"/>
          <w:sz w:val="32"/>
          <w:szCs w:val="32"/>
          <w:highlight w:val="none"/>
        </w:rPr>
        <w:t>；</w:t>
      </w:r>
      <w:r>
        <w:rPr>
          <w:rFonts w:hint="eastAsia" w:ascii="仿宋_GB2312" w:hAnsi="仿宋_GB2312" w:eastAsia="仿宋_GB2312"/>
          <w:b w:val="0"/>
          <w:bCs w:val="0"/>
          <w:color w:val="auto"/>
          <w:kern w:val="0"/>
          <w:sz w:val="32"/>
          <w:szCs w:val="32"/>
          <w:highlight w:val="none"/>
          <w:lang w:val="en-US" w:eastAsia="zh-CN"/>
        </w:rPr>
        <w:t>另一方面，个别县（市、区）</w:t>
      </w:r>
      <w:r>
        <w:rPr>
          <w:rFonts w:hint="eastAsia" w:ascii="仿宋_GB2312" w:hAnsi="仿宋_GB2312" w:eastAsia="仿宋_GB2312" w:cstheme="minorBidi"/>
          <w:color w:val="auto"/>
          <w:spacing w:val="0"/>
          <w:kern w:val="0"/>
          <w:sz w:val="32"/>
          <w:szCs w:val="32"/>
          <w:highlight w:val="none"/>
        </w:rPr>
        <w:t>前期谋划不足，</w:t>
      </w:r>
      <w:r>
        <w:rPr>
          <w:rFonts w:hint="eastAsia" w:ascii="仿宋_GB2312" w:hAnsi="仿宋_GB2312" w:eastAsia="仿宋_GB2312" w:cstheme="minorBidi"/>
          <w:color w:val="auto"/>
          <w:spacing w:val="0"/>
          <w:kern w:val="0"/>
          <w:sz w:val="32"/>
          <w:szCs w:val="32"/>
          <w:highlight w:val="none"/>
          <w:lang w:eastAsia="zh-CN"/>
        </w:rPr>
        <w:t>改造过程</w:t>
      </w:r>
      <w:r>
        <w:rPr>
          <w:rFonts w:hint="eastAsia" w:ascii="仿宋_GB2312" w:hAnsi="仿宋_GB2312" w:eastAsia="仿宋_GB2312" w:cstheme="minorBidi"/>
          <w:color w:val="auto"/>
          <w:spacing w:val="0"/>
          <w:kern w:val="0"/>
          <w:sz w:val="32"/>
          <w:szCs w:val="32"/>
          <w:highlight w:val="none"/>
        </w:rPr>
        <w:t>出现改造内容变更、改造计划调整等情况，影响改造进度</w:t>
      </w:r>
      <w:r>
        <w:rPr>
          <w:rFonts w:hint="eastAsia" w:ascii="仿宋_GB2312" w:hAnsi="仿宋_GB2312" w:eastAsia="仿宋_GB2312" w:cstheme="minorBidi"/>
          <w:color w:val="auto"/>
          <w:spacing w:val="0"/>
          <w:kern w:val="0"/>
          <w:sz w:val="32"/>
          <w:szCs w:val="32"/>
          <w:highlight w:val="none"/>
          <w:lang w:eastAsia="zh-CN"/>
        </w:rPr>
        <w:t>和资金支付进度</w:t>
      </w:r>
      <w:r>
        <w:rPr>
          <w:rFonts w:hint="eastAsia" w:ascii="仿宋_GB2312" w:hAnsi="仿宋_GB2312" w:eastAsia="仿宋_GB2312" w:cstheme="minorBidi"/>
          <w:color w:val="auto"/>
          <w:spacing w:val="0"/>
          <w:kern w:val="0"/>
          <w:sz w:val="32"/>
          <w:szCs w:val="32"/>
          <w:highlight w:val="none"/>
        </w:rPr>
        <w:t>。</w:t>
      </w:r>
    </w:p>
    <w:p>
      <w:pPr>
        <w:numPr>
          <w:ilvl w:val="0"/>
          <w:numId w:val="0"/>
        </w:numPr>
        <w:ind w:left="0" w:leftChars="0" w:firstLine="642" w:firstLineChars="200"/>
        <w:jc w:val="both"/>
        <w:outlineLvl w:val="2"/>
        <w:rPr>
          <w:rFonts w:hint="eastAsia" w:ascii="仿宋_GB2312" w:hAnsi="仿宋_GB2312" w:eastAsia="仿宋_GB2312"/>
          <w:b/>
          <w:bCs/>
          <w:color w:val="auto"/>
          <w:kern w:val="0"/>
          <w:sz w:val="32"/>
          <w:szCs w:val="32"/>
          <w:highlight w:val="none"/>
          <w:lang w:val="en-US" w:eastAsia="zh-CN"/>
        </w:rPr>
      </w:pPr>
      <w:bookmarkStart w:id="65" w:name="_Toc6487"/>
      <w:bookmarkStart w:id="66" w:name="_Toc21627"/>
      <w:r>
        <w:rPr>
          <w:rFonts w:hint="default" w:ascii="Times New Roman" w:hAnsi="Times New Roman" w:eastAsia="仿宋_GB2312" w:cs="Times New Roman"/>
          <w:b/>
          <w:bCs/>
          <w:color w:val="auto"/>
          <w:kern w:val="0"/>
          <w:sz w:val="32"/>
          <w:szCs w:val="32"/>
          <w:highlight w:val="none"/>
          <w:lang w:val="en-US" w:eastAsia="zh-CN"/>
        </w:rPr>
        <w:t>2</w:t>
      </w:r>
      <w:r>
        <w:rPr>
          <w:rFonts w:hint="eastAsia" w:ascii="仿宋_GB2312" w:hAnsi="仿宋_GB2312" w:eastAsia="仿宋_GB2312"/>
          <w:b/>
          <w:bCs/>
          <w:color w:val="auto"/>
          <w:kern w:val="0"/>
          <w:sz w:val="32"/>
          <w:szCs w:val="32"/>
          <w:highlight w:val="none"/>
          <w:lang w:val="en-US" w:eastAsia="zh-CN"/>
        </w:rPr>
        <w:t>.城镇老旧小区改造资金来源较为单一。</w:t>
      </w:r>
      <w:bookmarkEnd w:id="65"/>
      <w:bookmarkEnd w:id="66"/>
    </w:p>
    <w:p>
      <w:pPr>
        <w:pStyle w:val="10"/>
        <w:numPr>
          <w:ilvl w:val="0"/>
          <w:numId w:val="0"/>
        </w:numPr>
        <w:ind w:firstLine="640" w:firstLineChars="200"/>
        <w:rPr>
          <w:rFonts w:hint="eastAsia" w:ascii="仿宋_GB2312" w:hAnsi="仿宋_GB2312" w:eastAsia="仿宋_GB2312"/>
          <w:color w:val="auto"/>
          <w:kern w:val="0"/>
          <w:sz w:val="32"/>
          <w:szCs w:val="32"/>
          <w:highlight w:val="none"/>
          <w:lang w:eastAsia="zh-CN"/>
        </w:rPr>
      </w:pPr>
      <w:r>
        <w:rPr>
          <w:rFonts w:hint="eastAsia" w:ascii="仿宋_GB2312" w:hAnsi="仿宋_GB2312" w:eastAsia="仿宋_GB2312"/>
          <w:b w:val="0"/>
          <w:bCs w:val="0"/>
          <w:color w:val="auto"/>
          <w:kern w:val="0"/>
          <w:sz w:val="32"/>
          <w:szCs w:val="32"/>
          <w:highlight w:val="none"/>
          <w:lang w:val="en-US" w:eastAsia="zh-CN"/>
        </w:rPr>
        <w:t>财政资金仍然是老旧小区改造资金的主要来源，</w:t>
      </w:r>
      <w:r>
        <w:rPr>
          <w:rFonts w:hint="eastAsia" w:ascii="仿宋_GB2312" w:hAnsi="仿宋_GB2312" w:eastAsia="仿宋_GB2312"/>
          <w:color w:val="auto"/>
          <w:kern w:val="0"/>
          <w:sz w:val="32"/>
          <w:szCs w:val="32"/>
          <w:highlight w:val="none"/>
        </w:rPr>
        <w:t>“改造资金政府与居民、社会力量合理共担机制”有待加强。</w:t>
      </w:r>
      <w:r>
        <w:rPr>
          <w:rFonts w:hint="eastAsia" w:ascii="仿宋_GB2312" w:hAnsi="仿宋_GB2312" w:eastAsia="仿宋_GB2312"/>
          <w:color w:val="auto"/>
          <w:kern w:val="0"/>
          <w:sz w:val="32"/>
          <w:szCs w:val="32"/>
          <w:highlight w:val="none"/>
          <w:lang w:val="en-US" w:eastAsia="zh-CN"/>
        </w:rPr>
        <w:t>粤东西北地区</w:t>
      </w:r>
      <w:r>
        <w:rPr>
          <w:rFonts w:hint="eastAsia" w:ascii="仿宋_GB2312" w:hAnsi="仿宋_GB2312" w:eastAsia="仿宋_GB2312"/>
          <w:b w:val="0"/>
          <w:bCs w:val="0"/>
          <w:color w:val="auto"/>
          <w:kern w:val="0"/>
          <w:sz w:val="32"/>
          <w:szCs w:val="32"/>
          <w:highlight w:val="none"/>
          <w:lang w:val="en-US" w:eastAsia="zh-CN"/>
        </w:rPr>
        <w:t>地方财政财力有限，居民参与老旧小区改造的积极性仍未充分调动起来，居民出资意愿低，“谁受益、谁出资”的原则难以落实。社会资本</w:t>
      </w:r>
      <w:r>
        <w:rPr>
          <w:rFonts w:hint="eastAsia" w:ascii="仿宋_GB2312" w:hAnsi="仿宋_GB2312" w:eastAsia="仿宋_GB2312"/>
          <w:color w:val="auto"/>
          <w:kern w:val="0"/>
          <w:sz w:val="32"/>
          <w:szCs w:val="32"/>
          <w:highlight w:val="none"/>
        </w:rPr>
        <w:t>参与程度低</w:t>
      </w:r>
      <w:r>
        <w:rPr>
          <w:rFonts w:hint="eastAsia" w:ascii="仿宋_GB2312" w:hAnsi="仿宋_GB2312" w:eastAsia="仿宋_GB2312"/>
          <w:color w:val="auto"/>
          <w:kern w:val="0"/>
          <w:sz w:val="32"/>
          <w:szCs w:val="32"/>
          <w:highlight w:val="none"/>
          <w:lang w:eastAsia="zh-CN"/>
        </w:rPr>
        <w:t>，</w:t>
      </w:r>
      <w:r>
        <w:rPr>
          <w:rFonts w:hint="eastAsia" w:ascii="仿宋_GB2312" w:hAnsi="仿宋_GB2312" w:eastAsia="仿宋_GB2312"/>
          <w:color w:val="auto"/>
          <w:kern w:val="0"/>
          <w:sz w:val="32"/>
          <w:szCs w:val="32"/>
          <w:highlight w:val="none"/>
        </w:rPr>
        <w:t>老旧小区可利用空间较小，产出效益不高，难以吸引社会资本投入</w:t>
      </w:r>
      <w:r>
        <w:rPr>
          <w:rFonts w:hint="eastAsia" w:ascii="仿宋_GB2312" w:hAnsi="仿宋_GB2312" w:eastAsia="仿宋_GB2312"/>
          <w:color w:val="auto"/>
          <w:kern w:val="0"/>
          <w:sz w:val="32"/>
          <w:szCs w:val="32"/>
          <w:highlight w:val="none"/>
          <w:lang w:eastAsia="zh-CN"/>
        </w:rPr>
        <w:t>。</w:t>
      </w:r>
    </w:p>
    <w:p>
      <w:pPr>
        <w:numPr>
          <w:ilvl w:val="0"/>
          <w:numId w:val="0"/>
        </w:numPr>
        <w:ind w:left="0" w:leftChars="0" w:firstLine="642" w:firstLineChars="200"/>
        <w:jc w:val="both"/>
        <w:outlineLvl w:val="2"/>
        <w:rPr>
          <w:rFonts w:hint="eastAsia" w:ascii="仿宋_GB2312" w:hAnsi="仿宋_GB2312" w:eastAsia="仿宋_GB2312"/>
          <w:b/>
          <w:bCs/>
          <w:color w:val="auto"/>
          <w:kern w:val="0"/>
          <w:sz w:val="32"/>
          <w:szCs w:val="32"/>
          <w:highlight w:val="none"/>
          <w:lang w:val="en-US" w:eastAsia="zh-CN"/>
        </w:rPr>
      </w:pPr>
      <w:bookmarkStart w:id="67" w:name="_Toc14464"/>
      <w:bookmarkStart w:id="68" w:name="_Toc9360"/>
      <w:r>
        <w:rPr>
          <w:rFonts w:hint="default" w:ascii="Times New Roman" w:hAnsi="Times New Roman" w:eastAsia="仿宋_GB2312" w:cs="Times New Roman"/>
          <w:b/>
          <w:bCs/>
          <w:color w:val="auto"/>
          <w:kern w:val="0"/>
          <w:sz w:val="32"/>
          <w:szCs w:val="32"/>
          <w:highlight w:val="none"/>
          <w:lang w:val="en-US" w:eastAsia="zh-CN"/>
        </w:rPr>
        <w:t>3</w:t>
      </w:r>
      <w:r>
        <w:rPr>
          <w:rFonts w:hint="eastAsia" w:ascii="仿宋_GB2312" w:hAnsi="仿宋_GB2312" w:eastAsia="仿宋_GB2312"/>
          <w:b/>
          <w:bCs/>
          <w:color w:val="auto"/>
          <w:kern w:val="0"/>
          <w:sz w:val="32"/>
          <w:szCs w:val="32"/>
          <w:highlight w:val="none"/>
          <w:lang w:val="en-US" w:eastAsia="zh-CN"/>
        </w:rPr>
        <w:t>.工作基础薄弱、历史欠账多，城镇老旧小区改造实施难度大。</w:t>
      </w:r>
      <w:bookmarkEnd w:id="67"/>
      <w:bookmarkEnd w:id="68"/>
    </w:p>
    <w:p>
      <w:pPr>
        <w:numPr>
          <w:ilvl w:val="0"/>
          <w:numId w:val="0"/>
        </w:numPr>
        <w:ind w:firstLine="640" w:firstLineChars="200"/>
        <w:jc w:val="both"/>
        <w:rPr>
          <w:rFonts w:hint="eastAsia" w:ascii="仿宋_GB2312" w:hAnsi="仿宋_GB2312" w:eastAsia="仿宋_GB2312"/>
          <w:b w:val="0"/>
          <w:bCs w:val="0"/>
          <w:color w:val="auto"/>
          <w:kern w:val="0"/>
          <w:sz w:val="32"/>
          <w:szCs w:val="32"/>
          <w:highlight w:val="none"/>
          <w:lang w:val="en-US" w:eastAsia="zh-CN"/>
        </w:rPr>
      </w:pPr>
      <w:r>
        <w:rPr>
          <w:rFonts w:hint="eastAsia" w:ascii="仿宋_GB2312" w:hAnsi="仿宋_GB2312" w:eastAsia="仿宋_GB2312"/>
          <w:b w:val="0"/>
          <w:bCs w:val="0"/>
          <w:color w:val="auto"/>
          <w:kern w:val="0"/>
          <w:sz w:val="32"/>
          <w:szCs w:val="32"/>
          <w:highlight w:val="none"/>
          <w:lang w:val="en-US" w:eastAsia="zh-CN"/>
        </w:rPr>
        <w:t>城市中不但有新旧小区的差异，还有城中村无序建设与有计划开发小区的冲突，有些城市中心存在大量连片的自建房，城不像城、村不像村，改善提升难度极大。</w:t>
      </w:r>
      <w:r>
        <w:rPr>
          <w:rFonts w:hint="eastAsia" w:ascii="仿宋_GB2312" w:hAnsi="仿宋_GB2312" w:eastAsia="仿宋_GB2312"/>
          <w:color w:val="auto"/>
          <w:kern w:val="0"/>
          <w:sz w:val="32"/>
          <w:szCs w:val="32"/>
          <w:highlight w:val="none"/>
        </w:rPr>
        <w:t>部分老旧小区存在土地权属不清、对违章建筑物进行清拆容易引起纠纷、老旧小区公共空间狭小难以满足现行的规划设计要求、小区住户意见难以统一等问题，各方面利益协调平衡难度较大。</w:t>
      </w:r>
      <w:r>
        <w:rPr>
          <w:rFonts w:hint="eastAsia" w:ascii="仿宋_GB2312" w:hAnsi="仿宋_GB2312" w:eastAsia="仿宋_GB2312"/>
          <w:b w:val="0"/>
          <w:bCs w:val="0"/>
          <w:color w:val="auto"/>
          <w:kern w:val="0"/>
          <w:sz w:val="32"/>
          <w:szCs w:val="32"/>
          <w:highlight w:val="none"/>
          <w:lang w:val="en-US" w:eastAsia="zh-CN"/>
        </w:rPr>
        <w:t>部分小区基础建设条件较差，如</w:t>
      </w:r>
      <w:r>
        <w:rPr>
          <w:rFonts w:hint="eastAsia" w:ascii="仿宋_GB2312" w:hAnsi="仿宋_GB2312" w:eastAsia="仿宋_GB2312"/>
          <w:color w:val="auto"/>
          <w:kern w:val="0"/>
          <w:sz w:val="32"/>
          <w:szCs w:val="32"/>
          <w:highlight w:val="none"/>
        </w:rPr>
        <w:t>部分小区</w:t>
      </w:r>
      <w:r>
        <w:rPr>
          <w:rFonts w:hint="eastAsia" w:ascii="仿宋_GB2312" w:hAnsi="仿宋_GB2312" w:eastAsia="仿宋_GB2312"/>
          <w:color w:val="auto"/>
          <w:kern w:val="0"/>
          <w:sz w:val="32"/>
          <w:szCs w:val="32"/>
          <w:highlight w:val="none"/>
          <w:lang w:val="en-US" w:eastAsia="zh-CN"/>
        </w:rPr>
        <w:t>存在</w:t>
      </w:r>
      <w:r>
        <w:rPr>
          <w:rFonts w:hint="eastAsia" w:ascii="仿宋_GB2312" w:hAnsi="仿宋_GB2312" w:eastAsia="仿宋_GB2312"/>
          <w:color w:val="auto"/>
          <w:kern w:val="0"/>
          <w:sz w:val="32"/>
          <w:szCs w:val="32"/>
          <w:highlight w:val="none"/>
        </w:rPr>
        <w:t>空间狭窄</w:t>
      </w:r>
      <w:r>
        <w:rPr>
          <w:rFonts w:hint="eastAsia" w:ascii="仿宋_GB2312" w:hAnsi="仿宋_GB2312" w:eastAsia="仿宋_GB2312"/>
          <w:color w:val="auto"/>
          <w:kern w:val="0"/>
          <w:sz w:val="32"/>
          <w:szCs w:val="32"/>
          <w:highlight w:val="none"/>
          <w:lang w:val="en-US" w:eastAsia="zh-CN"/>
        </w:rPr>
        <w:t>等问题</w:t>
      </w:r>
      <w:r>
        <w:rPr>
          <w:rFonts w:hint="eastAsia" w:ascii="仿宋_GB2312" w:hAnsi="仿宋_GB2312" w:eastAsia="仿宋_GB2312"/>
          <w:color w:val="auto"/>
          <w:kern w:val="0"/>
          <w:sz w:val="32"/>
          <w:szCs w:val="32"/>
          <w:highlight w:val="none"/>
        </w:rPr>
        <w:t>，</w:t>
      </w:r>
      <w:r>
        <w:rPr>
          <w:rFonts w:hint="eastAsia" w:ascii="仿宋_GB2312" w:hAnsi="仿宋_GB2312" w:eastAsia="仿宋_GB2312"/>
          <w:color w:val="auto"/>
          <w:kern w:val="0"/>
          <w:sz w:val="32"/>
          <w:szCs w:val="32"/>
          <w:highlight w:val="none"/>
          <w:lang w:val="en-US" w:eastAsia="zh-CN"/>
        </w:rPr>
        <w:t>导致</w:t>
      </w:r>
      <w:r>
        <w:rPr>
          <w:rFonts w:hint="eastAsia" w:ascii="仿宋_GB2312" w:hAnsi="仿宋_GB2312" w:eastAsia="仿宋_GB2312"/>
          <w:color w:val="auto"/>
          <w:kern w:val="0"/>
          <w:sz w:val="32"/>
          <w:szCs w:val="32"/>
          <w:highlight w:val="none"/>
        </w:rPr>
        <w:t>运输和施工车辆难以进场，只能采用人力。</w:t>
      </w:r>
    </w:p>
    <w:p>
      <w:pPr>
        <w:numPr>
          <w:ilvl w:val="0"/>
          <w:numId w:val="0"/>
        </w:numPr>
        <w:ind w:left="0" w:leftChars="0" w:firstLine="642" w:firstLineChars="200"/>
        <w:jc w:val="both"/>
        <w:outlineLvl w:val="2"/>
        <w:rPr>
          <w:rFonts w:hint="eastAsia" w:ascii="仿宋_GB2312" w:hAnsi="仿宋_GB2312" w:eastAsia="仿宋_GB2312"/>
          <w:b/>
          <w:bCs/>
          <w:color w:val="auto"/>
          <w:kern w:val="0"/>
          <w:sz w:val="32"/>
          <w:szCs w:val="32"/>
          <w:highlight w:val="none"/>
          <w:lang w:val="en-US" w:eastAsia="zh-CN"/>
        </w:rPr>
      </w:pPr>
      <w:bookmarkStart w:id="69" w:name="_Toc27262"/>
      <w:bookmarkStart w:id="70" w:name="_Toc24766"/>
      <w:r>
        <w:rPr>
          <w:rFonts w:hint="default" w:ascii="Times New Roman" w:hAnsi="Times New Roman" w:eastAsia="仿宋_GB2312" w:cs="Times New Roman"/>
          <w:b/>
          <w:bCs/>
          <w:color w:val="auto"/>
          <w:kern w:val="0"/>
          <w:sz w:val="32"/>
          <w:szCs w:val="32"/>
          <w:highlight w:val="none"/>
          <w:lang w:val="en-US" w:eastAsia="zh-CN"/>
        </w:rPr>
        <w:t>4</w:t>
      </w:r>
      <w:r>
        <w:rPr>
          <w:rFonts w:hint="eastAsia" w:ascii="仿宋_GB2312" w:hAnsi="仿宋_GB2312" w:eastAsia="仿宋_GB2312"/>
          <w:b/>
          <w:bCs/>
          <w:color w:val="auto"/>
          <w:kern w:val="0"/>
          <w:sz w:val="32"/>
          <w:szCs w:val="32"/>
          <w:highlight w:val="none"/>
          <w:lang w:val="en-US" w:eastAsia="zh-CN"/>
        </w:rPr>
        <w:t>.长效管理机制落实有待提高。</w:t>
      </w:r>
      <w:bookmarkEnd w:id="69"/>
      <w:bookmarkEnd w:id="70"/>
    </w:p>
    <w:p>
      <w:pPr>
        <w:numPr>
          <w:ilvl w:val="0"/>
          <w:numId w:val="0"/>
        </w:numPr>
        <w:ind w:firstLine="642"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首先，</w:t>
      </w:r>
      <w:r>
        <w:rPr>
          <w:rFonts w:hint="eastAsia" w:ascii="仿宋_GB2312" w:hAnsi="仿宋_GB2312" w:eastAsia="仿宋_GB2312" w:cs="仿宋_GB2312"/>
          <w:b w:val="0"/>
          <w:bCs w:val="0"/>
          <w:color w:val="auto"/>
          <w:kern w:val="0"/>
          <w:sz w:val="32"/>
          <w:szCs w:val="32"/>
          <w:highlight w:val="none"/>
          <w:lang w:val="en-US" w:eastAsia="zh-CN"/>
        </w:rPr>
        <w:t>已经建立健全住宅专项维修资金归集、使用、续筹机制的小区</w:t>
      </w:r>
      <w:r>
        <w:rPr>
          <w:rFonts w:hint="default" w:ascii="Times New Roman" w:hAnsi="Times New Roman" w:eastAsia="仿宋_GB2312" w:cs="Times New Roman"/>
          <w:b w:val="0"/>
          <w:bCs w:val="0"/>
          <w:color w:val="auto"/>
          <w:kern w:val="0"/>
          <w:sz w:val="32"/>
          <w:szCs w:val="32"/>
          <w:highlight w:val="none"/>
          <w:lang w:val="en-US" w:eastAsia="zh-CN"/>
        </w:rPr>
        <w:t>71</w:t>
      </w:r>
      <w:r>
        <w:rPr>
          <w:rFonts w:hint="eastAsia" w:ascii="仿宋_GB2312" w:hAnsi="仿宋_GB2312" w:eastAsia="仿宋_GB2312" w:cs="仿宋_GB2312"/>
          <w:b w:val="0"/>
          <w:bCs w:val="0"/>
          <w:color w:val="auto"/>
          <w:kern w:val="0"/>
          <w:sz w:val="32"/>
          <w:szCs w:val="32"/>
          <w:highlight w:val="none"/>
          <w:lang w:val="en-US" w:eastAsia="zh-CN"/>
        </w:rPr>
        <w:t>个，占年度计划改造小区比例为</w:t>
      </w:r>
      <w:r>
        <w:rPr>
          <w:rFonts w:hint="default" w:ascii="Times New Roman" w:hAnsi="Times New Roman" w:eastAsia="仿宋_GB2312" w:cs="Times New Roman"/>
          <w:b w:val="0"/>
          <w:bCs w:val="0"/>
          <w:color w:val="auto"/>
          <w:kern w:val="0"/>
          <w:sz w:val="32"/>
          <w:szCs w:val="32"/>
          <w:highlight w:val="none"/>
          <w:lang w:val="en-US" w:eastAsia="zh-CN"/>
        </w:rPr>
        <w:t>10</w:t>
      </w:r>
      <w:r>
        <w:rPr>
          <w:rFonts w:hint="eastAsia" w:ascii="仿宋_GB2312" w:hAnsi="仿宋_GB2312" w:eastAsia="仿宋_GB2312" w:cs="仿宋_GB2312"/>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14</w:t>
      </w:r>
      <w:r>
        <w:rPr>
          <w:rFonts w:hint="eastAsia" w:ascii="仿宋_GB2312" w:hAnsi="仿宋_GB2312" w:eastAsia="仿宋_GB2312" w:cs="仿宋_GB2312"/>
          <w:b w:val="0"/>
          <w:bCs w:val="0"/>
          <w:color w:val="auto"/>
          <w:kern w:val="0"/>
          <w:sz w:val="32"/>
          <w:szCs w:val="32"/>
          <w:highlight w:val="none"/>
          <w:lang w:val="en-US" w:eastAsia="zh-CN"/>
        </w:rPr>
        <w:t>%，与预期目标仍有一定的差距，反映出在资金管理机制推广和落实方面仍有提升空间。</w:t>
      </w:r>
      <w:r>
        <w:rPr>
          <w:rFonts w:hint="eastAsia" w:ascii="仿宋_GB2312" w:hAnsi="仿宋_GB2312" w:eastAsia="仿宋_GB2312" w:cs="仿宋_GB2312"/>
          <w:b/>
          <w:bCs/>
          <w:color w:val="auto"/>
          <w:kern w:val="0"/>
          <w:sz w:val="32"/>
          <w:szCs w:val="32"/>
          <w:highlight w:val="none"/>
          <w:lang w:val="en-US" w:eastAsia="zh-CN"/>
        </w:rPr>
        <w:t>其次，</w:t>
      </w:r>
      <w:r>
        <w:rPr>
          <w:rFonts w:hint="eastAsia" w:ascii="仿宋_GB2312" w:hAnsi="仿宋_GB2312" w:eastAsia="仿宋_GB2312" w:cs="仿宋_GB2312"/>
          <w:b w:val="0"/>
          <w:bCs w:val="0"/>
          <w:color w:val="auto"/>
          <w:kern w:val="0"/>
          <w:sz w:val="32"/>
          <w:szCs w:val="32"/>
          <w:highlight w:val="none"/>
          <w:lang w:val="en-US" w:eastAsia="zh-CN"/>
        </w:rPr>
        <w:t>在老旧小区改造的全生命周期管理中，质量安全责任落实面临一定挑战。老旧小区建筑老化带来的质量安全隐患与改造后可能出现的新问题相互交织，责任界定存在一定复杂性，这在一定程度上增加了改造后的维护和整改工作量。</w:t>
      </w:r>
    </w:p>
    <w:bookmarkEnd w:id="56"/>
    <w:p>
      <w:pPr>
        <w:keepNext/>
        <w:keepLines/>
        <w:snapToGrid w:val="0"/>
        <w:spacing w:line="360" w:lineRule="auto"/>
        <w:ind w:firstLine="640" w:firstLineChars="200"/>
        <w:outlineLvl w:val="0"/>
        <w:rPr>
          <w:rFonts w:hint="eastAsia" w:eastAsia="黑体"/>
          <w:color w:val="auto"/>
          <w:kern w:val="0"/>
          <w:sz w:val="32"/>
          <w:szCs w:val="32"/>
          <w:highlight w:val="none"/>
        </w:rPr>
      </w:pPr>
      <w:bookmarkStart w:id="71" w:name="_Toc27970"/>
      <w:bookmarkStart w:id="72" w:name="_Toc16876"/>
      <w:bookmarkStart w:id="73" w:name="_Toc18810"/>
      <w:bookmarkStart w:id="74" w:name="_Toc29841"/>
      <w:bookmarkStart w:id="75" w:name="_Toc30778"/>
      <w:bookmarkStart w:id="76" w:name="_Toc8884"/>
      <w:r>
        <w:rPr>
          <w:rFonts w:hint="eastAsia" w:eastAsia="黑体"/>
          <w:color w:val="auto"/>
          <w:kern w:val="0"/>
          <w:sz w:val="32"/>
          <w:szCs w:val="32"/>
          <w:highlight w:val="none"/>
        </w:rPr>
        <w:t>三、改进意见</w:t>
      </w:r>
      <w:bookmarkEnd w:id="71"/>
      <w:bookmarkEnd w:id="72"/>
    </w:p>
    <w:p>
      <w:pPr>
        <w:numPr>
          <w:ilvl w:val="0"/>
          <w:numId w:val="0"/>
        </w:numPr>
        <w:ind w:left="0" w:leftChars="0" w:firstLine="642" w:firstLineChars="200"/>
        <w:outlineLvl w:val="1"/>
        <w:rPr>
          <w:rFonts w:hint="eastAsia" w:ascii="仿宋" w:hAnsi="仿宋" w:eastAsia="仿宋" w:cs="仿宋"/>
          <w:b/>
          <w:bCs/>
          <w:color w:val="auto"/>
          <w:kern w:val="0"/>
          <w:sz w:val="32"/>
          <w:szCs w:val="32"/>
          <w:highlight w:val="none"/>
          <w:lang w:val="zh-TW" w:eastAsia="zh-CN"/>
        </w:rPr>
      </w:pPr>
      <w:bookmarkStart w:id="77" w:name="_Toc9584"/>
      <w:bookmarkStart w:id="78" w:name="_Toc3884"/>
      <w:r>
        <w:rPr>
          <w:rFonts w:hint="eastAsia" w:hAnsi="宋体" w:eastAsia="楷体_GB2312" w:asciiTheme="minorHAnsi" w:cstheme="minorBidi"/>
          <w:b/>
          <w:bCs/>
          <w:color w:val="auto"/>
          <w:kern w:val="44"/>
          <w:sz w:val="32"/>
          <w:szCs w:val="44"/>
          <w:highlight w:val="none"/>
          <w:lang w:val="en-US" w:eastAsia="zh-CN"/>
        </w:rPr>
        <w:t>（一）强化专项督查与追责问责机制</w:t>
      </w:r>
      <w:r>
        <w:rPr>
          <w:rFonts w:hint="eastAsia" w:hAnsi="宋体" w:eastAsia="楷体_GB2312" w:cstheme="minorBidi"/>
          <w:b/>
          <w:bCs/>
          <w:color w:val="auto"/>
          <w:kern w:val="44"/>
          <w:sz w:val="32"/>
          <w:szCs w:val="44"/>
          <w:highlight w:val="none"/>
          <w:lang w:val="en-US" w:eastAsia="zh-CN"/>
        </w:rPr>
        <w:t>，提升资金使用效率</w:t>
      </w:r>
      <w:bookmarkEnd w:id="77"/>
      <w:bookmarkEnd w:id="78"/>
    </w:p>
    <w:p>
      <w:pPr>
        <w:pStyle w:val="5"/>
        <w:ind w:firstLine="640" w:firstLineChars="200"/>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在城镇老旧小区改造工作中，科学谋划和提高资金使用效率是重要环节。</w:t>
      </w:r>
      <w:r>
        <w:rPr>
          <w:rFonts w:hint="eastAsia" w:ascii="仿宋_GB2312" w:hAnsi="仿宋_GB2312" w:eastAsia="仿宋_GB2312" w:cs="仿宋_GB2312"/>
          <w:b/>
          <w:bCs/>
          <w:color w:val="auto"/>
          <w:sz w:val="32"/>
          <w:highlight w:val="none"/>
          <w:lang w:val="en-US" w:eastAsia="zh-CN"/>
        </w:rPr>
        <w:t>一是</w:t>
      </w:r>
      <w:r>
        <w:rPr>
          <w:rFonts w:hint="eastAsia" w:ascii="仿宋_GB2312" w:hAnsi="仿宋_GB2312" w:eastAsia="仿宋_GB2312" w:cs="仿宋_GB2312"/>
          <w:b w:val="0"/>
          <w:bCs w:val="0"/>
          <w:color w:val="auto"/>
          <w:sz w:val="32"/>
          <w:highlight w:val="none"/>
          <w:lang w:val="en-US" w:eastAsia="zh-CN"/>
        </w:rPr>
        <w:t>要抓好绩效目标的落实，进一步压实主体责任，加强对各地执行支付进度计划的督促指导。</w:t>
      </w:r>
      <w:r>
        <w:rPr>
          <w:rFonts w:hint="eastAsia" w:ascii="仿宋_GB2312" w:hAnsi="仿宋_GB2312" w:eastAsia="仿宋_GB2312" w:cs="仿宋_GB2312"/>
          <w:color w:val="auto"/>
          <w:sz w:val="32"/>
          <w:szCs w:val="32"/>
          <w:highlight w:val="none"/>
          <w:lang w:eastAsia="zh-CN"/>
        </w:rPr>
        <w:t>建议由省纪委监委牵头，联合省委、省政府督查部门，省人大相关专委，省审计厅等有关部门组成督查小组，对开工进度和支付进度落后地市开展专项督查，重点查处不作为、慢作为、挪用专项资金等相关问题，落实追责问责机制。</w:t>
      </w:r>
      <w:r>
        <w:rPr>
          <w:rFonts w:hint="eastAsia" w:ascii="仿宋_GB2312" w:hAnsi="仿宋_GB2312" w:eastAsia="仿宋_GB2312" w:cs="仿宋_GB2312"/>
          <w:b w:val="0"/>
          <w:bCs w:val="0"/>
          <w:color w:val="auto"/>
          <w:sz w:val="32"/>
          <w:highlight w:val="none"/>
          <w:lang w:val="en-US" w:eastAsia="zh-CN"/>
        </w:rPr>
        <w:t>同时，督促各地业务主管部门与财政部门加强沟通衔接，做好资金前期审批工作，严格按工程进度落实资金支付，并平衡好上级补助资金和政府专项债的优先关系。</w:t>
      </w:r>
      <w:r>
        <w:rPr>
          <w:rFonts w:hint="eastAsia" w:ascii="仿宋_GB2312" w:hAnsi="仿宋_GB2312" w:eastAsia="仿宋_GB2312" w:cs="仿宋_GB2312"/>
          <w:b/>
          <w:bCs/>
          <w:color w:val="auto"/>
          <w:sz w:val="32"/>
          <w:highlight w:val="none"/>
          <w:lang w:val="en-US" w:eastAsia="zh-CN"/>
        </w:rPr>
        <w:t>二是</w:t>
      </w:r>
      <w:r>
        <w:rPr>
          <w:rFonts w:hint="eastAsia" w:ascii="仿宋_GB2312" w:hAnsi="仿宋_GB2312" w:eastAsia="仿宋_GB2312" w:cs="仿宋_GB2312"/>
          <w:b w:val="0"/>
          <w:bCs w:val="0"/>
          <w:color w:val="auto"/>
          <w:sz w:val="32"/>
          <w:highlight w:val="none"/>
          <w:lang w:val="en-US" w:eastAsia="zh-CN"/>
        </w:rPr>
        <w:t>优化审批流程。针对部分县级业务主管部门反映的财政补助资金拨付较慢、影响项目进度和资金支出的问题，推动市县优化、简化、完善资金审批程序，提升审批拨付效率。</w:t>
      </w:r>
      <w:r>
        <w:rPr>
          <w:rFonts w:hint="eastAsia" w:ascii="仿宋_GB2312" w:hAnsi="仿宋_GB2312" w:eastAsia="仿宋_GB2312" w:cs="仿宋_GB2312"/>
          <w:b/>
          <w:bCs/>
          <w:color w:val="auto"/>
          <w:sz w:val="32"/>
          <w:highlight w:val="none"/>
          <w:lang w:val="en-US" w:eastAsia="zh-CN"/>
        </w:rPr>
        <w:t>三是</w:t>
      </w:r>
      <w:r>
        <w:rPr>
          <w:rFonts w:hint="eastAsia" w:ascii="仿宋_GB2312" w:hAnsi="仿宋_GB2312" w:eastAsia="仿宋_GB2312" w:cs="仿宋_GB2312"/>
          <w:b w:val="0"/>
          <w:bCs w:val="0"/>
          <w:color w:val="auto"/>
          <w:sz w:val="32"/>
          <w:highlight w:val="none"/>
          <w:lang w:val="en-US" w:eastAsia="zh-CN"/>
        </w:rPr>
        <w:t>强化绩效评价结果反馈机制。根据上一年度的中央财政补助资金绩效评价结果，对下一年度资金分配情况进行调整，重点关注资金缺口大、项目实施建设好、资金支付使用效率高的项目，以提高资金使用效率。</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default" w:hAnsi="宋体" w:eastAsia="楷体_GB2312" w:asciiTheme="minorHAnsi" w:cstheme="minorBidi"/>
          <w:b/>
          <w:bCs/>
          <w:color w:val="auto"/>
          <w:kern w:val="44"/>
          <w:sz w:val="32"/>
          <w:szCs w:val="44"/>
          <w:highlight w:val="none"/>
          <w:lang w:val="en-US" w:eastAsia="zh-CN"/>
        </w:rPr>
      </w:pPr>
      <w:bookmarkStart w:id="79" w:name="_Toc14320"/>
      <w:bookmarkStart w:id="80" w:name="_Toc3059"/>
      <w:bookmarkStart w:id="81" w:name="_Toc23032"/>
      <w:bookmarkStart w:id="82" w:name="_Toc2484"/>
      <w:bookmarkStart w:id="83" w:name="_Toc23399"/>
      <w:bookmarkStart w:id="84" w:name="_Toc8354"/>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二</w:t>
      </w:r>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优化</w:t>
      </w:r>
      <w:r>
        <w:rPr>
          <w:rFonts w:hint="eastAsia" w:hAnsi="宋体" w:eastAsia="楷体_GB2312" w:asciiTheme="minorHAnsi" w:cstheme="minorBidi"/>
          <w:b/>
          <w:bCs/>
          <w:color w:val="auto"/>
          <w:kern w:val="44"/>
          <w:sz w:val="32"/>
          <w:szCs w:val="44"/>
          <w:highlight w:val="none"/>
          <w:lang w:val="en-US" w:eastAsia="zh-CN"/>
        </w:rPr>
        <w:t>资金管理，</w:t>
      </w:r>
      <w:bookmarkEnd w:id="79"/>
      <w:bookmarkEnd w:id="80"/>
      <w:bookmarkEnd w:id="81"/>
      <w:bookmarkEnd w:id="82"/>
      <w:r>
        <w:rPr>
          <w:rFonts w:hint="eastAsia" w:hAnsi="宋体" w:eastAsia="楷体_GB2312" w:cstheme="minorBidi"/>
          <w:b/>
          <w:bCs/>
          <w:color w:val="auto"/>
          <w:kern w:val="44"/>
          <w:sz w:val="32"/>
          <w:szCs w:val="44"/>
          <w:highlight w:val="none"/>
          <w:lang w:val="en-US" w:eastAsia="zh-CN"/>
        </w:rPr>
        <w:t>引导改造资金多元投入</w:t>
      </w:r>
      <w:bookmarkEnd w:id="83"/>
      <w:bookmarkEnd w:id="84"/>
    </w:p>
    <w:p>
      <w:pPr>
        <w:ind w:firstLine="640" w:firstLineChars="200"/>
        <w:rPr>
          <w:color w:val="auto"/>
          <w:highlight w:val="none"/>
        </w:rPr>
      </w:pPr>
      <w:r>
        <w:rPr>
          <w:rFonts w:hint="eastAsia" w:ascii="仿宋_GB2312" w:hAnsi="仿宋_GB2312" w:eastAsia="仿宋_GB2312" w:cs="仿宋_GB2312"/>
          <w:color w:val="auto"/>
          <w:kern w:val="0"/>
          <w:sz w:val="32"/>
          <w:szCs w:val="32"/>
          <w:highlight w:val="none"/>
          <w:lang w:val="en-US" w:eastAsia="zh-CN"/>
        </w:rPr>
        <w:t>继续做好年度省级财政资金测算和申报工作，积极申请中央资金。统筹各类涉及住宅小区的资金用于城镇老旧小区改造，发挥政府资金的引导作用，吸引社会资本投入，切实提高财政资金使用效益。搭建各级部门与相关单位改造合作平台，建立合作机制，吸引各运营商共同参与改造。支持规范各类企业以政府和社会资本合作模式参与改造。鼓励各地采用FEPCO（投资、设计、建设、运营、管理一体化）、BOT（建设-经营-转让）等模式，引入企业通过市场化方式推进老旧小区改造，实现老旧小区改造项目全生命周期建管一体化。</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jc w:val="both"/>
        <w:textAlignment w:val="baseline"/>
        <w:outlineLvl w:val="1"/>
        <w:rPr>
          <w:rFonts w:hint="eastAsia" w:ascii="仿宋_GB2312" w:hAnsi="仿宋_GB2312" w:eastAsia="仿宋_GB2312" w:cs="仿宋_GB2312"/>
          <w:bCs/>
          <w:color w:val="auto"/>
          <w:kern w:val="2"/>
          <w:sz w:val="32"/>
          <w:szCs w:val="32"/>
          <w:highlight w:val="none"/>
          <w:lang w:val="en-US" w:eastAsia="zh-CN" w:bidi="ar"/>
        </w:rPr>
      </w:pPr>
      <w:bookmarkStart w:id="85" w:name="_Toc25884"/>
      <w:bookmarkStart w:id="86" w:name="_Toc30447"/>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三</w:t>
      </w:r>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继续完善工作机制，高效推进城镇老旧小区改造工作</w:t>
      </w:r>
      <w:bookmarkEnd w:id="73"/>
      <w:bookmarkEnd w:id="74"/>
      <w:bookmarkEnd w:id="75"/>
      <w:bookmarkEnd w:id="76"/>
      <w:bookmarkEnd w:id="85"/>
      <w:bookmarkEnd w:id="86"/>
    </w:p>
    <w:p>
      <w:pPr>
        <w:ind w:firstLine="640"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highlight w:val="none"/>
          <w:lang w:eastAsia="zh-CN"/>
        </w:rPr>
        <w:t>充分发挥省</w:t>
      </w:r>
      <w:r>
        <w:rPr>
          <w:rFonts w:hint="eastAsia" w:ascii="仿宋_GB2312" w:hAnsi="仿宋_GB2312" w:eastAsia="仿宋_GB2312" w:cs="仿宋_GB2312"/>
          <w:color w:val="auto"/>
          <w:kern w:val="2"/>
          <w:sz w:val="32"/>
          <w:highlight w:val="none"/>
          <w:lang w:eastAsia="zh-CN"/>
        </w:rPr>
        <w:t>城镇老旧小区人居环境品质提升工作领导小组的统筹协调作用，</w:t>
      </w:r>
      <w:r>
        <w:rPr>
          <w:rFonts w:hint="eastAsia" w:ascii="仿宋_GB2312" w:hAnsi="仿宋_GB2312" w:eastAsia="仿宋_GB2312" w:cs="仿宋_GB2312"/>
          <w:color w:val="auto"/>
          <w:kern w:val="0"/>
          <w:sz w:val="32"/>
          <w:szCs w:val="32"/>
          <w:highlight w:val="none"/>
          <w:lang w:val="en-US" w:eastAsia="zh-CN"/>
        </w:rPr>
        <w:t>建立健全政府统筹、条块协作、各部门齐抓共管的专门工作机制，</w:t>
      </w:r>
      <w:r>
        <w:rPr>
          <w:rFonts w:hint="eastAsia" w:ascii="仿宋_GB2312" w:hAnsi="仿宋_GB2312" w:eastAsia="仿宋_GB2312" w:cs="仿宋_GB2312"/>
          <w:b w:val="0"/>
          <w:bCs w:val="0"/>
          <w:color w:val="auto"/>
          <w:sz w:val="32"/>
          <w:highlight w:val="none"/>
          <w:lang w:eastAsia="zh-CN"/>
        </w:rPr>
        <w:t>省住房和城乡建设厅会同有关部门继续完善若干支持</w:t>
      </w:r>
      <w:r>
        <w:rPr>
          <w:rFonts w:hint="eastAsia" w:ascii="仿宋_GB2312" w:hAnsi="仿宋_GB2312" w:eastAsia="仿宋_GB2312" w:cs="仿宋_GB2312"/>
          <w:color w:val="auto"/>
          <w:kern w:val="0"/>
          <w:sz w:val="32"/>
          <w:szCs w:val="32"/>
          <w:highlight w:val="none"/>
          <w:lang w:val="en-US" w:eastAsia="zh-CN"/>
        </w:rPr>
        <w:t>城镇老旧小区改造的政策措施</w:t>
      </w:r>
      <w:r>
        <w:rPr>
          <w:rFonts w:hint="eastAsia" w:ascii="仿宋_GB2312" w:hAnsi="仿宋_GB2312" w:eastAsia="仿宋_GB2312" w:cs="仿宋_GB2312"/>
          <w:b w:val="0"/>
          <w:bCs w:val="0"/>
          <w:color w:val="auto"/>
          <w:sz w:val="32"/>
          <w:highlight w:val="none"/>
          <w:lang w:eastAsia="zh-CN"/>
        </w:rPr>
        <w:t>，督促指导各地加快建立工作统筹协调机制，形成合力，共同推动</w:t>
      </w:r>
      <w:r>
        <w:rPr>
          <w:rFonts w:hint="eastAsia" w:ascii="仿宋_GB2312" w:hAnsi="仿宋_GB2312" w:eastAsia="仿宋_GB2312" w:cs="仿宋_GB2312"/>
          <w:color w:val="auto"/>
          <w:kern w:val="0"/>
          <w:sz w:val="32"/>
          <w:szCs w:val="32"/>
          <w:highlight w:val="none"/>
          <w:lang w:val="en-US" w:eastAsia="zh-CN"/>
        </w:rPr>
        <w:t>城镇老旧小区改造</w:t>
      </w:r>
      <w:r>
        <w:rPr>
          <w:rFonts w:hint="eastAsia" w:ascii="仿宋_GB2312" w:hAnsi="仿宋_GB2312" w:eastAsia="仿宋_GB2312" w:cs="仿宋_GB2312"/>
          <w:b w:val="0"/>
          <w:bCs w:val="0"/>
          <w:color w:val="auto"/>
          <w:kern w:val="0"/>
          <w:sz w:val="32"/>
          <w:szCs w:val="32"/>
          <w:highlight w:val="none"/>
          <w:lang w:eastAsia="zh-CN"/>
        </w:rPr>
        <w:t>工作</w:t>
      </w:r>
      <w:r>
        <w:rPr>
          <w:rFonts w:hint="eastAsia" w:ascii="仿宋_GB2312" w:hAnsi="仿宋_GB2312" w:eastAsia="仿宋_GB2312" w:cs="仿宋_GB2312"/>
          <w:b w:val="0"/>
          <w:bCs w:val="0"/>
          <w:color w:val="auto"/>
          <w:sz w:val="32"/>
          <w:highlight w:val="none"/>
          <w:lang w:eastAsia="zh-CN"/>
        </w:rPr>
        <w:t>。全面贯彻落实《国务院办公厅关于全面推进城镇老旧小区改造工作的指导意见》《广东省人民政府办公厅关于全面推进城镇老旧小区改造工作的实施意见》等文件精神，要求市县政府切实提高政治站位，强化责任担当，落实主体责任。</w:t>
      </w:r>
      <w:r>
        <w:rPr>
          <w:rFonts w:hint="eastAsia" w:ascii="仿宋_GB2312" w:hAnsi="仿宋_GB2312" w:eastAsia="仿宋_GB2312" w:cs="仿宋_GB2312"/>
          <w:b w:val="0"/>
          <w:bCs w:val="0"/>
          <w:color w:val="auto"/>
          <w:kern w:val="0"/>
          <w:sz w:val="32"/>
          <w:szCs w:val="32"/>
          <w:highlight w:val="none"/>
          <w:lang w:val="en-US" w:eastAsia="zh-CN"/>
        </w:rPr>
        <w:t>落实《</w:t>
      </w:r>
      <w:r>
        <w:rPr>
          <w:rFonts w:hint="eastAsia" w:ascii="仿宋_GB2312" w:hAnsi="仿宋_GB2312" w:eastAsia="仿宋_GB2312" w:cs="仿宋_GB2312"/>
          <w:b w:val="0"/>
          <w:bCs w:val="0"/>
          <w:color w:val="auto"/>
          <w:sz w:val="32"/>
          <w:highlight w:val="none"/>
          <w:lang w:eastAsia="zh-CN"/>
        </w:rPr>
        <w:t>广东省</w:t>
      </w:r>
      <w:r>
        <w:rPr>
          <w:rFonts w:hint="eastAsia" w:ascii="仿宋_GB2312" w:hAnsi="仿宋_GB2312" w:eastAsia="仿宋_GB2312" w:cs="仿宋_GB2312"/>
          <w:color w:val="auto"/>
          <w:kern w:val="0"/>
          <w:sz w:val="32"/>
          <w:szCs w:val="32"/>
          <w:highlight w:val="none"/>
          <w:lang w:val="en-US" w:eastAsia="zh-CN"/>
        </w:rPr>
        <w:t>城镇老旧小区改造实施方案（</w:t>
      </w:r>
      <w:r>
        <w:rPr>
          <w:rFonts w:hint="default" w:ascii="Times New Roman" w:hAnsi="Times New Roman" w:eastAsia="仿宋_GB2312" w:cs="Times New Roman"/>
          <w:color w:val="auto"/>
          <w:kern w:val="0"/>
          <w:sz w:val="32"/>
          <w:szCs w:val="32"/>
          <w:highlight w:val="none"/>
          <w:lang w:val="en-US" w:eastAsia="zh-CN"/>
        </w:rPr>
        <w:t>2021</w:t>
      </w:r>
      <w:r>
        <w:rPr>
          <w:rFonts w:hint="eastAsia" w:ascii="仿宋_GB2312" w:hAnsi="仿宋_GB2312" w:eastAsia="仿宋_GB2312" w:cs="仿宋_GB2312"/>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sz w:val="32"/>
          <w:highlight w:val="none"/>
          <w:lang w:eastAsia="zh-CN"/>
        </w:rPr>
        <w:t>广东省</w:t>
      </w:r>
      <w:r>
        <w:rPr>
          <w:rFonts w:hint="eastAsia" w:ascii="仿宋_GB2312" w:hAnsi="仿宋_GB2312" w:eastAsia="仿宋_GB2312" w:cs="仿宋_GB2312"/>
          <w:color w:val="auto"/>
          <w:kern w:val="0"/>
          <w:sz w:val="32"/>
          <w:szCs w:val="32"/>
          <w:highlight w:val="none"/>
          <w:lang w:val="en-US" w:eastAsia="zh-CN"/>
        </w:rPr>
        <w:t>城镇老旧小区改造工作指引</w:t>
      </w:r>
      <w:r>
        <w:rPr>
          <w:rFonts w:hint="eastAsia" w:ascii="仿宋_GB2312" w:hAnsi="仿宋_GB2312" w:eastAsia="仿宋_GB2312" w:cs="仿宋_GB2312"/>
          <w:b w:val="0"/>
          <w:bCs w:val="0"/>
          <w:color w:val="auto"/>
          <w:kern w:val="0"/>
          <w:sz w:val="32"/>
          <w:szCs w:val="32"/>
          <w:highlight w:val="none"/>
          <w:lang w:val="en-US" w:eastAsia="zh-CN"/>
        </w:rPr>
        <w:t>》等，指导各地建立“实施一批、谋划一批、改造一批”滚动实施机制。完善和推进部门联动、日常管养、社会力量以市场化方式参与、改造资金合理共担、引进大企业采取设计施工及运营（EPC+O）一体化模式推进、与专营单位协作、共同缔造、党建引领等工作机制或技术指引。</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1"/>
        <w:rPr>
          <w:rFonts w:hint="eastAsia" w:hAnsi="宋体" w:eastAsia="楷体_GB2312"/>
          <w:b/>
          <w:bCs/>
          <w:color w:val="auto"/>
          <w:kern w:val="44"/>
          <w:sz w:val="32"/>
          <w:szCs w:val="44"/>
          <w:highlight w:val="none"/>
          <w:lang w:val="en-US" w:eastAsia="zh-CN"/>
        </w:rPr>
      </w:pPr>
      <w:bookmarkStart w:id="87" w:name="_Toc18167"/>
      <w:bookmarkStart w:id="88" w:name="_Toc8515"/>
      <w:bookmarkStart w:id="89" w:name="_Toc18182"/>
      <w:bookmarkStart w:id="90" w:name="_Toc3463"/>
      <w:bookmarkStart w:id="91" w:name="_Toc28088"/>
      <w:bookmarkStart w:id="92" w:name="_Toc11446"/>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四</w:t>
      </w:r>
      <w:r>
        <w:rPr>
          <w:rFonts w:hint="eastAsia" w:hAnsi="宋体" w:eastAsia="楷体_GB2312" w:asciiTheme="minorHAnsi" w:cstheme="minorBidi"/>
          <w:b/>
          <w:bCs/>
          <w:color w:val="auto"/>
          <w:kern w:val="44"/>
          <w:sz w:val="32"/>
          <w:szCs w:val="44"/>
          <w:highlight w:val="none"/>
          <w:lang w:val="en-US" w:eastAsia="zh-CN"/>
        </w:rPr>
        <w:t>）</w:t>
      </w:r>
      <w:r>
        <w:rPr>
          <w:rFonts w:hint="eastAsia" w:hAnsi="宋体" w:eastAsia="楷体_GB2312" w:cstheme="minorBidi"/>
          <w:b/>
          <w:bCs/>
          <w:color w:val="auto"/>
          <w:kern w:val="44"/>
          <w:sz w:val="32"/>
          <w:szCs w:val="44"/>
          <w:highlight w:val="none"/>
          <w:lang w:val="en-US" w:eastAsia="zh-CN"/>
        </w:rPr>
        <w:t>提高</w:t>
      </w:r>
      <w:r>
        <w:rPr>
          <w:rFonts w:hint="eastAsia" w:hAnsi="宋体" w:eastAsia="楷体_GB2312" w:asciiTheme="minorHAnsi" w:cstheme="minorBidi"/>
          <w:b/>
          <w:bCs/>
          <w:color w:val="auto"/>
          <w:kern w:val="44"/>
          <w:sz w:val="32"/>
          <w:szCs w:val="44"/>
          <w:highlight w:val="none"/>
          <w:lang w:val="en-US" w:eastAsia="zh-CN"/>
        </w:rPr>
        <w:t>改造效率和质量</w:t>
      </w:r>
      <w:r>
        <w:rPr>
          <w:rFonts w:hint="eastAsia" w:hAnsi="宋体" w:eastAsia="楷体_GB2312" w:cstheme="minorBidi"/>
          <w:b/>
          <w:bCs/>
          <w:color w:val="auto"/>
          <w:kern w:val="44"/>
          <w:sz w:val="32"/>
          <w:szCs w:val="44"/>
          <w:highlight w:val="none"/>
          <w:lang w:val="en-US" w:eastAsia="zh-CN"/>
        </w:rPr>
        <w:t>，健全长效</w:t>
      </w:r>
      <w:r>
        <w:rPr>
          <w:rFonts w:hint="eastAsia" w:hAnsi="宋体" w:eastAsia="楷体_GB2312" w:asciiTheme="minorHAnsi" w:cstheme="minorBidi"/>
          <w:b/>
          <w:bCs/>
          <w:color w:val="auto"/>
          <w:kern w:val="44"/>
          <w:sz w:val="32"/>
          <w:szCs w:val="44"/>
          <w:highlight w:val="none"/>
          <w:lang w:val="en-US" w:eastAsia="zh-CN"/>
        </w:rPr>
        <w:t>管理机制</w:t>
      </w:r>
      <w:bookmarkEnd w:id="87"/>
      <w:bookmarkEnd w:id="88"/>
      <w:bookmarkEnd w:id="89"/>
      <w:bookmarkEnd w:id="90"/>
      <w:bookmarkEnd w:id="91"/>
      <w:bookmarkEnd w:id="92"/>
    </w:p>
    <w:p>
      <w:pPr>
        <w:ind w:firstLine="642"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一是</w:t>
      </w:r>
      <w:r>
        <w:rPr>
          <w:rFonts w:hint="eastAsia" w:ascii="仿宋_GB2312" w:hAnsi="仿宋_GB2312" w:eastAsia="仿宋_GB2312" w:cs="仿宋_GB2312"/>
          <w:color w:val="auto"/>
          <w:kern w:val="0"/>
          <w:sz w:val="32"/>
          <w:szCs w:val="32"/>
          <w:highlight w:val="none"/>
          <w:lang w:val="en-US" w:eastAsia="zh-CN"/>
        </w:rPr>
        <w:t>提高改造效率与质量。进一步完善改进通报制度，督促各地加快项目开工和建设进度、资金支付进度、落实安全生产责任。加强改造效果评估，确保施工安全质量。完善省城镇老旧小区改造信息管理平台，提高工作效率。</w:t>
      </w:r>
      <w:r>
        <w:rPr>
          <w:rFonts w:hint="eastAsia" w:ascii="仿宋_GB2312" w:hAnsi="仿宋_GB2312" w:eastAsia="仿宋_GB2312" w:cs="仿宋_GB2312"/>
          <w:b/>
          <w:bCs/>
          <w:color w:val="auto"/>
          <w:kern w:val="0"/>
          <w:sz w:val="32"/>
          <w:szCs w:val="32"/>
          <w:highlight w:val="none"/>
          <w:lang w:val="en-US" w:eastAsia="zh-CN"/>
        </w:rPr>
        <w:t>二是</w:t>
      </w:r>
      <w:r>
        <w:rPr>
          <w:rFonts w:hint="eastAsia" w:ascii="仿宋_GB2312" w:hAnsi="仿宋_GB2312" w:eastAsia="仿宋_GB2312" w:cs="仿宋_GB2312"/>
          <w:b w:val="0"/>
          <w:bCs w:val="0"/>
          <w:color w:val="auto"/>
          <w:kern w:val="0"/>
          <w:sz w:val="32"/>
          <w:szCs w:val="32"/>
          <w:highlight w:val="none"/>
          <w:lang w:val="en-US" w:eastAsia="zh-CN"/>
        </w:rPr>
        <w:t>推进</w:t>
      </w:r>
      <w:r>
        <w:rPr>
          <w:rFonts w:hint="eastAsia" w:ascii="仿宋_GB2312" w:hAnsi="仿宋_GB2312" w:eastAsia="仿宋_GB2312" w:cs="仿宋_GB2312"/>
          <w:color w:val="auto"/>
          <w:kern w:val="0"/>
          <w:sz w:val="32"/>
          <w:szCs w:val="32"/>
          <w:highlight w:val="none"/>
          <w:lang w:val="en-US" w:eastAsia="zh-CN"/>
        </w:rPr>
        <w:t>城镇老旧小区改造与城市更新相融合，将老旧小区改造纳入城市整体规划中。提升公共服务水平，在老旧小区区域增加教育、医疗、养老、托幼、文化等公共服务设施，提高城市的公共服务供给能力。三</w:t>
      </w:r>
      <w:r>
        <w:rPr>
          <w:rFonts w:hint="eastAsia" w:ascii="仿宋_GB2312" w:hAnsi="仿宋_GB2312" w:eastAsia="仿宋_GB2312" w:cs="仿宋_GB2312"/>
          <w:b/>
          <w:bCs/>
          <w:i w:val="0"/>
          <w:iCs w:val="0"/>
          <w:color w:val="auto"/>
          <w:kern w:val="0"/>
          <w:sz w:val="32"/>
          <w:szCs w:val="32"/>
          <w:highlight w:val="none"/>
          <w:lang w:val="en-US" w:eastAsia="zh-CN"/>
        </w:rPr>
        <w:t>是</w:t>
      </w:r>
      <w:r>
        <w:rPr>
          <w:rFonts w:hint="eastAsia" w:ascii="仿宋_GB2312" w:hAnsi="仿宋_GB2312" w:eastAsia="仿宋_GB2312" w:cs="仿宋_GB2312"/>
          <w:color w:val="auto"/>
          <w:kern w:val="0"/>
          <w:sz w:val="32"/>
          <w:szCs w:val="32"/>
          <w:highlight w:val="none"/>
          <w:lang w:val="en-US" w:eastAsia="zh-CN"/>
        </w:rPr>
        <w:t>建管并重，完善小区后续管理维护机制。建立健全基层党组织领导，发挥社区居民委员会作用，鼓励和支持城镇老旧小区建立党组织、选举成立业主委员会，加强对物业服务机构的监管，建立健全城镇老旧小区住宅专项维修资金归集、使用、续筹长效机制，促进小区改造后的维护更新进入良性轨道。</w:t>
      </w:r>
    </w:p>
    <w:p>
      <w:pPr>
        <w:ind w:left="1918" w:leftChars="304" w:hanging="1280" w:hangingChars="400"/>
        <w:rPr>
          <w:rFonts w:hint="eastAsia" w:ascii="仿宋_GB2312" w:hAnsi="仿宋_GB2312" w:eastAsia="仿宋_GB2312" w:cs="仿宋_GB2312"/>
          <w:color w:val="auto"/>
          <w:kern w:val="0"/>
          <w:sz w:val="32"/>
          <w:szCs w:val="32"/>
          <w:highlight w:val="none"/>
          <w:lang w:val="en-US" w:eastAsia="zh-CN"/>
        </w:rPr>
      </w:pPr>
    </w:p>
    <w:p>
      <w:pPr>
        <w:ind w:left="1918" w:leftChars="304" w:hanging="1280" w:hangingChars="400"/>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附件：</w:t>
      </w:r>
      <w:r>
        <w:rPr>
          <w:rFonts w:hint="default" w:ascii="Times New Roman" w:hAnsi="Times New Roman" w:eastAsia="仿宋_GB2312" w:cs="Times New Roman"/>
          <w:color w:val="auto"/>
          <w:kern w:val="0"/>
          <w:sz w:val="32"/>
          <w:szCs w:val="32"/>
          <w:highlight w:val="none"/>
          <w:lang w:val="en-US" w:eastAsia="zh-CN"/>
        </w:rPr>
        <w:t>1.2023年城镇老旧小区改造项目绩效自评补充信息汇总表</w:t>
      </w:r>
    </w:p>
    <w:p>
      <w:pPr>
        <w:pStyle w:val="14"/>
        <w:spacing w:line="240" w:lineRule="auto"/>
        <w:ind w:left="1809" w:leftChars="709" w:hanging="320" w:hangingChars="100"/>
        <w:rPr>
          <w:rFonts w:hint="eastAsia" w:ascii="仿宋_GB2312" w:hAnsi="仿宋_GB2312" w:eastAsia="仿宋_GB2312" w:cs="仿宋_GB2312"/>
          <w:color w:val="auto"/>
          <w:kern w:val="0"/>
          <w:sz w:val="32"/>
          <w:szCs w:val="32"/>
          <w:highlight w:val="none"/>
          <w:lang w:val="en-US" w:eastAsia="zh-CN"/>
        </w:rPr>
        <w:sectPr>
          <w:pgSz w:w="11906" w:h="16838"/>
          <w:pgMar w:top="2041" w:right="1417" w:bottom="1417" w:left="1531" w:header="851" w:footer="992" w:gutter="0"/>
          <w:pgNumType w:fmt="numberInDash"/>
          <w:cols w:space="425" w:num="1"/>
          <w:docGrid w:type="lines" w:linePitch="312" w:charSpace="0"/>
        </w:sect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eastAsia="zh-CN"/>
        </w:rPr>
        <w:t>年城镇老旧小区改造专项资金绩效评价佐证材料清单</w:t>
      </w:r>
    </w:p>
    <w:p>
      <w:pPr>
        <w:outlineLvl w:val="0"/>
        <w:rPr>
          <w:rFonts w:hint="default" w:ascii="黑体" w:hAnsi="宋体" w:eastAsia="黑体" w:cs="黑体"/>
          <w:i w:val="0"/>
          <w:iCs w:val="0"/>
          <w:color w:val="auto"/>
          <w:kern w:val="0"/>
          <w:sz w:val="28"/>
          <w:szCs w:val="28"/>
          <w:u w:val="none"/>
          <w:lang w:val="en-US" w:eastAsia="zh-CN" w:bidi="ar"/>
        </w:rPr>
      </w:pPr>
      <w:bookmarkStart w:id="93" w:name="_Toc1858"/>
      <w:r>
        <w:rPr>
          <w:rFonts w:hint="eastAsia" w:ascii="黑体" w:hAnsi="宋体" w:eastAsia="黑体" w:cs="黑体"/>
          <w:i w:val="0"/>
          <w:iCs w:val="0"/>
          <w:color w:val="auto"/>
          <w:kern w:val="0"/>
          <w:sz w:val="28"/>
          <w:szCs w:val="28"/>
          <w:u w:val="none"/>
          <w:lang w:val="en-US" w:eastAsia="zh-CN" w:bidi="ar"/>
        </w:rPr>
        <w:t>附件</w:t>
      </w:r>
      <w:bookmarkEnd w:id="93"/>
      <w:r>
        <w:rPr>
          <w:rFonts w:hint="eastAsia" w:ascii="黑体" w:hAnsi="宋体" w:eastAsia="黑体" w:cs="黑体"/>
          <w:i w:val="0"/>
          <w:iCs w:val="0"/>
          <w:color w:val="auto"/>
          <w:kern w:val="0"/>
          <w:sz w:val="28"/>
          <w:szCs w:val="28"/>
          <w:u w:val="none"/>
          <w:lang w:val="en-US" w:eastAsia="zh-CN" w:bidi="ar"/>
        </w:rPr>
        <w:t>1</w:t>
      </w:r>
    </w:p>
    <w:p>
      <w:pPr>
        <w:jc w:val="center"/>
        <w:rPr>
          <w:rFonts w:hint="eastAsia" w:ascii="黑体" w:hAnsi="宋体" w:eastAsia="黑体" w:cs="黑体"/>
          <w:b w:val="0"/>
          <w:bCs w:val="0"/>
          <w:i w:val="0"/>
          <w:iCs w:val="0"/>
          <w:color w:val="auto"/>
          <w:kern w:val="0"/>
          <w:sz w:val="28"/>
          <w:szCs w:val="28"/>
          <w:u w:val="none"/>
          <w:lang w:val="en-US" w:eastAsia="zh-CN" w:bidi="ar"/>
        </w:rPr>
      </w:pPr>
      <w:r>
        <w:rPr>
          <w:rFonts w:hint="default" w:ascii="Times New Roman" w:hAnsi="Times New Roman" w:eastAsia="黑体" w:cs="Times New Roman"/>
          <w:b w:val="0"/>
          <w:bCs w:val="0"/>
          <w:i w:val="0"/>
          <w:iCs w:val="0"/>
          <w:color w:val="auto"/>
          <w:kern w:val="0"/>
          <w:sz w:val="28"/>
          <w:szCs w:val="28"/>
          <w:u w:val="none"/>
          <w:lang w:val="en-US" w:eastAsia="zh-CN" w:bidi="ar"/>
        </w:rPr>
        <w:t>2024</w:t>
      </w:r>
      <w:r>
        <w:rPr>
          <w:rFonts w:hint="eastAsia" w:ascii="黑体" w:hAnsi="宋体" w:eastAsia="黑体" w:cs="黑体"/>
          <w:b w:val="0"/>
          <w:bCs w:val="0"/>
          <w:i w:val="0"/>
          <w:iCs w:val="0"/>
          <w:color w:val="auto"/>
          <w:kern w:val="0"/>
          <w:sz w:val="28"/>
          <w:szCs w:val="28"/>
          <w:u w:val="none"/>
          <w:lang w:val="en-US" w:eastAsia="zh-CN" w:bidi="ar"/>
        </w:rPr>
        <w:t>年城镇老旧小区改造项目绩效自评效益指标信息汇总表</w:t>
      </w:r>
    </w:p>
    <w:tbl>
      <w:tblPr>
        <w:tblStyle w:val="15"/>
        <w:tblW w:w="5601" w:type="pct"/>
        <w:tblInd w:w="-7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121"/>
        <w:gridCol w:w="3145"/>
        <w:gridCol w:w="2262"/>
        <w:gridCol w:w="1951"/>
        <w:gridCol w:w="1423"/>
        <w:gridCol w:w="1877"/>
        <w:gridCol w:w="1185"/>
        <w:gridCol w:w="1052"/>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blHeader/>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序号</w:t>
            </w:r>
          </w:p>
        </w:tc>
        <w:tc>
          <w:tcPr>
            <w:tcW w:w="35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地市</w:t>
            </w:r>
          </w:p>
        </w:tc>
        <w:tc>
          <w:tcPr>
            <w:tcW w:w="27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群众居住条件改善</w:t>
            </w: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长效管理机制</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工程质量安全-验收合格率(%)</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服务对象满意度(%)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blHeader/>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b/>
                <w:bCs/>
                <w:i w:val="0"/>
                <w:iCs w:val="0"/>
                <w:color w:val="auto"/>
                <w:sz w:val="22"/>
                <w:szCs w:val="22"/>
                <w:u w:val="none"/>
              </w:rPr>
            </w:pPr>
          </w:p>
        </w:tc>
        <w:tc>
          <w:tcPr>
            <w:tcW w:w="35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Arial" w:eastAsia="仿宋_GB2312" w:cs="仿宋_GB2312"/>
                <w:b/>
                <w:bCs/>
                <w:i w:val="0"/>
                <w:iCs w:val="0"/>
                <w:color w:val="auto"/>
                <w:sz w:val="22"/>
                <w:szCs w:val="22"/>
                <w:u w:val="none"/>
              </w:rPr>
            </w:pP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对于在老旧管线等市政配套基础设施、小区内建筑物本体公共部位维修</w:t>
            </w:r>
            <w:r>
              <w:rPr>
                <w:rFonts w:hint="eastAsia" w:ascii="仿宋_GB2312" w:hAnsi="Arial" w:eastAsia="仿宋_GB2312" w:cs="仿宋_GB2312"/>
                <w:b/>
                <w:bCs/>
                <w:i w:val="0"/>
                <w:iCs w:val="0"/>
                <w:color w:val="auto"/>
                <w:kern w:val="0"/>
                <w:sz w:val="22"/>
                <w:szCs w:val="22"/>
                <w:u w:val="none"/>
                <w:lang w:val="en-US" w:eastAsia="zh-CN" w:bidi="ar"/>
              </w:rPr>
              <w:t>，以及</w:t>
            </w:r>
            <w:r>
              <w:rPr>
                <w:rFonts w:hint="default" w:ascii="仿宋_GB2312" w:hAnsi="Arial" w:eastAsia="仿宋_GB2312" w:cs="仿宋_GB2312"/>
                <w:b/>
                <w:bCs/>
                <w:i w:val="0"/>
                <w:iCs w:val="0"/>
                <w:color w:val="auto"/>
                <w:kern w:val="0"/>
                <w:sz w:val="22"/>
                <w:szCs w:val="22"/>
                <w:u w:val="none"/>
                <w:lang w:val="en-US" w:eastAsia="zh-CN" w:bidi="ar"/>
              </w:rPr>
              <w:t>公共区域无障碍设施、适老化改造、适儿化改造等方面存在短板的小区，将相关设施短板均纳入改造方案的小区个数</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对于存在停车、加装电梯、充电、安防、照明、智能信包箱及快件箱等完善类短板的小区，均有相关内容纳入改造方案的小区个数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对存在养老、托育、助餐等提升类设施短板的小区，有相关设施短板纳入改造方案，拟在片区层面统筹实施的小区个数</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与相邻小区及周边地区联动、连片实施改造的小区个数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改造后水电气信等专营设施设备产权依照法定程序移交给专业经营单位，由其负责维护管理的小区个数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建立健全住宅专项维修资金归集、使用、续筹机制的小区个数</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b/>
                <w:bCs/>
                <w:i w:val="0"/>
                <w:iCs w:val="0"/>
                <w:color w:val="auto"/>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blHeader/>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Arial" w:eastAsia="仿宋_GB2312" w:cs="仿宋_GB2312"/>
                <w:b/>
                <w:bCs/>
                <w:i w:val="0"/>
                <w:iCs w:val="0"/>
                <w:color w:val="auto"/>
                <w:sz w:val="22"/>
                <w:szCs w:val="22"/>
                <w:u w:val="none"/>
              </w:rPr>
            </w:pPr>
          </w:p>
        </w:tc>
        <w:tc>
          <w:tcPr>
            <w:tcW w:w="35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w:t>
            </w:r>
          </w:p>
        </w:tc>
        <w:tc>
          <w:tcPr>
            <w:tcW w:w="9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2</w:t>
            </w:r>
          </w:p>
        </w:tc>
        <w:tc>
          <w:tcPr>
            <w:tcW w:w="71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3</w:t>
            </w:r>
          </w:p>
        </w:tc>
        <w:tc>
          <w:tcPr>
            <w:tcW w:w="61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4</w:t>
            </w:r>
          </w:p>
        </w:tc>
        <w:tc>
          <w:tcPr>
            <w:tcW w:w="44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5</w:t>
            </w:r>
          </w:p>
        </w:tc>
        <w:tc>
          <w:tcPr>
            <w:tcW w:w="59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6</w:t>
            </w:r>
          </w:p>
        </w:tc>
        <w:tc>
          <w:tcPr>
            <w:tcW w:w="37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7</w:t>
            </w:r>
          </w:p>
        </w:tc>
        <w:tc>
          <w:tcPr>
            <w:tcW w:w="33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8</w:t>
            </w:r>
          </w:p>
        </w:tc>
        <w:tc>
          <w:tcPr>
            <w:tcW w:w="34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91"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1111</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1022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342</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728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660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71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100</w:t>
            </w:r>
            <w:r>
              <w:rPr>
                <w:rFonts w:hint="default" w:ascii="仿宋_GB2312" w:hAnsi="Arial" w:eastAsia="仿宋_GB2312" w:cs="仿宋_GB2312"/>
                <w:b/>
                <w:bCs/>
                <w:i w:val="0"/>
                <w:iCs w:val="0"/>
                <w:color w:val="auto"/>
                <w:kern w:val="0"/>
                <w:sz w:val="22"/>
                <w:szCs w:val="22"/>
                <w:u w:val="none"/>
                <w:lang w:val="en-US" w:eastAsia="zh-CN" w:bidi="ar"/>
              </w:rPr>
              <w:t>.</w:t>
            </w:r>
            <w:r>
              <w:rPr>
                <w:rFonts w:hint="default" w:ascii="Times New Roman" w:hAnsi="Times New Roman" w:eastAsia="仿宋_GB2312" w:cs="Times New Roman"/>
                <w:b/>
                <w:bCs/>
                <w:i w:val="0"/>
                <w:iCs w:val="0"/>
                <w:color w:val="auto"/>
                <w:kern w:val="0"/>
                <w:sz w:val="22"/>
                <w:szCs w:val="22"/>
                <w:u w:val="none"/>
                <w:lang w:val="en-US" w:eastAsia="zh-CN" w:bidi="ar"/>
              </w:rPr>
              <w:t>00</w:t>
            </w:r>
            <w:r>
              <w:rPr>
                <w:rFonts w:hint="default" w:ascii="仿宋_GB2312" w:hAnsi="Arial" w:eastAsia="仿宋_GB2312" w:cs="仿宋_GB2312"/>
                <w:b/>
                <w:bCs/>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93</w:t>
            </w:r>
            <w:r>
              <w:rPr>
                <w:rFonts w:hint="default" w:ascii="仿宋_GB2312" w:hAnsi="Arial" w:eastAsia="仿宋_GB2312" w:cs="仿宋_GB2312"/>
                <w:b/>
                <w:bCs/>
                <w:i w:val="0"/>
                <w:iCs w:val="0"/>
                <w:color w:val="auto"/>
                <w:kern w:val="0"/>
                <w:sz w:val="22"/>
                <w:szCs w:val="22"/>
                <w:u w:val="none"/>
                <w:lang w:val="en-US" w:eastAsia="zh-CN" w:bidi="ar"/>
              </w:rPr>
              <w:t>.</w:t>
            </w:r>
            <w:r>
              <w:rPr>
                <w:rFonts w:hint="default" w:ascii="Times New Roman" w:hAnsi="Times New Roman" w:eastAsia="仿宋_GB2312" w:cs="Times New Roman"/>
                <w:b/>
                <w:bCs/>
                <w:i w:val="0"/>
                <w:iCs w:val="0"/>
                <w:color w:val="auto"/>
                <w:kern w:val="0"/>
                <w:sz w:val="22"/>
                <w:szCs w:val="22"/>
                <w:u w:val="none"/>
                <w:lang w:val="en-US" w:eastAsia="zh-CN" w:bidi="ar"/>
              </w:rPr>
              <w:t>25</w:t>
            </w:r>
            <w:r>
              <w:rPr>
                <w:rFonts w:hint="default" w:ascii="仿宋_GB2312" w:hAnsi="Arial" w:eastAsia="仿宋_GB2312" w:cs="仿宋_GB2312"/>
                <w:b/>
                <w:bCs/>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汕头市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124</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112</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80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46</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仿宋_GB2312" w:hAnsi="Arial" w:eastAsia="仿宋_GB2312" w:cs="仿宋_GB2312"/>
                <w:i w:val="0"/>
                <w:iCs w:val="0"/>
                <w:color w:val="auto"/>
                <w:kern w:val="0"/>
                <w:sz w:val="22"/>
                <w:szCs w:val="22"/>
                <w:u w:val="none"/>
                <w:lang w:val="en-US" w:eastAsia="zh-CN" w:bidi="ar"/>
              </w:rPr>
              <w:t>未验收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33</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2</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韶关市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87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159</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3</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河源市</w:t>
            </w:r>
          </w:p>
        </w:tc>
        <w:tc>
          <w:tcPr>
            <w:tcW w:w="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47</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47</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43</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w:t>
            </w:r>
            <w:r>
              <w:rPr>
                <w:rFonts w:hint="eastAsia" w:ascii="宋体" w:hAnsi="宋体" w:eastAsia="宋体" w:cs="宋体"/>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00</w:t>
            </w:r>
            <w:r>
              <w:rPr>
                <w:rFonts w:hint="eastAsia" w:ascii="宋体" w:hAnsi="宋体" w:eastAsia="宋体" w:cs="宋体"/>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96</w:t>
            </w:r>
            <w:r>
              <w:rPr>
                <w:rFonts w:hint="eastAsia" w:ascii="宋体" w:hAnsi="宋体" w:eastAsia="宋体" w:cs="宋体"/>
                <w:i w:val="0"/>
                <w:iCs w:val="0"/>
                <w:color w:val="auto"/>
                <w:kern w:val="0"/>
                <w:sz w:val="22"/>
                <w:szCs w:val="22"/>
                <w:u w:val="none"/>
                <w:lang w:val="en-US" w:eastAsia="zh-CN" w:bidi="ar"/>
              </w:rPr>
              <w:t>.</w:t>
            </w:r>
            <w:r>
              <w:rPr>
                <w:rFonts w:hint="default" w:ascii="Times New Roman" w:hAnsi="Times New Roman" w:eastAsia="宋体" w:cs="Times New Roman"/>
                <w:i w:val="0"/>
                <w:iCs w:val="0"/>
                <w:color w:val="auto"/>
                <w:kern w:val="0"/>
                <w:sz w:val="22"/>
                <w:szCs w:val="22"/>
                <w:u w:val="none"/>
                <w:lang w:val="en-US" w:eastAsia="zh-CN" w:bidi="ar"/>
              </w:rPr>
              <w:t>30</w:t>
            </w: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4</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梅州市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173</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183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197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146</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94</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32</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5</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惠州市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仿宋_GB2312" w:hAnsi="Arial" w:eastAsia="仿宋_GB2312" w:cs="仿宋_GB2312"/>
                <w:i w:val="0"/>
                <w:iCs w:val="0"/>
                <w:color w:val="auto"/>
                <w:kern w:val="0"/>
                <w:sz w:val="22"/>
                <w:szCs w:val="22"/>
                <w:u w:val="none"/>
                <w:lang w:val="en-US" w:eastAsia="zh-CN" w:bidi="ar"/>
              </w:rPr>
              <w:t>未验收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6</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汕尾市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93</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7</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江门市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92</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29</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8</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阳江市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仿宋_GB2312" w:hAnsi="Arial" w:eastAsia="仿宋_GB2312" w:cs="仿宋_GB2312"/>
                <w:i w:val="0"/>
                <w:iCs w:val="0"/>
                <w:color w:val="auto"/>
                <w:kern w:val="0"/>
                <w:sz w:val="22"/>
                <w:szCs w:val="22"/>
                <w:u w:val="none"/>
                <w:lang w:val="en-US" w:eastAsia="zh-CN" w:bidi="ar"/>
              </w:rPr>
              <w:t>未验收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94</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62</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9</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湛江市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49</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仿宋_GB2312" w:hAnsi="Arial" w:eastAsia="仿宋_GB2312" w:cs="仿宋_GB2312"/>
                <w:i w:val="0"/>
                <w:iCs w:val="0"/>
                <w:color w:val="auto"/>
                <w:kern w:val="0"/>
                <w:sz w:val="22"/>
                <w:szCs w:val="22"/>
                <w:u w:val="none"/>
                <w:lang w:val="en-US" w:eastAsia="zh-CN" w:bidi="ar"/>
              </w:rPr>
              <w:t>未验收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98</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57</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10</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茂名市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239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217</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97</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60</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11</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肇庆市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69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65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91</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52</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12</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清远市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仿宋_GB2312" w:hAnsi="Arial" w:eastAsia="仿宋_GB2312" w:cs="仿宋_GB2312"/>
                <w:i w:val="0"/>
                <w:iCs w:val="0"/>
                <w:color w:val="auto"/>
                <w:kern w:val="0"/>
                <w:sz w:val="22"/>
                <w:szCs w:val="22"/>
                <w:u w:val="none"/>
                <w:lang w:val="en-US" w:eastAsia="zh-CN" w:bidi="ar"/>
              </w:rPr>
              <w:t>未验收</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13</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潮州市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36</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92</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50</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14</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揭阳市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92</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67</w:t>
            </w:r>
            <w:r>
              <w:rPr>
                <w:rFonts w:hint="default" w:ascii="仿宋_GB2312" w:hAnsi="Arial" w:eastAsia="仿宋_GB2312" w:cs="仿宋_GB2312"/>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3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15</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sz w:val="22"/>
                <w:szCs w:val="22"/>
                <w:u w:val="none"/>
              </w:rPr>
            </w:pPr>
            <w:r>
              <w:rPr>
                <w:rFonts w:hint="default" w:ascii="仿宋_GB2312" w:hAnsi="Arial" w:eastAsia="仿宋_GB2312" w:cs="仿宋_GB2312"/>
                <w:b/>
                <w:bCs/>
                <w:i w:val="0"/>
                <w:iCs w:val="0"/>
                <w:color w:val="auto"/>
                <w:kern w:val="0"/>
                <w:sz w:val="22"/>
                <w:szCs w:val="22"/>
                <w:u w:val="none"/>
                <w:lang w:val="en-US" w:eastAsia="zh-CN" w:bidi="ar"/>
              </w:rPr>
              <w:t>云浮市</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100</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95</w:t>
            </w:r>
            <w:r>
              <w:rPr>
                <w:rFonts w:hint="default" w:ascii="仿宋_GB2312" w:hAnsi="Arial" w:eastAsia="仿宋_GB2312" w:cs="仿宋_GB2312"/>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00</w:t>
            </w:r>
            <w:r>
              <w:rPr>
                <w:rFonts w:hint="default" w:ascii="仿宋_GB2312" w:hAnsi="Arial" w:eastAsia="仿宋_GB2312" w:cs="仿宋_GB2312"/>
                <w:i w:val="0"/>
                <w:iCs w:val="0"/>
                <w:color w:val="auto"/>
                <w:kern w:val="0"/>
                <w:sz w:val="22"/>
                <w:szCs w:val="22"/>
                <w:u w:val="none"/>
                <w:lang w:val="en-US" w:eastAsia="zh-CN" w:bidi="ar"/>
              </w:rPr>
              <w:t>%</w:t>
            </w:r>
          </w:p>
        </w:tc>
      </w:tr>
    </w:tbl>
    <w:p>
      <w:pPr>
        <w:rPr>
          <w:color w:val="auto"/>
          <w:highlight w:val="none"/>
        </w:rPr>
        <w:sectPr>
          <w:pgSz w:w="16838" w:h="11906" w:orient="landscape"/>
          <w:pgMar w:top="1800" w:right="1440" w:bottom="1800" w:left="1440" w:header="851" w:footer="992" w:gutter="0"/>
          <w:pgNumType w:fmt="numberInDash"/>
          <w:cols w:space="425" w:num="1"/>
          <w:docGrid w:type="lines" w:linePitch="312" w:charSpace="0"/>
        </w:sectPr>
      </w:pPr>
    </w:p>
    <w:p>
      <w:pPr>
        <w:outlineLvl w:val="0"/>
        <w:rPr>
          <w:rFonts w:hint="default" w:ascii="黑体" w:hAnsi="宋体" w:eastAsia="黑体" w:cs="黑体"/>
          <w:i w:val="0"/>
          <w:iCs w:val="0"/>
          <w:color w:val="auto"/>
          <w:kern w:val="0"/>
          <w:sz w:val="28"/>
          <w:szCs w:val="28"/>
          <w:u w:val="none"/>
          <w:lang w:val="en-US" w:eastAsia="zh-CN" w:bidi="ar"/>
        </w:rPr>
      </w:pPr>
      <w:bookmarkStart w:id="94" w:name="_Toc21068"/>
      <w:r>
        <w:rPr>
          <w:rFonts w:hint="eastAsia" w:ascii="黑体" w:hAnsi="宋体" w:eastAsia="黑体" w:cs="黑体"/>
          <w:i w:val="0"/>
          <w:iCs w:val="0"/>
          <w:color w:val="auto"/>
          <w:kern w:val="0"/>
          <w:sz w:val="28"/>
          <w:szCs w:val="28"/>
          <w:u w:val="none"/>
          <w:lang w:val="en-US" w:eastAsia="zh-CN" w:bidi="ar"/>
        </w:rPr>
        <w:t>附件</w:t>
      </w:r>
      <w:bookmarkEnd w:id="94"/>
      <w:r>
        <w:rPr>
          <w:rFonts w:hint="eastAsia" w:ascii="黑体" w:hAnsi="宋体" w:eastAsia="黑体" w:cs="黑体"/>
          <w:i w:val="0"/>
          <w:iCs w:val="0"/>
          <w:color w:val="auto"/>
          <w:kern w:val="0"/>
          <w:sz w:val="28"/>
          <w:szCs w:val="28"/>
          <w:u w:val="none"/>
          <w:lang w:val="en-US" w:eastAsia="zh-CN" w:bidi="ar"/>
        </w:rPr>
        <w:t>2</w:t>
      </w:r>
    </w:p>
    <w:p>
      <w:pPr>
        <w:jc w:val="center"/>
        <w:rPr>
          <w:rFonts w:hint="eastAsia" w:ascii="黑体" w:hAnsi="宋体" w:eastAsia="黑体" w:cs="黑体"/>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2024</w:t>
      </w:r>
      <w:r>
        <w:rPr>
          <w:rFonts w:hint="eastAsia" w:ascii="黑体" w:hAnsi="宋体" w:eastAsia="黑体" w:cs="黑体"/>
          <w:i w:val="0"/>
          <w:iCs w:val="0"/>
          <w:color w:val="auto"/>
          <w:kern w:val="0"/>
          <w:sz w:val="28"/>
          <w:szCs w:val="28"/>
          <w:u w:val="none"/>
          <w:lang w:val="en-US" w:eastAsia="zh-CN" w:bidi="ar"/>
        </w:rPr>
        <w:t>年城镇老旧小区改造项目资金绩效评价佐证材料清单</w:t>
      </w:r>
    </w:p>
    <w:tbl>
      <w:tblPr>
        <w:tblStyle w:val="15"/>
        <w:tblW w:w="13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4"/>
        <w:gridCol w:w="1161"/>
        <w:gridCol w:w="1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blHeader/>
          <w:jc w:val="center"/>
        </w:trPr>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kern w:val="0"/>
                <w:sz w:val="24"/>
                <w:szCs w:val="24"/>
                <w:u w:val="none"/>
                <w:lang w:val="en-US" w:eastAsia="zh-CN" w:bidi="ar"/>
              </w:rPr>
            </w:pPr>
            <w:r>
              <w:rPr>
                <w:rFonts w:hint="default" w:ascii="仿宋_GB2312" w:hAnsi="Arial" w:eastAsia="仿宋_GB2312" w:cs="仿宋_GB2312"/>
                <w:b/>
                <w:bCs/>
                <w:i w:val="0"/>
                <w:iCs w:val="0"/>
                <w:color w:val="auto"/>
                <w:kern w:val="0"/>
                <w:sz w:val="24"/>
                <w:szCs w:val="24"/>
                <w:u w:val="none"/>
                <w:lang w:val="en-US" w:eastAsia="zh-CN" w:bidi="ar"/>
              </w:rPr>
              <w:t>类型</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bCs/>
                <w:i w:val="0"/>
                <w:iCs w:val="0"/>
                <w:color w:val="auto"/>
                <w:kern w:val="0"/>
                <w:sz w:val="24"/>
                <w:szCs w:val="24"/>
                <w:u w:val="none"/>
                <w:lang w:val="en-US" w:eastAsia="zh-CN" w:bidi="ar"/>
              </w:rPr>
            </w:pPr>
            <w:r>
              <w:rPr>
                <w:rFonts w:hint="default" w:ascii="仿宋_GB2312" w:hAnsi="Arial" w:eastAsia="仿宋_GB2312" w:cs="仿宋_GB2312"/>
                <w:b/>
                <w:bCs/>
                <w:i w:val="0"/>
                <w:iCs w:val="0"/>
                <w:color w:val="auto"/>
                <w:kern w:val="0"/>
                <w:sz w:val="24"/>
                <w:szCs w:val="24"/>
                <w:u w:val="none"/>
                <w:lang w:val="en-US" w:eastAsia="zh-CN" w:bidi="ar"/>
              </w:rPr>
              <w:t>编号</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auto"/>
                <w:kern w:val="0"/>
                <w:sz w:val="24"/>
                <w:szCs w:val="24"/>
                <w:u w:val="none"/>
                <w:lang w:val="en-US" w:eastAsia="zh-CN" w:bidi="ar"/>
              </w:rPr>
            </w:pPr>
            <w:r>
              <w:rPr>
                <w:rFonts w:hint="eastAsia" w:ascii="仿宋_GB2312" w:hAnsi="Arial" w:eastAsia="仿宋_GB2312" w:cs="仿宋_GB2312"/>
                <w:b/>
                <w:bCs/>
                <w:i w:val="0"/>
                <w:iCs w:val="0"/>
                <w:color w:val="auto"/>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.过程类</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《国务院办公厅关于全面推进城镇老旧小区改造工作的指导意见》（国办发〔</w:t>
            </w:r>
            <w:r>
              <w:rPr>
                <w:rFonts w:hint="default" w:ascii="Times New Roman" w:hAnsi="Times New Roman" w:eastAsia="仿宋_GB2312" w:cs="Times New Roman"/>
                <w:b w:val="0"/>
                <w:bCs w:val="0"/>
                <w:i w:val="0"/>
                <w:iCs w:val="0"/>
                <w:color w:val="auto"/>
                <w:kern w:val="0"/>
                <w:sz w:val="24"/>
                <w:szCs w:val="24"/>
                <w:u w:val="none"/>
                <w:lang w:val="en-US" w:eastAsia="zh-CN" w:bidi="ar"/>
              </w:rPr>
              <w:t>2020</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23</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广东省人民政府办公厅关于全面推进城镇老旧小区改造工作的实施意见（粤府办〔</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《关于印发〈广东省提升县城基础设施建设能力行动方案〉的通知》（粤建城〔</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65</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《转发住房和城乡建设部办公厅等关于扎实推进</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 xml:space="preserve"> 年城镇老旧小区改造工作的通知》（粤建节〔</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124</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《关于进一步加强养老服务设施规划建设和用地保障的通知》（粤自然资规字〔</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《广东省人民政府关于深化改革加快推动“三旧”改造促进高质量发展的指导意见》（粤府〔</w:t>
            </w:r>
            <w:r>
              <w:rPr>
                <w:rFonts w:hint="default" w:ascii="Times New Roman" w:hAnsi="Times New Roman" w:eastAsia="仿宋_GB2312" w:cs="Times New Roman"/>
                <w:b w:val="0"/>
                <w:bCs w:val="0"/>
                <w:i w:val="0"/>
                <w:iCs w:val="0"/>
                <w:color w:val="auto"/>
                <w:kern w:val="0"/>
                <w:sz w:val="24"/>
                <w:szCs w:val="24"/>
                <w:u w:val="none"/>
                <w:lang w:val="en-US" w:eastAsia="zh-CN" w:bidi="ar"/>
              </w:rPr>
              <w:t>2019</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71</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7</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《广东省自然资源厅关于继续深化若干规划用地改革事项的通知》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8</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 广东省发展和改革委员会 广东省财政厅关于进一步促进城镇老旧小区改造规范化提升质量和效果的通知》（粤建节函〔</w:t>
            </w:r>
            <w:r>
              <w:rPr>
                <w:rFonts w:hint="default" w:ascii="Times New Roman" w:hAnsi="Times New Roman" w:eastAsia="仿宋_GB2312" w:cs="Times New Roman"/>
                <w:b w:val="0"/>
                <w:bCs w:val="0"/>
                <w:i w:val="0"/>
                <w:iCs w:val="0"/>
                <w:color w:val="auto"/>
                <w:kern w:val="0"/>
                <w:sz w:val="24"/>
                <w:szCs w:val="24"/>
                <w:u w:val="none"/>
                <w:lang w:val="en-US" w:eastAsia="zh-CN" w:bidi="ar"/>
              </w:rPr>
              <w:t>2022</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55</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9</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广东省住房和城乡建设厅关于印发《广东省城镇老旧小区改造可复制政策机制清单》的通知（粤建节〔</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4</w:t>
            </w:r>
            <w:r>
              <w:rPr>
                <w:rFonts w:hint="eastAsia" w:ascii="仿宋_GB2312" w:hAnsi="Arial" w:eastAsia="仿宋_GB2312" w:cs="仿宋_GB2312"/>
                <w:b w:val="0"/>
                <w:bCs w:val="0"/>
                <w:i w:val="0"/>
                <w:iCs w:val="0"/>
                <w:color w:val="auto"/>
                <w:kern w:val="0"/>
                <w:sz w:val="24"/>
                <w:szCs w:val="24"/>
                <w:u w:val="none"/>
                <w:lang w:val="en-US" w:eastAsia="zh-CN" w:bidi="ar"/>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《广东省城镇居住社区人居环境品质提升工作领导小组办公室关于印发城镇居住社区人居环境品质提升政策机制推荐清单（第一批）的通知》（不编号发文〔</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1729</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11</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广东省城镇居住社区人居环境品质提升工作领导小组关于印发《广东省城镇老旧小区改造实施计划（</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2025</w:t>
            </w:r>
            <w:r>
              <w:rPr>
                <w:rFonts w:hint="eastAsia" w:ascii="仿宋_GB2312" w:hAnsi="Arial" w:eastAsia="仿宋_GB2312" w:cs="仿宋_GB2312"/>
                <w:b w:val="0"/>
                <w:bCs w:val="0"/>
                <w:i w:val="0"/>
                <w:iCs w:val="0"/>
                <w:color w:val="auto"/>
                <w:kern w:val="0"/>
                <w:sz w:val="24"/>
                <w:szCs w:val="24"/>
                <w:u w:val="none"/>
                <w:lang w:val="en-US" w:eastAsia="zh-CN" w:bidi="ar"/>
              </w:rPr>
              <w:t>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12</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广东省住房和城乡建设厅关于印发《广东省城镇老旧小区改造技术导则（试行）》的通知（粤建节〔</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80</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13</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《住房和城乡建设部办公厅等关于申报</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年城镇老旧小区改造计划任务的通知》（建办城函 〔</w:t>
            </w:r>
            <w:r>
              <w:rPr>
                <w:rFonts w:hint="default" w:ascii="Times New Roman" w:hAnsi="Times New Roman" w:eastAsia="仿宋_GB2312" w:cs="Times New Roman"/>
                <w:b w:val="0"/>
                <w:bCs w:val="0"/>
                <w:i w:val="0"/>
                <w:iCs w:val="0"/>
                <w:color w:val="auto"/>
                <w:kern w:val="0"/>
                <w:sz w:val="24"/>
                <w:szCs w:val="24"/>
                <w:u w:val="none"/>
                <w:lang w:val="en-US" w:eastAsia="zh-CN" w:bidi="ar"/>
              </w:rPr>
              <w:t>2022</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248</w:t>
            </w:r>
            <w:r>
              <w:rPr>
                <w:rFonts w:hint="eastAsia" w:ascii="仿宋_GB2312" w:hAnsi="Arial" w:eastAsia="仿宋_GB2312" w:cs="仿宋_GB2312"/>
                <w:b w:val="0"/>
                <w:bCs w:val="0"/>
                <w:i w:val="0"/>
                <w:iCs w:val="0"/>
                <w:color w:val="auto"/>
                <w:kern w:val="0"/>
                <w:sz w:val="24"/>
                <w:szCs w:val="24"/>
                <w:u w:val="none"/>
                <w:lang w:val="en-US" w:eastAsia="zh-CN" w:bidi="ar"/>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14</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年专项资金项目申报表(城镇老旧小区改造）（包括绩效目标申报表）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15</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《广东省财政厅关于提前下达</w:t>
            </w: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年省住房城乡建设厅主管专项资金的通知》（粤财建〔</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77</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16</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《广东省住房和城乡建设厅关于提前下达</w:t>
            </w: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年中央财政城镇保障性安居工程(老旧小区改造)补助资金和城镇老旧小区改造省级专项资金任务清单的通知》粤建节函〔</w:t>
            </w: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6</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17</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《广东省人民政府关于印发广东省省级财政专项资金管理办法（修订）的通知》（粤府〔</w:t>
            </w:r>
            <w:r>
              <w:rPr>
                <w:rFonts w:hint="default" w:ascii="Times New Roman" w:hAnsi="Times New Roman" w:eastAsia="仿宋_GB2312" w:cs="Times New Roman"/>
                <w:b w:val="0"/>
                <w:bCs w:val="0"/>
                <w:i w:val="0"/>
                <w:iCs w:val="0"/>
                <w:color w:val="auto"/>
                <w:kern w:val="0"/>
                <w:sz w:val="24"/>
                <w:szCs w:val="24"/>
                <w:u w:val="none"/>
                <w:lang w:val="en-US" w:eastAsia="zh-CN" w:bidi="ar"/>
              </w:rPr>
              <w:t>2023</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34</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18</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广东省财政厅关于印发《广东省省级财政资金“双监控”管理暂行办法》的通知（粤财监〔</w:t>
            </w:r>
            <w:r>
              <w:rPr>
                <w:rFonts w:hint="default" w:ascii="Times New Roman" w:hAnsi="Times New Roman" w:eastAsia="仿宋_GB2312" w:cs="Times New Roman"/>
                <w:b w:val="0"/>
                <w:bCs w:val="0"/>
                <w:i w:val="0"/>
                <w:iCs w:val="0"/>
                <w:color w:val="auto"/>
                <w:kern w:val="0"/>
                <w:sz w:val="24"/>
                <w:szCs w:val="24"/>
                <w:u w:val="none"/>
                <w:lang w:val="en-US" w:eastAsia="zh-CN" w:bidi="ar"/>
              </w:rPr>
              <w:t>2020</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33</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19</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关于印发《广东省住房和城乡建设厅省级财政资金项目库管理实施细则（试行）》的通知（粤建计〔</w:t>
            </w:r>
            <w:r>
              <w:rPr>
                <w:rFonts w:hint="default" w:ascii="Times New Roman" w:hAnsi="Times New Roman" w:eastAsia="仿宋_GB2312" w:cs="Times New Roman"/>
                <w:b w:val="0"/>
                <w:bCs w:val="0"/>
                <w:i w:val="0"/>
                <w:iCs w:val="0"/>
                <w:color w:val="auto"/>
                <w:kern w:val="0"/>
                <w:sz w:val="24"/>
                <w:szCs w:val="24"/>
                <w:u w:val="none"/>
                <w:lang w:val="en-US" w:eastAsia="zh-CN" w:bidi="ar"/>
              </w:rPr>
              <w:t>2019</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225</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20</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《广东省财政厅 广东省住房和城乡建设厅关于印发广东省住房和城乡建设领域专项资金管理办法的通知》（粤财建〔</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6</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21</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 国家开发银行广东省分行关于推进金融支持城镇老旧小区改造工作的通知》（粤建节函〔</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252</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22</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《广东省人民政府办公厅关于全面推进城镇老旧小区改造工作的实施意见》（粤府办〔</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23</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《广东省人民政府办公厅关于成立广东省城镇居住社区人居环境品质提升工作领导小组的通知》（粤办函〔</w:t>
            </w:r>
            <w:r>
              <w:rPr>
                <w:rFonts w:hint="default" w:ascii="Times New Roman" w:hAnsi="Times New Roman" w:eastAsia="仿宋_GB2312" w:cs="Times New Roman"/>
                <w:b w:val="0"/>
                <w:bCs w:val="0"/>
                <w:i w:val="0"/>
                <w:iCs w:val="0"/>
                <w:color w:val="auto"/>
                <w:kern w:val="0"/>
                <w:sz w:val="24"/>
                <w:szCs w:val="24"/>
                <w:u w:val="none"/>
                <w:lang w:val="en-US" w:eastAsia="zh-CN" w:bidi="ar"/>
              </w:rPr>
              <w:t>2021</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170</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24</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《关于印发〈广东省住房和城乡建设厅预算绩效管理办法〉的通知》（粤建计〔</w:t>
            </w:r>
            <w:r>
              <w:rPr>
                <w:rFonts w:hint="default" w:ascii="Times New Roman" w:hAnsi="Times New Roman" w:eastAsia="仿宋_GB2312" w:cs="Times New Roman"/>
                <w:b w:val="0"/>
                <w:bCs w:val="0"/>
                <w:i w:val="0"/>
                <w:iCs w:val="0"/>
                <w:color w:val="auto"/>
                <w:kern w:val="0"/>
                <w:sz w:val="24"/>
                <w:szCs w:val="24"/>
                <w:u w:val="none"/>
                <w:lang w:val="en-US" w:eastAsia="zh-CN" w:bidi="ar"/>
              </w:rPr>
              <w:t>2019</w:t>
            </w:r>
            <w:r>
              <w:rPr>
                <w:rFonts w:hint="eastAsia"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228</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25</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《广东省建设项目安全设施监督管理办法》（广东省人民政府令第</w:t>
            </w:r>
            <w:r>
              <w:rPr>
                <w:rFonts w:hint="default" w:ascii="Times New Roman" w:hAnsi="Times New Roman" w:eastAsia="仿宋_GB2312" w:cs="Times New Roman"/>
                <w:b w:val="0"/>
                <w:bCs w:val="0"/>
                <w:i w:val="0"/>
                <w:iCs w:val="0"/>
                <w:color w:val="auto"/>
                <w:kern w:val="0"/>
                <w:sz w:val="24"/>
                <w:szCs w:val="24"/>
                <w:u w:val="none"/>
                <w:lang w:val="en-US" w:eastAsia="zh-CN" w:bidi="ar"/>
              </w:rPr>
              <w:t>147</w:t>
            </w:r>
            <w:r>
              <w:rPr>
                <w:rFonts w:hint="eastAsia" w:ascii="仿宋_GB2312" w:hAnsi="Arial" w:eastAsia="仿宋_GB2312" w:cs="仿宋_GB2312"/>
                <w:b w:val="0"/>
                <w:bCs w:val="0"/>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26</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27</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年省级财政专项资金支出情况汇总表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default" w:ascii="仿宋_GB2312" w:hAnsi="Arial" w:eastAsia="仿宋_GB2312" w:cs="仿宋_GB2312"/>
                <w:b w:val="0"/>
                <w:bCs w:val="0"/>
                <w:i w:val="0"/>
                <w:iCs w:val="0"/>
                <w:color w:val="auto"/>
                <w:kern w:val="0"/>
                <w:sz w:val="24"/>
                <w:szCs w:val="24"/>
                <w:u w:val="none"/>
                <w:lang w:val="en-US" w:eastAsia="zh-CN" w:bidi="ar"/>
              </w:rPr>
              <w:t>.产出、效益类</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广东省住房和城乡建设厅建筑节能处有关城镇老旧小区改造内容的</w:t>
            </w: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年工作总结和</w:t>
            </w:r>
            <w:r>
              <w:rPr>
                <w:rFonts w:hint="default" w:ascii="Times New Roman" w:hAnsi="Times New Roman" w:eastAsia="仿宋_GB2312" w:cs="Times New Roman"/>
                <w:b w:val="0"/>
                <w:bCs w:val="0"/>
                <w:i w:val="0"/>
                <w:iCs w:val="0"/>
                <w:color w:val="auto"/>
                <w:kern w:val="0"/>
                <w:sz w:val="24"/>
                <w:szCs w:val="24"/>
                <w:u w:val="none"/>
                <w:lang w:val="en-US" w:eastAsia="zh-CN" w:bidi="ar"/>
              </w:rPr>
              <w:t>2025</w:t>
            </w:r>
            <w:r>
              <w:rPr>
                <w:rFonts w:hint="eastAsia" w:ascii="仿宋_GB2312" w:hAnsi="Arial" w:eastAsia="仿宋_GB2312" w:cs="仿宋_GB2312"/>
                <w:b w:val="0"/>
                <w:bCs w:val="0"/>
                <w:i w:val="0"/>
                <w:iCs w:val="0"/>
                <w:color w:val="auto"/>
                <w:kern w:val="0"/>
                <w:sz w:val="24"/>
                <w:szCs w:val="24"/>
                <w:u w:val="none"/>
                <w:lang w:val="en-US" w:eastAsia="zh-CN" w:bidi="ar"/>
              </w:rPr>
              <w:t>年工作计划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年广东省城镇老旧小区改造工作受表彰、宣传等方面的资料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年省级财政专项资金项目任务完成情况汇总表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112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年省级专项资金补充信息情况汇总表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广东省住房和城乡建设厅关于</w:t>
            </w:r>
            <w:r>
              <w:rPr>
                <w:rFonts w:hint="default" w:ascii="Times New Roman" w:hAnsi="Times New Roman" w:eastAsia="仿宋_GB2312" w:cs="Times New Roman"/>
                <w:b w:val="0"/>
                <w:bCs w:val="0"/>
                <w:i w:val="0"/>
                <w:iCs w:val="0"/>
                <w:color w:val="auto"/>
                <w:kern w:val="0"/>
                <w:sz w:val="24"/>
                <w:szCs w:val="24"/>
                <w:u w:val="none"/>
                <w:lang w:val="en-US" w:eastAsia="zh-CN" w:bidi="ar"/>
              </w:rPr>
              <w:t>2024</w:t>
            </w:r>
            <w:r>
              <w:rPr>
                <w:rFonts w:hint="eastAsia" w:ascii="仿宋_GB2312" w:hAnsi="Arial" w:eastAsia="仿宋_GB2312" w:cs="仿宋_GB2312"/>
                <w:b w:val="0"/>
                <w:bCs w:val="0"/>
                <w:i w:val="0"/>
                <w:iCs w:val="0"/>
                <w:color w:val="auto"/>
                <w:kern w:val="0"/>
                <w:sz w:val="24"/>
                <w:szCs w:val="24"/>
                <w:u w:val="none"/>
                <w:lang w:val="en-US" w:eastAsia="zh-CN" w:bidi="ar"/>
              </w:rPr>
              <w:t>年城镇老旧小区改造工作进展情况的通知、通报、简报等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.市县佐证材料</w:t>
            </w: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汕头市自评报告及佐证材料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韶关市自评报告及佐证材料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河源市自评报告及佐证材料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梅州市自评报告及佐证材料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惠州市自评报告及佐证材料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汕尾市自评报告及佐证材料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7</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江门市自评报告及佐证材料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8</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阳江市自评报告及佐证材料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9</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湛江市自评报告及佐证材料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茂名市自评报告及佐证材料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11</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肇庆市自评报告及佐证材料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12</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清远市自评报告及佐证材料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13</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潮州市自评报告及佐证材料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14</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揭阳市自评报告及佐证材料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Arial" w:eastAsia="仿宋_GB2312" w:cs="仿宋_GB2312"/>
                <w:b w:val="0"/>
                <w:bCs w:val="0"/>
                <w:i w:val="0"/>
                <w:iCs w:val="0"/>
                <w:color w:val="auto"/>
                <w:kern w:val="0"/>
                <w:sz w:val="24"/>
                <w:szCs w:val="24"/>
                <w:u w:val="none"/>
                <w:lang w:val="en-US" w:eastAsia="zh-CN" w:bidi="ar"/>
              </w:rPr>
            </w:pPr>
          </w:p>
        </w:tc>
        <w:tc>
          <w:tcPr>
            <w:tcW w:w="116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Arial" w:eastAsia="仿宋_GB2312" w:cs="仿宋_GB2312"/>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r>
              <w:rPr>
                <w:rFonts w:hint="default" w:ascii="仿宋_GB2312" w:hAnsi="Arial" w:eastAsia="仿宋_GB2312" w:cs="仿宋_GB2312"/>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15</w:t>
            </w:r>
          </w:p>
        </w:tc>
        <w:tc>
          <w:tcPr>
            <w:tcW w:w="1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val="0"/>
                <w:bCs w:val="0"/>
                <w:i w:val="0"/>
                <w:iCs w:val="0"/>
                <w:color w:val="auto"/>
                <w:kern w:val="0"/>
                <w:sz w:val="24"/>
                <w:szCs w:val="24"/>
                <w:u w:val="none"/>
                <w:lang w:val="en-US" w:eastAsia="zh-CN" w:bidi="ar"/>
              </w:rPr>
            </w:pPr>
            <w:r>
              <w:rPr>
                <w:rFonts w:hint="eastAsia" w:ascii="仿宋_GB2312" w:hAnsi="Arial" w:eastAsia="仿宋_GB2312" w:cs="仿宋_GB2312"/>
                <w:b w:val="0"/>
                <w:bCs w:val="0"/>
                <w:i w:val="0"/>
                <w:iCs w:val="0"/>
                <w:color w:val="auto"/>
                <w:kern w:val="0"/>
                <w:sz w:val="24"/>
                <w:szCs w:val="24"/>
                <w:u w:val="none"/>
                <w:lang w:val="en-US" w:eastAsia="zh-CN" w:bidi="ar"/>
              </w:rPr>
              <w:t>云浮市自评报告及佐证材料</w:t>
            </w:r>
          </w:p>
        </w:tc>
      </w:tr>
    </w:tbl>
    <w:p>
      <w:pPr>
        <w:pStyle w:val="10"/>
        <w:ind w:left="0" w:leftChars="0" w:firstLine="0" w:firstLineChars="0"/>
        <w:rPr>
          <w:rFonts w:hint="eastAsia" w:eastAsiaTheme="minorEastAsia"/>
          <w:color w:val="auto"/>
          <w:highlight w:val="none"/>
          <w:lang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C914D"/>
    <w:multiLevelType w:val="singleLevel"/>
    <w:tmpl w:val="FCCC91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YTAzNDIwZjQ5NmFmOWNhODI5NDZhYTdiODg0ODMifQ=="/>
  </w:docVars>
  <w:rsids>
    <w:rsidRoot w:val="7CAC5F00"/>
    <w:rsid w:val="007402CA"/>
    <w:rsid w:val="00814795"/>
    <w:rsid w:val="00DC19CB"/>
    <w:rsid w:val="01550254"/>
    <w:rsid w:val="01557038"/>
    <w:rsid w:val="021138F7"/>
    <w:rsid w:val="02454DC9"/>
    <w:rsid w:val="02FE3E7B"/>
    <w:rsid w:val="03101E00"/>
    <w:rsid w:val="0311073B"/>
    <w:rsid w:val="037153A5"/>
    <w:rsid w:val="0385634A"/>
    <w:rsid w:val="03DB0660"/>
    <w:rsid w:val="03FB766B"/>
    <w:rsid w:val="048E4B7A"/>
    <w:rsid w:val="04BC3FEE"/>
    <w:rsid w:val="050D65F7"/>
    <w:rsid w:val="05143E2A"/>
    <w:rsid w:val="053022E6"/>
    <w:rsid w:val="053B7608"/>
    <w:rsid w:val="05B45865"/>
    <w:rsid w:val="05E83959"/>
    <w:rsid w:val="063D3F02"/>
    <w:rsid w:val="065624B2"/>
    <w:rsid w:val="06B56F46"/>
    <w:rsid w:val="07407D4F"/>
    <w:rsid w:val="08206641"/>
    <w:rsid w:val="084940DC"/>
    <w:rsid w:val="0A0C05B1"/>
    <w:rsid w:val="0A4C6688"/>
    <w:rsid w:val="0A8F6E8F"/>
    <w:rsid w:val="0A975D0F"/>
    <w:rsid w:val="0B1C57E6"/>
    <w:rsid w:val="0BC01E57"/>
    <w:rsid w:val="0C2B6A45"/>
    <w:rsid w:val="0C7B478E"/>
    <w:rsid w:val="0C8E4C53"/>
    <w:rsid w:val="0CB33454"/>
    <w:rsid w:val="0CC779D3"/>
    <w:rsid w:val="0DBE0DD6"/>
    <w:rsid w:val="0DD463C0"/>
    <w:rsid w:val="0E0A5DCA"/>
    <w:rsid w:val="0E1C243B"/>
    <w:rsid w:val="0E9D6042"/>
    <w:rsid w:val="0ECE5D13"/>
    <w:rsid w:val="0F4D193D"/>
    <w:rsid w:val="0FA80171"/>
    <w:rsid w:val="0FE8155E"/>
    <w:rsid w:val="108005C5"/>
    <w:rsid w:val="108E6EEA"/>
    <w:rsid w:val="10A36062"/>
    <w:rsid w:val="10CF1A96"/>
    <w:rsid w:val="10D8379B"/>
    <w:rsid w:val="110209F6"/>
    <w:rsid w:val="11CE3FD3"/>
    <w:rsid w:val="12170AB5"/>
    <w:rsid w:val="12710D61"/>
    <w:rsid w:val="127D7927"/>
    <w:rsid w:val="12843C71"/>
    <w:rsid w:val="136763E5"/>
    <w:rsid w:val="13B4213B"/>
    <w:rsid w:val="13E36BB1"/>
    <w:rsid w:val="144C07BE"/>
    <w:rsid w:val="148137BC"/>
    <w:rsid w:val="149F2FE4"/>
    <w:rsid w:val="14CB3A99"/>
    <w:rsid w:val="14DA683D"/>
    <w:rsid w:val="15047114"/>
    <w:rsid w:val="153F4796"/>
    <w:rsid w:val="154871D8"/>
    <w:rsid w:val="155920D0"/>
    <w:rsid w:val="15844C5F"/>
    <w:rsid w:val="15E769F0"/>
    <w:rsid w:val="16946B78"/>
    <w:rsid w:val="16A8020F"/>
    <w:rsid w:val="16DC051F"/>
    <w:rsid w:val="172779EC"/>
    <w:rsid w:val="17B5477D"/>
    <w:rsid w:val="180D71B1"/>
    <w:rsid w:val="182C2DE0"/>
    <w:rsid w:val="18413C32"/>
    <w:rsid w:val="188C1C7A"/>
    <w:rsid w:val="18C43019"/>
    <w:rsid w:val="194079AB"/>
    <w:rsid w:val="19610183"/>
    <w:rsid w:val="1A1245F4"/>
    <w:rsid w:val="1A2C45F4"/>
    <w:rsid w:val="1A5A4EAA"/>
    <w:rsid w:val="1A7840BB"/>
    <w:rsid w:val="1ACB4B33"/>
    <w:rsid w:val="1AF52E7F"/>
    <w:rsid w:val="1B272E92"/>
    <w:rsid w:val="1B406D62"/>
    <w:rsid w:val="1C2C7853"/>
    <w:rsid w:val="1C5036CB"/>
    <w:rsid w:val="1C8C02F2"/>
    <w:rsid w:val="1C9D301D"/>
    <w:rsid w:val="1CAA46E6"/>
    <w:rsid w:val="1CB36EEC"/>
    <w:rsid w:val="1D345428"/>
    <w:rsid w:val="1DC2139C"/>
    <w:rsid w:val="1DE85091"/>
    <w:rsid w:val="1DFB29E3"/>
    <w:rsid w:val="1E000596"/>
    <w:rsid w:val="1E3D4063"/>
    <w:rsid w:val="1EB118BA"/>
    <w:rsid w:val="1EC91389"/>
    <w:rsid w:val="1ECC0E79"/>
    <w:rsid w:val="1F106FB8"/>
    <w:rsid w:val="1F8B4890"/>
    <w:rsid w:val="1FA023ED"/>
    <w:rsid w:val="1FB42039"/>
    <w:rsid w:val="20922660"/>
    <w:rsid w:val="20950380"/>
    <w:rsid w:val="212963F2"/>
    <w:rsid w:val="212E7BC9"/>
    <w:rsid w:val="21A659B2"/>
    <w:rsid w:val="21F52495"/>
    <w:rsid w:val="222E425A"/>
    <w:rsid w:val="226B1B8E"/>
    <w:rsid w:val="22853819"/>
    <w:rsid w:val="228728E9"/>
    <w:rsid w:val="237A210B"/>
    <w:rsid w:val="237F295E"/>
    <w:rsid w:val="23AE5B30"/>
    <w:rsid w:val="23B337F3"/>
    <w:rsid w:val="23C86365"/>
    <w:rsid w:val="23CD2307"/>
    <w:rsid w:val="24C06352"/>
    <w:rsid w:val="24C20D54"/>
    <w:rsid w:val="24C320D6"/>
    <w:rsid w:val="24FD1ECA"/>
    <w:rsid w:val="254479BB"/>
    <w:rsid w:val="258A0103"/>
    <w:rsid w:val="25A00629"/>
    <w:rsid w:val="25E536D4"/>
    <w:rsid w:val="25F50CB6"/>
    <w:rsid w:val="261E1A0C"/>
    <w:rsid w:val="2674607E"/>
    <w:rsid w:val="269A2A6B"/>
    <w:rsid w:val="26B23E49"/>
    <w:rsid w:val="26DF742E"/>
    <w:rsid w:val="27127645"/>
    <w:rsid w:val="27547994"/>
    <w:rsid w:val="276C31F9"/>
    <w:rsid w:val="278542BB"/>
    <w:rsid w:val="27CC5A46"/>
    <w:rsid w:val="27DC3446"/>
    <w:rsid w:val="28BD6C52"/>
    <w:rsid w:val="290276DC"/>
    <w:rsid w:val="2959155B"/>
    <w:rsid w:val="29A3738C"/>
    <w:rsid w:val="29DD682C"/>
    <w:rsid w:val="2A88034A"/>
    <w:rsid w:val="2AC455D6"/>
    <w:rsid w:val="2B4324C3"/>
    <w:rsid w:val="2B4E089B"/>
    <w:rsid w:val="2BA04C18"/>
    <w:rsid w:val="2BE77679"/>
    <w:rsid w:val="2C1A1476"/>
    <w:rsid w:val="2C2F4908"/>
    <w:rsid w:val="2C3A5002"/>
    <w:rsid w:val="2C576226"/>
    <w:rsid w:val="2C8763E0"/>
    <w:rsid w:val="2C9B15B5"/>
    <w:rsid w:val="2CC3566A"/>
    <w:rsid w:val="2D312161"/>
    <w:rsid w:val="2D614E83"/>
    <w:rsid w:val="2DA82AB1"/>
    <w:rsid w:val="2DBD6C17"/>
    <w:rsid w:val="2DD815E9"/>
    <w:rsid w:val="2DE27D71"/>
    <w:rsid w:val="2DE53D06"/>
    <w:rsid w:val="2DEE20E8"/>
    <w:rsid w:val="2E090C5D"/>
    <w:rsid w:val="2E255EB0"/>
    <w:rsid w:val="2EEB4C65"/>
    <w:rsid w:val="2F4F1D39"/>
    <w:rsid w:val="2FF3452F"/>
    <w:rsid w:val="30260283"/>
    <w:rsid w:val="30BF25EC"/>
    <w:rsid w:val="313C59EB"/>
    <w:rsid w:val="31F93BC7"/>
    <w:rsid w:val="324D08CC"/>
    <w:rsid w:val="32517893"/>
    <w:rsid w:val="325A6415"/>
    <w:rsid w:val="32603B42"/>
    <w:rsid w:val="33797B4E"/>
    <w:rsid w:val="342C582E"/>
    <w:rsid w:val="344C23E9"/>
    <w:rsid w:val="345A1F52"/>
    <w:rsid w:val="34621C0C"/>
    <w:rsid w:val="34711E4F"/>
    <w:rsid w:val="34D92A34"/>
    <w:rsid w:val="364B7D52"/>
    <w:rsid w:val="36764AC8"/>
    <w:rsid w:val="36835E6A"/>
    <w:rsid w:val="36A75FFC"/>
    <w:rsid w:val="36E96615"/>
    <w:rsid w:val="37307DA0"/>
    <w:rsid w:val="375F3A8C"/>
    <w:rsid w:val="37A1025A"/>
    <w:rsid w:val="37A40C65"/>
    <w:rsid w:val="37D04829"/>
    <w:rsid w:val="38B16CBE"/>
    <w:rsid w:val="38C956E9"/>
    <w:rsid w:val="38E42205"/>
    <w:rsid w:val="392C49D4"/>
    <w:rsid w:val="394F740B"/>
    <w:rsid w:val="39596E9F"/>
    <w:rsid w:val="3995038E"/>
    <w:rsid w:val="39B114B9"/>
    <w:rsid w:val="3A0379ED"/>
    <w:rsid w:val="3A0F6392"/>
    <w:rsid w:val="3A8C23C1"/>
    <w:rsid w:val="3A9643BE"/>
    <w:rsid w:val="3AA12D62"/>
    <w:rsid w:val="3B6261B4"/>
    <w:rsid w:val="3BDA762F"/>
    <w:rsid w:val="3C273D9F"/>
    <w:rsid w:val="3C3245BA"/>
    <w:rsid w:val="3C540DF7"/>
    <w:rsid w:val="3CDB69FF"/>
    <w:rsid w:val="3CDE204C"/>
    <w:rsid w:val="3D112421"/>
    <w:rsid w:val="3D2A009E"/>
    <w:rsid w:val="3D7B5B5B"/>
    <w:rsid w:val="3D7C3859"/>
    <w:rsid w:val="3E6C1E8A"/>
    <w:rsid w:val="3EF57962"/>
    <w:rsid w:val="3F516B05"/>
    <w:rsid w:val="3F5805F1"/>
    <w:rsid w:val="3F6F2E98"/>
    <w:rsid w:val="40210BCD"/>
    <w:rsid w:val="40494752"/>
    <w:rsid w:val="40683800"/>
    <w:rsid w:val="4070745F"/>
    <w:rsid w:val="40793F3F"/>
    <w:rsid w:val="40A05660"/>
    <w:rsid w:val="40D827C6"/>
    <w:rsid w:val="41A35612"/>
    <w:rsid w:val="41D852BC"/>
    <w:rsid w:val="41EF5816"/>
    <w:rsid w:val="42E3660E"/>
    <w:rsid w:val="43040332"/>
    <w:rsid w:val="43083A1D"/>
    <w:rsid w:val="43E2219F"/>
    <w:rsid w:val="44337121"/>
    <w:rsid w:val="444E0ED2"/>
    <w:rsid w:val="44990673"/>
    <w:rsid w:val="449A2CFC"/>
    <w:rsid w:val="44A75419"/>
    <w:rsid w:val="455428F4"/>
    <w:rsid w:val="45CE07A3"/>
    <w:rsid w:val="45EF24D9"/>
    <w:rsid w:val="45FA7DEF"/>
    <w:rsid w:val="46184820"/>
    <w:rsid w:val="46464DE3"/>
    <w:rsid w:val="468B47AB"/>
    <w:rsid w:val="46A75BA4"/>
    <w:rsid w:val="474327FF"/>
    <w:rsid w:val="47774EF1"/>
    <w:rsid w:val="48943C93"/>
    <w:rsid w:val="48D77A28"/>
    <w:rsid w:val="4966048D"/>
    <w:rsid w:val="4997611E"/>
    <w:rsid w:val="49D00F6E"/>
    <w:rsid w:val="4A6C6EE9"/>
    <w:rsid w:val="4AA20B5D"/>
    <w:rsid w:val="4B1E3247"/>
    <w:rsid w:val="4B1F4B65"/>
    <w:rsid w:val="4B315542"/>
    <w:rsid w:val="4B425E94"/>
    <w:rsid w:val="4B840262"/>
    <w:rsid w:val="4BAD1567"/>
    <w:rsid w:val="4BB829F3"/>
    <w:rsid w:val="4BF70A34"/>
    <w:rsid w:val="4C7A2594"/>
    <w:rsid w:val="4C9213C5"/>
    <w:rsid w:val="4C96649F"/>
    <w:rsid w:val="4D9329DF"/>
    <w:rsid w:val="4DB841F3"/>
    <w:rsid w:val="4E740A62"/>
    <w:rsid w:val="4F6C5679"/>
    <w:rsid w:val="4F9248B3"/>
    <w:rsid w:val="4FA434CB"/>
    <w:rsid w:val="4FE6773D"/>
    <w:rsid w:val="505F2761"/>
    <w:rsid w:val="50A11FE0"/>
    <w:rsid w:val="50B415EA"/>
    <w:rsid w:val="50B63B0A"/>
    <w:rsid w:val="50DB6B76"/>
    <w:rsid w:val="50E4045D"/>
    <w:rsid w:val="51542485"/>
    <w:rsid w:val="515464CA"/>
    <w:rsid w:val="51A07A7D"/>
    <w:rsid w:val="52166647"/>
    <w:rsid w:val="521D4F6D"/>
    <w:rsid w:val="52BF46A2"/>
    <w:rsid w:val="52CC36CF"/>
    <w:rsid w:val="53232530"/>
    <w:rsid w:val="539B083F"/>
    <w:rsid w:val="53C44028"/>
    <w:rsid w:val="53CE2A54"/>
    <w:rsid w:val="545F714B"/>
    <w:rsid w:val="5463135D"/>
    <w:rsid w:val="54A24918"/>
    <w:rsid w:val="54AF6F1C"/>
    <w:rsid w:val="54C6218F"/>
    <w:rsid w:val="54C77062"/>
    <w:rsid w:val="551F06FC"/>
    <w:rsid w:val="553B7BE4"/>
    <w:rsid w:val="55434CEA"/>
    <w:rsid w:val="554A792F"/>
    <w:rsid w:val="55741760"/>
    <w:rsid w:val="55825812"/>
    <w:rsid w:val="569C2904"/>
    <w:rsid w:val="56A52736"/>
    <w:rsid w:val="56B44615"/>
    <w:rsid w:val="56D438A9"/>
    <w:rsid w:val="570404A9"/>
    <w:rsid w:val="57554C19"/>
    <w:rsid w:val="579655A5"/>
    <w:rsid w:val="57A37CC2"/>
    <w:rsid w:val="57F549C2"/>
    <w:rsid w:val="58535244"/>
    <w:rsid w:val="58C43AC0"/>
    <w:rsid w:val="58FF62E0"/>
    <w:rsid w:val="59765C8E"/>
    <w:rsid w:val="59D363CD"/>
    <w:rsid w:val="5A0A107B"/>
    <w:rsid w:val="5A1B6236"/>
    <w:rsid w:val="5B01542B"/>
    <w:rsid w:val="5B33135D"/>
    <w:rsid w:val="5BB932CB"/>
    <w:rsid w:val="5BBE331C"/>
    <w:rsid w:val="5C7B25A9"/>
    <w:rsid w:val="5CA029F3"/>
    <w:rsid w:val="5D1839D2"/>
    <w:rsid w:val="5D3B1474"/>
    <w:rsid w:val="5D607F79"/>
    <w:rsid w:val="5D706898"/>
    <w:rsid w:val="5E531459"/>
    <w:rsid w:val="5EA410AC"/>
    <w:rsid w:val="5EAB603E"/>
    <w:rsid w:val="5EB804F7"/>
    <w:rsid w:val="5F1020DA"/>
    <w:rsid w:val="5F2D1E3E"/>
    <w:rsid w:val="5F4A4462"/>
    <w:rsid w:val="5FA40A7B"/>
    <w:rsid w:val="5FA7414C"/>
    <w:rsid w:val="5FBE5F46"/>
    <w:rsid w:val="5FD30B8B"/>
    <w:rsid w:val="5FEB2206"/>
    <w:rsid w:val="6050554C"/>
    <w:rsid w:val="608C61A1"/>
    <w:rsid w:val="609D599A"/>
    <w:rsid w:val="60B30F76"/>
    <w:rsid w:val="60CD295D"/>
    <w:rsid w:val="618741B1"/>
    <w:rsid w:val="61DE64C6"/>
    <w:rsid w:val="621D7BE6"/>
    <w:rsid w:val="622D6B06"/>
    <w:rsid w:val="62DD6A26"/>
    <w:rsid w:val="62E53885"/>
    <w:rsid w:val="63B55005"/>
    <w:rsid w:val="6418681B"/>
    <w:rsid w:val="643A3A21"/>
    <w:rsid w:val="648F1CF0"/>
    <w:rsid w:val="64B912B3"/>
    <w:rsid w:val="64C5396E"/>
    <w:rsid w:val="650A3BF1"/>
    <w:rsid w:val="650C334B"/>
    <w:rsid w:val="652B4502"/>
    <w:rsid w:val="657131AE"/>
    <w:rsid w:val="663D24C4"/>
    <w:rsid w:val="66415276"/>
    <w:rsid w:val="665905FC"/>
    <w:rsid w:val="668D0147"/>
    <w:rsid w:val="66DB2CD5"/>
    <w:rsid w:val="67254250"/>
    <w:rsid w:val="676C1E7F"/>
    <w:rsid w:val="681F3BE2"/>
    <w:rsid w:val="68264723"/>
    <w:rsid w:val="68970A5A"/>
    <w:rsid w:val="68F760C0"/>
    <w:rsid w:val="69180E67"/>
    <w:rsid w:val="69A64BCA"/>
    <w:rsid w:val="6A0C26AC"/>
    <w:rsid w:val="6A1F142A"/>
    <w:rsid w:val="6A220F1A"/>
    <w:rsid w:val="6A403008"/>
    <w:rsid w:val="6A460739"/>
    <w:rsid w:val="6A503CD9"/>
    <w:rsid w:val="6A72463D"/>
    <w:rsid w:val="6A9362EF"/>
    <w:rsid w:val="6AB40E67"/>
    <w:rsid w:val="6ABD7E29"/>
    <w:rsid w:val="6AEF34F2"/>
    <w:rsid w:val="6B1116BB"/>
    <w:rsid w:val="6B261B6A"/>
    <w:rsid w:val="6B292C60"/>
    <w:rsid w:val="6B9526A7"/>
    <w:rsid w:val="6BC524A5"/>
    <w:rsid w:val="6BCE135A"/>
    <w:rsid w:val="6BD3071E"/>
    <w:rsid w:val="6C2076DB"/>
    <w:rsid w:val="6C335661"/>
    <w:rsid w:val="6C4B72A2"/>
    <w:rsid w:val="6C547EAB"/>
    <w:rsid w:val="6D82064E"/>
    <w:rsid w:val="6D9D7236"/>
    <w:rsid w:val="6DD75B1D"/>
    <w:rsid w:val="6DD8026E"/>
    <w:rsid w:val="6DF56417"/>
    <w:rsid w:val="6E893158"/>
    <w:rsid w:val="6EFC5E74"/>
    <w:rsid w:val="6F4B2CC1"/>
    <w:rsid w:val="6F8D32DA"/>
    <w:rsid w:val="6F9347EC"/>
    <w:rsid w:val="6FAA3734"/>
    <w:rsid w:val="6FBD18A2"/>
    <w:rsid w:val="6FD139BB"/>
    <w:rsid w:val="703379DD"/>
    <w:rsid w:val="703E5F69"/>
    <w:rsid w:val="705E6CC8"/>
    <w:rsid w:val="70716758"/>
    <w:rsid w:val="710252BC"/>
    <w:rsid w:val="714D2D21"/>
    <w:rsid w:val="722872EA"/>
    <w:rsid w:val="723B526F"/>
    <w:rsid w:val="727B566C"/>
    <w:rsid w:val="72BD7A32"/>
    <w:rsid w:val="734C5D6C"/>
    <w:rsid w:val="738A1B7C"/>
    <w:rsid w:val="73BB2105"/>
    <w:rsid w:val="73F43927"/>
    <w:rsid w:val="740B2A1F"/>
    <w:rsid w:val="74421C50"/>
    <w:rsid w:val="74940C67"/>
    <w:rsid w:val="74A72748"/>
    <w:rsid w:val="74BB61F3"/>
    <w:rsid w:val="75287D2D"/>
    <w:rsid w:val="7561323F"/>
    <w:rsid w:val="757B6DC1"/>
    <w:rsid w:val="758D193E"/>
    <w:rsid w:val="765C72C6"/>
    <w:rsid w:val="7711659E"/>
    <w:rsid w:val="77192D11"/>
    <w:rsid w:val="7762504C"/>
    <w:rsid w:val="78232A2D"/>
    <w:rsid w:val="78450BF6"/>
    <w:rsid w:val="78450F43"/>
    <w:rsid w:val="78A70F68"/>
    <w:rsid w:val="79030169"/>
    <w:rsid w:val="79134850"/>
    <w:rsid w:val="79654980"/>
    <w:rsid w:val="79CB6ED9"/>
    <w:rsid w:val="79FB633A"/>
    <w:rsid w:val="7A596109"/>
    <w:rsid w:val="7A944128"/>
    <w:rsid w:val="7AE0603D"/>
    <w:rsid w:val="7B7470FC"/>
    <w:rsid w:val="7B804E6A"/>
    <w:rsid w:val="7BF97E38"/>
    <w:rsid w:val="7C042B76"/>
    <w:rsid w:val="7C596A1E"/>
    <w:rsid w:val="7CAC5F00"/>
    <w:rsid w:val="7CB62D95"/>
    <w:rsid w:val="7CB96BB3"/>
    <w:rsid w:val="7CCF4F32"/>
    <w:rsid w:val="7DB83AA4"/>
    <w:rsid w:val="7E1F1464"/>
    <w:rsid w:val="7E462FD2"/>
    <w:rsid w:val="7ED20D09"/>
    <w:rsid w:val="7F2E314C"/>
    <w:rsid w:val="7F806E7E"/>
    <w:rsid w:val="7F840255"/>
    <w:rsid w:val="7FB1091F"/>
    <w:rsid w:val="7FD91C23"/>
    <w:rsid w:val="7FEDC06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楷体_GB2312"/>
      <w:b/>
      <w:bCs/>
      <w:kern w:val="0"/>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val="0"/>
      <w:spacing w:line="360" w:lineRule="auto"/>
      <w:ind w:left="420" w:leftChars="200"/>
      <w:jc w:val="both"/>
    </w:pPr>
    <w:rPr>
      <w:rFonts w:ascii="Calibri" w:hAnsi="Calibri" w:eastAsia="仿宋_GB2312" w:cs="Times New Roman"/>
      <w:kern w:val="0"/>
      <w:sz w:val="30"/>
      <w:szCs w:val="3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99"/>
    <w:pPr>
      <w:widowControl w:val="0"/>
      <w:spacing w:after="120"/>
      <w:jc w:val="both"/>
    </w:pPr>
    <w:rPr>
      <w:rFonts w:ascii="Times New Roman" w:hAnsi="Times New Roman" w:eastAsia="宋体" w:cs="Times New Roman"/>
      <w:kern w:val="2"/>
      <w:sz w:val="21"/>
      <w:lang w:val="en-US" w:eastAsia="zh-CN"/>
    </w:rPr>
  </w:style>
  <w:style w:type="paragraph" w:styleId="6">
    <w:name w:val="Body Text First Indent"/>
    <w:basedOn w:val="5"/>
    <w:next w:val="7"/>
    <w:qFormat/>
    <w:uiPriority w:val="0"/>
    <w:pPr>
      <w:spacing w:line="360" w:lineRule="auto"/>
      <w:ind w:firstLine="880" w:firstLineChars="200"/>
    </w:pPr>
    <w:rPr>
      <w:rFonts w:ascii="Calibri" w:hAnsi="Calibri" w:eastAsia="仿宋" w:cs="Times New Roman"/>
      <w:sz w:val="28"/>
      <w:szCs w:val="28"/>
      <w:lang w:val="en-US" w:eastAsia="zh-CN" w:bidi="ar-SA"/>
    </w:rPr>
  </w:style>
  <w:style w:type="paragraph" w:styleId="7">
    <w:name w:val="Plain Text"/>
    <w:basedOn w:val="1"/>
    <w:unhideWhenUsed/>
    <w:qFormat/>
    <w:uiPriority w:val="99"/>
    <w:rPr>
      <w:rFonts w:ascii="宋体" w:hAnsi="Courier New"/>
    </w:rPr>
  </w:style>
  <w:style w:type="paragraph" w:styleId="8">
    <w:name w:val="Body Text Indent"/>
    <w:basedOn w:val="1"/>
    <w:qFormat/>
    <w:uiPriority w:val="0"/>
    <w:pPr>
      <w:spacing w:line="560" w:lineRule="exact"/>
      <w:ind w:left="300"/>
    </w:pPr>
    <w:rPr>
      <w:rFonts w:ascii="Calibri" w:hAnsi="Calibri"/>
      <w:sz w:val="24"/>
      <w:szCs w:val="24"/>
    </w:rPr>
  </w:style>
  <w:style w:type="paragraph" w:styleId="9">
    <w:name w:val="toc 3"/>
    <w:basedOn w:val="1"/>
    <w:next w:val="1"/>
    <w:qFormat/>
    <w:uiPriority w:val="0"/>
    <w:pPr>
      <w:ind w:left="840" w:leftChars="400"/>
    </w:pPr>
  </w:style>
  <w:style w:type="paragraph" w:styleId="10">
    <w:name w:val="Body Text Indent 2"/>
    <w:basedOn w:val="1"/>
    <w:qFormat/>
    <w:uiPriority w:val="0"/>
    <w:pPr>
      <w:spacing w:after="120" w:afterLines="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Body Text First Indent 2"/>
    <w:basedOn w:val="8"/>
    <w:qFormat/>
    <w:uiPriority w:val="0"/>
    <w:pPr>
      <w:ind w:firstLine="420" w:firstLineChars="200"/>
    </w:pPr>
  </w:style>
  <w:style w:type="paragraph" w:customStyle="1" w:styleId="17">
    <w:name w:val="正文（缩进）"/>
    <w:qFormat/>
    <w:uiPriority w:val="0"/>
    <w:pPr>
      <w:widowControl w:val="0"/>
      <w:spacing w:before="156" w:beforeLines="50" w:after="156" w:afterLines="50" w:line="360" w:lineRule="auto"/>
      <w:ind w:firstLine="480" w:firstLineChars="200"/>
      <w:jc w:val="both"/>
    </w:pPr>
    <w:rPr>
      <w:rFonts w:ascii="Times New Roman" w:hAnsi="Times New Roman" w:eastAsia="仿宋_GB2312" w:cs="Times New Roman"/>
      <w:kern w:val="0"/>
      <w:sz w:val="24"/>
      <w:szCs w:val="20"/>
      <w:lang w:val="en-US" w:eastAsia="zh-CN" w:bidi="ar-SA"/>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character" w:customStyle="1" w:styleId="20">
    <w:name w:val="font41"/>
    <w:basedOn w:val="16"/>
    <w:qFormat/>
    <w:uiPriority w:val="0"/>
    <w:rPr>
      <w:rFonts w:hint="default" w:ascii="仿宋_GB2312" w:eastAsia="仿宋_GB2312" w:cs="仿宋_GB2312"/>
      <w:color w:val="000000"/>
      <w:sz w:val="22"/>
      <w:szCs w:val="22"/>
      <w:u w:val="none"/>
    </w:rPr>
  </w:style>
  <w:style w:type="character" w:customStyle="1" w:styleId="21">
    <w:name w:val="font61"/>
    <w:basedOn w:val="16"/>
    <w:qFormat/>
    <w:uiPriority w:val="0"/>
    <w:rPr>
      <w:rFonts w:hint="default" w:ascii="仿宋_GB2312" w:eastAsia="仿宋_GB2312" w:cs="仿宋_GB2312"/>
      <w:b/>
      <w:bCs/>
      <w:color w:val="000000"/>
      <w:sz w:val="22"/>
      <w:szCs w:val="22"/>
      <w:u w:val="none"/>
    </w:rPr>
  </w:style>
  <w:style w:type="paragraph" w:customStyle="1" w:styleId="2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character" w:customStyle="1" w:styleId="23">
    <w:name w:val="font21"/>
    <w:basedOn w:val="16"/>
    <w:qFormat/>
    <w:uiPriority w:val="0"/>
    <w:rPr>
      <w:rFonts w:ascii="宋体" w:hAnsi="宋体" w:eastAsia="宋体" w:cs="宋体"/>
      <w:color w:val="000000"/>
      <w:sz w:val="22"/>
      <w:szCs w:val="22"/>
      <w:u w:val="none"/>
    </w:rPr>
  </w:style>
  <w:style w:type="paragraph" w:customStyle="1" w:styleId="24">
    <w:name w:val="_Style 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4447</Words>
  <Characters>5310</Characters>
  <Lines>0</Lines>
  <Paragraphs>0</Paragraphs>
  <TotalTime>21</TotalTime>
  <ScaleCrop>false</ScaleCrop>
  <LinksUpToDate>false</LinksUpToDate>
  <CharactersWithSpaces>5494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2023-05-18T20:38:00Z</dcterms:created>
  <dc:creator>陶同学</dc:creator>
  <cp:lastModifiedBy>szj</cp:lastModifiedBy>
  <dcterms:modified xsi:type="dcterms:W3CDTF">2025-05-28T16:13:34Z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78369BAAA3CB4B329DC8A79973F21870_13</vt:lpwstr>
  </property>
  <property fmtid="{D5CDD505-2E9C-101B-9397-08002B2CF9AE}" pid="4" name="KSOTemplateDocerSaveRecord">
    <vt:lpwstr>eyJoZGlkIjoiYjNmNDI4ZTU2Yjg0MTBiYmE5OWFmMjJhNzg1MTdlZDQiLCJ1c2VySWQiOiIyNzk5NjY4NDYifQ==</vt:lpwstr>
  </property>
</Properties>
</file>