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CAADB">
      <w:pPr>
        <w:spacing w:beforeLines="0" w:line="360" w:lineRule="auto"/>
        <w:rPr>
          <w:rFonts w:ascii="仿宋_GB2312" w:eastAsia="仿宋_GB2312"/>
          <w:color w:val="auto"/>
          <w:sz w:val="32"/>
          <w:szCs w:val="32"/>
        </w:rPr>
      </w:pPr>
      <w:r>
        <w:rPr>
          <w:rFonts w:hint="eastAsia" w:ascii="仿宋_GB2312" w:eastAsia="仿宋_GB2312"/>
          <w:color w:val="auto"/>
          <w:sz w:val="32"/>
          <w:szCs w:val="32"/>
        </w:rPr>
        <w:t xml:space="preserve">    </w:t>
      </w:r>
    </w:p>
    <w:p w14:paraId="22D7F05A">
      <w:pPr>
        <w:pStyle w:val="9"/>
        <w:spacing w:beforeLines="0"/>
        <w:rPr>
          <w:color w:val="auto"/>
        </w:rPr>
      </w:pPr>
    </w:p>
    <w:p w14:paraId="0929FE03">
      <w:pPr>
        <w:pStyle w:val="9"/>
        <w:spacing w:beforeLines="0"/>
        <w:rPr>
          <w:color w:val="auto"/>
        </w:rPr>
      </w:pPr>
    </w:p>
    <w:p w14:paraId="25D00028">
      <w:pPr>
        <w:pageBreakBefore w:val="0"/>
        <w:kinsoku/>
        <w:wordWrap/>
        <w:overflowPunct/>
        <w:topLinePunct w:val="0"/>
        <w:bidi w:val="0"/>
        <w:spacing w:beforeLines="0" w:line="360" w:lineRule="auto"/>
        <w:jc w:val="center"/>
        <w:rPr>
          <w:rFonts w:hint="eastAsia" w:ascii="仿宋_GB2312" w:eastAsia="仿宋_GB2312"/>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项目</w:t>
      </w:r>
      <w:r>
        <w:rPr>
          <w:rFonts w:hint="eastAsia" w:ascii="方正小标宋简体" w:hAnsi="方正小标宋简体" w:eastAsia="方正小标宋简体" w:cs="方正小标宋简体"/>
          <w:color w:val="auto"/>
          <w:sz w:val="44"/>
          <w:szCs w:val="44"/>
          <w:highlight w:val="none"/>
        </w:rPr>
        <w:t>绩效自评报告</w:t>
      </w:r>
    </w:p>
    <w:p w14:paraId="2A2A4698">
      <w:pPr>
        <w:pageBreakBefore w:val="0"/>
        <w:kinsoku/>
        <w:wordWrap/>
        <w:overflowPunct/>
        <w:topLinePunct w:val="0"/>
        <w:bidi w:val="0"/>
        <w:spacing w:beforeLines="0" w:line="360" w:lineRule="auto"/>
        <w:ind w:firstLine="450" w:firstLineChars="150"/>
        <w:rPr>
          <w:rFonts w:hint="eastAsia" w:ascii="仿宋_GB2312" w:eastAsia="仿宋_GB2312"/>
          <w:color w:val="auto"/>
          <w:sz w:val="30"/>
          <w:szCs w:val="30"/>
          <w:highlight w:val="none"/>
        </w:rPr>
      </w:pPr>
    </w:p>
    <w:p w14:paraId="00C14131">
      <w:pPr>
        <w:pageBreakBefore w:val="0"/>
        <w:kinsoku/>
        <w:wordWrap/>
        <w:overflowPunct/>
        <w:topLinePunct w:val="0"/>
        <w:bidi w:val="0"/>
        <w:spacing w:beforeLines="0" w:line="360" w:lineRule="auto"/>
        <w:ind w:firstLine="450" w:firstLineChars="150"/>
        <w:rPr>
          <w:rFonts w:hint="eastAsia" w:ascii="仿宋_GB2312" w:eastAsia="仿宋_GB2312"/>
          <w:color w:val="auto"/>
          <w:sz w:val="30"/>
          <w:szCs w:val="30"/>
          <w:highlight w:val="none"/>
        </w:rPr>
      </w:pPr>
    </w:p>
    <w:p w14:paraId="5B967B86">
      <w:pPr>
        <w:pageBreakBefore w:val="0"/>
        <w:kinsoku/>
        <w:wordWrap/>
        <w:overflowPunct/>
        <w:topLinePunct w:val="0"/>
        <w:bidi w:val="0"/>
        <w:spacing w:beforeLines="0" w:line="360" w:lineRule="auto"/>
        <w:ind w:firstLine="450" w:firstLineChars="150"/>
        <w:rPr>
          <w:rFonts w:hint="eastAsia" w:ascii="仿宋_GB2312" w:eastAsia="仿宋_GB2312"/>
          <w:color w:val="auto"/>
          <w:sz w:val="30"/>
          <w:szCs w:val="30"/>
          <w:highlight w:val="none"/>
        </w:rPr>
      </w:pPr>
    </w:p>
    <w:p w14:paraId="6B3F7EF8">
      <w:pPr>
        <w:pStyle w:val="16"/>
        <w:rPr>
          <w:rFonts w:hint="eastAsia" w:ascii="仿宋_GB2312" w:eastAsia="仿宋_GB2312"/>
          <w:color w:val="auto"/>
          <w:sz w:val="30"/>
          <w:szCs w:val="30"/>
          <w:highlight w:val="none"/>
        </w:rPr>
      </w:pPr>
    </w:p>
    <w:p w14:paraId="1F7B7F30">
      <w:pPr>
        <w:rPr>
          <w:rFonts w:hint="eastAsia"/>
          <w:color w:val="auto"/>
        </w:rPr>
      </w:pPr>
    </w:p>
    <w:p w14:paraId="7292905E">
      <w:pPr>
        <w:pageBreakBefore w:val="0"/>
        <w:kinsoku/>
        <w:wordWrap/>
        <w:overflowPunct/>
        <w:topLinePunct w:val="0"/>
        <w:bidi w:val="0"/>
        <w:spacing w:beforeLines="0" w:line="360" w:lineRule="auto"/>
        <w:ind w:firstLine="450" w:firstLineChars="150"/>
        <w:rPr>
          <w:rFonts w:hint="eastAsia" w:ascii="仿宋_GB2312" w:eastAsia="仿宋_GB2312"/>
          <w:color w:val="auto"/>
          <w:sz w:val="30"/>
          <w:szCs w:val="30"/>
          <w:highlight w:val="none"/>
        </w:rPr>
      </w:pPr>
    </w:p>
    <w:p w14:paraId="56DEABCB">
      <w:pPr>
        <w:pageBreakBefore w:val="0"/>
        <w:kinsoku/>
        <w:wordWrap/>
        <w:overflowPunct/>
        <w:topLinePunct w:val="0"/>
        <w:bidi w:val="0"/>
        <w:spacing w:beforeLines="0" w:line="360" w:lineRule="auto"/>
        <w:ind w:firstLine="0" w:firstLineChars="0"/>
        <w:rPr>
          <w:rFonts w:hint="eastAsia" w:ascii="仿宋_GB2312" w:eastAsia="仿宋_GB2312"/>
          <w:color w:val="auto"/>
          <w:sz w:val="30"/>
          <w:szCs w:val="30"/>
          <w:highlight w:val="none"/>
        </w:rPr>
      </w:pPr>
    </w:p>
    <w:p w14:paraId="2C4B2585">
      <w:pPr>
        <w:pageBreakBefore w:val="0"/>
        <w:kinsoku/>
        <w:wordWrap/>
        <w:overflowPunct/>
        <w:topLinePunct w:val="0"/>
        <w:bidi w:val="0"/>
        <w:spacing w:beforeLines="0" w:line="360" w:lineRule="auto"/>
        <w:ind w:firstLine="450" w:firstLineChars="150"/>
        <w:rPr>
          <w:rFonts w:hint="eastAsia" w:ascii="仿宋_GB2312" w:eastAsia="仿宋_GB2312"/>
          <w:color w:val="auto"/>
          <w:sz w:val="30"/>
          <w:szCs w:val="30"/>
          <w:highlight w:val="none"/>
        </w:rPr>
      </w:pPr>
    </w:p>
    <w:p w14:paraId="2ED48760">
      <w:pPr>
        <w:widowControl/>
        <w:adjustRightInd w:val="0"/>
        <w:snapToGrid w:val="0"/>
        <w:spacing w:beforeLines="0" w:afterLines="0" w:line="360" w:lineRule="auto"/>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财政事权名称：住房和城乡建设管理</w:t>
      </w:r>
    </w:p>
    <w:p w14:paraId="33F412D4">
      <w:pPr>
        <w:widowControl/>
        <w:adjustRightInd w:val="0"/>
        <w:snapToGrid w:val="0"/>
        <w:spacing w:beforeLines="0" w:afterLines="0" w:line="360" w:lineRule="auto"/>
        <w:ind w:firstLine="640" w:firstLineChars="200"/>
        <w:jc w:val="left"/>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对应政策任务个数：</w:t>
      </w:r>
      <w:r>
        <w:rPr>
          <w:rFonts w:hint="default" w:ascii="Times New Roman" w:hAnsi="Times New Roman" w:eastAsia="仿宋_GB2312" w:cs="Times New Roman"/>
          <w:color w:val="auto"/>
          <w:sz w:val="32"/>
          <w:szCs w:val="32"/>
          <w:lang w:val="en-US" w:eastAsia="zh-CN" w:bidi="ar"/>
        </w:rPr>
        <w:t>1</w:t>
      </w:r>
      <w:r>
        <w:rPr>
          <w:rFonts w:hint="default" w:ascii="Times New Roman" w:hAnsi="Times New Roman" w:eastAsia="仿宋_GB2312" w:cs="Times New Roman"/>
          <w:color w:val="auto"/>
          <w:sz w:val="32"/>
          <w:szCs w:val="32"/>
          <w:lang w:bidi="ar"/>
        </w:rPr>
        <w:t xml:space="preserve">个 </w:t>
      </w:r>
    </w:p>
    <w:p w14:paraId="3F374A4A">
      <w:pPr>
        <w:widowControl/>
        <w:adjustRightInd w:val="0"/>
        <w:snapToGrid w:val="0"/>
        <w:spacing w:beforeLines="0" w:afterLines="0" w:line="360" w:lineRule="auto"/>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具体名称：</w:t>
      </w:r>
      <w:r>
        <w:rPr>
          <w:rFonts w:hint="default" w:ascii="Times New Roman" w:hAnsi="Times New Roman" w:eastAsia="仿宋_GB2312" w:cs="Times New Roman"/>
          <w:color w:val="auto"/>
          <w:sz w:val="32"/>
          <w:szCs w:val="32"/>
          <w:lang w:val="en-US" w:eastAsia="zh-CN" w:bidi="ar"/>
        </w:rPr>
        <w:t>2024年保障性安居工程专项资金</w:t>
      </w:r>
      <w:r>
        <w:rPr>
          <w:rFonts w:hint="default" w:ascii="Times New Roman" w:hAnsi="Times New Roman" w:eastAsia="仿宋_GB2312" w:cs="Times New Roman"/>
          <w:color w:val="auto"/>
          <w:sz w:val="32"/>
          <w:szCs w:val="32"/>
        </w:rPr>
        <w:t xml:space="preserve">    </w:t>
      </w:r>
    </w:p>
    <w:p w14:paraId="390FD5FD">
      <w:pPr>
        <w:widowControl/>
        <w:adjustRightInd w:val="0"/>
        <w:snapToGrid w:val="0"/>
        <w:spacing w:beforeLines="0" w:afterLines="0" w:line="360" w:lineRule="auto"/>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预算单位：（公章）</w:t>
      </w:r>
      <w:r>
        <w:rPr>
          <w:rFonts w:hint="default" w:ascii="Times New Roman" w:hAnsi="Times New Roman" w:eastAsia="仿宋_GB2312" w:cs="Times New Roman"/>
          <w:color w:val="auto"/>
          <w:sz w:val="32"/>
          <w:szCs w:val="32"/>
        </w:rPr>
        <w:t>广东省住房和城乡建设厅</w:t>
      </w:r>
    </w:p>
    <w:p w14:paraId="63019F82">
      <w:pPr>
        <w:adjustRightInd w:val="0"/>
        <w:snapToGrid w:val="0"/>
        <w:spacing w:beforeLines="0" w:afterLines="0" w:line="360" w:lineRule="auto"/>
        <w:ind w:firstLine="640" w:firstLineChars="200"/>
        <w:jc w:val="left"/>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填报人姓名：</w:t>
      </w:r>
      <w:r>
        <w:rPr>
          <w:rFonts w:hint="eastAsia" w:ascii="Times New Roman" w:hAnsi="Times New Roman" w:eastAsia="仿宋_GB2312" w:cs="Times New Roman"/>
          <w:color w:val="auto"/>
          <w:sz w:val="32"/>
          <w:szCs w:val="32"/>
          <w:lang w:eastAsia="zh-CN"/>
        </w:rPr>
        <w:t>白日平</w:t>
      </w:r>
    </w:p>
    <w:p w14:paraId="2242F10F">
      <w:pPr>
        <w:adjustRightInd w:val="0"/>
        <w:snapToGrid w:val="0"/>
        <w:spacing w:beforeLines="0" w:afterLines="0" w:line="360" w:lineRule="auto"/>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eastAsia" w:ascii="Times New Roman" w:hAnsi="Times New Roman" w:eastAsia="仿宋_GB2312" w:cs="Times New Roman"/>
          <w:color w:val="auto"/>
          <w:sz w:val="32"/>
          <w:szCs w:val="32"/>
          <w:lang w:val="en-US" w:eastAsia="zh-CN"/>
        </w:rPr>
        <w:t>83133509</w:t>
      </w:r>
    </w:p>
    <w:p w14:paraId="389CA4CA">
      <w:pPr>
        <w:pStyle w:val="16"/>
        <w:spacing w:beforeLines="0"/>
        <w:ind w:left="0" w:leftChars="0" w:firstLine="640" w:firstLineChars="200"/>
        <w:rPr>
          <w:rFonts w:hint="eastAsia" w:ascii="仿宋_GB2312" w:eastAsia="仿宋_GB2312"/>
          <w:color w:val="auto"/>
          <w:sz w:val="30"/>
          <w:szCs w:val="30"/>
          <w:highlight w:val="none"/>
        </w:rPr>
      </w:pPr>
      <w:r>
        <w:rPr>
          <w:rFonts w:hint="default" w:ascii="Times New Roman" w:hAnsi="Times New Roman" w:eastAsia="仿宋_GB2312" w:cs="Times New Roman"/>
          <w:color w:val="auto"/>
          <w:sz w:val="32"/>
          <w:szCs w:val="32"/>
        </w:rPr>
        <w:t>填报日期：202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年5月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w:t>
      </w:r>
    </w:p>
    <w:p w14:paraId="0469ECD3">
      <w:pPr>
        <w:spacing w:beforeLines="0"/>
        <w:rPr>
          <w:rFonts w:hint="eastAsia" w:ascii="仿宋_GB2312" w:eastAsia="仿宋_GB2312"/>
          <w:color w:val="auto"/>
          <w:sz w:val="30"/>
          <w:szCs w:val="30"/>
          <w:highlight w:val="none"/>
        </w:rPr>
      </w:pPr>
    </w:p>
    <w:p w14:paraId="0329124D">
      <w:pPr>
        <w:pStyle w:val="16"/>
        <w:spacing w:beforeLines="0"/>
        <w:rPr>
          <w:rFonts w:hint="eastAsia"/>
          <w:color w:val="auto"/>
        </w:rPr>
      </w:pPr>
    </w:p>
    <w:p w14:paraId="315E0683">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ascii="宋体" w:hAnsi="宋体" w:eastAsia="宋体" w:cstheme="minorBidi"/>
          <w:color w:val="auto"/>
          <w:kern w:val="2"/>
          <w:sz w:val="21"/>
          <w:szCs w:val="24"/>
          <w:lang w:val="en-US" w:eastAsia="zh-CN" w:bidi="ar-SA"/>
        </w:rPr>
        <w:id w:val="147466197"/>
        <w15:color w:val="DBDBDB"/>
        <w:docPartObj>
          <w:docPartGallery w:val="Table of Contents"/>
          <w:docPartUnique/>
        </w:docPartObj>
      </w:sdtPr>
      <w:sdtEndPr>
        <w:rPr>
          <w:rFonts w:asciiTheme="minorHAnsi" w:hAnsiTheme="minorHAnsi" w:eastAsiaTheme="minorEastAsia" w:cstheme="minorBidi"/>
          <w:color w:val="auto"/>
          <w:kern w:val="2"/>
          <w:sz w:val="32"/>
          <w:szCs w:val="32"/>
          <w:lang w:val="en-US" w:eastAsia="zh-CN" w:bidi="ar-SA"/>
        </w:rPr>
      </w:sdtEndPr>
      <w:sdtContent>
        <w:p w14:paraId="6A2E33A3">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目录</w:t>
          </w:r>
        </w:p>
        <w:p w14:paraId="49C5F719">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TOC \o "1-2" \h \u </w:instrText>
          </w:r>
          <w:r>
            <w:rPr>
              <w:color w:val="auto"/>
              <w:sz w:val="32"/>
              <w:szCs w:val="32"/>
            </w:rPr>
            <w:fldChar w:fldCharType="separate"/>
          </w:r>
          <w:r>
            <w:rPr>
              <w:color w:val="auto"/>
              <w:sz w:val="32"/>
              <w:szCs w:val="32"/>
            </w:rPr>
            <w:fldChar w:fldCharType="begin"/>
          </w:r>
          <w:r>
            <w:rPr>
              <w:color w:val="auto"/>
              <w:sz w:val="32"/>
              <w:szCs w:val="32"/>
            </w:rPr>
            <w:instrText xml:space="preserve"> HYPERLINK \l _Toc4077 </w:instrText>
          </w:r>
          <w:r>
            <w:rPr>
              <w:color w:val="auto"/>
              <w:sz w:val="32"/>
              <w:szCs w:val="32"/>
            </w:rPr>
            <w:fldChar w:fldCharType="separate"/>
          </w:r>
          <w:r>
            <w:rPr>
              <w:rFonts w:hint="eastAsia" w:ascii="黑体" w:hAnsi="黑体" w:eastAsia="黑体" w:cs="黑体"/>
              <w:color w:val="auto"/>
              <w:sz w:val="32"/>
              <w:szCs w:val="32"/>
            </w:rPr>
            <w:t>一、基本情况</w:t>
          </w:r>
          <w:r>
            <w:rPr>
              <w:color w:val="auto"/>
              <w:sz w:val="32"/>
              <w:szCs w:val="32"/>
            </w:rPr>
            <w:tab/>
          </w:r>
          <w:r>
            <w:rPr>
              <w:color w:val="auto"/>
              <w:sz w:val="32"/>
              <w:szCs w:val="32"/>
            </w:rPr>
            <w:fldChar w:fldCharType="begin"/>
          </w:r>
          <w:r>
            <w:rPr>
              <w:color w:val="auto"/>
              <w:sz w:val="32"/>
              <w:szCs w:val="32"/>
            </w:rPr>
            <w:instrText xml:space="preserve"> PAGEREF _Toc4077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w:t>
          </w:r>
          <w:r>
            <w:rPr>
              <w:color w:val="auto"/>
              <w:sz w:val="32"/>
              <w:szCs w:val="32"/>
            </w:rPr>
            <w:t xml:space="preserve"> -</w:t>
          </w:r>
          <w:r>
            <w:rPr>
              <w:color w:val="auto"/>
              <w:sz w:val="32"/>
              <w:szCs w:val="32"/>
            </w:rPr>
            <w:fldChar w:fldCharType="end"/>
          </w:r>
          <w:r>
            <w:rPr>
              <w:color w:val="auto"/>
              <w:sz w:val="32"/>
              <w:szCs w:val="32"/>
            </w:rPr>
            <w:fldChar w:fldCharType="end"/>
          </w:r>
        </w:p>
        <w:p w14:paraId="2DDABF7F">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_Toc17255 </w:instrText>
          </w:r>
          <w:r>
            <w:rPr>
              <w:color w:val="auto"/>
              <w:sz w:val="32"/>
              <w:szCs w:val="32"/>
            </w:rPr>
            <w:fldChar w:fldCharType="separate"/>
          </w:r>
          <w:r>
            <w:rPr>
              <w:rFonts w:hint="eastAsia" w:ascii="Times New Roman" w:hAnsi="Times New Roman" w:eastAsia="楷体_GB2312" w:cs="仿宋"/>
              <w:bCs/>
              <w:color w:val="auto"/>
              <w:kern w:val="0"/>
              <w:sz w:val="32"/>
              <w:szCs w:val="32"/>
            </w:rPr>
            <w:t>（</w:t>
          </w:r>
          <w:r>
            <w:rPr>
              <w:rFonts w:hint="eastAsia" w:ascii="Times New Roman" w:hAnsi="Times New Roman" w:eastAsia="楷体_GB2312" w:cs="仿宋"/>
              <w:bCs/>
              <w:color w:val="auto"/>
              <w:kern w:val="0"/>
              <w:sz w:val="32"/>
              <w:szCs w:val="32"/>
              <w:lang w:eastAsia="zh-CN"/>
            </w:rPr>
            <w:t>一</w:t>
          </w:r>
          <w:r>
            <w:rPr>
              <w:rFonts w:hint="eastAsia" w:ascii="Times New Roman" w:hAnsi="Times New Roman" w:eastAsia="楷体_GB2312" w:cs="仿宋"/>
              <w:bCs/>
              <w:color w:val="auto"/>
              <w:kern w:val="0"/>
              <w:sz w:val="32"/>
              <w:szCs w:val="32"/>
            </w:rPr>
            <w:t>）</w:t>
          </w:r>
          <w:r>
            <w:rPr>
              <w:rFonts w:hint="eastAsia" w:ascii="楷体_GB2312" w:hAnsi="楷体_GB2312" w:eastAsia="楷体_GB2312" w:cs="楷体_GB2312"/>
              <w:bCs/>
              <w:color w:val="auto"/>
              <w:sz w:val="32"/>
              <w:szCs w:val="32"/>
              <w:lang w:bidi="ar"/>
            </w:rPr>
            <w:t>资金安排情况</w:t>
          </w:r>
          <w:r>
            <w:rPr>
              <w:color w:val="auto"/>
              <w:sz w:val="32"/>
              <w:szCs w:val="32"/>
            </w:rPr>
            <w:tab/>
          </w:r>
          <w:r>
            <w:rPr>
              <w:color w:val="auto"/>
              <w:sz w:val="32"/>
              <w:szCs w:val="32"/>
            </w:rPr>
            <w:fldChar w:fldCharType="begin"/>
          </w:r>
          <w:r>
            <w:rPr>
              <w:color w:val="auto"/>
              <w:sz w:val="32"/>
              <w:szCs w:val="32"/>
            </w:rPr>
            <w:instrText xml:space="preserve"> PAGEREF _Toc17255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w:t>
          </w:r>
          <w:r>
            <w:rPr>
              <w:color w:val="auto"/>
              <w:sz w:val="32"/>
              <w:szCs w:val="32"/>
            </w:rPr>
            <w:t xml:space="preserve"> -</w:t>
          </w:r>
          <w:r>
            <w:rPr>
              <w:color w:val="auto"/>
              <w:sz w:val="32"/>
              <w:szCs w:val="32"/>
            </w:rPr>
            <w:fldChar w:fldCharType="end"/>
          </w:r>
          <w:r>
            <w:rPr>
              <w:color w:val="auto"/>
              <w:sz w:val="32"/>
              <w:szCs w:val="32"/>
            </w:rPr>
            <w:fldChar w:fldCharType="end"/>
          </w:r>
        </w:p>
        <w:p w14:paraId="20EC3D6B">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_Toc7675 </w:instrText>
          </w:r>
          <w:r>
            <w:rPr>
              <w:color w:val="auto"/>
              <w:sz w:val="32"/>
              <w:szCs w:val="32"/>
            </w:rPr>
            <w:fldChar w:fldCharType="separate"/>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二</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资金分配方式</w:t>
          </w:r>
          <w:r>
            <w:rPr>
              <w:color w:val="auto"/>
              <w:sz w:val="32"/>
              <w:szCs w:val="32"/>
            </w:rPr>
            <w:tab/>
          </w:r>
          <w:r>
            <w:rPr>
              <w:color w:val="auto"/>
              <w:sz w:val="32"/>
              <w:szCs w:val="32"/>
            </w:rPr>
            <w:fldChar w:fldCharType="begin"/>
          </w:r>
          <w:r>
            <w:rPr>
              <w:color w:val="auto"/>
              <w:sz w:val="32"/>
              <w:szCs w:val="32"/>
            </w:rPr>
            <w:instrText xml:space="preserve"> PAGEREF _Toc7675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2</w:t>
          </w:r>
          <w:r>
            <w:rPr>
              <w:color w:val="auto"/>
              <w:sz w:val="32"/>
              <w:szCs w:val="32"/>
            </w:rPr>
            <w:t xml:space="preserve"> -</w:t>
          </w:r>
          <w:r>
            <w:rPr>
              <w:color w:val="auto"/>
              <w:sz w:val="32"/>
              <w:szCs w:val="32"/>
            </w:rPr>
            <w:fldChar w:fldCharType="end"/>
          </w:r>
          <w:r>
            <w:rPr>
              <w:color w:val="auto"/>
              <w:sz w:val="32"/>
              <w:szCs w:val="32"/>
            </w:rPr>
            <w:fldChar w:fldCharType="end"/>
          </w:r>
        </w:p>
        <w:p w14:paraId="7E2A4430">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_Toc20139 </w:instrText>
          </w:r>
          <w:r>
            <w:rPr>
              <w:color w:val="auto"/>
              <w:sz w:val="32"/>
              <w:szCs w:val="32"/>
            </w:rPr>
            <w:fldChar w:fldCharType="separate"/>
          </w:r>
          <w:r>
            <w:rPr>
              <w:rFonts w:hint="eastAsia" w:ascii="Times New Roman" w:hAnsi="Times New Roman" w:eastAsia="楷体_GB2312" w:cs="仿宋"/>
              <w:bCs/>
              <w:color w:val="auto"/>
              <w:sz w:val="32"/>
              <w:szCs w:val="32"/>
            </w:rPr>
            <w:t xml:space="preserve">（二） </w:t>
          </w:r>
          <w:r>
            <w:rPr>
              <w:rFonts w:hint="eastAsia" w:ascii="Times New Roman" w:hAnsi="Times New Roman" w:eastAsia="楷体_GB2312" w:cs="仿宋"/>
              <w:bCs/>
              <w:color w:val="auto"/>
              <w:sz w:val="32"/>
              <w:szCs w:val="32"/>
              <w:highlight w:val="none"/>
            </w:rPr>
            <w:t>资金主要用途</w:t>
          </w:r>
          <w:r>
            <w:rPr>
              <w:color w:val="auto"/>
              <w:sz w:val="32"/>
              <w:szCs w:val="32"/>
            </w:rPr>
            <w:tab/>
          </w:r>
          <w:r>
            <w:rPr>
              <w:color w:val="auto"/>
              <w:sz w:val="32"/>
              <w:szCs w:val="32"/>
            </w:rPr>
            <w:fldChar w:fldCharType="begin"/>
          </w:r>
          <w:r>
            <w:rPr>
              <w:color w:val="auto"/>
              <w:sz w:val="32"/>
              <w:szCs w:val="32"/>
            </w:rPr>
            <w:instrText xml:space="preserve"> PAGEREF _Toc20139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4</w:t>
          </w:r>
          <w:r>
            <w:rPr>
              <w:color w:val="auto"/>
              <w:sz w:val="32"/>
              <w:szCs w:val="32"/>
            </w:rPr>
            <w:t xml:space="preserve"> -</w:t>
          </w:r>
          <w:r>
            <w:rPr>
              <w:color w:val="auto"/>
              <w:sz w:val="32"/>
              <w:szCs w:val="32"/>
            </w:rPr>
            <w:fldChar w:fldCharType="end"/>
          </w:r>
          <w:r>
            <w:rPr>
              <w:color w:val="auto"/>
              <w:sz w:val="32"/>
              <w:szCs w:val="32"/>
            </w:rPr>
            <w:fldChar w:fldCharType="end"/>
          </w:r>
        </w:p>
        <w:p w14:paraId="1A5ED2A0">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_Toc23811 </w:instrText>
          </w:r>
          <w:r>
            <w:rPr>
              <w:color w:val="auto"/>
              <w:sz w:val="32"/>
              <w:szCs w:val="32"/>
            </w:rPr>
            <w:fldChar w:fldCharType="separate"/>
          </w:r>
          <w:r>
            <w:rPr>
              <w:rFonts w:hint="eastAsia" w:ascii="Times New Roman" w:hAnsi="Times New Roman" w:eastAsia="楷体_GB2312" w:cs="仿宋"/>
              <w:bCs/>
              <w:color w:val="auto"/>
              <w:sz w:val="32"/>
              <w:szCs w:val="32"/>
              <w:highlight w:val="none"/>
            </w:rPr>
            <w:t>（</w:t>
          </w:r>
          <w:r>
            <w:rPr>
              <w:rFonts w:hint="eastAsia" w:ascii="Times New Roman" w:hAnsi="Times New Roman" w:eastAsia="楷体_GB2312" w:cs="仿宋"/>
              <w:bCs/>
              <w:color w:val="auto"/>
              <w:sz w:val="32"/>
              <w:szCs w:val="32"/>
              <w:highlight w:val="none"/>
              <w:lang w:val="en-US" w:eastAsia="zh-CN"/>
            </w:rPr>
            <w:t>四</w:t>
          </w:r>
          <w:r>
            <w:rPr>
              <w:rFonts w:hint="eastAsia" w:ascii="Times New Roman" w:hAnsi="Times New Roman" w:eastAsia="楷体_GB2312" w:cs="仿宋"/>
              <w:bCs/>
              <w:color w:val="auto"/>
              <w:sz w:val="32"/>
              <w:szCs w:val="32"/>
              <w:highlight w:val="none"/>
            </w:rPr>
            <w:t>）绩效目标</w:t>
          </w:r>
          <w:r>
            <w:rPr>
              <w:color w:val="auto"/>
              <w:sz w:val="32"/>
              <w:szCs w:val="32"/>
            </w:rPr>
            <w:tab/>
          </w:r>
          <w:r>
            <w:rPr>
              <w:color w:val="auto"/>
              <w:sz w:val="32"/>
              <w:szCs w:val="32"/>
            </w:rPr>
            <w:fldChar w:fldCharType="begin"/>
          </w:r>
          <w:r>
            <w:rPr>
              <w:color w:val="auto"/>
              <w:sz w:val="32"/>
              <w:szCs w:val="32"/>
            </w:rPr>
            <w:instrText xml:space="preserve"> PAGEREF _Toc23811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4</w:t>
          </w:r>
          <w:r>
            <w:rPr>
              <w:color w:val="auto"/>
              <w:sz w:val="32"/>
              <w:szCs w:val="32"/>
            </w:rPr>
            <w:t xml:space="preserve"> -</w:t>
          </w:r>
          <w:r>
            <w:rPr>
              <w:color w:val="auto"/>
              <w:sz w:val="32"/>
              <w:szCs w:val="32"/>
            </w:rPr>
            <w:fldChar w:fldCharType="end"/>
          </w:r>
          <w:r>
            <w:rPr>
              <w:color w:val="auto"/>
              <w:sz w:val="32"/>
              <w:szCs w:val="32"/>
            </w:rPr>
            <w:fldChar w:fldCharType="end"/>
          </w:r>
        </w:p>
        <w:p w14:paraId="11F5C7F4">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_Toc27566 </w:instrText>
          </w:r>
          <w:r>
            <w:rPr>
              <w:color w:val="auto"/>
              <w:sz w:val="32"/>
              <w:szCs w:val="32"/>
            </w:rPr>
            <w:fldChar w:fldCharType="separate"/>
          </w:r>
          <w:r>
            <w:rPr>
              <w:rFonts w:hint="eastAsia" w:eastAsia="黑体"/>
              <w:color w:val="auto"/>
              <w:kern w:val="0"/>
              <w:sz w:val="32"/>
              <w:szCs w:val="32"/>
              <w:lang w:val="en-US" w:eastAsia="zh-CN"/>
            </w:rPr>
            <w:t xml:space="preserve">二、 </w:t>
          </w:r>
          <w:r>
            <w:rPr>
              <w:rFonts w:hint="eastAsia" w:eastAsia="黑体"/>
              <w:color w:val="auto"/>
              <w:kern w:val="0"/>
              <w:sz w:val="32"/>
              <w:szCs w:val="32"/>
              <w:highlight w:val="none"/>
            </w:rPr>
            <w:t>自评</w:t>
          </w:r>
          <w:r>
            <w:rPr>
              <w:rFonts w:hint="eastAsia" w:eastAsia="黑体"/>
              <w:color w:val="auto"/>
              <w:kern w:val="0"/>
              <w:sz w:val="32"/>
              <w:szCs w:val="32"/>
              <w:highlight w:val="none"/>
              <w:lang w:val="en-US" w:eastAsia="zh-CN"/>
            </w:rPr>
            <w:t>情况</w:t>
          </w:r>
          <w:r>
            <w:rPr>
              <w:color w:val="auto"/>
              <w:sz w:val="32"/>
              <w:szCs w:val="32"/>
            </w:rPr>
            <w:tab/>
          </w:r>
          <w:r>
            <w:rPr>
              <w:color w:val="auto"/>
              <w:sz w:val="32"/>
              <w:szCs w:val="32"/>
            </w:rPr>
            <w:fldChar w:fldCharType="begin"/>
          </w:r>
          <w:r>
            <w:rPr>
              <w:color w:val="auto"/>
              <w:sz w:val="32"/>
              <w:szCs w:val="32"/>
            </w:rPr>
            <w:instrText xml:space="preserve"> PAGEREF _Toc27566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5</w:t>
          </w:r>
          <w:r>
            <w:rPr>
              <w:color w:val="auto"/>
              <w:sz w:val="32"/>
              <w:szCs w:val="32"/>
            </w:rPr>
            <w:t xml:space="preserve"> -</w:t>
          </w:r>
          <w:r>
            <w:rPr>
              <w:color w:val="auto"/>
              <w:sz w:val="32"/>
              <w:szCs w:val="32"/>
            </w:rPr>
            <w:fldChar w:fldCharType="end"/>
          </w:r>
          <w:r>
            <w:rPr>
              <w:color w:val="auto"/>
              <w:sz w:val="32"/>
              <w:szCs w:val="32"/>
            </w:rPr>
            <w:fldChar w:fldCharType="end"/>
          </w:r>
        </w:p>
        <w:p w14:paraId="6CBC0F7E">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_Toc456 </w:instrText>
          </w:r>
          <w:r>
            <w:rPr>
              <w:color w:val="auto"/>
              <w:sz w:val="32"/>
              <w:szCs w:val="32"/>
            </w:rPr>
            <w:fldChar w:fldCharType="separate"/>
          </w:r>
          <w:r>
            <w:rPr>
              <w:rFonts w:hint="eastAsia" w:ascii="楷体_GB2312" w:hAnsi="楷体_GB2312" w:eastAsia="楷体_GB2312" w:cs="楷体_GB2312"/>
              <w:bCs/>
              <w:color w:val="auto"/>
              <w:kern w:val="0"/>
              <w:sz w:val="32"/>
              <w:szCs w:val="32"/>
              <w:highlight w:val="none"/>
              <w:lang w:val="en-US" w:eastAsia="zh-CN"/>
            </w:rPr>
            <w:t>（一）自评结论</w:t>
          </w:r>
          <w:r>
            <w:rPr>
              <w:color w:val="auto"/>
              <w:sz w:val="32"/>
              <w:szCs w:val="32"/>
            </w:rPr>
            <w:tab/>
          </w:r>
          <w:r>
            <w:rPr>
              <w:color w:val="auto"/>
              <w:sz w:val="32"/>
              <w:szCs w:val="32"/>
            </w:rPr>
            <w:fldChar w:fldCharType="begin"/>
          </w:r>
          <w:r>
            <w:rPr>
              <w:color w:val="auto"/>
              <w:sz w:val="32"/>
              <w:szCs w:val="32"/>
            </w:rPr>
            <w:instrText xml:space="preserve"> PAGEREF _Toc456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5</w:t>
          </w:r>
          <w:r>
            <w:rPr>
              <w:color w:val="auto"/>
              <w:sz w:val="32"/>
              <w:szCs w:val="32"/>
            </w:rPr>
            <w:t xml:space="preserve"> -</w:t>
          </w:r>
          <w:r>
            <w:rPr>
              <w:color w:val="auto"/>
              <w:sz w:val="32"/>
              <w:szCs w:val="32"/>
            </w:rPr>
            <w:fldChar w:fldCharType="end"/>
          </w:r>
          <w:r>
            <w:rPr>
              <w:color w:val="auto"/>
              <w:sz w:val="32"/>
              <w:szCs w:val="32"/>
            </w:rPr>
            <w:fldChar w:fldCharType="end"/>
          </w:r>
        </w:p>
        <w:p w14:paraId="0C5D37D2">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_Toc27548 </w:instrText>
          </w:r>
          <w:r>
            <w:rPr>
              <w:color w:val="auto"/>
              <w:sz w:val="32"/>
              <w:szCs w:val="32"/>
            </w:rPr>
            <w:fldChar w:fldCharType="separate"/>
          </w:r>
          <w:r>
            <w:rPr>
              <w:rFonts w:hint="eastAsia" w:ascii="楷体_GB2312" w:hAnsi="楷体_GB2312" w:eastAsia="楷体_GB2312" w:cs="楷体_GB2312"/>
              <w:color w:val="auto"/>
              <w:sz w:val="32"/>
              <w:szCs w:val="32"/>
            </w:rPr>
            <w:t>（二）专项资金使用绩效</w:t>
          </w:r>
          <w:r>
            <w:rPr>
              <w:color w:val="auto"/>
              <w:sz w:val="32"/>
              <w:szCs w:val="32"/>
            </w:rPr>
            <w:tab/>
          </w:r>
          <w:r>
            <w:rPr>
              <w:color w:val="auto"/>
              <w:sz w:val="32"/>
              <w:szCs w:val="32"/>
            </w:rPr>
            <w:fldChar w:fldCharType="begin"/>
          </w:r>
          <w:r>
            <w:rPr>
              <w:color w:val="auto"/>
              <w:sz w:val="32"/>
              <w:szCs w:val="32"/>
            </w:rPr>
            <w:instrText xml:space="preserve"> PAGEREF _Toc27548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10</w:t>
          </w:r>
          <w:r>
            <w:rPr>
              <w:color w:val="auto"/>
              <w:sz w:val="32"/>
              <w:szCs w:val="32"/>
            </w:rPr>
            <w:t xml:space="preserve"> -</w:t>
          </w:r>
          <w:r>
            <w:rPr>
              <w:color w:val="auto"/>
              <w:sz w:val="32"/>
              <w:szCs w:val="32"/>
            </w:rPr>
            <w:fldChar w:fldCharType="end"/>
          </w:r>
          <w:r>
            <w:rPr>
              <w:color w:val="auto"/>
              <w:sz w:val="32"/>
              <w:szCs w:val="32"/>
            </w:rPr>
            <w:fldChar w:fldCharType="end"/>
          </w:r>
        </w:p>
        <w:p w14:paraId="4D229B68">
          <w:pPr>
            <w:pStyle w:val="16"/>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_Toc4711 </w:instrText>
          </w:r>
          <w:r>
            <w:rPr>
              <w:color w:val="auto"/>
              <w:sz w:val="32"/>
              <w:szCs w:val="32"/>
            </w:rPr>
            <w:fldChar w:fldCharType="separate"/>
          </w:r>
          <w:r>
            <w:rPr>
              <w:rFonts w:hint="eastAsia" w:ascii="楷体_GB2312" w:hAnsi="楷体_GB2312" w:eastAsia="楷体_GB2312" w:cs="楷体_GB2312"/>
              <w:color w:val="auto"/>
              <w:sz w:val="32"/>
              <w:szCs w:val="32"/>
            </w:rPr>
            <w:t>（三）专项资金使用绩效存在的问题</w:t>
          </w:r>
          <w:r>
            <w:rPr>
              <w:color w:val="auto"/>
              <w:sz w:val="32"/>
              <w:szCs w:val="32"/>
            </w:rPr>
            <w:tab/>
          </w:r>
          <w:r>
            <w:rPr>
              <w:color w:val="auto"/>
              <w:sz w:val="32"/>
              <w:szCs w:val="32"/>
            </w:rPr>
            <w:fldChar w:fldCharType="begin"/>
          </w:r>
          <w:r>
            <w:rPr>
              <w:color w:val="auto"/>
              <w:sz w:val="32"/>
              <w:szCs w:val="32"/>
            </w:rPr>
            <w:instrText xml:space="preserve"> PAGEREF _Toc4711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14</w:t>
          </w:r>
          <w:r>
            <w:rPr>
              <w:color w:val="auto"/>
              <w:sz w:val="32"/>
              <w:szCs w:val="32"/>
            </w:rPr>
            <w:t xml:space="preserve"> -</w:t>
          </w:r>
          <w:r>
            <w:rPr>
              <w:color w:val="auto"/>
              <w:sz w:val="32"/>
              <w:szCs w:val="32"/>
            </w:rPr>
            <w:fldChar w:fldCharType="end"/>
          </w:r>
          <w:r>
            <w:rPr>
              <w:color w:val="auto"/>
              <w:sz w:val="32"/>
              <w:szCs w:val="32"/>
            </w:rPr>
            <w:fldChar w:fldCharType="end"/>
          </w:r>
        </w:p>
        <w:p w14:paraId="66F2C03C">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_Toc30493 </w:instrText>
          </w:r>
          <w:r>
            <w:rPr>
              <w:color w:val="auto"/>
              <w:sz w:val="32"/>
              <w:szCs w:val="32"/>
            </w:rPr>
            <w:fldChar w:fldCharType="separate"/>
          </w:r>
          <w:r>
            <w:rPr>
              <w:rFonts w:hint="eastAsia" w:ascii="黑体" w:eastAsia="黑体"/>
              <w:color w:val="auto"/>
              <w:sz w:val="32"/>
              <w:szCs w:val="32"/>
            </w:rPr>
            <w:t>三、改进意见</w:t>
          </w:r>
          <w:r>
            <w:rPr>
              <w:color w:val="auto"/>
              <w:sz w:val="32"/>
              <w:szCs w:val="32"/>
            </w:rPr>
            <w:tab/>
          </w:r>
          <w:r>
            <w:rPr>
              <w:color w:val="auto"/>
              <w:sz w:val="32"/>
              <w:szCs w:val="32"/>
            </w:rPr>
            <w:fldChar w:fldCharType="begin"/>
          </w:r>
          <w:r>
            <w:rPr>
              <w:color w:val="auto"/>
              <w:sz w:val="32"/>
              <w:szCs w:val="32"/>
            </w:rPr>
            <w:instrText xml:space="preserve"> PAGEREF _Toc30493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15</w:t>
          </w:r>
          <w:r>
            <w:rPr>
              <w:color w:val="auto"/>
              <w:sz w:val="32"/>
              <w:szCs w:val="32"/>
            </w:rPr>
            <w:t xml:space="preserve"> -</w:t>
          </w:r>
          <w:r>
            <w:rPr>
              <w:color w:val="auto"/>
              <w:sz w:val="32"/>
              <w:szCs w:val="32"/>
            </w:rPr>
            <w:fldChar w:fldCharType="end"/>
          </w:r>
          <w:r>
            <w:rPr>
              <w:color w:val="auto"/>
              <w:sz w:val="32"/>
              <w:szCs w:val="32"/>
            </w:rPr>
            <w:fldChar w:fldCharType="end"/>
          </w:r>
        </w:p>
        <w:p w14:paraId="16442CE9">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_Toc27627 </w:instrText>
          </w:r>
          <w:r>
            <w:rPr>
              <w:color w:val="auto"/>
              <w:sz w:val="32"/>
              <w:szCs w:val="32"/>
            </w:rPr>
            <w:fldChar w:fldCharType="separate"/>
          </w:r>
          <w:r>
            <w:rPr>
              <w:rFonts w:hint="eastAsia" w:ascii="仿宋_GB2312" w:hAnsi="仿宋_GB2312" w:eastAsia="仿宋_GB2312" w:cs="仿宋_GB2312"/>
              <w:color w:val="auto"/>
              <w:sz w:val="32"/>
              <w:szCs w:val="32"/>
              <w:highlight w:val="none"/>
            </w:rPr>
            <w:t>附件</w:t>
          </w:r>
          <w:r>
            <w:rPr>
              <w:rFonts w:hint="default" w:ascii="Times New Roman" w:hAnsi="Times New Roman" w:eastAsia="仿宋_GB2312" w:cs="Times New Roman"/>
              <w:color w:val="auto"/>
              <w:kern w:val="0"/>
              <w:sz w:val="32"/>
              <w:szCs w:val="32"/>
              <w:highlight w:val="none"/>
              <w:lang w:val="en-US" w:eastAsia="zh-CN"/>
            </w:rPr>
            <w:t>1</w:t>
          </w:r>
          <w:r>
            <w:rPr>
              <w:color w:val="auto"/>
              <w:sz w:val="32"/>
              <w:szCs w:val="32"/>
            </w:rPr>
            <w:tab/>
          </w:r>
          <w:r>
            <w:rPr>
              <w:color w:val="auto"/>
              <w:sz w:val="32"/>
              <w:szCs w:val="32"/>
            </w:rPr>
            <w:fldChar w:fldCharType="begin"/>
          </w:r>
          <w:r>
            <w:rPr>
              <w:color w:val="auto"/>
              <w:sz w:val="32"/>
              <w:szCs w:val="32"/>
            </w:rPr>
            <w:instrText xml:space="preserve"> PAGEREF _Toc27627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18</w:t>
          </w:r>
          <w:r>
            <w:rPr>
              <w:color w:val="auto"/>
              <w:sz w:val="32"/>
              <w:szCs w:val="32"/>
            </w:rPr>
            <w:t xml:space="preserve"> -</w:t>
          </w:r>
          <w:r>
            <w:rPr>
              <w:color w:val="auto"/>
              <w:sz w:val="32"/>
              <w:szCs w:val="32"/>
            </w:rPr>
            <w:fldChar w:fldCharType="end"/>
          </w:r>
          <w:r>
            <w:rPr>
              <w:color w:val="auto"/>
              <w:sz w:val="32"/>
              <w:szCs w:val="32"/>
            </w:rPr>
            <w:fldChar w:fldCharType="end"/>
          </w:r>
        </w:p>
        <w:p w14:paraId="29BE4F8D">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_Toc23075 </w:instrText>
          </w:r>
          <w:r>
            <w:rPr>
              <w:color w:val="auto"/>
              <w:sz w:val="32"/>
              <w:szCs w:val="32"/>
            </w:rPr>
            <w:fldChar w:fldCharType="separate"/>
          </w:r>
          <w:r>
            <w:rPr>
              <w:rFonts w:hint="eastAsia"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2</w:t>
          </w:r>
          <w:r>
            <w:rPr>
              <w:color w:val="auto"/>
              <w:sz w:val="32"/>
              <w:szCs w:val="32"/>
            </w:rPr>
            <w:tab/>
          </w:r>
          <w:r>
            <w:rPr>
              <w:color w:val="auto"/>
              <w:sz w:val="32"/>
              <w:szCs w:val="32"/>
            </w:rPr>
            <w:fldChar w:fldCharType="begin"/>
          </w:r>
          <w:r>
            <w:rPr>
              <w:color w:val="auto"/>
              <w:sz w:val="32"/>
              <w:szCs w:val="32"/>
            </w:rPr>
            <w:instrText xml:space="preserve"> PAGEREF _Toc23075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20</w:t>
          </w:r>
          <w:r>
            <w:rPr>
              <w:color w:val="auto"/>
              <w:sz w:val="32"/>
              <w:szCs w:val="32"/>
            </w:rPr>
            <w:t xml:space="preserve"> -</w:t>
          </w:r>
          <w:r>
            <w:rPr>
              <w:color w:val="auto"/>
              <w:sz w:val="32"/>
              <w:szCs w:val="32"/>
            </w:rPr>
            <w:fldChar w:fldCharType="end"/>
          </w:r>
          <w:r>
            <w:rPr>
              <w:color w:val="auto"/>
              <w:sz w:val="32"/>
              <w:szCs w:val="32"/>
            </w:rPr>
            <w:fldChar w:fldCharType="end"/>
          </w:r>
        </w:p>
        <w:p w14:paraId="1175DFA2">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_Toc18750 </w:instrText>
          </w:r>
          <w:r>
            <w:rPr>
              <w:color w:val="auto"/>
              <w:sz w:val="32"/>
              <w:szCs w:val="32"/>
            </w:rPr>
            <w:fldChar w:fldCharType="separate"/>
          </w:r>
          <w:r>
            <w:rPr>
              <w:rFonts w:hint="eastAsia" w:ascii="Times New Roman" w:hAnsi="Times New Roman" w:eastAsia="仿宋_GB2312" w:cs="Times New Roman"/>
              <w:color w:val="auto"/>
              <w:kern w:val="0"/>
              <w:sz w:val="32"/>
              <w:szCs w:val="32"/>
              <w:highlight w:val="none"/>
              <w:lang w:val="en-US" w:eastAsia="zh-CN"/>
            </w:rPr>
            <w:t>附件</w:t>
          </w: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w:t>
          </w:r>
          <w:r>
            <w:rPr>
              <w:color w:val="auto"/>
              <w:sz w:val="32"/>
              <w:szCs w:val="32"/>
            </w:rPr>
            <w:tab/>
          </w:r>
          <w:r>
            <w:rPr>
              <w:color w:val="auto"/>
              <w:sz w:val="32"/>
              <w:szCs w:val="32"/>
            </w:rPr>
            <w:fldChar w:fldCharType="begin"/>
          </w:r>
          <w:r>
            <w:rPr>
              <w:color w:val="auto"/>
              <w:sz w:val="32"/>
              <w:szCs w:val="32"/>
            </w:rPr>
            <w:instrText xml:space="preserve"> PAGEREF _Toc18750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22</w:t>
          </w:r>
          <w:r>
            <w:rPr>
              <w:color w:val="auto"/>
              <w:sz w:val="32"/>
              <w:szCs w:val="32"/>
            </w:rPr>
            <w:t xml:space="preserve"> -</w:t>
          </w:r>
          <w:r>
            <w:rPr>
              <w:color w:val="auto"/>
              <w:sz w:val="32"/>
              <w:szCs w:val="32"/>
            </w:rPr>
            <w:fldChar w:fldCharType="end"/>
          </w:r>
          <w:r>
            <w:rPr>
              <w:color w:val="auto"/>
              <w:sz w:val="32"/>
              <w:szCs w:val="32"/>
            </w:rPr>
            <w:fldChar w:fldCharType="end"/>
          </w:r>
        </w:p>
        <w:p w14:paraId="1325BB0C">
          <w:pPr>
            <w:pStyle w:val="13"/>
            <w:tabs>
              <w:tab w:val="right" w:leader="dot" w:pos="8306"/>
            </w:tabs>
            <w:rPr>
              <w:color w:val="auto"/>
              <w:sz w:val="32"/>
              <w:szCs w:val="32"/>
            </w:rPr>
          </w:pPr>
          <w:r>
            <w:rPr>
              <w:color w:val="auto"/>
              <w:sz w:val="32"/>
              <w:szCs w:val="32"/>
            </w:rPr>
            <w:fldChar w:fldCharType="begin"/>
          </w:r>
          <w:r>
            <w:rPr>
              <w:color w:val="auto"/>
              <w:sz w:val="32"/>
              <w:szCs w:val="32"/>
            </w:rPr>
            <w:instrText xml:space="preserve"> HYPERLINK \l _Toc12180 </w:instrText>
          </w:r>
          <w:r>
            <w:rPr>
              <w:color w:val="auto"/>
              <w:sz w:val="32"/>
              <w:szCs w:val="32"/>
            </w:rPr>
            <w:fldChar w:fldCharType="separate"/>
          </w:r>
          <w:r>
            <w:rPr>
              <w:rFonts w:hint="eastAsia" w:ascii="Times New Roman" w:hAnsi="Times New Roman" w:eastAsia="仿宋_GB2312" w:cs="Times New Roman"/>
              <w:color w:val="auto"/>
              <w:kern w:val="0"/>
              <w:sz w:val="32"/>
              <w:szCs w:val="32"/>
              <w:highlight w:val="none"/>
              <w:lang w:val="en-US" w:eastAsia="zh-CN"/>
            </w:rPr>
            <w:t>附件</w:t>
          </w: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w:t>
          </w:r>
          <w:r>
            <w:rPr>
              <w:color w:val="auto"/>
              <w:sz w:val="32"/>
              <w:szCs w:val="32"/>
            </w:rPr>
            <w:tab/>
          </w:r>
          <w:r>
            <w:rPr>
              <w:color w:val="auto"/>
              <w:sz w:val="32"/>
              <w:szCs w:val="32"/>
            </w:rPr>
            <w:fldChar w:fldCharType="begin"/>
          </w:r>
          <w:r>
            <w:rPr>
              <w:color w:val="auto"/>
              <w:sz w:val="32"/>
              <w:szCs w:val="32"/>
            </w:rPr>
            <w:instrText xml:space="preserve"> PAGEREF _Toc12180 \h </w:instrText>
          </w:r>
          <w:r>
            <w:rPr>
              <w:color w:val="auto"/>
              <w:sz w:val="32"/>
              <w:szCs w:val="32"/>
            </w:rPr>
            <w:fldChar w:fldCharType="separate"/>
          </w:r>
          <w:r>
            <w:rPr>
              <w:color w:val="auto"/>
              <w:sz w:val="32"/>
              <w:szCs w:val="32"/>
            </w:rPr>
            <w:t xml:space="preserve">- </w:t>
          </w:r>
          <w:r>
            <w:rPr>
              <w:rFonts w:hint="default" w:ascii="Times New Roman" w:hAnsi="Times New Roman" w:cs="Times New Roman"/>
              <w:color w:val="auto"/>
              <w:sz w:val="32"/>
              <w:szCs w:val="32"/>
            </w:rPr>
            <w:t>24</w:t>
          </w:r>
          <w:r>
            <w:rPr>
              <w:color w:val="auto"/>
              <w:sz w:val="32"/>
              <w:szCs w:val="32"/>
            </w:rPr>
            <w:t xml:space="preserve"> -</w:t>
          </w:r>
          <w:r>
            <w:rPr>
              <w:color w:val="auto"/>
              <w:sz w:val="32"/>
              <w:szCs w:val="32"/>
            </w:rPr>
            <w:fldChar w:fldCharType="end"/>
          </w:r>
          <w:r>
            <w:rPr>
              <w:color w:val="auto"/>
              <w:sz w:val="32"/>
              <w:szCs w:val="32"/>
            </w:rPr>
            <w:fldChar w:fldCharType="end"/>
          </w:r>
        </w:p>
        <w:p w14:paraId="1327DFE6">
          <w:pPr>
            <w:rPr>
              <w:rFonts w:asciiTheme="minorHAnsi" w:hAnsiTheme="minorHAnsi" w:eastAsiaTheme="minorEastAsia" w:cstheme="minorBidi"/>
              <w:color w:val="auto"/>
              <w:kern w:val="2"/>
              <w:sz w:val="32"/>
              <w:szCs w:val="32"/>
              <w:lang w:val="en-US" w:eastAsia="zh-CN" w:bidi="ar-SA"/>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color w:val="auto"/>
              <w:sz w:val="32"/>
              <w:szCs w:val="32"/>
            </w:rPr>
            <w:fldChar w:fldCharType="end"/>
          </w:r>
        </w:p>
      </w:sdtContent>
    </w:sdt>
    <w:p w14:paraId="20645440">
      <w:pPr>
        <w:pStyle w:val="45"/>
        <w:pageBreakBefore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为检验</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保障性安居工程</w:t>
      </w:r>
      <w:r>
        <w:rPr>
          <w:rFonts w:hint="eastAsia" w:ascii="仿宋_GB2312" w:hAnsi="仿宋_GB2312" w:eastAsia="仿宋_GB2312" w:cs="仿宋_GB2312"/>
          <w:color w:val="auto"/>
          <w:kern w:val="0"/>
          <w:sz w:val="32"/>
          <w:szCs w:val="32"/>
          <w:highlight w:val="none"/>
          <w:lang w:eastAsia="zh-CN"/>
        </w:rPr>
        <w:t>专项资金</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以下简称</w:t>
      </w:r>
      <w:r>
        <w:rPr>
          <w:rFonts w:hint="eastAsia" w:ascii="仿宋_GB2312" w:hAnsi="仿宋_GB2312" w:eastAsia="仿宋_GB2312" w:cs="仿宋_GB2312"/>
          <w:color w:val="auto"/>
          <w:kern w:val="0"/>
          <w:sz w:val="32"/>
          <w:szCs w:val="32"/>
          <w:highlight w:val="none"/>
        </w:rPr>
        <w:t>专项资金）使用效益，考核绩效目标实现程度、支出效率和综合效果，进一步强化绩效管理，根据《广东省财政厅关于开展</w:t>
      </w:r>
      <w:r>
        <w:rPr>
          <w:rFonts w:hint="default" w:ascii="Times New Roman" w:hAnsi="Times New Roman" w:eastAsia="仿宋_GB2312" w:cs="Times New Roman"/>
          <w:color w:val="auto"/>
          <w:kern w:val="0"/>
          <w:sz w:val="32"/>
          <w:szCs w:val="32"/>
          <w:highlight w:val="none"/>
        </w:rPr>
        <w:t>2025</w:t>
      </w:r>
      <w:r>
        <w:rPr>
          <w:rFonts w:hint="eastAsia" w:ascii="仿宋_GB2312" w:hAnsi="仿宋_GB2312" w:eastAsia="仿宋_GB2312" w:cs="仿宋_GB2312"/>
          <w:color w:val="auto"/>
          <w:kern w:val="0"/>
          <w:sz w:val="32"/>
          <w:szCs w:val="32"/>
          <w:highlight w:val="none"/>
        </w:rPr>
        <w:t>年省级财政资金绩效自评工作的通知》</w:t>
      </w:r>
      <w:r>
        <w:rPr>
          <w:rFonts w:hint="eastAsia" w:ascii="仿宋_GB2312" w:hAnsi="仿宋_GB2312" w:eastAsia="仿宋_GB2312" w:cs="仿宋_GB2312"/>
          <w:color w:val="auto"/>
          <w:kern w:val="0"/>
          <w:sz w:val="32"/>
          <w:szCs w:val="32"/>
          <w:highlight w:val="none"/>
          <w:lang w:eastAsia="zh-CN"/>
        </w:rPr>
        <w:t>，我厅对</w:t>
      </w:r>
      <w:r>
        <w:rPr>
          <w:rFonts w:hint="eastAsia" w:ascii="仿宋_GB2312" w:hAnsi="仿宋_GB2312" w:eastAsia="仿宋_GB2312" w:cs="仿宋_GB2312"/>
          <w:color w:val="auto"/>
          <w:kern w:val="0"/>
          <w:sz w:val="32"/>
          <w:szCs w:val="32"/>
          <w:highlight w:val="none"/>
          <w:lang w:val="en-US" w:eastAsia="zh-CN"/>
        </w:rPr>
        <w:t>专项</w:t>
      </w:r>
      <w:r>
        <w:rPr>
          <w:rFonts w:hint="eastAsia" w:ascii="仿宋_GB2312" w:hAnsi="仿宋_GB2312" w:eastAsia="仿宋_GB2312" w:cs="仿宋_GB2312"/>
          <w:color w:val="auto"/>
          <w:kern w:val="0"/>
          <w:sz w:val="32"/>
          <w:szCs w:val="32"/>
        </w:rPr>
        <w:t>资金</w:t>
      </w:r>
      <w:r>
        <w:rPr>
          <w:rFonts w:hint="eastAsia" w:ascii="仿宋_GB2312" w:hAnsi="仿宋_GB2312" w:eastAsia="仿宋_GB2312" w:cs="仿宋_GB2312"/>
          <w:color w:val="auto"/>
          <w:kern w:val="0"/>
          <w:sz w:val="32"/>
          <w:szCs w:val="32"/>
          <w:highlight w:val="none"/>
          <w:lang w:eastAsia="zh-CN"/>
        </w:rPr>
        <w:t>使用情况组织开展了绩效自评。</w:t>
      </w:r>
    </w:p>
    <w:p w14:paraId="2F01B4E2">
      <w:pPr>
        <w:pStyle w:val="45"/>
        <w:pageBreakBefore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评价基准日为</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default" w:ascii="Times New Roman" w:hAnsi="Times New Roman" w:eastAsia="仿宋_GB2312" w:cs="Times New Roman"/>
          <w:color w:val="auto"/>
          <w:kern w:val="0"/>
          <w:sz w:val="32"/>
          <w:szCs w:val="32"/>
          <w:highlight w:val="none"/>
        </w:rPr>
        <w:t>12</w:t>
      </w:r>
      <w:r>
        <w:rPr>
          <w:rFonts w:hint="eastAsia" w:ascii="仿宋_GB2312" w:hAnsi="仿宋_GB2312" w:eastAsia="仿宋_GB2312" w:cs="仿宋_GB2312"/>
          <w:color w:val="auto"/>
          <w:kern w:val="0"/>
          <w:sz w:val="32"/>
          <w:szCs w:val="32"/>
          <w:highlight w:val="none"/>
        </w:rPr>
        <w:t>月</w:t>
      </w:r>
      <w:r>
        <w:rPr>
          <w:rFonts w:hint="default" w:ascii="Times New Roman" w:hAnsi="Times New Roman" w:eastAsia="仿宋_GB2312" w:cs="Times New Roman"/>
          <w:color w:val="auto"/>
          <w:kern w:val="0"/>
          <w:sz w:val="32"/>
          <w:szCs w:val="32"/>
          <w:highlight w:val="none"/>
        </w:rPr>
        <w:t>31</w:t>
      </w:r>
      <w:r>
        <w:rPr>
          <w:rFonts w:hint="eastAsia" w:ascii="仿宋_GB2312" w:hAnsi="仿宋_GB2312" w:eastAsia="仿宋_GB2312" w:cs="仿宋_GB2312"/>
          <w:color w:val="auto"/>
          <w:kern w:val="0"/>
          <w:sz w:val="32"/>
          <w:szCs w:val="32"/>
          <w:highlight w:val="none"/>
        </w:rPr>
        <w:t>日。</w:t>
      </w:r>
    </w:p>
    <w:p w14:paraId="5A32C8B1">
      <w:pPr>
        <w:pageBreakBefore w:val="0"/>
        <w:kinsoku/>
        <w:wordWrap/>
        <w:overflowPunct/>
        <w:topLinePunct w:val="0"/>
        <w:autoSpaceDE/>
        <w:autoSpaceDN/>
        <w:bidi w:val="0"/>
        <w:adjustRightInd w:val="0"/>
        <w:snapToGrid w:val="0"/>
        <w:spacing w:line="360" w:lineRule="auto"/>
        <w:ind w:firstLine="640" w:firstLineChars="200"/>
        <w:textAlignment w:val="auto"/>
        <w:outlineLvl w:val="0"/>
        <w:rPr>
          <w:rFonts w:eastAsia="楷体_GB2312"/>
          <w:b/>
          <w:bCs/>
          <w:color w:val="auto"/>
          <w:sz w:val="32"/>
        </w:rPr>
      </w:pPr>
      <w:bookmarkStart w:id="0" w:name="_Toc20669"/>
      <w:bookmarkStart w:id="1" w:name="_Toc9903"/>
      <w:bookmarkStart w:id="2" w:name="_Toc4077"/>
      <w:r>
        <w:rPr>
          <w:rFonts w:hint="eastAsia" w:ascii="黑体" w:hAnsi="黑体" w:eastAsia="黑体" w:cs="黑体"/>
          <w:color w:val="auto"/>
          <w:sz w:val="32"/>
          <w:szCs w:val="32"/>
        </w:rPr>
        <w:t>一、基本情况</w:t>
      </w:r>
      <w:bookmarkEnd w:id="0"/>
      <w:bookmarkEnd w:id="1"/>
      <w:bookmarkEnd w:id="2"/>
      <w:bookmarkStart w:id="3" w:name="_Toc62248802"/>
    </w:p>
    <w:p w14:paraId="5F55031F">
      <w:pPr>
        <w:widowControl/>
        <w:snapToGrid w:val="0"/>
        <w:spacing w:line="360" w:lineRule="auto"/>
        <w:ind w:firstLine="643" w:firstLineChars="200"/>
        <w:outlineLvl w:val="1"/>
        <w:rPr>
          <w:rFonts w:hint="eastAsia" w:ascii="楷体_GB2312" w:hAnsi="楷体_GB2312" w:eastAsia="楷体_GB2312" w:cs="楷体_GB2312"/>
          <w:b/>
          <w:bCs/>
          <w:color w:val="auto"/>
          <w:sz w:val="32"/>
          <w:szCs w:val="32"/>
          <w:lang w:bidi="ar"/>
        </w:rPr>
      </w:pPr>
      <w:bookmarkStart w:id="4" w:name="_Toc15195"/>
      <w:bookmarkStart w:id="5" w:name="_Toc29650"/>
      <w:bookmarkStart w:id="6" w:name="_Toc512491956"/>
      <w:bookmarkStart w:id="7" w:name="_Toc14529"/>
      <w:bookmarkStart w:id="8" w:name="_Toc17255"/>
      <w:bookmarkStart w:id="9" w:name="_Toc11032"/>
      <w:r>
        <w:rPr>
          <w:rFonts w:hint="eastAsia" w:ascii="Times New Roman" w:hAnsi="Times New Roman" w:eastAsia="楷体_GB2312" w:cs="仿宋"/>
          <w:b/>
          <w:bCs/>
          <w:color w:val="auto"/>
          <w:kern w:val="0"/>
          <w:sz w:val="32"/>
          <w:szCs w:val="32"/>
        </w:rPr>
        <w:t>（</w:t>
      </w:r>
      <w:r>
        <w:rPr>
          <w:rFonts w:hint="eastAsia" w:ascii="Times New Roman" w:hAnsi="Times New Roman" w:eastAsia="楷体_GB2312" w:cs="仿宋"/>
          <w:b/>
          <w:bCs/>
          <w:color w:val="auto"/>
          <w:kern w:val="0"/>
          <w:sz w:val="32"/>
          <w:szCs w:val="32"/>
          <w:lang w:eastAsia="zh-CN"/>
        </w:rPr>
        <w:t>一</w:t>
      </w:r>
      <w:r>
        <w:rPr>
          <w:rFonts w:hint="eastAsia" w:ascii="Times New Roman" w:hAnsi="Times New Roman" w:eastAsia="楷体_GB2312" w:cs="仿宋"/>
          <w:b/>
          <w:bCs/>
          <w:color w:val="auto"/>
          <w:kern w:val="0"/>
          <w:sz w:val="32"/>
          <w:szCs w:val="32"/>
        </w:rPr>
        <w:t>）</w:t>
      </w:r>
      <w:bookmarkEnd w:id="4"/>
      <w:bookmarkEnd w:id="5"/>
      <w:bookmarkEnd w:id="6"/>
      <w:bookmarkEnd w:id="7"/>
      <w:r>
        <w:rPr>
          <w:rFonts w:hint="eastAsia" w:ascii="楷体_GB2312" w:hAnsi="楷体_GB2312" w:eastAsia="楷体_GB2312" w:cs="楷体_GB2312"/>
          <w:b/>
          <w:bCs/>
          <w:color w:val="auto"/>
          <w:sz w:val="32"/>
          <w:szCs w:val="32"/>
          <w:lang w:bidi="ar"/>
        </w:rPr>
        <w:t>资金安排情况</w:t>
      </w:r>
      <w:bookmarkEnd w:id="8"/>
    </w:p>
    <w:p w14:paraId="75B86918">
      <w:pPr>
        <w:pStyle w:val="17"/>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kern w:val="0"/>
          <w:sz w:val="32"/>
          <w:szCs w:val="32"/>
          <w:lang w:val="en-US" w:eastAsia="zh-CN"/>
        </w:rPr>
      </w:pPr>
      <w:bookmarkStart w:id="10" w:name="_Toc14411"/>
      <w:r>
        <w:rPr>
          <w:rFonts w:hint="eastAsia" w:ascii="仿宋_GB2312" w:hAnsi="仿宋_GB2312" w:eastAsia="仿宋_GB2312" w:cs="仿宋_GB2312"/>
          <w:color w:val="auto"/>
          <w:sz w:val="32"/>
          <w:szCs w:val="32"/>
          <w:lang w:bidi="ar"/>
        </w:rPr>
        <w:t>保障性安居工程是一项重大的民生工程，关系经济社会发展全局，惠及广大人民群众。为贯彻落实党中央、国务院决策部署，根据</w:t>
      </w:r>
      <w:r>
        <w:rPr>
          <w:rFonts w:hint="default" w:ascii="仿宋_GB2312" w:hAnsi="仿宋_GB2312" w:eastAsia="仿宋_GB2312" w:cs="仿宋_GB2312"/>
          <w:color w:val="auto"/>
          <w:kern w:val="0"/>
          <w:sz w:val="32"/>
          <w:szCs w:val="32"/>
          <w:highlight w:val="none"/>
          <w:lang w:val="en-US" w:eastAsia="zh-CN"/>
        </w:rPr>
        <w:t>《关于加快发展保障性租赁住房的实施意见》（粤府办〔</w:t>
      </w:r>
      <w:r>
        <w:rPr>
          <w:rFonts w:hint="default" w:ascii="Times New Roman" w:hAnsi="Times New Roman" w:eastAsia="仿宋_GB2312" w:cs="Times New Roman"/>
          <w:color w:val="auto"/>
          <w:kern w:val="0"/>
          <w:sz w:val="32"/>
          <w:szCs w:val="32"/>
          <w:highlight w:val="none"/>
          <w:lang w:val="en-US" w:eastAsia="zh-CN"/>
        </w:rPr>
        <w:t>2021</w:t>
      </w:r>
      <w:r>
        <w:rPr>
          <w:rFonts w:hint="default"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39</w:t>
      </w:r>
      <w:r>
        <w:rPr>
          <w:rFonts w:hint="default" w:ascii="仿宋_GB2312" w:hAnsi="仿宋_GB2312" w:eastAsia="仿宋_GB2312" w:cs="仿宋_GB2312"/>
          <w:color w:val="auto"/>
          <w:kern w:val="0"/>
          <w:sz w:val="32"/>
          <w:szCs w:val="32"/>
          <w:highlight w:val="none"/>
          <w:lang w:val="en-US" w:eastAsia="zh-CN"/>
        </w:rPr>
        <w:t>号）</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《广东省住房和城乡建设厅 广东省发展和改革委员会 广东省财政厅 广东省人民政府国有资产监督管理委员会关于印发</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广东省城市危旧房摸底调查工作方案</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的通知》（粤建保〔</w:t>
      </w:r>
      <w:r>
        <w:rPr>
          <w:rFonts w:hint="default" w:ascii="Times New Roman" w:hAnsi="Times New Roman" w:eastAsia="仿宋_GB2312" w:cs="Times New Roman"/>
          <w:color w:val="auto"/>
          <w:kern w:val="0"/>
          <w:sz w:val="32"/>
          <w:szCs w:val="32"/>
          <w:highlight w:val="none"/>
          <w:lang w:val="en-US" w:eastAsia="zh-CN"/>
        </w:rPr>
        <w:t>2023</w:t>
      </w:r>
      <w:r>
        <w:rPr>
          <w:rFonts w:hint="default"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114</w:t>
      </w:r>
      <w:r>
        <w:rPr>
          <w:rFonts w:hint="default" w:ascii="仿宋_GB2312" w:hAnsi="仿宋_GB2312" w:eastAsia="仿宋_GB2312" w:cs="仿宋_GB2312"/>
          <w:color w:val="auto"/>
          <w:kern w:val="0"/>
          <w:sz w:val="32"/>
          <w:szCs w:val="32"/>
          <w:highlight w:val="none"/>
          <w:lang w:val="en-US" w:eastAsia="zh-CN"/>
        </w:rPr>
        <w:t>号）</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sz w:val="32"/>
          <w:szCs w:val="32"/>
        </w:rPr>
        <w:t>《广东省自建房安全专项整治工作实施方案》（粤府办明电〔2022〕13号）</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sz w:val="32"/>
          <w:szCs w:val="32"/>
          <w:lang w:bidi="ar"/>
        </w:rPr>
        <w:t>文件精神和工作要求，</w:t>
      </w:r>
      <w:r>
        <w:rPr>
          <w:rFonts w:hint="default" w:ascii="Times New Roman" w:hAnsi="Times New Roman" w:eastAsia="仿宋_GB2312" w:cs="Times New Roman"/>
          <w:color w:val="auto"/>
          <w:sz w:val="32"/>
          <w:szCs w:val="32"/>
          <w:lang w:bidi="ar"/>
        </w:rPr>
        <w:t>202</w:t>
      </w:r>
      <w:r>
        <w:rPr>
          <w:rFonts w:hint="default" w:ascii="Times New Roman" w:hAnsi="Times New Roman" w:eastAsia="仿宋_GB2312" w:cs="Times New Roman"/>
          <w:color w:val="auto"/>
          <w:sz w:val="32"/>
          <w:szCs w:val="32"/>
          <w:lang w:val="en-US" w:eastAsia="zh-CN" w:bidi="ar"/>
        </w:rPr>
        <w:t>4</w:t>
      </w:r>
      <w:r>
        <w:rPr>
          <w:rFonts w:hint="eastAsia" w:ascii="仿宋_GB2312" w:hAnsi="仿宋_GB2312" w:eastAsia="仿宋_GB2312" w:cs="仿宋_GB2312"/>
          <w:color w:val="auto"/>
          <w:sz w:val="32"/>
          <w:szCs w:val="32"/>
          <w:lang w:bidi="ar"/>
        </w:rPr>
        <w:t>年省财政共安排专项资金</w:t>
      </w:r>
      <w:r>
        <w:rPr>
          <w:rFonts w:hint="default" w:ascii="Times New Roman" w:hAnsi="Times New Roman" w:eastAsia="仿宋_GB2312" w:cs="Times New Roman"/>
          <w:color w:val="auto"/>
          <w:kern w:val="0"/>
          <w:sz w:val="32"/>
          <w:szCs w:val="32"/>
          <w:highlight w:val="none"/>
          <w:lang w:val="en-US" w:eastAsia="zh-CN"/>
        </w:rPr>
        <w:t>54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635</w:t>
      </w:r>
      <w:r>
        <w:rPr>
          <w:rFonts w:hint="eastAsia" w:ascii="Times New Roman" w:hAnsi="Times New Roman" w:eastAsia="仿宋_GB2312" w:cs="Times New Roman"/>
          <w:color w:val="auto"/>
          <w:sz w:val="32"/>
          <w:szCs w:val="32"/>
          <w:lang w:val="en-US" w:eastAsia="zh-CN" w:bidi="ar"/>
        </w:rPr>
        <w:t>万</w:t>
      </w:r>
      <w:r>
        <w:rPr>
          <w:rFonts w:hint="eastAsia" w:ascii="仿宋_GB2312" w:hAnsi="仿宋_GB2312" w:eastAsia="仿宋_GB2312" w:cs="仿宋_GB2312"/>
          <w:color w:val="auto"/>
          <w:sz w:val="32"/>
          <w:szCs w:val="32"/>
          <w:lang w:bidi="ar"/>
        </w:rPr>
        <w:t>元</w:t>
      </w:r>
      <w:r>
        <w:rPr>
          <w:rFonts w:hint="eastAsia" w:ascii="仿宋_GB2312" w:hAnsi="仿宋_GB2312" w:eastAsia="仿宋_GB2312" w:cs="仿宋_GB2312"/>
          <w:color w:val="auto"/>
          <w:kern w:val="0"/>
          <w:sz w:val="32"/>
          <w:szCs w:val="32"/>
        </w:rPr>
        <w:t>用于支持我省</w:t>
      </w:r>
      <w:r>
        <w:rPr>
          <w:rFonts w:hint="default" w:ascii="Times New Roman" w:hAnsi="Times New Roman" w:eastAsia="仿宋_GB2312" w:cs="Times New Roman"/>
          <w:color w:val="auto"/>
          <w:kern w:val="0"/>
          <w:sz w:val="32"/>
          <w:szCs w:val="32"/>
        </w:rPr>
        <w:t>2024</w:t>
      </w:r>
      <w:r>
        <w:rPr>
          <w:rFonts w:hint="eastAsia" w:ascii="仿宋_GB2312" w:hAnsi="仿宋_GB2312" w:eastAsia="仿宋_GB2312" w:cs="仿宋_GB2312"/>
          <w:color w:val="auto"/>
          <w:kern w:val="0"/>
          <w:sz w:val="32"/>
          <w:szCs w:val="32"/>
        </w:rPr>
        <w:t>年开展保障性安居工程、危旧房改造</w:t>
      </w:r>
      <w:r>
        <w:rPr>
          <w:rFonts w:hint="eastAsia" w:ascii="仿宋_GB2312" w:hAnsi="仿宋_GB2312" w:eastAsia="仿宋_GB2312" w:cs="仿宋_GB2312"/>
          <w:color w:val="auto"/>
          <w:kern w:val="0"/>
          <w:sz w:val="32"/>
          <w:szCs w:val="32"/>
          <w:lang w:eastAsia="zh-CN"/>
        </w:rPr>
        <w:t>、</w:t>
      </w:r>
      <w:r>
        <w:rPr>
          <w:rFonts w:hint="default" w:ascii="Times New Roman" w:hAnsi="Times New Roman" w:eastAsia="仿宋_GB2312" w:cs="Times New Roman"/>
          <w:color w:val="auto"/>
          <w:sz w:val="32"/>
          <w:szCs w:val="32"/>
          <w:lang w:val="en-US" w:eastAsia="zh-CN"/>
        </w:rPr>
        <w:t>自建房安全专项整治</w:t>
      </w:r>
      <w:r>
        <w:rPr>
          <w:rFonts w:hint="eastAsia" w:ascii="仿宋_GB2312" w:hAnsi="仿宋_GB2312" w:eastAsia="仿宋_GB2312" w:cs="仿宋_GB2312"/>
          <w:color w:val="auto"/>
          <w:kern w:val="0"/>
          <w:sz w:val="32"/>
          <w:szCs w:val="32"/>
        </w:rPr>
        <w:t>等相关工作</w:t>
      </w:r>
      <w:r>
        <w:rPr>
          <w:rFonts w:hint="eastAsia" w:ascii="仿宋_GB2312" w:hAnsi="仿宋_GB2312" w:eastAsia="仿宋_GB2312" w:cs="仿宋_GB2312"/>
          <w:color w:val="auto"/>
          <w:kern w:val="0"/>
          <w:sz w:val="32"/>
          <w:szCs w:val="32"/>
          <w:lang w:val="en-US" w:eastAsia="zh-CN"/>
        </w:rPr>
        <w:t>,其中转移支付至市县</w:t>
      </w:r>
      <w:r>
        <w:rPr>
          <w:rFonts w:hint="default" w:ascii="Times New Roman" w:hAnsi="Times New Roman" w:eastAsia="仿宋_GB2312" w:cs="Times New Roman"/>
          <w:color w:val="auto"/>
          <w:kern w:val="0"/>
          <w:sz w:val="32"/>
          <w:szCs w:val="32"/>
          <w:lang w:val="en-US" w:eastAsia="zh-CN"/>
        </w:rPr>
        <w:t>52,395</w:t>
      </w:r>
      <w:r>
        <w:rPr>
          <w:rFonts w:hint="eastAsia" w:ascii="Times New Roman" w:hAnsi="Times New Roman" w:eastAsia="仿宋_GB2312" w:cs="Times New Roman"/>
          <w:color w:val="auto"/>
          <w:kern w:val="0"/>
          <w:sz w:val="32"/>
          <w:szCs w:val="32"/>
          <w:lang w:val="en-US" w:eastAsia="zh-CN"/>
        </w:rPr>
        <w:t>万</w:t>
      </w:r>
      <w:r>
        <w:rPr>
          <w:rFonts w:hint="eastAsia" w:ascii="仿宋_GB2312" w:hAnsi="仿宋_GB2312" w:eastAsia="仿宋_GB2312" w:cs="仿宋_GB2312"/>
          <w:color w:val="auto"/>
          <w:kern w:val="0"/>
          <w:sz w:val="32"/>
          <w:szCs w:val="32"/>
          <w:lang w:val="en-US" w:eastAsia="zh-CN"/>
        </w:rPr>
        <w:t>元、省级工作经费</w:t>
      </w:r>
      <w:r>
        <w:rPr>
          <w:rFonts w:hint="default" w:ascii="Times New Roman" w:hAnsi="Times New Roman" w:eastAsia="仿宋_GB2312" w:cs="Times New Roman"/>
          <w:color w:val="auto"/>
          <w:kern w:val="0"/>
          <w:sz w:val="32"/>
          <w:szCs w:val="32"/>
          <w:lang w:val="en-US" w:eastAsia="zh-CN"/>
        </w:rPr>
        <w:t>890</w:t>
      </w:r>
      <w:r>
        <w:rPr>
          <w:rFonts w:hint="eastAsia" w:ascii="仿宋_GB2312" w:hAnsi="仿宋_GB2312" w:eastAsia="仿宋_GB2312" w:cs="仿宋_GB2312"/>
          <w:color w:val="auto"/>
          <w:kern w:val="0"/>
          <w:sz w:val="32"/>
          <w:szCs w:val="32"/>
          <w:lang w:val="en-US" w:eastAsia="zh-CN"/>
        </w:rPr>
        <w:t>万元，被省财政收回</w:t>
      </w:r>
      <w:r>
        <w:rPr>
          <w:rFonts w:hint="eastAsia" w:ascii="仿宋_GB2312" w:hAnsi="仿宋_GB2312" w:eastAsia="仿宋_GB2312" w:cs="仿宋_GB2312"/>
          <w:strike w:val="0"/>
          <w:dstrike w:val="0"/>
          <w:color w:val="auto"/>
          <w:kern w:val="0"/>
          <w:sz w:val="32"/>
          <w:szCs w:val="32"/>
          <w:lang w:val="en-US" w:eastAsia="zh-CN"/>
        </w:rPr>
        <w:t>“数字住建”提质增效项目（一期）重点信息化建设</w:t>
      </w:r>
      <w:r>
        <w:rPr>
          <w:rFonts w:hint="default" w:ascii="Times New Roman" w:hAnsi="Times New Roman" w:eastAsia="仿宋_GB2312" w:cs="Times New Roman"/>
          <w:strike w:val="0"/>
          <w:dstrike w:val="0"/>
          <w:color w:val="auto"/>
          <w:kern w:val="0"/>
          <w:sz w:val="32"/>
          <w:szCs w:val="32"/>
          <w:lang w:val="en-US" w:eastAsia="zh-CN"/>
        </w:rPr>
        <w:t>1</w:t>
      </w:r>
      <w:r>
        <w:rPr>
          <w:rFonts w:hint="eastAsia" w:ascii="Times New Roman" w:hAnsi="Times New Roman" w:eastAsia="仿宋_GB2312" w:cs="Times New Roman"/>
          <w:strike w:val="0"/>
          <w:dstrike w:val="0"/>
          <w:color w:val="auto"/>
          <w:kern w:val="0"/>
          <w:sz w:val="32"/>
          <w:szCs w:val="32"/>
          <w:lang w:val="en-US" w:eastAsia="zh-CN"/>
        </w:rPr>
        <w:t>,</w:t>
      </w:r>
      <w:r>
        <w:rPr>
          <w:rFonts w:hint="default" w:ascii="Times New Roman" w:hAnsi="Times New Roman" w:eastAsia="仿宋_GB2312" w:cs="Times New Roman"/>
          <w:strike w:val="0"/>
          <w:dstrike w:val="0"/>
          <w:color w:val="auto"/>
          <w:kern w:val="0"/>
          <w:sz w:val="32"/>
          <w:szCs w:val="32"/>
          <w:lang w:val="en-US" w:eastAsia="zh-CN"/>
        </w:rPr>
        <w:t>350</w:t>
      </w:r>
      <w:r>
        <w:rPr>
          <w:rFonts w:hint="eastAsia" w:ascii="Times New Roman" w:hAnsi="Times New Roman" w:eastAsia="仿宋_GB2312" w:cs="Times New Roman"/>
          <w:strike w:val="0"/>
          <w:dstrike w:val="0"/>
          <w:color w:val="auto"/>
          <w:kern w:val="0"/>
          <w:sz w:val="32"/>
          <w:szCs w:val="32"/>
          <w:lang w:val="en-US" w:eastAsia="zh-CN"/>
        </w:rPr>
        <w:t>万</w:t>
      </w:r>
      <w:r>
        <w:rPr>
          <w:rFonts w:hint="eastAsia" w:ascii="仿宋_GB2312" w:hAnsi="仿宋_GB2312" w:eastAsia="仿宋_GB2312" w:cs="仿宋_GB2312"/>
          <w:strike w:val="0"/>
          <w:dstrike w:val="0"/>
          <w:color w:val="auto"/>
          <w:kern w:val="0"/>
          <w:sz w:val="32"/>
          <w:szCs w:val="32"/>
          <w:lang w:val="en-US" w:eastAsia="zh-CN"/>
        </w:rPr>
        <w:t>元（《广东省财政厅关于收回部分项目资金的通知》（粤财预〔</w:t>
      </w:r>
      <w:r>
        <w:rPr>
          <w:rFonts w:hint="default" w:ascii="Times New Roman" w:hAnsi="Times New Roman" w:eastAsia="仿宋_GB2312" w:cs="Times New Roman"/>
          <w:strike w:val="0"/>
          <w:dstrike w:val="0"/>
          <w:color w:val="auto"/>
          <w:kern w:val="0"/>
          <w:sz w:val="32"/>
          <w:szCs w:val="32"/>
          <w:lang w:val="en-US" w:eastAsia="zh-CN"/>
        </w:rPr>
        <w:t>2024</w:t>
      </w:r>
      <w:r>
        <w:rPr>
          <w:rFonts w:hint="eastAsia" w:ascii="仿宋_GB2312" w:hAnsi="仿宋_GB2312" w:eastAsia="仿宋_GB2312" w:cs="仿宋_GB2312"/>
          <w:strike w:val="0"/>
          <w:dstrike w:val="0"/>
          <w:color w:val="auto"/>
          <w:kern w:val="0"/>
          <w:sz w:val="32"/>
          <w:szCs w:val="32"/>
          <w:lang w:val="en-US" w:eastAsia="zh-CN"/>
        </w:rPr>
        <w:t>〕</w:t>
      </w:r>
      <w:r>
        <w:rPr>
          <w:rFonts w:hint="default" w:ascii="Times New Roman" w:hAnsi="Times New Roman" w:eastAsia="仿宋_GB2312" w:cs="Times New Roman"/>
          <w:strike w:val="0"/>
          <w:dstrike w:val="0"/>
          <w:color w:val="auto"/>
          <w:kern w:val="0"/>
          <w:sz w:val="32"/>
          <w:szCs w:val="32"/>
          <w:lang w:val="en-US" w:eastAsia="zh-CN"/>
        </w:rPr>
        <w:t>7</w:t>
      </w:r>
      <w:r>
        <w:rPr>
          <w:rFonts w:hint="eastAsia" w:ascii="仿宋_GB2312" w:hAnsi="仿宋_GB2312" w:eastAsia="仿宋_GB2312" w:cs="仿宋_GB2312"/>
          <w:strike w:val="0"/>
          <w:dstrike w:val="0"/>
          <w:color w:val="auto"/>
          <w:kern w:val="0"/>
          <w:sz w:val="32"/>
          <w:szCs w:val="32"/>
          <w:lang w:val="en-US" w:eastAsia="zh-CN"/>
        </w:rPr>
        <w:t>号）</w:t>
      </w:r>
      <w:bookmarkEnd w:id="10"/>
      <w:r>
        <w:rPr>
          <w:rFonts w:hint="eastAsia" w:ascii="仿宋_GB2312" w:hAnsi="仿宋_GB2312" w:eastAsia="仿宋_GB2312" w:cs="仿宋_GB2312"/>
          <w:strike w:val="0"/>
          <w:dstrike w:val="0"/>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扣除被收回的预算资金，</w:t>
      </w:r>
      <w:r>
        <w:rPr>
          <w:rFonts w:hint="default" w:ascii="Times New Roman" w:hAnsi="Times New Roman" w:eastAsia="仿宋_GB2312" w:cs="Times New Roman"/>
          <w:color w:val="auto"/>
          <w:kern w:val="0"/>
          <w:sz w:val="32"/>
          <w:szCs w:val="32"/>
          <w:lang w:val="en-US" w:eastAsia="zh-CN"/>
        </w:rPr>
        <w:t>2024</w:t>
      </w:r>
      <w:r>
        <w:rPr>
          <w:rFonts w:hint="eastAsia" w:ascii="仿宋_GB2312" w:hAnsi="仿宋_GB2312" w:eastAsia="仿宋_GB2312" w:cs="仿宋_GB2312"/>
          <w:color w:val="auto"/>
          <w:kern w:val="0"/>
          <w:sz w:val="32"/>
          <w:szCs w:val="32"/>
          <w:lang w:val="en-US" w:eastAsia="zh-CN"/>
        </w:rPr>
        <w:t>年实际安排专项资金</w:t>
      </w:r>
      <w:r>
        <w:rPr>
          <w:rFonts w:hint="eastAsia" w:ascii="仿宋_GB2312" w:hAnsi="仿宋_GB2312" w:eastAsia="仿宋_GB2312" w:cs="仿宋_GB2312"/>
          <w:color w:val="auto"/>
          <w:kern w:val="0"/>
          <w:sz w:val="32"/>
          <w:szCs w:val="32"/>
          <w:highlight w:val="none"/>
          <w:lang w:val="en-US" w:eastAsia="zh-CN"/>
        </w:rPr>
        <w:t>为</w:t>
      </w:r>
      <w:r>
        <w:rPr>
          <w:rFonts w:hint="default" w:ascii="Times New Roman" w:hAnsi="Times New Roman" w:eastAsia="仿宋_GB2312" w:cs="Times New Roman"/>
          <w:color w:val="auto"/>
          <w:kern w:val="0"/>
          <w:sz w:val="32"/>
          <w:szCs w:val="32"/>
          <w:highlight w:val="none"/>
          <w:lang w:val="en-US" w:eastAsia="zh-CN"/>
        </w:rPr>
        <w:t>53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285</w:t>
      </w:r>
      <w:r>
        <w:rPr>
          <w:rFonts w:hint="eastAsia" w:ascii="Times New Roman" w:hAnsi="Times New Roman" w:eastAsia="仿宋_GB2312" w:cs="Times New Roman"/>
          <w:color w:val="auto"/>
          <w:kern w:val="0"/>
          <w:sz w:val="32"/>
          <w:szCs w:val="32"/>
          <w:highlight w:val="none"/>
          <w:lang w:val="en-US" w:eastAsia="zh-CN"/>
        </w:rPr>
        <w:t>万</w:t>
      </w:r>
      <w:r>
        <w:rPr>
          <w:rFonts w:hint="eastAsia" w:ascii="仿宋_GB2312" w:hAnsi="仿宋_GB2312" w:eastAsia="仿宋_GB2312" w:cs="仿宋_GB2312"/>
          <w:color w:val="auto"/>
          <w:kern w:val="0"/>
          <w:sz w:val="32"/>
          <w:szCs w:val="32"/>
          <w:highlight w:val="none"/>
          <w:lang w:val="en-US" w:eastAsia="zh-CN"/>
        </w:rPr>
        <w:t>元。</w:t>
      </w:r>
    </w:p>
    <w:p w14:paraId="2E67CFC4">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43" w:firstLineChars="200"/>
        <w:jc w:val="both"/>
        <w:textAlignment w:val="auto"/>
        <w:outlineLvl w:val="1"/>
        <w:rPr>
          <w:rFonts w:hint="eastAsia" w:ascii="楷体_GB2312" w:hAnsi="楷体_GB2312" w:eastAsia="楷体_GB2312" w:cs="楷体_GB2312"/>
          <w:b/>
          <w:bCs/>
          <w:color w:val="auto"/>
          <w:sz w:val="32"/>
          <w:szCs w:val="32"/>
        </w:rPr>
      </w:pPr>
      <w:bookmarkStart w:id="11" w:name="_Toc2459"/>
      <w:bookmarkStart w:id="12" w:name="_Toc7675"/>
      <w:bookmarkStart w:id="13" w:name="_Toc7470"/>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资金分配方式</w:t>
      </w:r>
      <w:bookmarkEnd w:id="11"/>
      <w:bookmarkEnd w:id="12"/>
      <w:bookmarkEnd w:id="13"/>
    </w:p>
    <w:p w14:paraId="3F2241C7">
      <w:pPr>
        <w:pStyle w:val="17"/>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kern w:val="0"/>
          <w:sz w:val="32"/>
          <w:szCs w:val="32"/>
          <w:highlight w:val="none"/>
          <w:lang w:val="en-US" w:eastAsia="zh-CN"/>
        </w:rPr>
        <w:t>我厅根据</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年全省保障性安居工程省级专项资金总盘子和各市申报的计划任务，采用因素法与</w:t>
      </w:r>
      <w:r>
        <w:rPr>
          <w:rFonts w:hint="default" w:ascii="Times New Roman" w:hAnsi="Times New Roman" w:eastAsia="仿宋_GB2312" w:cs="Times New Roman"/>
          <w:color w:val="auto"/>
          <w:sz w:val="32"/>
          <w:szCs w:val="32"/>
        </w:rPr>
        <w:t>项目制</w:t>
      </w:r>
      <w:r>
        <w:rPr>
          <w:rFonts w:hint="eastAsia" w:ascii="Times New Roman" w:hAnsi="Times New Roman" w:eastAsia="仿宋_GB2312" w:cs="Times New Roman"/>
          <w:color w:val="auto"/>
          <w:sz w:val="32"/>
          <w:szCs w:val="32"/>
          <w:lang w:eastAsia="zh-CN"/>
        </w:rPr>
        <w:t>相结合</w:t>
      </w:r>
      <w:r>
        <w:rPr>
          <w:rFonts w:hint="default" w:ascii="Times New Roman" w:hAnsi="Times New Roman" w:eastAsia="仿宋_GB2312" w:cs="Times New Roman"/>
          <w:color w:val="auto"/>
          <w:sz w:val="32"/>
          <w:szCs w:val="32"/>
        </w:rPr>
        <w:t>方式</w:t>
      </w:r>
      <w:r>
        <w:rPr>
          <w:rFonts w:hint="eastAsia" w:ascii="仿宋_GB2312" w:hAnsi="仿宋_GB2312" w:eastAsia="仿宋_GB2312" w:cs="仿宋_GB2312"/>
          <w:color w:val="auto"/>
          <w:kern w:val="0"/>
          <w:sz w:val="32"/>
          <w:szCs w:val="32"/>
          <w:highlight w:val="none"/>
          <w:lang w:val="en-US" w:eastAsia="zh-CN"/>
        </w:rPr>
        <w:t>，以各市申报的年度配售型保障性住房、保障性租赁住房、公租房筹集建设套数，租赁补贴发放户数、危旧房改造套数、保障性安居工程计划、项目申报成熟度评分，住建部归集平台上显示存在安全隐患的经营性自建房数量、平均每栋经营性自建房面积、灾普调查城镇和农村房屋满足一定条件的数量等因素，结合综合财力系数、年度绩效评价调节系数、工作进度进行资金分配。经集体研究，</w:t>
      </w:r>
      <w:r>
        <w:rPr>
          <w:rFonts w:hint="default" w:ascii="Times New Roman" w:hAnsi="Times New Roman" w:eastAsia="仿宋_GB2312" w:cs="Times New Roman"/>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lang w:val="en-US" w:eastAsia="zh-CN"/>
        </w:rPr>
        <w:t>月向省财政厅报送专项资金分配方案。</w:t>
      </w:r>
      <w:r>
        <w:rPr>
          <w:rFonts w:hint="default" w:ascii="Times New Roman" w:hAnsi="Times New Roman" w:eastAsia="仿宋_GB2312" w:cs="Times New Roman"/>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lang w:val="en-US" w:eastAsia="zh-CN"/>
        </w:rPr>
        <w:t>日，经省级财政资金预算管理程序，《广东省财政厅关于提前下达</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年省住房城乡建设厅主管专项资金的通知》（粤财建〔</w:t>
      </w:r>
      <w:r>
        <w:rPr>
          <w:rFonts w:hint="default" w:ascii="Times New Roman" w:hAnsi="Times New Roman" w:eastAsia="仿宋_GB2312" w:cs="Times New Roman"/>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77</w:t>
      </w:r>
      <w:r>
        <w:rPr>
          <w:rFonts w:hint="eastAsia" w:ascii="仿宋_GB2312" w:hAnsi="仿宋_GB2312" w:eastAsia="仿宋_GB2312" w:cs="仿宋_GB2312"/>
          <w:color w:val="auto"/>
          <w:kern w:val="0"/>
          <w:sz w:val="32"/>
          <w:szCs w:val="32"/>
          <w:highlight w:val="none"/>
          <w:lang w:val="en-US" w:eastAsia="zh-CN"/>
        </w:rPr>
        <w:t>号）下达了转移支付专项资金</w:t>
      </w:r>
      <w:r>
        <w:rPr>
          <w:rFonts w:hint="default" w:ascii="Times New Roman" w:hAnsi="Times New Roman" w:eastAsia="仿宋_GB2312" w:cs="Times New Roman"/>
          <w:color w:val="auto"/>
          <w:kern w:val="0"/>
          <w:sz w:val="32"/>
          <w:szCs w:val="32"/>
          <w:lang w:val="en-US" w:eastAsia="zh-CN"/>
        </w:rPr>
        <w:t>52,395</w:t>
      </w:r>
      <w:r>
        <w:rPr>
          <w:rFonts w:hint="eastAsia" w:ascii="Times New Roman" w:hAnsi="Times New Roman" w:eastAsia="仿宋_GB2312" w:cs="Times New Roman"/>
          <w:color w:val="auto"/>
          <w:kern w:val="0"/>
          <w:sz w:val="32"/>
          <w:szCs w:val="32"/>
          <w:highlight w:val="none"/>
          <w:lang w:val="en-US" w:eastAsia="zh-CN"/>
        </w:rPr>
        <w:t>万</w:t>
      </w:r>
      <w:r>
        <w:rPr>
          <w:rFonts w:hint="eastAsia" w:ascii="仿宋_GB2312" w:hAnsi="仿宋_GB2312" w:eastAsia="仿宋_GB2312" w:cs="仿宋_GB2312"/>
          <w:color w:val="auto"/>
          <w:kern w:val="0"/>
          <w:sz w:val="32"/>
          <w:szCs w:val="32"/>
          <w:highlight w:val="none"/>
          <w:lang w:val="en-US" w:eastAsia="zh-CN"/>
        </w:rPr>
        <w:t>元，主要用于开展保障性安居工程、危旧房改造与自建房安全专项整治等相关工作。</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val="en-US" w:eastAsia="zh-CN"/>
        </w:rPr>
        <w:t>日，《广东省住房和城乡建设厅等关于印发</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年配售型保障性住房、配租型保障性住房（保障性租赁住房、公租房保障）和棚户区（城市危旧房）改造等计划的通知》（粤建保〔</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38</w:t>
      </w:r>
      <w:r>
        <w:rPr>
          <w:rFonts w:hint="eastAsia" w:ascii="仿宋_GB2312" w:hAnsi="仿宋_GB2312" w:eastAsia="仿宋_GB2312" w:cs="仿宋_GB2312"/>
          <w:color w:val="auto"/>
          <w:kern w:val="0"/>
          <w:sz w:val="32"/>
          <w:szCs w:val="32"/>
          <w:highlight w:val="none"/>
          <w:lang w:val="en-US" w:eastAsia="zh-CN"/>
        </w:rPr>
        <w:t>号）向各市下达了配售型保障性住房、配租型保障性住房（保障性租赁住房、公租房保障）和棚户区（城市危旧房）改造等计划任务。转移支付专项资金和计划任务逐级下达到市县后，由有关市县住房城乡建设主管部门组织实施。省级组织实施项目和省本级工作经费</w:t>
      </w:r>
      <w:r>
        <w:rPr>
          <w:rFonts w:hint="default" w:ascii="Times New Roman" w:hAnsi="Times New Roman" w:eastAsia="仿宋_GB2312" w:cs="Times New Roman"/>
          <w:color w:val="auto"/>
          <w:kern w:val="0"/>
          <w:sz w:val="32"/>
          <w:szCs w:val="32"/>
          <w:highlight w:val="none"/>
          <w:lang w:val="en-US" w:eastAsia="zh-CN"/>
        </w:rPr>
        <w:t>890</w:t>
      </w:r>
      <w:r>
        <w:rPr>
          <w:rFonts w:hint="eastAsia" w:ascii="仿宋_GB2312" w:hAnsi="仿宋_GB2312" w:eastAsia="仿宋_GB2312" w:cs="仿宋_GB2312"/>
          <w:color w:val="auto"/>
          <w:kern w:val="0"/>
          <w:sz w:val="32"/>
          <w:szCs w:val="32"/>
          <w:highlight w:val="none"/>
          <w:lang w:val="en-US" w:eastAsia="zh-CN"/>
        </w:rPr>
        <w:t>万元在</w:t>
      </w:r>
      <w:r>
        <w:rPr>
          <w:rFonts w:hint="default"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年省住房城乡建设厅部门预算转列。</w:t>
      </w:r>
      <w:r>
        <w:rPr>
          <w:rFonts w:hint="eastAsia" w:ascii="仿宋_GB2312" w:eastAsia="仿宋_GB2312"/>
          <w:color w:val="auto"/>
          <w:sz w:val="32"/>
          <w:szCs w:val="32"/>
        </w:rPr>
        <w:t>（详见表</w:t>
      </w:r>
      <w:r>
        <w:rPr>
          <w:rFonts w:hint="default" w:ascii="Times New Roman" w:hAnsi="Times New Roman" w:eastAsia="仿宋_GB2312" w:cs="Times New Roman"/>
          <w:color w:val="auto"/>
          <w:sz w:val="32"/>
          <w:szCs w:val="32"/>
        </w:rPr>
        <w:t>1</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仿宋_GB2312" w:eastAsia="仿宋_GB2312"/>
          <w:color w:val="auto"/>
          <w:sz w:val="32"/>
          <w:szCs w:val="32"/>
        </w:rPr>
        <w:t>）</w:t>
      </w:r>
    </w:p>
    <w:p w14:paraId="1B2B149C">
      <w:pPr>
        <w:spacing w:line="360" w:lineRule="auto"/>
        <w:jc w:val="center"/>
        <w:rPr>
          <w:rFonts w:hint="eastAsia" w:ascii="黑体" w:hAnsi="宋体" w:eastAsia="黑体" w:cs="黑体"/>
          <w:color w:val="auto"/>
          <w:sz w:val="28"/>
          <w:szCs w:val="28"/>
          <w:lang w:bidi="ar"/>
        </w:rPr>
      </w:pPr>
      <w:r>
        <w:rPr>
          <w:rFonts w:hint="eastAsia" w:ascii="黑体" w:hAnsi="宋体" w:eastAsia="黑体" w:cs="黑体"/>
          <w:color w:val="auto"/>
          <w:sz w:val="28"/>
          <w:szCs w:val="28"/>
          <w:lang w:bidi="ar"/>
        </w:rPr>
        <w:t>表</w:t>
      </w:r>
      <w:r>
        <w:rPr>
          <w:rFonts w:hint="default" w:ascii="Times New Roman" w:hAnsi="Times New Roman" w:eastAsia="黑体" w:cs="Times New Roman"/>
          <w:color w:val="auto"/>
          <w:sz w:val="28"/>
          <w:szCs w:val="28"/>
          <w:lang w:bidi="ar"/>
        </w:rPr>
        <w:t>1</w:t>
      </w:r>
      <w:r>
        <w:rPr>
          <w:rFonts w:hint="eastAsia" w:ascii="黑体" w:hAnsi="宋体" w:eastAsia="黑体" w:cs="黑体"/>
          <w:color w:val="auto"/>
          <w:sz w:val="28"/>
          <w:szCs w:val="28"/>
          <w:lang w:bidi="ar"/>
        </w:rPr>
        <w:t>-</w:t>
      </w:r>
      <w:r>
        <w:rPr>
          <w:rFonts w:hint="default" w:ascii="Times New Roman" w:hAnsi="Times New Roman" w:eastAsia="黑体" w:cs="Times New Roman"/>
          <w:color w:val="auto"/>
          <w:sz w:val="28"/>
          <w:szCs w:val="28"/>
          <w:lang w:bidi="ar"/>
        </w:rPr>
        <w:t>1</w:t>
      </w:r>
      <w:r>
        <w:rPr>
          <w:rFonts w:hint="eastAsia" w:ascii="黑体" w:hAnsi="宋体" w:eastAsia="黑体" w:cs="黑体"/>
          <w:color w:val="auto"/>
          <w:sz w:val="28"/>
          <w:szCs w:val="28"/>
          <w:lang w:bidi="ar"/>
        </w:rPr>
        <w:t xml:space="preserve"> 专项资金分配情况表</w:t>
      </w:r>
    </w:p>
    <w:p w14:paraId="3EF89869">
      <w:pPr>
        <w:pStyle w:val="17"/>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单位：万元</w:t>
      </w:r>
    </w:p>
    <w:tbl>
      <w:tblPr>
        <w:tblStyle w:val="21"/>
        <w:tblW w:w="9458"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410"/>
        <w:gridCol w:w="1550"/>
        <w:gridCol w:w="1423"/>
        <w:gridCol w:w="1550"/>
        <w:gridCol w:w="1437"/>
        <w:gridCol w:w="1436"/>
      </w:tblGrid>
      <w:tr w14:paraId="36DF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blHeader/>
        </w:trPr>
        <w:tc>
          <w:tcPr>
            <w:tcW w:w="652" w:type="dxa"/>
            <w:vMerge w:val="restart"/>
            <w:tcBorders>
              <w:top w:val="single" w:color="000000" w:sz="4" w:space="0"/>
              <w:left w:val="single" w:color="000000" w:sz="4" w:space="0"/>
              <w:right w:val="single" w:color="000000" w:sz="4" w:space="0"/>
            </w:tcBorders>
            <w:shd w:val="clear" w:color="auto" w:fill="auto"/>
            <w:vAlign w:val="center"/>
          </w:tcPr>
          <w:p w14:paraId="2FF4E8D8">
            <w:pPr>
              <w:widowControl/>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kern w:val="0"/>
                <w:sz w:val="24"/>
                <w:szCs w:val="24"/>
                <w:lang w:bidi="ar"/>
              </w:rPr>
              <w:t>序号</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6ADDFB93">
            <w:pPr>
              <w:widowControl/>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kern w:val="0"/>
                <w:sz w:val="24"/>
                <w:szCs w:val="24"/>
                <w:lang w:bidi="ar"/>
              </w:rPr>
              <w:t>县（区/市）名称</w:t>
            </w:r>
          </w:p>
        </w:tc>
        <w:tc>
          <w:tcPr>
            <w:tcW w:w="5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D91A6">
            <w:pPr>
              <w:widowControl/>
              <w:spacing w:line="240" w:lineRule="auto"/>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kern w:val="0"/>
                <w:sz w:val="24"/>
                <w:szCs w:val="24"/>
                <w:lang w:bidi="ar"/>
              </w:rPr>
              <w:t>预算金额</w:t>
            </w:r>
          </w:p>
        </w:tc>
        <w:tc>
          <w:tcPr>
            <w:tcW w:w="1436" w:type="dxa"/>
            <w:vMerge w:val="restart"/>
            <w:tcBorders>
              <w:top w:val="single" w:color="000000" w:sz="4" w:space="0"/>
              <w:left w:val="single" w:color="000000" w:sz="4" w:space="0"/>
              <w:right w:val="single" w:color="000000" w:sz="4" w:space="0"/>
            </w:tcBorders>
            <w:shd w:val="clear" w:color="auto" w:fill="auto"/>
            <w:vAlign w:val="center"/>
          </w:tcPr>
          <w:p w14:paraId="224A8B57">
            <w:pPr>
              <w:widowControl/>
              <w:spacing w:line="240" w:lineRule="auto"/>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实际下达金额</w:t>
            </w:r>
          </w:p>
        </w:tc>
      </w:tr>
      <w:tr w14:paraId="429B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blHeader/>
        </w:trPr>
        <w:tc>
          <w:tcPr>
            <w:tcW w:w="652" w:type="dxa"/>
            <w:vMerge w:val="continue"/>
            <w:tcBorders>
              <w:left w:val="single" w:color="000000" w:sz="4" w:space="0"/>
              <w:bottom w:val="single" w:color="000000" w:sz="4" w:space="0"/>
              <w:right w:val="single" w:color="000000" w:sz="4" w:space="0"/>
            </w:tcBorders>
            <w:shd w:val="clear" w:color="auto" w:fill="auto"/>
            <w:vAlign w:val="center"/>
          </w:tcPr>
          <w:p w14:paraId="56465141">
            <w:pPr>
              <w:widowControl/>
              <w:spacing w:line="360" w:lineRule="exact"/>
              <w:jc w:val="center"/>
              <w:textAlignment w:val="center"/>
              <w:rPr>
                <w:rFonts w:hint="eastAsia" w:ascii="仿宋_GB2312" w:hAnsi="仿宋_GB2312" w:eastAsia="仿宋_GB2312" w:cs="仿宋_GB2312"/>
                <w:b/>
                <w:bCs/>
                <w:color w:val="auto"/>
                <w:kern w:val="0"/>
                <w:sz w:val="24"/>
                <w:szCs w:val="24"/>
                <w:lang w:bidi="ar"/>
              </w:rPr>
            </w:pP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4001F7B6">
            <w:pPr>
              <w:widowControl/>
              <w:spacing w:line="360" w:lineRule="exact"/>
              <w:jc w:val="center"/>
              <w:textAlignment w:val="center"/>
              <w:rPr>
                <w:rFonts w:hint="eastAsia" w:ascii="仿宋_GB2312" w:hAnsi="仿宋_GB2312" w:eastAsia="仿宋_GB2312" w:cs="仿宋_GB2312"/>
                <w:b/>
                <w:bCs/>
                <w:color w:val="auto"/>
                <w:kern w:val="0"/>
                <w:sz w:val="24"/>
                <w:szCs w:val="24"/>
                <w:lang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4B4F">
            <w:pPr>
              <w:widowControl/>
              <w:spacing w:line="36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保障性安居工程</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C95">
            <w:pPr>
              <w:widowControl/>
              <w:spacing w:line="36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城市危旧房摸底调查</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1231">
            <w:pPr>
              <w:widowControl/>
              <w:spacing w:line="360" w:lineRule="exact"/>
              <w:jc w:val="center"/>
              <w:textAlignment w:val="center"/>
              <w:rPr>
                <w:rFonts w:hint="eastAsia" w:ascii="仿宋_GB2312" w:hAnsi="仿宋_GB2312" w:eastAsia="仿宋_GB2312" w:cs="仿宋_GB2312"/>
                <w:b/>
                <w:bCs/>
                <w:color w:val="auto"/>
                <w:kern w:val="0"/>
                <w:sz w:val="24"/>
                <w:szCs w:val="24"/>
                <w:lang w:val="en-US" w:eastAsia="zh-CN" w:bidi="ar"/>
              </w:rPr>
            </w:pPr>
            <w:r>
              <w:rPr>
                <w:rFonts w:hint="default" w:ascii="仿宋_GB2312" w:hAnsi="仿宋_GB2312" w:eastAsia="仿宋_GB2312" w:cs="仿宋_GB2312"/>
                <w:b/>
                <w:bCs/>
                <w:color w:val="auto"/>
                <w:kern w:val="0"/>
                <w:sz w:val="24"/>
                <w:szCs w:val="24"/>
                <w:lang w:bidi="ar"/>
              </w:rPr>
              <w:t>自建房</w:t>
            </w:r>
            <w:r>
              <w:rPr>
                <w:rFonts w:hint="eastAsia" w:ascii="仿宋_GB2312" w:hAnsi="仿宋_GB2312" w:eastAsia="仿宋_GB2312" w:cs="仿宋_GB2312"/>
                <w:b/>
                <w:bCs/>
                <w:color w:val="auto"/>
                <w:kern w:val="0"/>
                <w:sz w:val="24"/>
                <w:szCs w:val="24"/>
                <w:lang w:val="en-US" w:eastAsia="zh-CN" w:bidi="ar"/>
              </w:rPr>
              <w:t>安全专项</w:t>
            </w:r>
            <w:r>
              <w:rPr>
                <w:rFonts w:hint="default" w:ascii="仿宋_GB2312" w:hAnsi="仿宋_GB2312" w:eastAsia="仿宋_GB2312" w:cs="仿宋_GB2312"/>
                <w:b/>
                <w:bCs/>
                <w:color w:val="auto"/>
                <w:kern w:val="0"/>
                <w:sz w:val="24"/>
                <w:szCs w:val="24"/>
                <w:lang w:bidi="ar"/>
              </w:rPr>
              <w:t>整治</w:t>
            </w:r>
          </w:p>
        </w:tc>
        <w:tc>
          <w:tcPr>
            <w:tcW w:w="1437" w:type="dxa"/>
            <w:tcBorders>
              <w:left w:val="single" w:color="000000" w:sz="4" w:space="0"/>
              <w:bottom w:val="single" w:color="000000" w:sz="4" w:space="0"/>
              <w:right w:val="single" w:color="000000" w:sz="4" w:space="0"/>
            </w:tcBorders>
            <w:shd w:val="clear" w:color="auto" w:fill="auto"/>
            <w:vAlign w:val="center"/>
          </w:tcPr>
          <w:p w14:paraId="4BFF56F4">
            <w:pPr>
              <w:widowControl/>
              <w:spacing w:line="36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val="en-US" w:eastAsia="zh-CN" w:bidi="ar"/>
              </w:rPr>
              <w:t>合计</w:t>
            </w:r>
          </w:p>
        </w:tc>
        <w:tc>
          <w:tcPr>
            <w:tcW w:w="1436" w:type="dxa"/>
            <w:vMerge w:val="continue"/>
            <w:tcBorders>
              <w:left w:val="single" w:color="000000" w:sz="4" w:space="0"/>
              <w:bottom w:val="single" w:color="000000" w:sz="4" w:space="0"/>
              <w:right w:val="single" w:color="000000" w:sz="4" w:space="0"/>
            </w:tcBorders>
            <w:shd w:val="clear" w:color="auto" w:fill="auto"/>
            <w:vAlign w:val="center"/>
          </w:tcPr>
          <w:p w14:paraId="77631A0E">
            <w:pPr>
              <w:keepNext w:val="0"/>
              <w:keepLines w:val="0"/>
              <w:widowControl/>
              <w:suppressLineNumbers w:val="0"/>
              <w:jc w:val="right"/>
              <w:textAlignment w:val="center"/>
              <w:rPr>
                <w:rFonts w:hint="eastAsia" w:ascii="仿宋_GB2312" w:hAnsi="仿宋_GB2312" w:eastAsia="仿宋_GB2312" w:cs="仿宋_GB2312"/>
                <w:b/>
                <w:bCs/>
                <w:color w:val="auto"/>
                <w:kern w:val="0"/>
                <w:sz w:val="24"/>
                <w:szCs w:val="24"/>
                <w:lang w:bidi="ar"/>
              </w:rPr>
            </w:pPr>
          </w:p>
        </w:tc>
      </w:tr>
      <w:tr w14:paraId="37FC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19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99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广州市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DA4F">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74</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373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812F">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E277">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4EA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23,375.95 </w:t>
            </w:r>
          </w:p>
        </w:tc>
        <w:tc>
          <w:tcPr>
            <w:tcW w:w="1436" w:type="dxa"/>
            <w:tcBorders>
              <w:top w:val="nil"/>
              <w:left w:val="single" w:color="000000" w:sz="4" w:space="0"/>
              <w:bottom w:val="single" w:color="000000" w:sz="4" w:space="0"/>
              <w:right w:val="single" w:color="000000" w:sz="4" w:space="0"/>
            </w:tcBorders>
            <w:shd w:val="clear" w:color="auto" w:fill="auto"/>
            <w:vAlign w:val="center"/>
          </w:tcPr>
          <w:p w14:paraId="46336FC2">
            <w:pPr>
              <w:keepNext w:val="0"/>
              <w:keepLines w:val="0"/>
              <w:widowControl/>
              <w:suppressLineNumbers w:val="0"/>
              <w:jc w:val="center"/>
              <w:textAlignment w:val="center"/>
              <w:rPr>
                <w:rFonts w:hint="eastAsia" w:ascii="仿宋_GB2312" w:hAnsi="仿宋_GB2312" w:eastAsia="仿宋_GB2312" w:cs="仿宋_GB2312"/>
                <w:b/>
                <w:bCs/>
                <w:color w:val="auto"/>
                <w:kern w:val="0"/>
                <w:sz w:val="24"/>
                <w:szCs w:val="24"/>
                <w:lang w:bidi="ar"/>
              </w:rPr>
            </w:pPr>
            <w:r>
              <w:rPr>
                <w:rFonts w:hint="default" w:ascii="Times New Roman" w:hAnsi="Times New Roman" w:eastAsia="宋体" w:cs="Times New Roman"/>
                <w:i w:val="0"/>
                <w:iCs w:val="0"/>
                <w:color w:val="auto"/>
                <w:kern w:val="0"/>
                <w:sz w:val="24"/>
                <w:szCs w:val="24"/>
                <w:u w:val="none"/>
                <w:lang w:val="en-US" w:eastAsia="zh-CN" w:bidi="ar"/>
              </w:rPr>
              <w:t xml:space="preserve">23,375.95 </w:t>
            </w:r>
          </w:p>
        </w:tc>
      </w:tr>
      <w:tr w14:paraId="4E45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66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1B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珠海市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EC4">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472</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EB1">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8C8">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BF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3,381.24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D7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3,381.24 </w:t>
            </w:r>
          </w:p>
        </w:tc>
      </w:tr>
      <w:tr w14:paraId="0E2A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5A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C2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汕头市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B01">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609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74</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BD05">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106</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19</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E0F9">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53</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CC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966.17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ED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966.17 </w:t>
            </w:r>
          </w:p>
        </w:tc>
      </w:tr>
      <w:tr w14:paraId="2432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3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F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佛山市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C6FE">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911</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72</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C3C6">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606">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019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6,747.30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EE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6,747.30 </w:t>
            </w:r>
          </w:p>
        </w:tc>
      </w:tr>
      <w:tr w14:paraId="1A94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9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0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韶关市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76EF">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824</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58</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EC7">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130</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A60">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112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87</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99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753.13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128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753.13 </w:t>
            </w:r>
          </w:p>
        </w:tc>
      </w:tr>
      <w:tr w14:paraId="5F7B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E4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A30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河源市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E57">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205</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DF7">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55</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73</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B746">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157</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93</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6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559.24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07F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559.24 </w:t>
            </w:r>
          </w:p>
        </w:tc>
      </w:tr>
      <w:tr w14:paraId="1B63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05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7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梅州市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CF58">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483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13</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684F">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45</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58</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4863">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93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74</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A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496.78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E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496.78 </w:t>
            </w:r>
          </w:p>
        </w:tc>
      </w:tr>
      <w:tr w14:paraId="0C9B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D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02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惠州市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10A">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103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D808">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29</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76</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B28">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590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44</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63C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2,857.37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A1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2,857.37 </w:t>
            </w:r>
          </w:p>
        </w:tc>
      </w:tr>
      <w:tr w14:paraId="5B0B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23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5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汕尾市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3FE">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903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47</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576">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26</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69</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36A0">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99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49</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969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297.53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5F7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297.53 </w:t>
            </w:r>
          </w:p>
        </w:tc>
      </w:tr>
      <w:tr w14:paraId="1646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8F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C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东莞市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E710">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7</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459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6528">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CD4C">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F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4,809.71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D6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4,809.71 </w:t>
            </w:r>
          </w:p>
        </w:tc>
      </w:tr>
      <w:tr w14:paraId="468B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0C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B6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中山市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8507">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180</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61</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789">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975A">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CEF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838.14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CC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838.14 </w:t>
            </w:r>
          </w:p>
        </w:tc>
      </w:tr>
      <w:tr w14:paraId="583B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8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1F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江门市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875A">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584</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90</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6C7B">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134</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94</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40C5">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140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37</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011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1,567.07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61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1,567.07 </w:t>
            </w:r>
          </w:p>
        </w:tc>
      </w:tr>
      <w:tr w14:paraId="0B61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9F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F9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阳江市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D734">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136</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04</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DE46">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44</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16</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823">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96</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54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470.46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7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470.46 </w:t>
            </w:r>
          </w:p>
        </w:tc>
      </w:tr>
      <w:tr w14:paraId="515D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8C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E5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湛江市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0FE">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74</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23</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3FFB">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113</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80</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00E1">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124</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39</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D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1,391.69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DD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1,391.69 </w:t>
            </w:r>
          </w:p>
        </w:tc>
      </w:tr>
      <w:tr w14:paraId="7C0C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2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63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茂名市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FA6">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897</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08</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4A5D">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22</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55</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E04">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129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57</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5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618.74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54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618.74 </w:t>
            </w:r>
          </w:p>
        </w:tc>
      </w:tr>
      <w:tr w14:paraId="4847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4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62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肇庆市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294">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17</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788</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05</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92B">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23</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22</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32C">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100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98</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5F3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872.15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17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872.15 </w:t>
            </w:r>
          </w:p>
        </w:tc>
      </w:tr>
      <w:tr w14:paraId="5887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34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6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清远市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E053">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513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29</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ED4">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57</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72</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E83">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302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92</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FB8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936.58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28F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936.58 </w:t>
            </w:r>
          </w:p>
        </w:tc>
      </w:tr>
      <w:tr w14:paraId="70BF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5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9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潮州市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5480">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350</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14</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918">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19</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63</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51D">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90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00</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D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513.21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55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513.21 </w:t>
            </w:r>
          </w:p>
        </w:tc>
      </w:tr>
      <w:tr w14:paraId="16FE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F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28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揭阳市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6692">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51</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20</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EC2B">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37</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04</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8F2">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13</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35</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21E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510.77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FB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510.77 </w:t>
            </w:r>
          </w:p>
        </w:tc>
      </w:tr>
      <w:tr w14:paraId="41E9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B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7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云浮市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4241">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568</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17</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D8B0">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5</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48</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6AF">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46</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9E2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431.77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9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431.77 </w:t>
            </w:r>
          </w:p>
        </w:tc>
      </w:tr>
      <w:tr w14:paraId="3D4B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81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FA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省本级</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1CD">
            <w:pPr>
              <w:keepNext w:val="0"/>
              <w:keepLines w:val="0"/>
              <w:widowControl/>
              <w:suppressLineNumbers w:val="0"/>
              <w:jc w:val="right"/>
              <w:textAlignment w:val="center"/>
              <w:rPr>
                <w:rFonts w:hint="eastAsia" w:ascii="仿宋_GB2312" w:hAnsi="仿宋_GB2312" w:eastAsia="仿宋_GB2312" w:cs="仿宋_GB2312"/>
                <w:i w:val="0"/>
                <w:iCs w:val="0"/>
                <w:color w:val="auto"/>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6A9">
            <w:pPr>
              <w:keepNext w:val="0"/>
              <w:keepLines w:val="0"/>
              <w:widowControl/>
              <w:suppressLineNumbers w:val="0"/>
              <w:jc w:val="righ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2BC">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AB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890.00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0F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890.00 </w:t>
            </w:r>
          </w:p>
        </w:tc>
      </w:tr>
      <w:tr w14:paraId="5CAB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B72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0CC2">
            <w:pPr>
              <w:keepNext w:val="0"/>
              <w:keepLines w:val="0"/>
              <w:widowControl/>
              <w:suppressLineNumbers w:val="0"/>
              <w:jc w:val="right"/>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49</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480</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217">
            <w:pPr>
              <w:keepNext w:val="0"/>
              <w:keepLines w:val="0"/>
              <w:widowControl/>
              <w:suppressLineNumbers w:val="0"/>
              <w:jc w:val="righ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853</w:t>
            </w:r>
            <w:r>
              <w:rPr>
                <w:rFonts w:hint="eastAsia" w:ascii="仿宋_GB2312" w:hAnsi="仿宋_GB2312"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00</w:t>
            </w: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24B">
            <w:pPr>
              <w:keepNext w:val="0"/>
              <w:keepLines w:val="0"/>
              <w:widowControl/>
              <w:suppressLineNumbers w:val="0"/>
              <w:jc w:val="righ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062</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00</w:t>
            </w:r>
            <w:r>
              <w:rPr>
                <w:rFonts w:hint="eastAsia" w:ascii="Times New Roman" w:hAnsi="Times New Roman" w:eastAsia="仿宋_GB2312" w:cs="Times New Roman"/>
                <w:i w:val="0"/>
                <w:iCs w:val="0"/>
                <w:color w:val="auto"/>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BB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53,285.00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9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53,285.00 </w:t>
            </w:r>
          </w:p>
        </w:tc>
      </w:tr>
      <w:bookmarkEnd w:id="3"/>
      <w:bookmarkEnd w:id="9"/>
    </w:tbl>
    <w:p w14:paraId="2D6E7224">
      <w:pPr>
        <w:pStyle w:val="16"/>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3" w:firstLineChars="200"/>
        <w:textAlignment w:val="auto"/>
        <w:outlineLvl w:val="1"/>
        <w:rPr>
          <w:rFonts w:hint="eastAsia" w:ascii="Times New Roman" w:hAnsi="Times New Roman" w:eastAsia="楷体_GB2312" w:cs="仿宋"/>
          <w:b/>
          <w:bCs/>
          <w:color w:val="auto"/>
          <w:sz w:val="32"/>
          <w:highlight w:val="none"/>
        </w:rPr>
      </w:pPr>
      <w:bookmarkStart w:id="14" w:name="_Toc31256"/>
      <w:bookmarkStart w:id="15" w:name="_Toc20139"/>
      <w:bookmarkStart w:id="16" w:name="_Toc25838"/>
      <w:r>
        <w:rPr>
          <w:rFonts w:hint="eastAsia" w:ascii="Times New Roman" w:hAnsi="Times New Roman" w:eastAsia="楷体_GB2312" w:cs="仿宋"/>
          <w:b/>
          <w:bCs/>
          <w:color w:val="auto"/>
          <w:sz w:val="32"/>
          <w:highlight w:val="none"/>
        </w:rPr>
        <w:t>资金主要用途</w:t>
      </w:r>
      <w:bookmarkEnd w:id="14"/>
      <w:bookmarkEnd w:id="15"/>
      <w:bookmarkEnd w:id="16"/>
    </w:p>
    <w:p w14:paraId="2F2DAB65">
      <w:pPr>
        <w:pageBreakBefore w:val="0"/>
        <w:widowControl/>
        <w:numPr>
          <w:ilvl w:val="-1"/>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rPr>
        <w:t>资金主要用途：</w:t>
      </w:r>
      <w:r>
        <w:rPr>
          <w:rFonts w:hint="eastAsia" w:ascii="仿宋_GB2312" w:hAnsi="Times New Roman" w:eastAsia="仿宋_GB2312"/>
          <w:color w:val="auto"/>
          <w:sz w:val="32"/>
          <w:szCs w:val="32"/>
          <w:lang w:val="en-US" w:eastAsia="zh-CN"/>
        </w:rPr>
        <w:t>主要用于开展保障性安居工程、危旧房改造与自建房排查鉴定等相关工作。包括用于配售型保障性住房、配租型保障性住房（保障性租赁住房、公共租赁住房）等保障性住房的筹集建设、发放租赁补贴、棚户区（危旧房）改造相关支出、保障性住房配套设施建设、政府投资类别的保障性住房运营维护管理方面相关支出等。</w:t>
      </w:r>
    </w:p>
    <w:p w14:paraId="401D09EF">
      <w:pPr>
        <w:pStyle w:val="16"/>
        <w:pageBreakBefore w:val="0"/>
        <w:kinsoku/>
        <w:wordWrap/>
        <w:overflowPunct/>
        <w:topLinePunct w:val="0"/>
        <w:autoSpaceDE/>
        <w:autoSpaceDN/>
        <w:bidi w:val="0"/>
        <w:adjustRightInd w:val="0"/>
        <w:snapToGrid w:val="0"/>
        <w:spacing w:line="360" w:lineRule="auto"/>
        <w:ind w:left="0" w:leftChars="0" w:firstLine="643" w:firstLineChars="200"/>
        <w:textAlignment w:val="auto"/>
        <w:outlineLvl w:val="1"/>
        <w:rPr>
          <w:rFonts w:ascii="Times New Roman" w:hAnsi="Times New Roman" w:eastAsia="楷体_GB2312" w:cs="仿宋"/>
          <w:b/>
          <w:bCs/>
          <w:color w:val="auto"/>
          <w:sz w:val="32"/>
          <w:highlight w:val="none"/>
        </w:rPr>
      </w:pPr>
      <w:bookmarkStart w:id="17" w:name="_Toc542"/>
      <w:bookmarkStart w:id="18" w:name="_Toc17300"/>
      <w:bookmarkStart w:id="19" w:name="_Toc23811"/>
      <w:r>
        <w:rPr>
          <w:rFonts w:hint="eastAsia" w:ascii="Times New Roman" w:hAnsi="Times New Roman" w:eastAsia="楷体_GB2312" w:cs="仿宋"/>
          <w:b/>
          <w:bCs/>
          <w:color w:val="auto"/>
          <w:sz w:val="32"/>
          <w:highlight w:val="none"/>
        </w:rPr>
        <w:t>（</w:t>
      </w:r>
      <w:r>
        <w:rPr>
          <w:rFonts w:hint="eastAsia" w:ascii="Times New Roman" w:hAnsi="Times New Roman" w:eastAsia="楷体_GB2312" w:cs="仿宋"/>
          <w:b/>
          <w:bCs/>
          <w:color w:val="auto"/>
          <w:sz w:val="32"/>
          <w:highlight w:val="none"/>
          <w:lang w:val="en-US" w:eastAsia="zh-CN"/>
        </w:rPr>
        <w:t>四</w:t>
      </w:r>
      <w:r>
        <w:rPr>
          <w:rFonts w:hint="eastAsia" w:ascii="Times New Roman" w:hAnsi="Times New Roman" w:eastAsia="楷体_GB2312" w:cs="仿宋"/>
          <w:b/>
          <w:bCs/>
          <w:color w:val="auto"/>
          <w:sz w:val="32"/>
          <w:highlight w:val="none"/>
        </w:rPr>
        <w:t>）绩效目标</w:t>
      </w:r>
      <w:bookmarkEnd w:id="17"/>
      <w:bookmarkEnd w:id="18"/>
      <w:bookmarkEnd w:id="19"/>
    </w:p>
    <w:p w14:paraId="2720CB7A">
      <w:pPr>
        <w:pageBreakBefore w:val="0"/>
        <w:widowControl/>
        <w:numPr>
          <w:ilvl w:val="-1"/>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Times New Roman" w:eastAsia="仿宋_GB2312"/>
          <w:color w:val="auto"/>
          <w:sz w:val="32"/>
          <w:lang w:eastAsia="zh-CN"/>
        </w:rPr>
      </w:pPr>
      <w:r>
        <w:rPr>
          <w:rFonts w:hint="eastAsia" w:ascii="仿宋_GB2312" w:hAnsi="Times New Roman" w:eastAsia="仿宋_GB2312"/>
          <w:color w:val="auto"/>
          <w:sz w:val="32"/>
        </w:rPr>
        <w:t>总体绩效目标</w:t>
      </w:r>
      <w:r>
        <w:rPr>
          <w:rFonts w:hint="eastAsia" w:ascii="仿宋_GB2312" w:hAnsi="Times New Roman" w:eastAsia="仿宋_GB2312" w:cstheme="minorBidi"/>
          <w:color w:val="auto"/>
          <w:kern w:val="2"/>
          <w:sz w:val="32"/>
          <w:szCs w:val="24"/>
          <w:lang w:val="en-US" w:eastAsia="zh-CN" w:bidi="ar"/>
        </w:rPr>
        <w:t>是：主要用于</w:t>
      </w:r>
      <w:r>
        <w:rPr>
          <w:rFonts w:hint="default" w:ascii="Times New Roman" w:hAnsi="Times New Roman" w:eastAsia="仿宋_GB2312" w:cs="Times New Roman"/>
          <w:color w:val="auto"/>
          <w:kern w:val="2"/>
          <w:sz w:val="32"/>
          <w:szCs w:val="24"/>
          <w:lang w:val="en-US" w:eastAsia="zh-CN" w:bidi="ar"/>
        </w:rPr>
        <w:t>2024</w:t>
      </w:r>
      <w:r>
        <w:rPr>
          <w:rFonts w:hint="eastAsia" w:ascii="仿宋_GB2312" w:hAnsi="Times New Roman" w:eastAsia="仿宋_GB2312" w:cstheme="minorBidi"/>
          <w:color w:val="auto"/>
          <w:kern w:val="2"/>
          <w:sz w:val="32"/>
          <w:szCs w:val="24"/>
          <w:lang w:val="en-US" w:eastAsia="zh-CN" w:bidi="ar"/>
        </w:rPr>
        <w:t>年开展保障性安居工程、危旧房改造与自建房排查鉴定等相关工作。</w:t>
      </w:r>
      <w:r>
        <w:rPr>
          <w:rFonts w:hint="eastAsia" w:ascii="仿宋_GB2312" w:hAnsi="Times New Roman" w:eastAsia="仿宋_GB2312" w:cstheme="minorBidi"/>
          <w:color w:val="auto"/>
          <w:kern w:val="2"/>
          <w:sz w:val="32"/>
          <w:szCs w:val="32"/>
          <w:lang w:val="en-US" w:eastAsia="zh-CN" w:bidi="ar"/>
        </w:rPr>
        <w:t>支持符合条件的城镇居民保障其基本居住需求，改善其居住条件，实现房住不炒、住有所居。</w:t>
      </w:r>
      <w:r>
        <w:rPr>
          <w:rFonts w:hint="eastAsia" w:ascii="仿宋_GB2312" w:hAnsi="Times New Roman" w:eastAsia="仿宋_GB2312"/>
          <w:color w:val="auto"/>
          <w:sz w:val="32"/>
        </w:rPr>
        <w:t>具体绩效指标</w:t>
      </w:r>
      <w:r>
        <w:rPr>
          <w:rFonts w:hint="eastAsia" w:ascii="仿宋_GB2312" w:hAnsi="Times New Roman" w:eastAsia="仿宋_GB2312"/>
          <w:color w:val="auto"/>
          <w:sz w:val="32"/>
          <w:lang w:eastAsia="zh-CN"/>
        </w:rPr>
        <w:t>见</w:t>
      </w:r>
      <w:r>
        <w:rPr>
          <w:rFonts w:hint="eastAsia" w:ascii="仿宋_GB2312" w:hAnsi="Times New Roman" w:eastAsia="仿宋_GB2312"/>
          <w:color w:val="auto"/>
          <w:sz w:val="32"/>
        </w:rPr>
        <w:t>表</w:t>
      </w:r>
      <w:r>
        <w:rPr>
          <w:rFonts w:hint="default" w:ascii="Times New Roman" w:hAnsi="Times New Roman" w:eastAsia="仿宋_GB2312" w:cs="Times New Roman"/>
          <w:color w:val="auto"/>
          <w:sz w:val="32"/>
          <w:lang w:val="en-US" w:eastAsia="zh-CN"/>
        </w:rPr>
        <w:t>1</w:t>
      </w:r>
      <w:r>
        <w:rPr>
          <w:rFonts w:hint="eastAsia" w:ascii="仿宋_GB2312" w:hAnsi="Times New Roman" w:eastAsia="仿宋_GB2312"/>
          <w:color w:val="auto"/>
          <w:sz w:val="32"/>
          <w:lang w:val="en-US" w:eastAsia="zh-CN"/>
        </w:rPr>
        <w:t>-</w:t>
      </w:r>
      <w:r>
        <w:rPr>
          <w:rFonts w:hint="default" w:ascii="Times New Roman" w:hAnsi="Times New Roman" w:eastAsia="仿宋_GB2312" w:cs="Times New Roman"/>
          <w:color w:val="auto"/>
          <w:sz w:val="32"/>
        </w:rPr>
        <w:t>1</w:t>
      </w:r>
      <w:r>
        <w:rPr>
          <w:rFonts w:hint="eastAsia" w:ascii="仿宋_GB2312" w:hAnsi="Times New Roman" w:eastAsia="仿宋_GB2312"/>
          <w:color w:val="auto"/>
          <w:sz w:val="32"/>
          <w:lang w:eastAsia="zh-CN"/>
        </w:rPr>
        <w:t>。</w:t>
      </w:r>
    </w:p>
    <w:p w14:paraId="054EB89D">
      <w:pPr>
        <w:widowControl/>
        <w:numPr>
          <w:ilvl w:val="255"/>
          <w:numId w:val="0"/>
        </w:numPr>
        <w:spacing w:beforeLines="0"/>
        <w:jc w:val="center"/>
        <w:rPr>
          <w:rFonts w:hint="eastAsia" w:ascii="黑体" w:hAnsi="黑体" w:eastAsia="黑体" w:cs="黑体"/>
          <w:color w:val="auto"/>
          <w:sz w:val="28"/>
          <w:szCs w:val="28"/>
        </w:rPr>
      </w:pPr>
      <w:r>
        <w:rPr>
          <w:rFonts w:hint="eastAsia" w:ascii="黑体" w:hAnsi="黑体" w:eastAsia="黑体" w:cs="黑体"/>
          <w:color w:val="auto"/>
          <w:sz w:val="28"/>
          <w:szCs w:val="28"/>
        </w:rPr>
        <w:t>表</w:t>
      </w:r>
      <w:r>
        <w:rPr>
          <w:rFonts w:hint="default" w:ascii="Times New Roman" w:hAnsi="Times New Roman" w:eastAsia="黑体" w:cs="Times New Roman"/>
          <w:color w:val="auto"/>
          <w:sz w:val="28"/>
          <w:szCs w:val="28"/>
          <w:lang w:val="en-US" w:eastAsia="zh-CN"/>
        </w:rPr>
        <w:t>1</w:t>
      </w:r>
      <w:r>
        <w:rPr>
          <w:rFonts w:hint="eastAsia" w:ascii="黑体" w:hAnsi="黑体" w:eastAsia="黑体" w:cs="黑体"/>
          <w:color w:val="auto"/>
          <w:sz w:val="28"/>
          <w:szCs w:val="28"/>
          <w:lang w:val="en-US" w:eastAsia="zh-CN"/>
        </w:rPr>
        <w:t>-</w:t>
      </w:r>
      <w:r>
        <w:rPr>
          <w:rFonts w:hint="default" w:ascii="Times New Roman" w:hAnsi="Times New Roman" w:eastAsia="黑体" w:cs="Times New Roman"/>
          <w:color w:val="auto"/>
          <w:sz w:val="28"/>
          <w:szCs w:val="28"/>
        </w:rPr>
        <w:t>1</w:t>
      </w:r>
      <w:r>
        <w:rPr>
          <w:rFonts w:hint="eastAsia" w:ascii="黑体" w:hAnsi="黑体" w:eastAsia="黑体" w:cs="黑体"/>
          <w:color w:val="auto"/>
          <w:sz w:val="28"/>
          <w:szCs w:val="28"/>
        </w:rPr>
        <w:t xml:space="preserve"> </w:t>
      </w:r>
      <w:r>
        <w:rPr>
          <w:rFonts w:hint="default" w:ascii="Times New Roman" w:hAnsi="Times New Roman" w:eastAsia="黑体" w:cs="Times New Roman"/>
          <w:color w:val="auto"/>
          <w:sz w:val="28"/>
          <w:szCs w:val="28"/>
          <w:lang w:eastAsia="zh-CN"/>
        </w:rPr>
        <w:t>2023</w:t>
      </w:r>
      <w:r>
        <w:rPr>
          <w:rFonts w:hint="eastAsia" w:ascii="Times New Roman" w:hAnsi="Times New Roman" w:eastAsia="黑体" w:cs="Times New Roman"/>
          <w:color w:val="auto"/>
          <w:sz w:val="28"/>
          <w:szCs w:val="28"/>
          <w:lang w:eastAsia="zh-CN"/>
        </w:rPr>
        <w:t>年</w:t>
      </w:r>
      <w:r>
        <w:rPr>
          <w:rFonts w:hint="eastAsia" w:ascii="黑体" w:hAnsi="黑体" w:eastAsia="黑体" w:cs="黑体"/>
          <w:color w:val="auto"/>
          <w:sz w:val="28"/>
          <w:szCs w:val="28"/>
          <w:lang w:val="en-US" w:eastAsia="zh-CN"/>
        </w:rPr>
        <w:t>保障性安居工程</w:t>
      </w:r>
      <w:r>
        <w:rPr>
          <w:rFonts w:hint="eastAsia" w:ascii="黑体" w:hAnsi="黑体" w:eastAsia="黑体" w:cs="黑体"/>
          <w:color w:val="auto"/>
          <w:sz w:val="28"/>
          <w:szCs w:val="28"/>
          <w:lang w:eastAsia="zh-CN"/>
        </w:rPr>
        <w:t>专项</w:t>
      </w:r>
      <w:r>
        <w:rPr>
          <w:rFonts w:hint="eastAsia" w:ascii="黑体" w:hAnsi="黑体" w:eastAsia="黑体" w:cs="黑体"/>
          <w:color w:val="auto"/>
          <w:sz w:val="28"/>
          <w:szCs w:val="28"/>
        </w:rPr>
        <w:t>补助</w:t>
      </w:r>
      <w:r>
        <w:rPr>
          <w:rFonts w:hint="eastAsia" w:ascii="黑体" w:hAnsi="黑体" w:eastAsia="黑体" w:cs="黑体"/>
          <w:color w:val="auto"/>
          <w:sz w:val="28"/>
          <w:szCs w:val="28"/>
          <w:lang w:eastAsia="zh-CN"/>
        </w:rPr>
        <w:t>资金</w:t>
      </w:r>
      <w:r>
        <w:rPr>
          <w:rFonts w:hint="eastAsia" w:ascii="黑体" w:hAnsi="黑体" w:eastAsia="黑体" w:cs="黑体"/>
          <w:color w:val="auto"/>
          <w:sz w:val="28"/>
          <w:szCs w:val="28"/>
        </w:rPr>
        <w:t>绩效</w:t>
      </w:r>
      <w:r>
        <w:rPr>
          <w:rFonts w:hint="eastAsia" w:ascii="黑体" w:hAnsi="黑体" w:eastAsia="黑体" w:cs="黑体"/>
          <w:color w:val="auto"/>
          <w:sz w:val="28"/>
          <w:szCs w:val="28"/>
          <w:lang w:eastAsia="zh-CN"/>
        </w:rPr>
        <w:t>指</w:t>
      </w:r>
      <w:r>
        <w:rPr>
          <w:rFonts w:hint="eastAsia" w:ascii="黑体" w:hAnsi="黑体" w:eastAsia="黑体" w:cs="黑体"/>
          <w:color w:val="auto"/>
          <w:sz w:val="28"/>
          <w:szCs w:val="28"/>
        </w:rPr>
        <w:t>标表</w:t>
      </w:r>
      <w:r>
        <w:rPr>
          <w:rStyle w:val="28"/>
          <w:rFonts w:hint="eastAsia" w:ascii="黑体" w:hAnsi="黑体" w:eastAsia="黑体" w:cs="黑体"/>
          <w:color w:val="auto"/>
          <w:sz w:val="28"/>
          <w:szCs w:val="28"/>
        </w:rPr>
        <w:footnoteReference w:id="0"/>
      </w: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954"/>
        <w:gridCol w:w="3489"/>
        <w:gridCol w:w="2967"/>
      </w:tblGrid>
      <w:tr w14:paraId="7C17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890" w:type="dxa"/>
            <w:vAlign w:val="center"/>
          </w:tcPr>
          <w:p w14:paraId="5D5B26E2">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一级指标</w:t>
            </w:r>
          </w:p>
        </w:tc>
        <w:tc>
          <w:tcPr>
            <w:tcW w:w="1954" w:type="dxa"/>
            <w:vAlign w:val="center"/>
          </w:tcPr>
          <w:p w14:paraId="7DDEE64E">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二级指标</w:t>
            </w:r>
          </w:p>
        </w:tc>
        <w:tc>
          <w:tcPr>
            <w:tcW w:w="3489" w:type="dxa"/>
            <w:vAlign w:val="center"/>
          </w:tcPr>
          <w:p w14:paraId="761976DD">
            <w:pPr>
              <w:widowControl/>
              <w:numPr>
                <w:ilvl w:val="255"/>
                <w:numId w:val="0"/>
              </w:numPr>
              <w:spacing w:beforeLine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三级指标</w:t>
            </w:r>
          </w:p>
        </w:tc>
        <w:tc>
          <w:tcPr>
            <w:tcW w:w="2967" w:type="dxa"/>
            <w:vAlign w:val="center"/>
          </w:tcPr>
          <w:p w14:paraId="25064EEC">
            <w:pPr>
              <w:widowControl/>
              <w:numPr>
                <w:ilvl w:val="255"/>
                <w:numId w:val="0"/>
              </w:numPr>
              <w:spacing w:beforeLine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指标值</w:t>
            </w:r>
          </w:p>
        </w:tc>
      </w:tr>
      <w:tr w14:paraId="23E1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0" w:type="dxa"/>
            <w:vMerge w:val="restart"/>
            <w:vAlign w:val="center"/>
          </w:tcPr>
          <w:p w14:paraId="0BDEDD6E">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产出指标</w:t>
            </w:r>
          </w:p>
        </w:tc>
        <w:tc>
          <w:tcPr>
            <w:tcW w:w="1954" w:type="dxa"/>
            <w:vMerge w:val="restart"/>
            <w:vAlign w:val="center"/>
          </w:tcPr>
          <w:p w14:paraId="490EECF5">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数量指标</w:t>
            </w:r>
          </w:p>
        </w:tc>
        <w:tc>
          <w:tcPr>
            <w:tcW w:w="3489" w:type="dxa"/>
            <w:vAlign w:val="center"/>
          </w:tcPr>
          <w:p w14:paraId="571239B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新筹建公共租赁住房（万套）</w:t>
            </w:r>
          </w:p>
        </w:tc>
        <w:tc>
          <w:tcPr>
            <w:tcW w:w="2967" w:type="dxa"/>
            <w:vAlign w:val="center"/>
          </w:tcPr>
          <w:p w14:paraId="18706CB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0.05</w:t>
            </w:r>
          </w:p>
        </w:tc>
      </w:tr>
      <w:tr w14:paraId="64F9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0" w:type="dxa"/>
            <w:vMerge w:val="continue"/>
            <w:vAlign w:val="center"/>
          </w:tcPr>
          <w:p w14:paraId="7A37279B">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196E3F0E">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0F14824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发放租赁补贴（万户）</w:t>
            </w:r>
          </w:p>
        </w:tc>
        <w:tc>
          <w:tcPr>
            <w:tcW w:w="2967" w:type="dxa"/>
            <w:vAlign w:val="center"/>
          </w:tcPr>
          <w:p w14:paraId="114B0F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4.8</w:t>
            </w:r>
          </w:p>
        </w:tc>
      </w:tr>
      <w:tr w14:paraId="2530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0" w:type="dxa"/>
            <w:vMerge w:val="continue"/>
            <w:vAlign w:val="center"/>
          </w:tcPr>
          <w:p w14:paraId="393D90FA">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4C71AC23">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638D5F1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筹建保障性租赁住房（万套）</w:t>
            </w:r>
          </w:p>
        </w:tc>
        <w:tc>
          <w:tcPr>
            <w:tcW w:w="2967" w:type="dxa"/>
            <w:vAlign w:val="center"/>
          </w:tcPr>
          <w:p w14:paraId="493C0E7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12</w:t>
            </w:r>
          </w:p>
        </w:tc>
      </w:tr>
      <w:tr w14:paraId="720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0" w:type="dxa"/>
            <w:vMerge w:val="continue"/>
            <w:vAlign w:val="center"/>
          </w:tcPr>
          <w:p w14:paraId="08D64FB1">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restart"/>
            <w:vAlign w:val="center"/>
          </w:tcPr>
          <w:p w14:paraId="1ED8D641">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质量指标</w:t>
            </w:r>
          </w:p>
        </w:tc>
        <w:tc>
          <w:tcPr>
            <w:tcW w:w="3489" w:type="dxa"/>
            <w:vAlign w:val="center"/>
          </w:tcPr>
          <w:p w14:paraId="5ECB7C0F">
            <w:pPr>
              <w:keepNext w:val="0"/>
              <w:keepLines w:val="0"/>
              <w:widowControl/>
              <w:suppressLineNumbers w:val="0"/>
              <w:jc w:val="center"/>
              <w:textAlignment w:val="center"/>
              <w:rPr>
                <w:rFonts w:hint="default" w:ascii="Times New Roman" w:hAnsi="Times New Roman" w:eastAsia="仿宋_GB2312" w:cs="Times New Roman"/>
                <w:color w:val="auto"/>
                <w:spacing w:val="-6"/>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工程质量是否符合标准（是/否）</w:t>
            </w:r>
          </w:p>
        </w:tc>
        <w:tc>
          <w:tcPr>
            <w:tcW w:w="2967" w:type="dxa"/>
            <w:vAlign w:val="center"/>
          </w:tcPr>
          <w:p w14:paraId="06BB3980">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是</w:t>
            </w:r>
          </w:p>
        </w:tc>
      </w:tr>
      <w:tr w14:paraId="23E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0" w:type="dxa"/>
            <w:vMerge w:val="continue"/>
            <w:vAlign w:val="center"/>
          </w:tcPr>
          <w:p w14:paraId="045A0DDF">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1DA61F92">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68A9BB53">
            <w:pPr>
              <w:keepNext w:val="0"/>
              <w:keepLines w:val="0"/>
              <w:widowControl/>
              <w:suppressLineNumbers w:val="0"/>
              <w:jc w:val="center"/>
              <w:textAlignment w:val="center"/>
              <w:rPr>
                <w:rFonts w:hint="default" w:ascii="Times New Roman" w:hAnsi="Times New Roman" w:eastAsia="仿宋_GB2312" w:cs="Times New Roman"/>
                <w:color w:val="auto"/>
                <w:spacing w:val="-6"/>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验收及时率（%）</w:t>
            </w:r>
          </w:p>
        </w:tc>
        <w:tc>
          <w:tcPr>
            <w:tcW w:w="2967" w:type="dxa"/>
            <w:vAlign w:val="center"/>
          </w:tcPr>
          <w:p w14:paraId="6F00289B">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≥90%</w:t>
            </w:r>
          </w:p>
        </w:tc>
      </w:tr>
      <w:tr w14:paraId="28DE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0" w:type="dxa"/>
            <w:vMerge w:val="continue"/>
            <w:vAlign w:val="center"/>
          </w:tcPr>
          <w:p w14:paraId="1A6CF84D">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76408F47">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621A9EF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归集平台中初判存在安全隐患的经营性自建房鉴定完成率（%）</w:t>
            </w:r>
          </w:p>
        </w:tc>
        <w:tc>
          <w:tcPr>
            <w:tcW w:w="2967" w:type="dxa"/>
            <w:vAlign w:val="center"/>
          </w:tcPr>
          <w:p w14:paraId="3833231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w:t>
            </w:r>
          </w:p>
        </w:tc>
      </w:tr>
      <w:tr w14:paraId="546B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0" w:type="dxa"/>
            <w:vMerge w:val="continue"/>
            <w:vAlign w:val="center"/>
          </w:tcPr>
          <w:p w14:paraId="4A7EEEA7">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restart"/>
            <w:vAlign w:val="center"/>
          </w:tcPr>
          <w:p w14:paraId="1398C005">
            <w:pPr>
              <w:widowControl/>
              <w:numPr>
                <w:ilvl w:val="255"/>
                <w:numId w:val="0"/>
              </w:numPr>
              <w:spacing w:before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时效指标</w:t>
            </w:r>
          </w:p>
        </w:tc>
        <w:tc>
          <w:tcPr>
            <w:tcW w:w="3489" w:type="dxa"/>
            <w:shd w:val="clear" w:color="auto" w:fill="auto"/>
            <w:vAlign w:val="center"/>
          </w:tcPr>
          <w:p w14:paraId="2C8B294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在年底前完成年度目标（是/否）</w:t>
            </w:r>
          </w:p>
        </w:tc>
        <w:tc>
          <w:tcPr>
            <w:tcW w:w="2967" w:type="dxa"/>
            <w:shd w:val="clear" w:color="auto" w:fill="auto"/>
            <w:vAlign w:val="center"/>
          </w:tcPr>
          <w:p w14:paraId="6C8B07C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是</w:t>
            </w:r>
          </w:p>
        </w:tc>
      </w:tr>
      <w:tr w14:paraId="495C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0" w:type="dxa"/>
            <w:vMerge w:val="continue"/>
            <w:vAlign w:val="center"/>
          </w:tcPr>
          <w:p w14:paraId="50D6BA4A">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43A9D868">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190EB851">
            <w:pPr>
              <w:keepNext w:val="0"/>
              <w:keepLines w:val="0"/>
              <w:widowControl/>
              <w:suppressLineNumbers w:val="0"/>
              <w:jc w:val="center"/>
              <w:textAlignment w:val="center"/>
              <w:rPr>
                <w:rFonts w:hint="default" w:ascii="Times New Roman" w:hAnsi="Times New Roman" w:eastAsia="仿宋_GB2312" w:cs="Times New Roman"/>
                <w:color w:val="auto"/>
                <w:spacing w:val="-6"/>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城市危旧房计划排查鉴定完成时间</w:t>
            </w:r>
          </w:p>
        </w:tc>
        <w:tc>
          <w:tcPr>
            <w:tcW w:w="2967" w:type="dxa"/>
            <w:vAlign w:val="center"/>
          </w:tcPr>
          <w:p w14:paraId="70323094">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i w:val="0"/>
                <w:iCs w:val="0"/>
                <w:color w:val="auto"/>
                <w:kern w:val="0"/>
                <w:sz w:val="24"/>
                <w:szCs w:val="24"/>
                <w:u w:val="none"/>
                <w:lang w:val="en-US" w:eastAsia="zh-CN" w:bidi="ar"/>
              </w:rPr>
              <w:t>2024年12月</w:t>
            </w:r>
          </w:p>
        </w:tc>
      </w:tr>
      <w:tr w14:paraId="401C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0" w:type="dxa"/>
            <w:vMerge w:val="continue"/>
            <w:vAlign w:val="center"/>
          </w:tcPr>
          <w:p w14:paraId="131B657B">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1954" w:type="dxa"/>
            <w:vMerge w:val="continue"/>
            <w:vAlign w:val="center"/>
          </w:tcPr>
          <w:p w14:paraId="117A1670">
            <w:pPr>
              <w:widowControl/>
              <w:numPr>
                <w:ilvl w:val="255"/>
                <w:numId w:val="0"/>
              </w:numPr>
              <w:spacing w:beforeLines="0"/>
              <w:jc w:val="center"/>
              <w:rPr>
                <w:rFonts w:hint="eastAsia" w:ascii="仿宋_GB2312" w:hAnsi="仿宋_GB2312" w:eastAsia="仿宋_GB2312" w:cs="仿宋_GB2312"/>
                <w:color w:val="auto"/>
                <w:sz w:val="24"/>
                <w:szCs w:val="24"/>
              </w:rPr>
            </w:pPr>
          </w:p>
        </w:tc>
        <w:tc>
          <w:tcPr>
            <w:tcW w:w="3489" w:type="dxa"/>
            <w:vAlign w:val="center"/>
          </w:tcPr>
          <w:p w14:paraId="2AFC31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全省初判存在安全隐患的经营性自建房鉴定工作完成时间</w:t>
            </w:r>
          </w:p>
        </w:tc>
        <w:tc>
          <w:tcPr>
            <w:tcW w:w="2967" w:type="dxa"/>
            <w:vAlign w:val="center"/>
          </w:tcPr>
          <w:p w14:paraId="1D2742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2024年</w:t>
            </w:r>
          </w:p>
        </w:tc>
      </w:tr>
      <w:tr w14:paraId="2E5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0" w:type="dxa"/>
            <w:vMerge w:val="restart"/>
            <w:vAlign w:val="center"/>
          </w:tcPr>
          <w:p w14:paraId="66BD060B">
            <w:pPr>
              <w:widowControl/>
              <w:numPr>
                <w:ilvl w:val="255"/>
                <w:numId w:val="0"/>
              </w:numPr>
              <w:spacing w:before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效益指标</w:t>
            </w:r>
          </w:p>
        </w:tc>
        <w:tc>
          <w:tcPr>
            <w:tcW w:w="1954" w:type="dxa"/>
            <w:vAlign w:val="center"/>
          </w:tcPr>
          <w:p w14:paraId="0E1FE8C2">
            <w:pPr>
              <w:widowControl/>
              <w:numPr>
                <w:ilvl w:val="255"/>
                <w:numId w:val="0"/>
              </w:numPr>
              <w:spacing w:before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社会效益指标</w:t>
            </w:r>
          </w:p>
        </w:tc>
        <w:tc>
          <w:tcPr>
            <w:tcW w:w="3489" w:type="dxa"/>
            <w:vAlign w:val="center"/>
          </w:tcPr>
          <w:p w14:paraId="3D52FB2E">
            <w:pPr>
              <w:keepNext w:val="0"/>
              <w:keepLines w:val="0"/>
              <w:widowControl/>
              <w:suppressLineNumbers w:val="0"/>
              <w:jc w:val="center"/>
              <w:textAlignment w:val="center"/>
              <w:rPr>
                <w:rFonts w:hint="default" w:ascii="Times New Roman" w:hAnsi="Times New Roman" w:eastAsia="仿宋_GB2312" w:cs="Times New Roman"/>
                <w:b/>
                <w:bCs/>
                <w:color w:val="auto"/>
                <w:spacing w:val="-6"/>
                <w:sz w:val="24"/>
                <w:szCs w:val="24"/>
              </w:rPr>
            </w:pPr>
            <w:r>
              <w:rPr>
                <w:rFonts w:hint="default" w:ascii="Times New Roman" w:hAnsi="Times New Roman" w:eastAsia="仿宋_GB2312" w:cs="Times New Roman"/>
                <w:i w:val="0"/>
                <w:iCs w:val="0"/>
                <w:color w:val="auto"/>
                <w:kern w:val="0"/>
                <w:sz w:val="24"/>
                <w:szCs w:val="24"/>
                <w:u w:val="none"/>
                <w:lang w:val="en-US" w:eastAsia="zh-CN" w:bidi="ar"/>
              </w:rPr>
              <w:t>存在安全隐患的经营性自建房数量</w:t>
            </w:r>
          </w:p>
        </w:tc>
        <w:tc>
          <w:tcPr>
            <w:tcW w:w="2967" w:type="dxa"/>
            <w:vAlign w:val="center"/>
          </w:tcPr>
          <w:p w14:paraId="6623772B">
            <w:pPr>
              <w:keepNext w:val="0"/>
              <w:keepLines w:val="0"/>
              <w:widowControl/>
              <w:suppressLineNumbers w:val="0"/>
              <w:jc w:val="center"/>
              <w:textAlignment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逐年下降</w:t>
            </w:r>
          </w:p>
        </w:tc>
      </w:tr>
      <w:tr w14:paraId="0892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0" w:type="dxa"/>
            <w:vMerge w:val="continue"/>
            <w:vAlign w:val="center"/>
          </w:tcPr>
          <w:p w14:paraId="07368475">
            <w:pPr>
              <w:widowControl/>
              <w:numPr>
                <w:ilvl w:val="255"/>
                <w:numId w:val="0"/>
              </w:numPr>
              <w:spacing w:beforeLines="0"/>
              <w:jc w:val="center"/>
              <w:rPr>
                <w:rFonts w:hint="eastAsia" w:ascii="仿宋_GB2312" w:hAnsi="仿宋_GB2312" w:eastAsia="仿宋_GB2312" w:cs="仿宋_GB2312"/>
                <w:color w:val="auto"/>
                <w:sz w:val="24"/>
                <w:szCs w:val="24"/>
                <w:highlight w:val="none"/>
              </w:rPr>
            </w:pPr>
          </w:p>
        </w:tc>
        <w:tc>
          <w:tcPr>
            <w:tcW w:w="1954" w:type="dxa"/>
            <w:vAlign w:val="center"/>
          </w:tcPr>
          <w:p w14:paraId="6D25AA9B">
            <w:pPr>
              <w:widowControl/>
              <w:numPr>
                <w:ilvl w:val="255"/>
                <w:numId w:val="0"/>
              </w:numPr>
              <w:spacing w:beforeLine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可持续影响指</w:t>
            </w:r>
            <w:r>
              <w:rPr>
                <w:rFonts w:hint="eastAsia" w:ascii="仿宋_GB2312" w:hAnsi="仿宋_GB2312" w:eastAsia="仿宋_GB2312" w:cs="仿宋_GB2312"/>
                <w:color w:val="auto"/>
                <w:sz w:val="24"/>
                <w:szCs w:val="24"/>
                <w:highlight w:val="none"/>
                <w:lang w:val="en-US" w:eastAsia="zh-CN"/>
              </w:rPr>
              <w:t>标</w:t>
            </w:r>
          </w:p>
        </w:tc>
        <w:tc>
          <w:tcPr>
            <w:tcW w:w="3489" w:type="dxa"/>
            <w:vAlign w:val="center"/>
          </w:tcPr>
          <w:p w14:paraId="32E1ACFC">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城市危旧房通过危险性房屋鉴定为 C、D级（栋）</w:t>
            </w:r>
          </w:p>
        </w:tc>
        <w:tc>
          <w:tcPr>
            <w:tcW w:w="2967" w:type="dxa"/>
            <w:vAlign w:val="center"/>
          </w:tcPr>
          <w:p w14:paraId="4CCE473A">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u w:val="none"/>
                <w:lang w:val="en-US" w:eastAsia="zh-CN" w:bidi="ar"/>
              </w:rPr>
              <w:t>约500</w:t>
            </w:r>
          </w:p>
        </w:tc>
      </w:tr>
      <w:tr w14:paraId="427D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0" w:type="dxa"/>
            <w:vMerge w:val="continue"/>
            <w:vAlign w:val="center"/>
          </w:tcPr>
          <w:p w14:paraId="140B71CB">
            <w:pPr>
              <w:widowControl/>
              <w:numPr>
                <w:ilvl w:val="255"/>
                <w:numId w:val="0"/>
              </w:numPr>
              <w:spacing w:beforeLines="0"/>
              <w:jc w:val="center"/>
              <w:rPr>
                <w:rFonts w:hint="eastAsia" w:ascii="仿宋_GB2312" w:hAnsi="仿宋_GB2312" w:eastAsia="仿宋_GB2312" w:cs="仿宋_GB2312"/>
                <w:color w:val="auto"/>
                <w:sz w:val="24"/>
                <w:szCs w:val="24"/>
                <w:highlight w:val="none"/>
              </w:rPr>
            </w:pPr>
          </w:p>
        </w:tc>
        <w:tc>
          <w:tcPr>
            <w:tcW w:w="1954" w:type="dxa"/>
            <w:vMerge w:val="restart"/>
            <w:vAlign w:val="center"/>
          </w:tcPr>
          <w:p w14:paraId="5DBEBC42">
            <w:pPr>
              <w:widowControl/>
              <w:numPr>
                <w:ilvl w:val="255"/>
                <w:numId w:val="0"/>
              </w:numPr>
              <w:spacing w:before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满意度指标</w:t>
            </w:r>
          </w:p>
        </w:tc>
        <w:tc>
          <w:tcPr>
            <w:tcW w:w="3489" w:type="dxa"/>
            <w:vAlign w:val="center"/>
          </w:tcPr>
          <w:p w14:paraId="5F832C43">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u w:val="none"/>
                <w:lang w:val="en-US" w:eastAsia="zh-CN" w:bidi="ar"/>
              </w:rPr>
              <w:t>城镇住房保障家庭抽查满意度（%）</w:t>
            </w:r>
          </w:p>
        </w:tc>
        <w:tc>
          <w:tcPr>
            <w:tcW w:w="2967" w:type="dxa"/>
            <w:vAlign w:val="center"/>
          </w:tcPr>
          <w:p w14:paraId="6F9511A2">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r>
      <w:tr w14:paraId="6043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0" w:type="dxa"/>
            <w:vMerge w:val="continue"/>
            <w:vAlign w:val="center"/>
          </w:tcPr>
          <w:p w14:paraId="715D749F">
            <w:pPr>
              <w:widowControl/>
              <w:numPr>
                <w:ilvl w:val="255"/>
                <w:numId w:val="0"/>
              </w:numPr>
              <w:spacing w:beforeLines="0"/>
              <w:jc w:val="center"/>
              <w:rPr>
                <w:rFonts w:hint="eastAsia" w:ascii="仿宋_GB2312" w:hAnsi="仿宋_GB2312" w:eastAsia="仿宋_GB2312" w:cs="仿宋_GB2312"/>
                <w:color w:val="auto"/>
                <w:sz w:val="24"/>
                <w:szCs w:val="24"/>
                <w:highlight w:val="none"/>
              </w:rPr>
            </w:pPr>
          </w:p>
        </w:tc>
        <w:tc>
          <w:tcPr>
            <w:tcW w:w="1954" w:type="dxa"/>
            <w:vMerge w:val="continue"/>
            <w:vAlign w:val="center"/>
          </w:tcPr>
          <w:p w14:paraId="3A6BF34B">
            <w:pPr>
              <w:widowControl/>
              <w:numPr>
                <w:ilvl w:val="255"/>
                <w:numId w:val="0"/>
              </w:numPr>
              <w:spacing w:beforeLines="0"/>
              <w:jc w:val="center"/>
              <w:rPr>
                <w:rFonts w:hint="eastAsia" w:ascii="仿宋_GB2312" w:hAnsi="仿宋_GB2312" w:eastAsia="仿宋_GB2312" w:cs="仿宋_GB2312"/>
                <w:color w:val="auto"/>
                <w:sz w:val="24"/>
                <w:szCs w:val="24"/>
                <w:highlight w:val="none"/>
              </w:rPr>
            </w:pPr>
          </w:p>
        </w:tc>
        <w:tc>
          <w:tcPr>
            <w:tcW w:w="3489" w:type="dxa"/>
            <w:vAlign w:val="center"/>
          </w:tcPr>
          <w:p w14:paraId="6906CF7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省市住建主管部门对自建房安全专项排查工作开展情况满意度（%）</w:t>
            </w:r>
          </w:p>
        </w:tc>
        <w:tc>
          <w:tcPr>
            <w:tcW w:w="2967" w:type="dxa"/>
            <w:vAlign w:val="center"/>
          </w:tcPr>
          <w:p w14:paraId="09CEE1A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≥95%</w:t>
            </w:r>
          </w:p>
        </w:tc>
      </w:tr>
    </w:tbl>
    <w:p w14:paraId="696D75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_GB2312" w:hAnsi="仿宋" w:eastAsia="仿宋_GB2312" w:cs="仿宋"/>
          <w:color w:val="auto"/>
          <w:spacing w:val="-6"/>
          <w:sz w:val="21"/>
          <w:szCs w:val="18"/>
          <w:lang w:val="en-US" w:eastAsia="zh-CN"/>
        </w:rPr>
      </w:pPr>
    </w:p>
    <w:p w14:paraId="14F6A7E3">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40" w:firstLineChars="200"/>
        <w:textAlignment w:val="auto"/>
        <w:outlineLvl w:val="0"/>
        <w:rPr>
          <w:rFonts w:hint="eastAsia" w:eastAsia="黑体"/>
          <w:color w:val="auto"/>
          <w:kern w:val="0"/>
          <w:sz w:val="32"/>
          <w:szCs w:val="32"/>
          <w:highlight w:val="none"/>
          <w:lang w:val="en-US" w:eastAsia="zh-CN"/>
        </w:rPr>
      </w:pPr>
      <w:bookmarkStart w:id="20" w:name="_Toc18563"/>
      <w:bookmarkStart w:id="21" w:name="_Toc31936"/>
      <w:bookmarkStart w:id="22" w:name="_Toc5290"/>
      <w:bookmarkStart w:id="23" w:name="_Toc27566"/>
      <w:r>
        <w:rPr>
          <w:rFonts w:hint="eastAsia" w:eastAsia="黑体"/>
          <w:color w:val="auto"/>
          <w:kern w:val="0"/>
          <w:sz w:val="32"/>
          <w:szCs w:val="32"/>
          <w:highlight w:val="none"/>
        </w:rPr>
        <w:t>自评</w:t>
      </w:r>
      <w:bookmarkEnd w:id="20"/>
      <w:bookmarkEnd w:id="21"/>
      <w:bookmarkEnd w:id="22"/>
      <w:r>
        <w:rPr>
          <w:rFonts w:hint="eastAsia" w:eastAsia="黑体"/>
          <w:color w:val="auto"/>
          <w:kern w:val="0"/>
          <w:sz w:val="32"/>
          <w:szCs w:val="32"/>
          <w:highlight w:val="none"/>
          <w:lang w:val="en-US" w:eastAsia="zh-CN"/>
        </w:rPr>
        <w:t>情况</w:t>
      </w:r>
      <w:bookmarkEnd w:id="23"/>
    </w:p>
    <w:p w14:paraId="396505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1"/>
        <w:rPr>
          <w:rFonts w:hint="eastAsia" w:ascii="楷体_GB2312" w:hAnsi="楷体_GB2312" w:eastAsia="楷体_GB2312" w:cs="楷体_GB2312"/>
          <w:b/>
          <w:bCs/>
          <w:color w:val="auto"/>
          <w:kern w:val="0"/>
          <w:sz w:val="32"/>
          <w:szCs w:val="32"/>
          <w:highlight w:val="none"/>
          <w:lang w:val="en-US" w:eastAsia="zh-CN"/>
        </w:rPr>
      </w:pPr>
      <w:bookmarkStart w:id="24" w:name="_Toc456"/>
      <w:r>
        <w:rPr>
          <w:rFonts w:hint="eastAsia" w:ascii="楷体_GB2312" w:hAnsi="楷体_GB2312" w:eastAsia="楷体_GB2312" w:cs="楷体_GB2312"/>
          <w:b/>
          <w:bCs/>
          <w:color w:val="auto"/>
          <w:kern w:val="0"/>
          <w:sz w:val="32"/>
          <w:szCs w:val="32"/>
          <w:highlight w:val="none"/>
          <w:lang w:val="en-US" w:eastAsia="zh-CN"/>
        </w:rPr>
        <w:t>（一）自评结论</w:t>
      </w:r>
      <w:bookmarkEnd w:id="24"/>
    </w:p>
    <w:p w14:paraId="2844805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综合分析</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年保障性安居工程专项资金项目的过程、产出和效益，项目基本完成了预期目标任务，取得了较好成效。但由于</w:t>
      </w:r>
      <w:r>
        <w:rPr>
          <w:rFonts w:hint="eastAsia" w:ascii="仿宋_GB2312" w:eastAsia="仿宋_GB2312"/>
          <w:color w:val="auto"/>
          <w:sz w:val="32"/>
          <w:szCs w:val="32"/>
          <w:lang w:val="en-US" w:eastAsia="zh-CN"/>
        </w:rPr>
        <w:t>部分地市财政紧张、</w:t>
      </w:r>
      <w:r>
        <w:rPr>
          <w:rFonts w:hint="eastAsia" w:ascii="仿宋_GB2312" w:eastAsia="仿宋_GB2312"/>
          <w:color w:val="auto"/>
          <w:sz w:val="32"/>
          <w:szCs w:val="32"/>
        </w:rPr>
        <w:t>项目前期工作</w:t>
      </w:r>
      <w:r>
        <w:rPr>
          <w:rFonts w:hint="eastAsia" w:ascii="仿宋_GB2312" w:eastAsia="仿宋_GB2312"/>
          <w:color w:val="auto"/>
          <w:sz w:val="32"/>
          <w:szCs w:val="32"/>
          <w:lang w:val="en-US" w:eastAsia="zh-CN"/>
        </w:rPr>
        <w:t>不足及多地危旧房改造面临诸多难题、</w:t>
      </w:r>
      <w:r>
        <w:rPr>
          <w:rFonts w:hint="default" w:ascii="Times New Roman" w:hAnsi="Times New Roman" w:eastAsia="仿宋_GB2312" w:cs="Times New Roman"/>
          <w:color w:val="auto"/>
          <w:sz w:val="32"/>
          <w:szCs w:val="32"/>
        </w:rPr>
        <w:t>自建房整治项目执行存在梗阻</w:t>
      </w:r>
      <w:r>
        <w:rPr>
          <w:rFonts w:hint="eastAsia" w:ascii="仿宋_GB2312" w:eastAsia="仿宋_GB2312"/>
          <w:color w:val="auto"/>
          <w:sz w:val="32"/>
          <w:szCs w:val="32"/>
          <w:lang w:val="en-US" w:eastAsia="zh-CN"/>
        </w:rPr>
        <w:t>等原因，部分地市</w:t>
      </w:r>
      <w:r>
        <w:rPr>
          <w:rFonts w:hint="eastAsia" w:ascii="仿宋_GB2312" w:eastAsia="仿宋_GB2312"/>
          <w:color w:val="auto"/>
          <w:sz w:val="32"/>
          <w:szCs w:val="32"/>
        </w:rPr>
        <w:t>资金支出</w:t>
      </w:r>
      <w:r>
        <w:rPr>
          <w:rFonts w:hint="eastAsia" w:ascii="仿宋_GB2312" w:eastAsia="仿宋_GB2312"/>
          <w:color w:val="auto"/>
          <w:sz w:val="32"/>
          <w:szCs w:val="32"/>
          <w:lang w:val="en-US" w:eastAsia="zh-CN"/>
        </w:rPr>
        <w:t>率</w:t>
      </w:r>
      <w:r>
        <w:rPr>
          <w:rFonts w:hint="eastAsia" w:ascii="仿宋_GB2312" w:eastAsia="仿宋_GB2312"/>
          <w:color w:val="auto"/>
          <w:sz w:val="32"/>
          <w:szCs w:val="32"/>
        </w:rPr>
        <w:t>较</w:t>
      </w:r>
      <w:r>
        <w:rPr>
          <w:rFonts w:hint="eastAsia" w:ascii="仿宋_GB2312" w:eastAsia="仿宋_GB2312"/>
          <w:color w:val="auto"/>
          <w:sz w:val="32"/>
          <w:szCs w:val="32"/>
          <w:lang w:eastAsia="zh-CN"/>
        </w:rPr>
        <w:t>低</w:t>
      </w:r>
      <w:r>
        <w:rPr>
          <w:rFonts w:hint="eastAsia" w:ascii="仿宋_GB2312" w:eastAsia="仿宋_GB2312"/>
          <w:color w:val="auto"/>
          <w:sz w:val="32"/>
          <w:szCs w:val="32"/>
        </w:rPr>
        <w:t>。</w:t>
      </w:r>
    </w:p>
    <w:p w14:paraId="062B4ED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rPr>
      </w:pPr>
      <w:r>
        <w:rPr>
          <w:rFonts w:hint="eastAsia" w:ascii="仿宋_GB2312" w:eastAsia="仿宋_GB2312"/>
          <w:color w:val="auto"/>
          <w:sz w:val="32"/>
          <w:szCs w:val="32"/>
        </w:rPr>
        <w:t>根据对资金使用</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自评材料的审核分析，综合项目实施</w:t>
      </w:r>
      <w:r>
        <w:rPr>
          <w:rFonts w:hint="eastAsia" w:ascii="仿宋_GB2312" w:eastAsia="仿宋_GB2312"/>
          <w:color w:val="auto"/>
          <w:sz w:val="32"/>
        </w:rPr>
        <w:t>情况，按照既定的评价指标体系，专项资金使用绩效为</w:t>
      </w:r>
      <w:r>
        <w:rPr>
          <w:rFonts w:hint="eastAsia" w:ascii="仿宋_GB2312" w:eastAsia="仿宋_GB2312"/>
          <w:color w:val="auto"/>
          <w:sz w:val="32"/>
          <w:lang w:val="en-US" w:eastAsia="zh-CN"/>
        </w:rPr>
        <w:t>优良</w:t>
      </w:r>
      <w:r>
        <w:rPr>
          <w:rFonts w:hint="eastAsia" w:ascii="仿宋_GB2312" w:eastAsia="仿宋_GB2312"/>
          <w:color w:val="auto"/>
          <w:sz w:val="32"/>
        </w:rPr>
        <w:t>。</w:t>
      </w:r>
    </w:p>
    <w:p w14:paraId="2F6DD5C5">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trike/>
          <w:dstrike w:val="0"/>
          <w:color w:val="auto"/>
          <w:sz w:val="32"/>
        </w:rPr>
      </w:pPr>
      <w:r>
        <w:rPr>
          <w:rFonts w:hint="default" w:ascii="Times New Roman" w:hAnsi="Times New Roman" w:eastAsia="仿宋_GB2312" w:cs="Times New Roman"/>
          <w:b/>
          <w:bCs/>
          <w:color w:val="auto"/>
          <w:sz w:val="32"/>
        </w:rPr>
        <w:t>1</w:t>
      </w:r>
      <w:r>
        <w:rPr>
          <w:rFonts w:hint="eastAsia" w:ascii="仿宋_GB2312" w:eastAsia="仿宋_GB2312"/>
          <w:b/>
          <w:bCs/>
          <w:color w:val="auto"/>
          <w:sz w:val="32"/>
        </w:rPr>
        <w:t>.过程。</w:t>
      </w:r>
      <w:r>
        <w:rPr>
          <w:rFonts w:hint="eastAsia" w:ascii="仿宋_GB2312" w:eastAsia="仿宋_GB2312"/>
          <w:color w:val="auto"/>
          <w:sz w:val="32"/>
        </w:rPr>
        <w:t>该指标主要从资金管理和事项管理两个方面考核项目资金支付情况和监管的有效性。</w:t>
      </w:r>
    </w:p>
    <w:p w14:paraId="5FB8DFA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lang w:val="en-US" w:eastAsia="zh-CN"/>
        </w:rPr>
      </w:pPr>
      <w:r>
        <w:rPr>
          <w:rFonts w:hint="eastAsia" w:ascii="仿宋_GB2312" w:eastAsia="仿宋_GB2312"/>
          <w:color w:val="auto"/>
          <w:sz w:val="32"/>
        </w:rPr>
        <w:t>（</w:t>
      </w:r>
      <w:r>
        <w:rPr>
          <w:rFonts w:hint="default" w:ascii="Times New Roman" w:hAnsi="Times New Roman" w:eastAsia="仿宋_GB2312" w:cs="Times New Roman"/>
          <w:color w:val="auto"/>
          <w:sz w:val="32"/>
        </w:rPr>
        <w:t>1</w:t>
      </w:r>
      <w:r>
        <w:rPr>
          <w:rFonts w:hint="eastAsia" w:ascii="仿宋_GB2312" w:eastAsia="仿宋_GB2312"/>
          <w:color w:val="auto"/>
          <w:sz w:val="32"/>
        </w:rPr>
        <w:t>）资金管理。省财政厅足额下达</w:t>
      </w:r>
      <w:r>
        <w:rPr>
          <w:rFonts w:hint="eastAsia" w:ascii="仿宋_GB2312" w:eastAsia="仿宋_GB2312"/>
          <w:color w:val="auto"/>
          <w:sz w:val="32"/>
          <w:lang w:val="en-US" w:eastAsia="zh-CN"/>
        </w:rPr>
        <w:t>专项资金</w:t>
      </w:r>
      <w:r>
        <w:rPr>
          <w:rFonts w:hint="default" w:ascii="Times New Roman" w:hAnsi="Times New Roman" w:eastAsia="仿宋_GB2312" w:cs="Times New Roman"/>
          <w:color w:val="auto"/>
          <w:sz w:val="32"/>
          <w:lang w:val="en-US" w:eastAsia="zh-CN"/>
        </w:rPr>
        <w:t>53</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285</w:t>
      </w:r>
      <w:r>
        <w:rPr>
          <w:rFonts w:hint="eastAsia" w:ascii="Times New Roman" w:hAnsi="Times New Roman" w:eastAsia="仿宋_GB2312" w:cs="Times New Roman"/>
          <w:color w:val="auto"/>
          <w:sz w:val="32"/>
          <w:lang w:val="en-US" w:eastAsia="zh-CN"/>
        </w:rPr>
        <w:t>万</w:t>
      </w:r>
      <w:r>
        <w:rPr>
          <w:rFonts w:hint="eastAsia" w:ascii="仿宋_GB2312" w:eastAsia="仿宋_GB2312"/>
          <w:color w:val="auto"/>
          <w:sz w:val="32"/>
        </w:rPr>
        <w:t>元，截至</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eastAsia" w:ascii="仿宋_GB2312" w:eastAsia="仿宋_GB2312"/>
          <w:color w:val="auto"/>
          <w:sz w:val="32"/>
        </w:rPr>
        <w:t>年</w:t>
      </w:r>
      <w:r>
        <w:rPr>
          <w:rFonts w:hint="default" w:ascii="Times New Roman" w:hAnsi="Times New Roman" w:eastAsia="仿宋_GB2312" w:cs="Times New Roman"/>
          <w:color w:val="auto"/>
          <w:sz w:val="32"/>
        </w:rPr>
        <w:t>12</w:t>
      </w:r>
      <w:r>
        <w:rPr>
          <w:rFonts w:hint="eastAsia" w:ascii="仿宋_GB2312" w:eastAsia="仿宋_GB2312"/>
          <w:color w:val="auto"/>
          <w:sz w:val="32"/>
        </w:rPr>
        <w:t>月</w:t>
      </w:r>
      <w:r>
        <w:rPr>
          <w:rFonts w:hint="default" w:ascii="Times New Roman" w:hAnsi="Times New Roman" w:eastAsia="仿宋_GB2312" w:cs="Times New Roman"/>
          <w:color w:val="auto"/>
          <w:sz w:val="32"/>
        </w:rPr>
        <w:t>31</w:t>
      </w:r>
      <w:r>
        <w:rPr>
          <w:rFonts w:hint="eastAsia" w:ascii="仿宋_GB2312" w:eastAsia="仿宋_GB2312"/>
          <w:color w:val="auto"/>
          <w:sz w:val="32"/>
        </w:rPr>
        <w:t>日，</w:t>
      </w:r>
      <w:r>
        <w:rPr>
          <w:rFonts w:hint="eastAsia" w:ascii="仿宋_GB2312" w:eastAsia="仿宋_GB2312"/>
          <w:color w:val="auto"/>
          <w:sz w:val="32"/>
          <w:lang w:val="en-US" w:eastAsia="zh-CN"/>
        </w:rPr>
        <w:t>省本级和市县共支出</w:t>
      </w: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44</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870</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64</w:t>
      </w:r>
      <w:r>
        <w:rPr>
          <w:rFonts w:hint="eastAsia" w:ascii="Times New Roman" w:hAnsi="Times New Roman" w:eastAsia="仿宋_GB2312" w:cs="Times New Roman"/>
          <w:color w:val="auto"/>
          <w:sz w:val="32"/>
          <w:lang w:val="en-US" w:eastAsia="zh-CN"/>
        </w:rPr>
        <w:t xml:space="preserve"> </w:t>
      </w:r>
      <w:r>
        <w:rPr>
          <w:rFonts w:hint="eastAsia" w:ascii="仿宋_GB2312" w:eastAsia="仿宋_GB2312"/>
          <w:color w:val="auto"/>
          <w:sz w:val="32"/>
          <w:lang w:val="en-US" w:eastAsia="zh-CN"/>
        </w:rPr>
        <w:t>万元，</w:t>
      </w:r>
      <w:r>
        <w:rPr>
          <w:rFonts w:hint="eastAsia" w:ascii="仿宋_GB2312" w:eastAsia="仿宋_GB2312"/>
          <w:color w:val="auto"/>
          <w:sz w:val="32"/>
        </w:rPr>
        <w:t>资金支出率</w:t>
      </w:r>
      <w:r>
        <w:rPr>
          <w:rFonts w:hint="eastAsia" w:ascii="仿宋_GB2312" w:eastAsia="仿宋_GB2312"/>
          <w:color w:val="auto"/>
          <w:sz w:val="32"/>
          <w:lang w:val="en-US" w:eastAsia="zh-CN"/>
        </w:rPr>
        <w:t>为</w:t>
      </w:r>
      <w:r>
        <w:rPr>
          <w:rFonts w:hint="default" w:ascii="Times New Roman" w:hAnsi="Times New Roman" w:eastAsia="仿宋_GB2312" w:cs="Times New Roman"/>
          <w:color w:val="auto"/>
          <w:sz w:val="32"/>
          <w:lang w:val="en-US" w:eastAsia="zh-CN"/>
        </w:rPr>
        <w:t>84</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21</w:t>
      </w:r>
      <w:r>
        <w:rPr>
          <w:rFonts w:hint="eastAsia" w:ascii="仿宋_GB2312" w:eastAsia="仿宋_GB2312"/>
          <w:color w:val="auto"/>
          <w:sz w:val="32"/>
          <w:lang w:val="en-US" w:eastAsia="zh-CN"/>
        </w:rPr>
        <w:t>%，其中保障性安居工程支出</w:t>
      </w:r>
      <w:r>
        <w:rPr>
          <w:rFonts w:hint="default" w:ascii="Times New Roman" w:hAnsi="Times New Roman" w:eastAsia="仿宋_GB2312" w:cs="Times New Roman"/>
          <w:color w:val="auto"/>
          <w:sz w:val="32"/>
          <w:lang w:val="en-US" w:eastAsia="zh-CN"/>
        </w:rPr>
        <w:t>42</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541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48</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85</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98</w:t>
      </w:r>
      <w:r>
        <w:rPr>
          <w:rFonts w:hint="eastAsia" w:ascii="仿宋_GB2312" w:eastAsia="仿宋_GB2312"/>
          <w:color w:val="auto"/>
          <w:sz w:val="32"/>
          <w:lang w:val="en-US" w:eastAsia="zh-CN"/>
        </w:rPr>
        <w:t>%）、城市危旧房摸底调查支出</w:t>
      </w:r>
      <w:r>
        <w:rPr>
          <w:rFonts w:hint="default" w:ascii="Times New Roman" w:hAnsi="Times New Roman" w:eastAsia="仿宋_GB2312" w:cs="Times New Roman"/>
          <w:color w:val="auto"/>
          <w:sz w:val="32"/>
          <w:lang w:val="en-US" w:eastAsia="zh-CN"/>
        </w:rPr>
        <w:t>368</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39</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43</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19</w:t>
      </w:r>
      <w:r>
        <w:rPr>
          <w:rFonts w:hint="eastAsia" w:ascii="仿宋_GB2312" w:eastAsia="仿宋_GB2312"/>
          <w:color w:val="auto"/>
          <w:sz w:val="32"/>
          <w:lang w:val="en-US" w:eastAsia="zh-CN"/>
        </w:rPr>
        <w:t>%）、自建房安全专项整治支出</w:t>
      </w:r>
      <w:r>
        <w:rPr>
          <w:rFonts w:hint="default" w:ascii="Times New Roman" w:hAnsi="Times New Roman" w:eastAsia="仿宋_GB2312" w:cs="Times New Roman"/>
          <w:color w:val="auto"/>
          <w:sz w:val="32"/>
          <w:lang w:val="en-US" w:eastAsia="zh-CN"/>
        </w:rPr>
        <w:t>1,071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14</w:t>
      </w:r>
      <w:r>
        <w:rPr>
          <w:rFonts w:hint="eastAsia" w:ascii="Times New Roman" w:hAnsi="Times New Roman" w:eastAsia="仿宋_GB2312" w:cs="Times New Roman"/>
          <w:color w:val="auto"/>
          <w:sz w:val="32"/>
          <w:lang w:val="en-US" w:eastAsia="zh-CN"/>
        </w:rPr>
        <w:t>万元（支出率</w:t>
      </w:r>
      <w:r>
        <w:rPr>
          <w:rFonts w:hint="default" w:ascii="Times New Roman" w:hAnsi="Times New Roman" w:eastAsia="仿宋_GB2312" w:cs="Times New Roman"/>
          <w:color w:val="auto"/>
          <w:sz w:val="32"/>
          <w:lang w:val="en-US" w:eastAsia="zh-CN"/>
        </w:rPr>
        <w:t>51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95</w:t>
      </w:r>
      <w:r>
        <w:rPr>
          <w:rFonts w:hint="eastAsia" w:ascii="Times New Roman" w:hAnsi="Times New Roman" w:eastAsia="仿宋_GB2312" w:cs="Times New Roman"/>
          <w:color w:val="auto"/>
          <w:sz w:val="32"/>
          <w:lang w:val="en-US" w:eastAsia="zh-CN"/>
        </w:rPr>
        <w:t>%）、</w:t>
      </w:r>
      <w:r>
        <w:rPr>
          <w:rFonts w:hint="eastAsia" w:ascii="仿宋_GB2312" w:eastAsia="仿宋_GB2312"/>
          <w:color w:val="auto"/>
          <w:sz w:val="32"/>
          <w:lang w:val="en-US" w:eastAsia="zh-CN"/>
        </w:rPr>
        <w:t>省级工作经费支出</w:t>
      </w:r>
      <w:r>
        <w:rPr>
          <w:rFonts w:hint="default" w:ascii="Times New Roman" w:hAnsi="Times New Roman" w:eastAsia="仿宋_GB2312" w:cs="Times New Roman"/>
          <w:color w:val="auto"/>
          <w:sz w:val="32"/>
          <w:lang w:val="en-US" w:eastAsia="zh-CN"/>
        </w:rPr>
        <w:t>889</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64</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99</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96</w:t>
      </w:r>
      <w:r>
        <w:rPr>
          <w:rFonts w:hint="eastAsia" w:ascii="仿宋_GB2312" w:eastAsia="仿宋_GB2312"/>
          <w:color w:val="auto"/>
          <w:sz w:val="32"/>
          <w:lang w:val="en-US" w:eastAsia="zh-CN"/>
        </w:rPr>
        <w:t>%）。</w:t>
      </w:r>
      <w:r>
        <w:rPr>
          <w:rFonts w:hint="eastAsia" w:ascii="仿宋_GB2312" w:eastAsia="仿宋_GB2312"/>
          <w:color w:val="auto"/>
          <w:sz w:val="32"/>
        </w:rPr>
        <w:t>资金支出率</w:t>
      </w:r>
      <w:r>
        <w:rPr>
          <w:rFonts w:hint="eastAsia" w:ascii="仿宋_GB2312" w:eastAsia="仿宋_GB2312"/>
          <w:color w:val="auto"/>
          <w:sz w:val="32"/>
          <w:lang w:val="en-US" w:eastAsia="zh-CN"/>
        </w:rPr>
        <w:t>未达预期</w:t>
      </w:r>
      <w:r>
        <w:rPr>
          <w:rFonts w:hint="eastAsia" w:ascii="仿宋_GB2312" w:eastAsia="仿宋_GB2312"/>
          <w:color w:val="auto"/>
          <w:sz w:val="32"/>
        </w:rPr>
        <w:t>的</w:t>
      </w:r>
      <w:r>
        <w:rPr>
          <w:rFonts w:hint="eastAsia" w:ascii="仿宋_GB2312" w:eastAsia="仿宋_GB2312"/>
          <w:color w:val="auto"/>
          <w:sz w:val="32"/>
          <w:lang w:val="en-US" w:eastAsia="zh-CN"/>
        </w:rPr>
        <w:t>主要</w:t>
      </w:r>
      <w:r>
        <w:rPr>
          <w:rFonts w:hint="eastAsia" w:ascii="仿宋_GB2312" w:eastAsia="仿宋_GB2312"/>
          <w:color w:val="auto"/>
          <w:sz w:val="32"/>
        </w:rPr>
        <w:t>原因：</w:t>
      </w:r>
      <w:r>
        <w:rPr>
          <w:rFonts w:hint="eastAsia" w:ascii="仿宋_GB2312" w:eastAsia="仿宋_GB2312"/>
          <w:b/>
          <w:bCs/>
          <w:color w:val="auto"/>
          <w:sz w:val="32"/>
          <w:lang w:val="en-US" w:eastAsia="zh-CN"/>
        </w:rPr>
        <w:t>一是</w:t>
      </w:r>
      <w:r>
        <w:rPr>
          <w:rFonts w:hint="eastAsia" w:ascii="仿宋_GB2312" w:eastAsia="仿宋_GB2312"/>
          <w:color w:val="auto"/>
          <w:sz w:val="32"/>
          <w:lang w:val="en-US" w:eastAsia="zh-CN"/>
        </w:rPr>
        <w:t>财政支付问题。部分市县财政资金紧张，资金拨付不及时；部分市县财政部门审核拨款周期长、流程繁琐，且资金来源单一，配套资金不足，影响项目推进与支付。</w:t>
      </w:r>
      <w:r>
        <w:rPr>
          <w:rFonts w:hint="eastAsia" w:ascii="仿宋_GB2312" w:eastAsia="仿宋_GB2312"/>
          <w:b/>
          <w:bCs/>
          <w:color w:val="auto"/>
          <w:sz w:val="32"/>
          <w:lang w:val="en-US" w:eastAsia="zh-CN"/>
        </w:rPr>
        <w:t>二是</w:t>
      </w:r>
      <w:r>
        <w:rPr>
          <w:rFonts w:hint="eastAsia" w:ascii="仿宋_GB2312" w:eastAsia="仿宋_GB2312"/>
          <w:color w:val="auto"/>
          <w:sz w:val="32"/>
          <w:lang w:val="en-US" w:eastAsia="zh-CN"/>
        </w:rPr>
        <w:t>项目前期工作问题。部分市县项目前期准备不足，实施周期长、审批繁琐，导致进度滞后，影响资金拨付。</w:t>
      </w:r>
      <w:r>
        <w:rPr>
          <w:rFonts w:hint="eastAsia" w:ascii="仿宋_GB2312" w:eastAsia="仿宋_GB2312"/>
          <w:b/>
          <w:bCs/>
          <w:color w:val="auto"/>
          <w:sz w:val="32"/>
          <w:lang w:val="en-US" w:eastAsia="zh-CN"/>
        </w:rPr>
        <w:t>三是</w:t>
      </w:r>
      <w:r>
        <w:rPr>
          <w:rFonts w:hint="eastAsia" w:ascii="仿宋_GB2312" w:eastAsia="仿宋_GB2312"/>
          <w:color w:val="auto"/>
          <w:sz w:val="32"/>
          <w:lang w:val="en-US" w:eastAsia="zh-CN"/>
        </w:rPr>
        <w:t>外部环境及协作问题。部分市县跨部门协作不畅、资源保障不足等外部因素制约项目推进。</w:t>
      </w:r>
      <w:r>
        <w:rPr>
          <w:rFonts w:hint="eastAsia" w:ascii="仿宋_GB2312" w:eastAsia="仿宋_GB2312"/>
          <w:b/>
          <w:bCs/>
          <w:color w:val="auto"/>
          <w:sz w:val="32"/>
          <w:lang w:val="en-US" w:eastAsia="zh-CN"/>
        </w:rPr>
        <w:t>四是</w:t>
      </w:r>
      <w:r>
        <w:rPr>
          <w:rFonts w:hint="eastAsia" w:ascii="仿宋_GB2312" w:eastAsia="仿宋_GB2312"/>
          <w:color w:val="auto"/>
          <w:sz w:val="32"/>
          <w:lang w:val="en-US" w:eastAsia="zh-CN"/>
        </w:rPr>
        <w:t>危旧房改造和</w:t>
      </w:r>
      <w:r>
        <w:rPr>
          <w:rFonts w:hint="default" w:ascii="Times New Roman" w:hAnsi="Times New Roman" w:eastAsia="仿宋_GB2312" w:cs="Times New Roman"/>
          <w:color w:val="auto"/>
          <w:sz w:val="32"/>
          <w:szCs w:val="32"/>
        </w:rPr>
        <w:t>自建房整治项目</w:t>
      </w:r>
      <w:r>
        <w:rPr>
          <w:rFonts w:hint="eastAsia" w:ascii="仿宋_GB2312" w:eastAsia="仿宋_GB2312"/>
          <w:color w:val="auto"/>
          <w:sz w:val="32"/>
          <w:lang w:val="en-US" w:eastAsia="zh-CN"/>
        </w:rPr>
        <w:t>特殊问题。危旧房改造难度大、</w:t>
      </w:r>
      <w:r>
        <w:rPr>
          <w:rFonts w:hint="default" w:ascii="Times New Roman" w:hAnsi="Times New Roman" w:eastAsia="仿宋_GB2312" w:cs="Times New Roman"/>
          <w:color w:val="auto"/>
          <w:sz w:val="32"/>
          <w:szCs w:val="32"/>
        </w:rPr>
        <w:t>自建房整治工程管理流程复杂</w:t>
      </w:r>
      <w:r>
        <w:rPr>
          <w:rFonts w:hint="eastAsia" w:ascii="仿宋_GB2312" w:eastAsia="仿宋_GB2312"/>
          <w:color w:val="auto"/>
          <w:sz w:val="32"/>
          <w:lang w:val="en-US" w:eastAsia="zh-CN"/>
        </w:rPr>
        <w:t>，专项资金使用用途有一定局限性，影响改造工作推进与资金支付。</w:t>
      </w:r>
    </w:p>
    <w:p w14:paraId="140C2FE3">
      <w:pPr>
        <w:widowControl w:val="0"/>
        <w:numPr>
          <w:ilvl w:val="0"/>
          <w:numId w:val="0"/>
        </w:numPr>
        <w:bidi w:val="0"/>
        <w:adjustRightInd w:val="0"/>
        <w:snapToGrid w:val="0"/>
        <w:spacing w:line="360" w:lineRule="auto"/>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eastAsia="仿宋_GB2312"/>
          <w:color w:val="auto"/>
          <w:sz w:val="32"/>
        </w:rPr>
        <w:t>（</w:t>
      </w:r>
      <w:r>
        <w:rPr>
          <w:rFonts w:hint="default" w:ascii="Times New Roman" w:hAnsi="Times New Roman" w:eastAsia="仿宋_GB2312" w:cs="Times New Roman"/>
          <w:color w:val="auto"/>
          <w:sz w:val="32"/>
        </w:rPr>
        <w:t>2</w:t>
      </w:r>
      <w:r>
        <w:rPr>
          <w:rFonts w:hint="eastAsia" w:ascii="仿宋_GB2312" w:eastAsia="仿宋_GB2312"/>
          <w:color w:val="auto"/>
          <w:sz w:val="32"/>
        </w:rPr>
        <w:t>）事项管理。主要考核项目的监督</w:t>
      </w:r>
      <w:r>
        <w:rPr>
          <w:rFonts w:hint="eastAsia" w:ascii="仿宋_GB2312" w:eastAsia="仿宋_GB2312"/>
          <w:color w:val="auto"/>
          <w:sz w:val="32"/>
          <w:lang w:val="en-US" w:eastAsia="zh-CN"/>
        </w:rPr>
        <w:t>管理</w:t>
      </w:r>
      <w:r>
        <w:rPr>
          <w:rFonts w:hint="eastAsia" w:ascii="仿宋_GB2312" w:eastAsia="仿宋_GB2312"/>
          <w:color w:val="auto"/>
          <w:sz w:val="32"/>
        </w:rPr>
        <w:t>工作。</w:t>
      </w: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省级业务主管部门能够认真做好项目实施监管，开展预算执行监控，及时掌握并督促项目建设进度。</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rPr>
        <w:t>有关市县能够按照专项资金管理制度规定，建立健全管理制度，落实</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管理责任，保障完成项目绩效目标</w:t>
      </w:r>
      <w:r>
        <w:rPr>
          <w:rFonts w:hint="eastAsia" w:ascii="仿宋_GB2312" w:eastAsia="仿宋_GB2312"/>
          <w:color w:val="auto"/>
          <w:sz w:val="32"/>
        </w:rPr>
        <w:t>，未发现虚列支出、截留、</w:t>
      </w:r>
      <w:r>
        <w:rPr>
          <w:rFonts w:hint="eastAsia" w:ascii="仿宋_GB2312" w:hAnsi="仿宋_GB2312" w:eastAsia="仿宋_GB2312" w:cs="仿宋_GB2312"/>
          <w:color w:val="auto"/>
          <w:sz w:val="32"/>
          <w:szCs w:val="32"/>
          <w:highlight w:val="none"/>
        </w:rPr>
        <w:t>挤占、挪用资金的情况。</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整改情况报告。</w:t>
      </w:r>
      <w:r>
        <w:rPr>
          <w:rFonts w:hint="default" w:ascii="仿宋_GB2312" w:hAnsi="仿宋_GB2312" w:eastAsia="仿宋_GB2312" w:cs="Calibri"/>
          <w:color w:val="auto"/>
          <w:kern w:val="0"/>
          <w:sz w:val="32"/>
          <w:szCs w:val="32"/>
          <w:lang w:val="en-US" w:eastAsia="zh-CN" w:bidi="ar-SA"/>
        </w:rPr>
        <w:t>根据《</w:t>
      </w:r>
      <w:r>
        <w:rPr>
          <w:rFonts w:hint="default" w:ascii="Times New Roman" w:hAnsi="Times New Roman" w:eastAsia="仿宋_GB2312" w:cs="Times New Roman"/>
          <w:color w:val="auto"/>
          <w:kern w:val="0"/>
          <w:sz w:val="32"/>
          <w:szCs w:val="32"/>
          <w:lang w:val="en-US" w:eastAsia="zh-CN" w:bidi="ar-SA"/>
        </w:rPr>
        <w:t>2023</w:t>
      </w:r>
      <w:r>
        <w:rPr>
          <w:rFonts w:hint="default" w:ascii="仿宋_GB2312" w:hAnsi="仿宋_GB2312" w:eastAsia="仿宋_GB2312" w:cs="Calibri"/>
          <w:color w:val="auto"/>
          <w:kern w:val="0"/>
          <w:sz w:val="32"/>
          <w:szCs w:val="32"/>
          <w:lang w:val="en-US" w:eastAsia="zh-CN" w:bidi="ar-SA"/>
        </w:rPr>
        <w:t>年广东省十件民生实事（第三件：持续推进城镇保障性安居工程建设）绩效评价报告》，省财政厅就我厅保障性安居工程建设项目共指出</w:t>
      </w:r>
      <w:r>
        <w:rPr>
          <w:rFonts w:hint="default" w:ascii="Times New Roman" w:hAnsi="Times New Roman" w:eastAsia="仿宋_GB2312" w:cs="Times New Roman"/>
          <w:color w:val="auto"/>
          <w:kern w:val="0"/>
          <w:sz w:val="32"/>
          <w:szCs w:val="32"/>
          <w:lang w:val="en-US" w:eastAsia="zh-CN" w:bidi="ar-SA"/>
        </w:rPr>
        <w:t>20</w:t>
      </w:r>
      <w:r>
        <w:rPr>
          <w:rFonts w:hint="default" w:ascii="仿宋_GB2312" w:hAnsi="仿宋_GB2312" w:eastAsia="仿宋_GB2312" w:cs="Calibri"/>
          <w:color w:val="auto"/>
          <w:kern w:val="0"/>
          <w:sz w:val="32"/>
          <w:szCs w:val="32"/>
          <w:lang w:val="en-US" w:eastAsia="zh-CN" w:bidi="ar-SA"/>
        </w:rPr>
        <w:t>个问题，其中省本级</w:t>
      </w:r>
      <w:r>
        <w:rPr>
          <w:rFonts w:hint="default" w:ascii="Times New Roman" w:hAnsi="Times New Roman" w:eastAsia="仿宋_GB2312" w:cs="Times New Roman"/>
          <w:color w:val="auto"/>
          <w:kern w:val="0"/>
          <w:sz w:val="32"/>
          <w:szCs w:val="32"/>
          <w:lang w:val="en-US" w:eastAsia="zh-CN" w:bidi="ar-SA"/>
        </w:rPr>
        <w:t>5</w:t>
      </w:r>
      <w:r>
        <w:rPr>
          <w:rFonts w:hint="default" w:ascii="仿宋_GB2312" w:hAnsi="仿宋_GB2312" w:eastAsia="仿宋_GB2312" w:cs="Calibri"/>
          <w:color w:val="auto"/>
          <w:kern w:val="0"/>
          <w:sz w:val="32"/>
          <w:szCs w:val="32"/>
          <w:lang w:val="en-US" w:eastAsia="zh-CN" w:bidi="ar-SA"/>
        </w:rPr>
        <w:t>个、地市</w:t>
      </w:r>
      <w:r>
        <w:rPr>
          <w:rFonts w:hint="default" w:ascii="Times New Roman" w:hAnsi="Times New Roman" w:eastAsia="仿宋_GB2312" w:cs="Times New Roman"/>
          <w:color w:val="auto"/>
          <w:kern w:val="0"/>
          <w:sz w:val="32"/>
          <w:szCs w:val="32"/>
          <w:lang w:val="en-US" w:eastAsia="zh-CN" w:bidi="ar-SA"/>
        </w:rPr>
        <w:t>15</w:t>
      </w:r>
      <w:r>
        <w:rPr>
          <w:rFonts w:hint="default" w:ascii="仿宋_GB2312" w:hAnsi="仿宋_GB2312" w:eastAsia="仿宋_GB2312" w:cs="Calibri"/>
          <w:color w:val="auto"/>
          <w:kern w:val="0"/>
          <w:sz w:val="32"/>
          <w:szCs w:val="32"/>
          <w:lang w:val="en-US" w:eastAsia="zh-CN" w:bidi="ar-SA"/>
        </w:rPr>
        <w:t>个。我厅对此高度重视，迅速行动，积极落实整改工作。截至目前，已圆满完成</w:t>
      </w:r>
      <w:r>
        <w:rPr>
          <w:rFonts w:hint="default" w:ascii="Times New Roman" w:hAnsi="Times New Roman" w:eastAsia="仿宋_GB2312" w:cs="Times New Roman"/>
          <w:color w:val="auto"/>
          <w:kern w:val="0"/>
          <w:sz w:val="32"/>
          <w:szCs w:val="32"/>
          <w:lang w:val="en-US" w:eastAsia="zh-CN" w:bidi="ar-SA"/>
        </w:rPr>
        <w:t>15</w:t>
      </w:r>
      <w:r>
        <w:rPr>
          <w:rFonts w:hint="default" w:ascii="仿宋_GB2312" w:hAnsi="仿宋_GB2312" w:eastAsia="仿宋_GB2312" w:cs="Calibri"/>
          <w:color w:val="auto"/>
          <w:kern w:val="0"/>
          <w:sz w:val="32"/>
          <w:szCs w:val="32"/>
          <w:lang w:val="en-US" w:eastAsia="zh-CN" w:bidi="ar-SA"/>
        </w:rPr>
        <w:t>项问题的整改任务，另有</w:t>
      </w:r>
      <w:r>
        <w:rPr>
          <w:rFonts w:hint="default" w:ascii="Times New Roman" w:hAnsi="Times New Roman" w:eastAsia="仿宋_GB2312" w:cs="Times New Roman"/>
          <w:color w:val="auto"/>
          <w:kern w:val="0"/>
          <w:sz w:val="32"/>
          <w:szCs w:val="32"/>
          <w:lang w:val="en-US" w:eastAsia="zh-CN" w:bidi="ar-SA"/>
        </w:rPr>
        <w:t>5</w:t>
      </w:r>
      <w:r>
        <w:rPr>
          <w:rFonts w:hint="default" w:ascii="仿宋_GB2312" w:hAnsi="仿宋_GB2312" w:eastAsia="仿宋_GB2312" w:cs="Calibri"/>
          <w:color w:val="auto"/>
          <w:kern w:val="0"/>
          <w:sz w:val="32"/>
          <w:szCs w:val="32"/>
          <w:lang w:val="en-US" w:eastAsia="zh-CN" w:bidi="ar-SA"/>
        </w:rPr>
        <w:t>项问题的整改工作正在稳步推进中。</w:t>
      </w:r>
    </w:p>
    <w:p w14:paraId="6577089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eastAsia" w:ascii="仿宋_GB2312" w:hAnsi="仿宋_GB2312" w:eastAsia="仿宋_GB2312" w:cs="仿宋_GB2312"/>
          <w:b/>
          <w:bCs/>
          <w:color w:val="auto"/>
          <w:sz w:val="32"/>
          <w:szCs w:val="32"/>
          <w:highlight w:val="none"/>
        </w:rPr>
        <w:t>.产出。</w:t>
      </w:r>
      <w:r>
        <w:rPr>
          <w:rFonts w:hint="eastAsia" w:ascii="仿宋_GB2312" w:hAnsi="仿宋_GB2312" w:eastAsia="仿宋_GB2312" w:cs="仿宋_GB2312"/>
          <w:color w:val="auto"/>
          <w:sz w:val="32"/>
          <w:szCs w:val="32"/>
          <w:highlight w:val="none"/>
        </w:rPr>
        <w:t>该指标主要从数量、质量、时效三个方面考察项目完成的进度、质量等产出情况。</w:t>
      </w:r>
    </w:p>
    <w:p w14:paraId="135615F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olor w:val="auto"/>
          <w:sz w:val="32"/>
        </w:rPr>
      </w:pP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）数量指标。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kern w:val="2"/>
          <w:sz w:val="32"/>
          <w:szCs w:val="32"/>
          <w:highlight w:val="none"/>
          <w:lang w:val="en-US" w:eastAsia="zh-CN" w:bidi="ar-SA"/>
        </w:rPr>
        <w:t>新筹建公共租赁住房（万套）。</w:t>
      </w:r>
      <w:r>
        <w:rPr>
          <w:rFonts w:hint="eastAsia" w:ascii="仿宋_GB2312" w:hAnsi="仿宋_GB2312" w:eastAsia="仿宋_GB2312" w:cs="仿宋_GB2312"/>
          <w:color w:val="auto"/>
          <w:kern w:val="2"/>
          <w:sz w:val="32"/>
          <w:szCs w:val="32"/>
          <w:highlight w:val="none"/>
          <w:lang w:val="en-US" w:eastAsia="zh-CN" w:bidi="ar-SA"/>
        </w:rPr>
        <w:t>评价年度预期值</w:t>
      </w:r>
      <w:r>
        <w:rPr>
          <w:rFonts w:hint="default" w:ascii="Times New Roman" w:hAnsi="Times New Roman" w:eastAsia="仿宋_GB2312" w:cs="Times New Roman"/>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05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仿宋_GB2312" w:hAnsi="Times New Roman" w:eastAsia="仿宋_GB2312"/>
          <w:color w:val="auto"/>
          <w:sz w:val="32"/>
        </w:rPr>
        <w:t>套，截至</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eastAsia" w:ascii="仿宋_GB2312" w:hAnsi="Times New Roman" w:eastAsia="仿宋_GB2312"/>
          <w:color w:val="auto"/>
          <w:sz w:val="32"/>
        </w:rPr>
        <w:t>年</w:t>
      </w:r>
      <w:r>
        <w:rPr>
          <w:rFonts w:hint="default" w:ascii="Times New Roman" w:hAnsi="Times New Roman" w:eastAsia="仿宋_GB2312" w:cs="Times New Roman"/>
          <w:color w:val="auto"/>
          <w:sz w:val="32"/>
        </w:rPr>
        <w:t>12</w:t>
      </w:r>
      <w:r>
        <w:rPr>
          <w:rFonts w:hint="eastAsia" w:ascii="仿宋_GB2312" w:hAnsi="Times New Roman" w:eastAsia="仿宋_GB2312"/>
          <w:color w:val="auto"/>
          <w:sz w:val="32"/>
        </w:rPr>
        <w:t>月</w:t>
      </w:r>
      <w:r>
        <w:rPr>
          <w:rFonts w:hint="default" w:ascii="Times New Roman" w:hAnsi="Times New Roman" w:eastAsia="仿宋_GB2312" w:cs="Times New Roman"/>
          <w:color w:val="auto"/>
          <w:sz w:val="32"/>
        </w:rPr>
        <w:t>31</w:t>
      </w:r>
      <w:r>
        <w:rPr>
          <w:rFonts w:hint="eastAsia" w:ascii="仿宋_GB2312" w:hAnsi="Times New Roman" w:eastAsia="仿宋_GB2312"/>
          <w:color w:val="auto"/>
          <w:sz w:val="32"/>
        </w:rPr>
        <w:t>日，实际</w:t>
      </w:r>
      <w:r>
        <w:rPr>
          <w:rFonts w:hint="eastAsia" w:ascii="仿宋_GB2312" w:hAnsi="仿宋_GB2312" w:eastAsia="仿宋_GB2312" w:cs="仿宋_GB2312"/>
          <w:color w:val="auto"/>
          <w:kern w:val="2"/>
          <w:sz w:val="32"/>
          <w:szCs w:val="32"/>
          <w:highlight w:val="none"/>
          <w:lang w:val="en-US" w:eastAsia="zh-CN" w:bidi="ar-SA"/>
        </w:rPr>
        <w:t>新筹建公共租赁住房</w:t>
      </w:r>
      <w:r>
        <w:rPr>
          <w:rFonts w:hint="default" w:ascii="Times New Roman" w:hAnsi="Times New Roman" w:eastAsia="仿宋_GB2312" w:cs="Times New Roman"/>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07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仿宋_GB2312" w:hAnsi="Times New Roman" w:eastAsia="仿宋_GB2312"/>
          <w:color w:val="auto"/>
          <w:sz w:val="32"/>
        </w:rPr>
        <w:t>套，实际筹集建设数为年度计划的</w:t>
      </w:r>
      <w:r>
        <w:rPr>
          <w:rFonts w:hint="default" w:ascii="Times New Roman" w:hAnsi="Times New Roman" w:eastAsia="仿宋_GB2312" w:cs="Times New Roman"/>
          <w:color w:val="auto"/>
          <w:sz w:val="32"/>
          <w:lang w:val="en-US" w:eastAsia="zh-CN"/>
        </w:rPr>
        <w:t>140</w:t>
      </w:r>
      <w:r>
        <w:rPr>
          <w:rFonts w:hint="eastAsia" w:ascii="仿宋_GB2312" w:hAnsi="Times New Roman" w:eastAsia="仿宋_GB2312"/>
          <w:color w:val="auto"/>
          <w:sz w:val="32"/>
        </w:rPr>
        <w:t>%。</w:t>
      </w:r>
      <w:r>
        <w:rPr>
          <w:rFonts w:hint="eastAsia" w:ascii="仿宋_GB2312" w:hAnsi="Times New Roman" w:eastAsia="仿宋_GB2312"/>
          <w:b/>
          <w:bCs/>
          <w:color w:val="auto"/>
          <w:sz w:val="32"/>
          <w:lang w:val="en-US" w:eastAsia="zh-CN"/>
        </w:rPr>
        <w:t>二是</w:t>
      </w:r>
      <w:r>
        <w:rPr>
          <w:rFonts w:hint="eastAsia" w:ascii="仿宋_GB2312" w:hAnsi="Times New Roman" w:eastAsia="仿宋_GB2312"/>
          <w:b w:val="0"/>
          <w:bCs w:val="0"/>
          <w:color w:val="auto"/>
          <w:sz w:val="32"/>
        </w:rPr>
        <w:t>发放租赁补贴（万户）</w:t>
      </w:r>
      <w:r>
        <w:rPr>
          <w:rFonts w:hint="eastAsia" w:ascii="仿宋_GB2312" w:hAnsi="Times New Roman" w:eastAsia="仿宋_GB2312"/>
          <w:b/>
          <w:bCs/>
          <w:color w:val="auto"/>
          <w:sz w:val="32"/>
          <w:lang w:eastAsia="zh-CN"/>
        </w:rPr>
        <w:t>。</w:t>
      </w:r>
      <w:r>
        <w:rPr>
          <w:rFonts w:hint="eastAsia" w:ascii="仿宋_GB2312" w:hAnsi="仿宋_GB2312" w:eastAsia="仿宋_GB2312" w:cs="仿宋_GB2312"/>
          <w:color w:val="auto"/>
          <w:kern w:val="2"/>
          <w:sz w:val="32"/>
          <w:szCs w:val="32"/>
          <w:highlight w:val="none"/>
          <w:lang w:val="en-US" w:eastAsia="zh-CN" w:bidi="ar-SA"/>
        </w:rPr>
        <w:t>评价年度预期值</w:t>
      </w:r>
      <w:r>
        <w:rPr>
          <w:rFonts w:hint="default" w:ascii="Times New Roman" w:hAnsi="Times New Roman" w:eastAsia="仿宋_GB2312" w:cs="Times New Roman"/>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80</w:t>
      </w:r>
      <w:r>
        <w:rPr>
          <w:rFonts w:hint="eastAsia" w:ascii="仿宋_GB2312" w:hAnsi="仿宋_GB2312" w:eastAsia="仿宋_GB2312" w:cs="仿宋_GB2312"/>
          <w:color w:val="auto"/>
          <w:kern w:val="2"/>
          <w:sz w:val="32"/>
          <w:szCs w:val="32"/>
          <w:highlight w:val="none"/>
          <w:lang w:val="en-US" w:eastAsia="zh-CN" w:bidi="ar-SA"/>
        </w:rPr>
        <w:t>万户</w:t>
      </w:r>
      <w:r>
        <w:rPr>
          <w:rFonts w:hint="eastAsia" w:ascii="仿宋_GB2312" w:hAnsi="Times New Roman" w:eastAsia="仿宋_GB2312"/>
          <w:color w:val="auto"/>
          <w:sz w:val="32"/>
        </w:rPr>
        <w:t>，截至</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eastAsia" w:ascii="仿宋_GB2312" w:hAnsi="Times New Roman" w:eastAsia="仿宋_GB2312"/>
          <w:color w:val="auto"/>
          <w:sz w:val="32"/>
        </w:rPr>
        <w:t>年</w:t>
      </w:r>
      <w:r>
        <w:rPr>
          <w:rFonts w:hint="default" w:ascii="Times New Roman" w:hAnsi="Times New Roman" w:eastAsia="仿宋_GB2312" w:cs="Times New Roman"/>
          <w:color w:val="auto"/>
          <w:sz w:val="32"/>
        </w:rPr>
        <w:t>12</w:t>
      </w:r>
      <w:r>
        <w:rPr>
          <w:rFonts w:hint="eastAsia" w:ascii="仿宋_GB2312" w:hAnsi="Times New Roman" w:eastAsia="仿宋_GB2312"/>
          <w:color w:val="auto"/>
          <w:sz w:val="32"/>
        </w:rPr>
        <w:t>月</w:t>
      </w:r>
      <w:r>
        <w:rPr>
          <w:rFonts w:hint="default" w:ascii="Times New Roman" w:hAnsi="Times New Roman" w:eastAsia="仿宋_GB2312" w:cs="Times New Roman"/>
          <w:color w:val="auto"/>
          <w:sz w:val="32"/>
        </w:rPr>
        <w:t>31</w:t>
      </w:r>
      <w:r>
        <w:rPr>
          <w:rFonts w:hint="eastAsia" w:ascii="仿宋_GB2312" w:hAnsi="Times New Roman" w:eastAsia="仿宋_GB2312"/>
          <w:color w:val="auto"/>
          <w:sz w:val="32"/>
        </w:rPr>
        <w:t>日，实际发放租赁补贴</w:t>
      </w:r>
      <w:r>
        <w:rPr>
          <w:rFonts w:hint="default" w:ascii="Times New Roman" w:hAnsi="Times New Roman" w:eastAsia="仿宋_GB2312" w:cs="Times New Roman"/>
          <w:color w:val="auto"/>
          <w:kern w:val="2"/>
          <w:sz w:val="32"/>
          <w:szCs w:val="32"/>
          <w:highlight w:val="none"/>
          <w:lang w:val="en-US" w:eastAsia="zh-CN" w:bidi="ar-SA"/>
        </w:rPr>
        <w:t>6</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10</w:t>
      </w:r>
      <w:r>
        <w:rPr>
          <w:rFonts w:hint="eastAsia" w:ascii="仿宋_GB2312" w:hAnsi="仿宋_GB2312" w:eastAsia="仿宋_GB2312" w:cs="仿宋_GB2312"/>
          <w:color w:val="auto"/>
          <w:kern w:val="2"/>
          <w:sz w:val="32"/>
          <w:szCs w:val="32"/>
          <w:highlight w:val="none"/>
          <w:lang w:val="en-US" w:eastAsia="zh-CN" w:bidi="ar-SA"/>
        </w:rPr>
        <w:t>万户</w:t>
      </w:r>
      <w:r>
        <w:rPr>
          <w:rFonts w:hint="eastAsia" w:ascii="仿宋_GB2312" w:hAnsi="Times New Roman" w:eastAsia="仿宋_GB2312"/>
          <w:color w:val="auto"/>
          <w:sz w:val="32"/>
        </w:rPr>
        <w:t>，实际发放租赁补贴</w:t>
      </w:r>
      <w:r>
        <w:rPr>
          <w:rFonts w:hint="eastAsia" w:ascii="仿宋_GB2312" w:hAnsi="Times New Roman" w:eastAsia="仿宋_GB2312"/>
          <w:color w:val="auto"/>
          <w:sz w:val="32"/>
          <w:lang w:val="en-US" w:eastAsia="zh-CN"/>
        </w:rPr>
        <w:t>数量</w:t>
      </w:r>
      <w:r>
        <w:rPr>
          <w:rFonts w:hint="eastAsia" w:ascii="仿宋_GB2312" w:hAnsi="Times New Roman" w:eastAsia="仿宋_GB2312"/>
          <w:color w:val="auto"/>
          <w:sz w:val="32"/>
        </w:rPr>
        <w:t>为年度计划的</w:t>
      </w:r>
      <w:r>
        <w:rPr>
          <w:rFonts w:hint="default" w:ascii="Times New Roman" w:hAnsi="Times New Roman" w:eastAsia="仿宋_GB2312" w:cs="Times New Roman"/>
          <w:color w:val="auto"/>
          <w:sz w:val="32"/>
          <w:lang w:val="en-US" w:eastAsia="zh-CN"/>
        </w:rPr>
        <w:t>127</w:t>
      </w:r>
      <w:r>
        <w:rPr>
          <w:rFonts w:hint="eastAsia" w:ascii="仿宋_GB2312" w:hAnsi="Times New Roman" w:eastAsia="仿宋_GB2312"/>
          <w:color w:val="auto"/>
          <w:sz w:val="32"/>
        </w:rPr>
        <w:t>%。</w:t>
      </w:r>
      <w:r>
        <w:rPr>
          <w:rFonts w:hint="eastAsia" w:ascii="仿宋_GB2312" w:hAnsi="Times New Roman" w:eastAsia="仿宋_GB2312"/>
          <w:b/>
          <w:bCs/>
          <w:color w:val="auto"/>
          <w:sz w:val="32"/>
          <w:lang w:val="en-US" w:eastAsia="zh-CN"/>
        </w:rPr>
        <w:t>三是</w:t>
      </w:r>
      <w:r>
        <w:rPr>
          <w:rFonts w:hint="eastAsia" w:ascii="仿宋_GB2312" w:hAnsi="Times New Roman" w:eastAsia="仿宋_GB2312"/>
          <w:b w:val="0"/>
          <w:bCs w:val="0"/>
          <w:color w:val="auto"/>
          <w:sz w:val="32"/>
        </w:rPr>
        <w:t>筹建保障性租赁住房（万套）</w:t>
      </w:r>
      <w:r>
        <w:rPr>
          <w:rFonts w:hint="eastAsia" w:ascii="仿宋_GB2312" w:hAnsi="Times New Roman" w:eastAsia="仿宋_GB2312"/>
          <w:b w:val="0"/>
          <w:bCs w:val="0"/>
          <w:color w:val="auto"/>
          <w:sz w:val="32"/>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评价年度预期值</w:t>
      </w:r>
      <w:r>
        <w:rPr>
          <w:rFonts w:hint="default" w:ascii="Times New Roman" w:hAnsi="Times New Roman" w:eastAsia="仿宋_GB2312" w:cs="Times New Roman"/>
          <w:b w:val="0"/>
          <w:bCs w:val="0"/>
          <w:color w:val="auto"/>
          <w:kern w:val="2"/>
          <w:sz w:val="32"/>
          <w:szCs w:val="32"/>
          <w:highlight w:val="none"/>
          <w:lang w:val="en-US" w:eastAsia="zh-CN" w:bidi="ar-SA"/>
        </w:rPr>
        <w:t>12</w:t>
      </w:r>
      <w:r>
        <w:rPr>
          <w:rFonts w:hint="eastAsia" w:ascii="仿宋_GB2312" w:hAnsi="仿宋_GB2312" w:eastAsia="仿宋_GB2312" w:cs="仿宋_GB2312"/>
          <w:b w:val="0"/>
          <w:bCs w:val="0"/>
          <w:color w:val="auto"/>
          <w:kern w:val="2"/>
          <w:sz w:val="32"/>
          <w:szCs w:val="32"/>
          <w:highlight w:val="none"/>
          <w:lang w:val="en-US" w:eastAsia="zh-CN" w:bidi="ar-SA"/>
        </w:rPr>
        <w:t>万套</w:t>
      </w:r>
      <w:r>
        <w:rPr>
          <w:rFonts w:hint="eastAsia" w:ascii="仿宋_GB2312" w:hAnsi="Times New Roman" w:eastAsia="仿宋_GB2312"/>
          <w:b w:val="0"/>
          <w:bCs w:val="0"/>
          <w:color w:val="auto"/>
          <w:sz w:val="32"/>
        </w:rPr>
        <w:t>，</w:t>
      </w:r>
      <w:r>
        <w:rPr>
          <w:rFonts w:hint="eastAsia" w:ascii="仿宋_GB2312" w:hAnsi="Times New Roman" w:eastAsia="仿宋_GB2312"/>
          <w:color w:val="auto"/>
          <w:sz w:val="32"/>
        </w:rPr>
        <w:t>截至</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eastAsia" w:ascii="仿宋_GB2312" w:hAnsi="Times New Roman" w:eastAsia="仿宋_GB2312"/>
          <w:color w:val="auto"/>
          <w:sz w:val="32"/>
        </w:rPr>
        <w:t>年</w:t>
      </w:r>
      <w:r>
        <w:rPr>
          <w:rFonts w:hint="default" w:ascii="Times New Roman" w:hAnsi="Times New Roman" w:eastAsia="仿宋_GB2312" w:cs="Times New Roman"/>
          <w:color w:val="auto"/>
          <w:sz w:val="32"/>
        </w:rPr>
        <w:t>12</w:t>
      </w:r>
      <w:r>
        <w:rPr>
          <w:rFonts w:hint="eastAsia" w:ascii="仿宋_GB2312" w:hAnsi="Times New Roman" w:eastAsia="仿宋_GB2312"/>
          <w:color w:val="auto"/>
          <w:sz w:val="32"/>
        </w:rPr>
        <w:t>月</w:t>
      </w:r>
      <w:r>
        <w:rPr>
          <w:rFonts w:hint="default" w:ascii="Times New Roman" w:hAnsi="Times New Roman" w:eastAsia="仿宋_GB2312" w:cs="Times New Roman"/>
          <w:color w:val="auto"/>
          <w:sz w:val="32"/>
        </w:rPr>
        <w:t>31</w:t>
      </w:r>
      <w:r>
        <w:rPr>
          <w:rFonts w:hint="eastAsia" w:ascii="仿宋_GB2312" w:hAnsi="Times New Roman" w:eastAsia="仿宋_GB2312"/>
          <w:color w:val="auto"/>
          <w:sz w:val="32"/>
        </w:rPr>
        <w:t>日，实际</w:t>
      </w:r>
      <w:r>
        <w:rPr>
          <w:rFonts w:hint="eastAsia" w:ascii="仿宋_GB2312" w:hAnsi="Times New Roman" w:eastAsia="仿宋_GB2312"/>
          <w:b w:val="0"/>
          <w:bCs w:val="0"/>
          <w:color w:val="auto"/>
          <w:sz w:val="32"/>
        </w:rPr>
        <w:t>筹建保障性租赁住房</w:t>
      </w:r>
      <w:r>
        <w:rPr>
          <w:rFonts w:hint="default" w:ascii="Times New Roman" w:hAnsi="Times New Roman" w:eastAsia="仿宋_GB2312" w:cs="Times New Roman"/>
          <w:color w:val="auto"/>
          <w:kern w:val="2"/>
          <w:sz w:val="32"/>
          <w:szCs w:val="32"/>
          <w:highlight w:val="none"/>
          <w:lang w:val="en-US" w:eastAsia="zh-CN" w:bidi="ar-SA"/>
        </w:rPr>
        <w:t>18</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45</w:t>
      </w:r>
      <w:r>
        <w:rPr>
          <w:rFonts w:hint="eastAsia" w:ascii="仿宋_GB2312" w:hAnsi="仿宋_GB2312" w:eastAsia="仿宋_GB2312" w:cs="仿宋_GB2312"/>
          <w:color w:val="auto"/>
          <w:kern w:val="2"/>
          <w:sz w:val="32"/>
          <w:szCs w:val="32"/>
          <w:highlight w:val="none"/>
          <w:lang w:val="en-US" w:eastAsia="zh-CN" w:bidi="ar-SA"/>
        </w:rPr>
        <w:t>万套</w:t>
      </w:r>
      <w:r>
        <w:rPr>
          <w:rFonts w:hint="eastAsia" w:ascii="仿宋_GB2312" w:hAnsi="Times New Roman" w:eastAsia="仿宋_GB2312"/>
          <w:color w:val="auto"/>
          <w:sz w:val="32"/>
        </w:rPr>
        <w:t>，实际筹集建设数为年度计划的</w:t>
      </w:r>
      <w:r>
        <w:rPr>
          <w:rFonts w:hint="default" w:ascii="Times New Roman" w:hAnsi="Times New Roman" w:eastAsia="仿宋_GB2312" w:cs="Times New Roman"/>
          <w:color w:val="auto"/>
          <w:sz w:val="32"/>
          <w:lang w:val="en-US" w:eastAsia="zh-CN"/>
        </w:rPr>
        <w:t>154</w:t>
      </w:r>
      <w:r>
        <w:rPr>
          <w:rFonts w:hint="eastAsia" w:ascii="仿宋_GB2312" w:hAnsi="Times New Roman" w:eastAsia="仿宋_GB2312"/>
          <w:color w:val="auto"/>
          <w:sz w:val="32"/>
        </w:rPr>
        <w:t>%。</w:t>
      </w:r>
    </w:p>
    <w:p w14:paraId="17989695">
      <w:pPr>
        <w:adjustRightInd w:val="0"/>
        <w:snapToGrid w:val="0"/>
        <w:spacing w:beforeLines="0" w:afterLines="0" w:line="360" w:lineRule="auto"/>
        <w:ind w:firstLine="640" w:firstLineChars="200"/>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）质量指标。</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rPr>
        <w:t>工程质量是否符合标准（是/否）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评价年度预期值为“是”，实际完成率为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Times New Roman" w:eastAsia="仿宋_GB2312"/>
          <w:color w:val="auto"/>
          <w:sz w:val="32"/>
          <w:lang w:val="en-US" w:eastAsia="zh-CN"/>
        </w:rPr>
        <w:t>专项资金</w:t>
      </w:r>
      <w:r>
        <w:rPr>
          <w:rFonts w:hint="eastAsia" w:ascii="仿宋_GB2312" w:hAnsi="Times New Roman" w:eastAsia="仿宋_GB2312"/>
          <w:color w:val="auto"/>
          <w:sz w:val="32"/>
        </w:rPr>
        <w:t>项目实施单位严格执行《广东省建设工程质量管理条例》《广东省建设项目安全设施监督管理办法》等规定</w:t>
      </w:r>
      <w:r>
        <w:rPr>
          <w:rFonts w:hint="eastAsia" w:ascii="仿宋_GB2312" w:hAnsi="Times New Roman" w:eastAsia="仿宋_GB2312"/>
          <w:color w:val="auto"/>
          <w:sz w:val="32"/>
          <w:lang w:eastAsia="zh-CN"/>
        </w:rPr>
        <w:t>。</w:t>
      </w:r>
      <w:r>
        <w:rPr>
          <w:rFonts w:hint="eastAsia" w:ascii="仿宋_GB2312" w:hAnsi="Times New Roman" w:eastAsia="仿宋_GB2312"/>
          <w:color w:val="auto"/>
          <w:sz w:val="32"/>
        </w:rPr>
        <w:t>各市县结合保障性住房和公租房项目实际，制定并落实有针对性的规章制度，完善工程质量安全</w:t>
      </w:r>
      <w:r>
        <w:rPr>
          <w:rFonts w:hint="eastAsia" w:ascii="仿宋_GB2312" w:hAnsi="Times New Roman" w:eastAsia="仿宋_GB2312"/>
          <w:color w:val="auto"/>
          <w:sz w:val="32"/>
          <w:lang w:val="en-US" w:eastAsia="zh-CN"/>
        </w:rPr>
        <w:t>事前</w:t>
      </w:r>
      <w:r>
        <w:rPr>
          <w:rFonts w:hint="eastAsia" w:ascii="仿宋_GB2312" w:hAnsi="Times New Roman" w:eastAsia="仿宋_GB2312"/>
          <w:color w:val="auto"/>
          <w:sz w:val="32"/>
        </w:rPr>
        <w:t>事中事后监管机制，压实建设单位、设计单位、施工单位、监理单位等参建单位质量安全责任，工程质量符合标准。住房城乡建设等</w:t>
      </w:r>
      <w:r>
        <w:rPr>
          <w:rFonts w:hint="eastAsia" w:ascii="仿宋_GB2312" w:hAnsi="Times New Roman" w:eastAsia="仿宋_GB2312"/>
          <w:color w:val="auto"/>
          <w:sz w:val="32"/>
          <w:lang w:val="en-US" w:eastAsia="zh-CN"/>
        </w:rPr>
        <w:t>主管</w:t>
      </w:r>
      <w:r>
        <w:rPr>
          <w:rFonts w:hint="eastAsia" w:ascii="仿宋_GB2312" w:hAnsi="Times New Roman" w:eastAsia="仿宋_GB2312"/>
          <w:color w:val="auto"/>
          <w:sz w:val="32"/>
        </w:rPr>
        <w:t>部门</w:t>
      </w:r>
      <w:r>
        <w:rPr>
          <w:rFonts w:hint="eastAsia" w:ascii="仿宋_GB2312" w:hAnsi="Times New Roman" w:eastAsia="仿宋_GB2312"/>
          <w:color w:val="auto"/>
          <w:sz w:val="32"/>
          <w:lang w:val="en-US" w:eastAsia="zh-CN"/>
        </w:rPr>
        <w:t>的</w:t>
      </w:r>
      <w:r>
        <w:rPr>
          <w:rFonts w:hint="eastAsia" w:ascii="仿宋_GB2312" w:hAnsi="Times New Roman" w:eastAsia="仿宋_GB2312"/>
          <w:color w:val="auto"/>
          <w:sz w:val="32"/>
        </w:rPr>
        <w:t>检查、审计中，未发现存在工程质量问题，也未发现经群众举报、媒体曝光等存在工程质量问题。</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验收及时率（%）。</w:t>
      </w:r>
      <w:r>
        <w:rPr>
          <w:rFonts w:hint="eastAsia" w:ascii="仿宋_GB2312" w:hAnsi="仿宋_GB2312" w:eastAsia="仿宋_GB2312" w:cs="仿宋_GB2312"/>
          <w:color w:val="auto"/>
          <w:kern w:val="2"/>
          <w:sz w:val="32"/>
          <w:szCs w:val="32"/>
          <w:highlight w:val="none"/>
          <w:lang w:val="en-US" w:eastAsia="zh-CN" w:bidi="ar-SA"/>
        </w:rPr>
        <w:t>评价年度预期值为≥</w:t>
      </w:r>
      <w:r>
        <w:rPr>
          <w:rFonts w:hint="default" w:ascii="Times New Roman" w:hAnsi="Times New Roman" w:eastAsia="仿宋_GB2312" w:cs="Times New Roman"/>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en-US" w:eastAsia="zh-CN" w:bidi="ar-SA"/>
        </w:rPr>
        <w:t>%，实际完成率为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%。有关市县按照《广东省财政厅 广东省住房和城乡建设厅关于印发广东省住房城乡建设领域专项资金管理办法(</w:t>
      </w:r>
      <w:r>
        <w:rPr>
          <w:rFonts w:hint="default" w:ascii="Times New Roman" w:hAnsi="Times New Roman" w:eastAsia="仿宋_GB2312" w:cs="Times New Roman"/>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年修订)的通知》（粤财建〔</w:t>
      </w:r>
      <w:r>
        <w:rPr>
          <w:rFonts w:hint="default" w:ascii="Times New Roman" w:hAnsi="Times New Roman" w:eastAsia="仿宋_GB2312" w:cs="Times New Roman"/>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号）等文件要求，及时开展项目验收工作，确保项目按时按质完成。所有完工项目均在规定时间内完成验收，</w:t>
      </w:r>
      <w:r>
        <w:rPr>
          <w:rFonts w:hint="eastAsia" w:ascii="仿宋_GB2312" w:hAnsi="Times New Roman" w:eastAsia="仿宋_GB2312"/>
          <w:color w:val="auto"/>
          <w:sz w:val="32"/>
        </w:rPr>
        <w:t>未发现</w:t>
      </w:r>
      <w:r>
        <w:rPr>
          <w:rFonts w:hint="eastAsia" w:ascii="仿宋_GB2312" w:hAnsi="仿宋_GB2312" w:eastAsia="仿宋_GB2312" w:cs="仿宋_GB2312"/>
          <w:color w:val="auto"/>
          <w:kern w:val="2"/>
          <w:sz w:val="32"/>
          <w:szCs w:val="32"/>
          <w:highlight w:val="none"/>
          <w:lang w:val="en-US" w:eastAsia="zh-CN" w:bidi="ar-SA"/>
        </w:rPr>
        <w:t>延迟验收情况。</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归集平台中初判存在安全隐患的经营性自建房鉴定完成率（%）。评价年度预期值为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%，实际完成率为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lang w:val="en-US" w:eastAsia="zh-CN"/>
        </w:rPr>
        <w:t>各地市对初判存在隐患的房屋进行复核确认，将符合标准的房屋纳入整治清单，并按照“一栋一策”原则逐栋制定整治方案。经统计，2024年初判存在安全隐患的经营性自建房整治销号比例为99.83%，未完成整治销号的经营性自建房处于安全管控状态，实现安全隐患动态清零目标，切实保障房屋使用安全。</w:t>
      </w:r>
    </w:p>
    <w:p w14:paraId="032FC1D9">
      <w:pPr>
        <w:adjustRightInd w:val="0"/>
        <w:snapToGrid w:val="0"/>
        <w:spacing w:beforeLines="0" w:afterLines="0" w:line="360" w:lineRule="auto"/>
        <w:ind w:firstLine="640" w:firstLineChars="200"/>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）时效指标。</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在年底前完成年度目标（是/否）。评价年度预期值为“是”，项目在年底前均按计划完成了年度目标，完成率为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城市危旧房计划排查鉴定完成时间。评价年度预期值为</w:t>
      </w:r>
      <w:r>
        <w:rPr>
          <w:rFonts w:hint="default" w:ascii="Times New Roman" w:hAnsi="Times New Roman" w:eastAsia="仿宋_GB2312" w:cs="Times New Roman"/>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12</w:t>
      </w:r>
      <w:r>
        <w:rPr>
          <w:rFonts w:hint="eastAsia" w:ascii="仿宋_GB2312" w:hAnsi="仿宋_GB2312" w:eastAsia="仿宋_GB2312" w:cs="仿宋_GB2312"/>
          <w:color w:val="auto"/>
          <w:kern w:val="2"/>
          <w:sz w:val="32"/>
          <w:szCs w:val="32"/>
          <w:highlight w:val="none"/>
          <w:lang w:val="en-US" w:eastAsia="zh-CN" w:bidi="ar-SA"/>
        </w:rPr>
        <w:t>月，城市危旧房实际排查鉴定均在</w:t>
      </w:r>
      <w:r>
        <w:rPr>
          <w:rFonts w:hint="default" w:ascii="Times New Roman" w:hAnsi="Times New Roman" w:eastAsia="仿宋_GB2312" w:cs="Times New Roman"/>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12</w:t>
      </w:r>
      <w:r>
        <w:rPr>
          <w:rFonts w:hint="eastAsia" w:ascii="仿宋_GB2312" w:hAnsi="仿宋_GB2312" w:eastAsia="仿宋_GB2312" w:cs="仿宋_GB2312"/>
          <w:color w:val="auto"/>
          <w:kern w:val="2"/>
          <w:sz w:val="32"/>
          <w:szCs w:val="32"/>
          <w:highlight w:val="none"/>
          <w:lang w:val="en-US" w:eastAsia="zh-CN" w:bidi="ar-SA"/>
        </w:rPr>
        <w:t>月前完成。所有排查鉴定工作均严格按照相关规定和标准执行，确保了数据的准确性和完整性。通过此次排查鉴定，及时发现并处理了潜在的安全隐患，为后续的改造和治理工作提供了有力的支持。同时，也进一步增强了居民对住房安全的信心，提升了政府的公信力和形象。</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全省初判存在安全隐患的经营性自建房鉴定工作完成时间。评价年度预期值为</w:t>
      </w:r>
      <w:r>
        <w:rPr>
          <w:rFonts w:hint="default" w:ascii="Times New Roman" w:hAnsi="Times New Roman" w:eastAsia="仿宋_GB2312" w:cs="Times New Roman"/>
          <w:color w:val="auto"/>
          <w:kern w:val="2"/>
          <w:sz w:val="32"/>
          <w:szCs w:val="32"/>
          <w:highlight w:val="none"/>
          <w:lang w:val="en-US" w:eastAsia="zh-CN" w:bidi="ar-SA"/>
        </w:rPr>
        <w:t>计划于</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kern w:val="2"/>
          <w:sz w:val="32"/>
          <w:szCs w:val="32"/>
          <w:highlight w:val="none"/>
          <w:lang w:val="en-US" w:eastAsia="zh-CN" w:bidi="ar-SA"/>
        </w:rPr>
        <w:t>前完成</w:t>
      </w:r>
      <w:r>
        <w:rPr>
          <w:rFonts w:hint="eastAsia" w:ascii="仿宋_GB2312" w:hAnsi="仿宋_GB2312" w:eastAsia="仿宋_GB2312" w:cs="仿宋_GB2312"/>
          <w:color w:val="auto"/>
          <w:kern w:val="2"/>
          <w:sz w:val="32"/>
          <w:szCs w:val="32"/>
          <w:highlight w:val="none"/>
          <w:lang w:val="en-US" w:eastAsia="zh-CN" w:bidi="ar-SA"/>
        </w:rPr>
        <w:t>，项目</w:t>
      </w:r>
      <w:r>
        <w:rPr>
          <w:rFonts w:hint="eastAsia" w:ascii="Times New Roman" w:hAnsi="Times New Roman" w:eastAsia="仿宋_GB2312" w:cs="Times New Roman"/>
          <w:color w:val="auto"/>
          <w:sz w:val="32"/>
          <w:szCs w:val="32"/>
          <w:highlight w:val="none"/>
          <w:lang w:val="en-US" w:eastAsia="zh-CN"/>
        </w:rPr>
        <w:t>工作均</w:t>
      </w:r>
      <w:r>
        <w:rPr>
          <w:rFonts w:hint="default" w:ascii="Times New Roman" w:hAnsi="Times New Roman" w:eastAsia="仿宋_GB2312" w:cs="Times New Roman"/>
          <w:color w:val="auto"/>
          <w:sz w:val="32"/>
          <w:szCs w:val="32"/>
          <w:highlight w:val="none"/>
        </w:rPr>
        <w:t>在202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w:t>
      </w:r>
      <w:r>
        <w:rPr>
          <w:rFonts w:hint="default" w:ascii="Times New Roman" w:hAnsi="Times New Roman" w:eastAsia="仿宋_GB2312" w:cs="Times New Roman"/>
          <w:color w:val="auto"/>
          <w:sz w:val="32"/>
          <w:szCs w:val="32"/>
        </w:rPr>
        <w:t>2月31日前完成</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rPr>
        <w:t>。</w:t>
      </w:r>
    </w:p>
    <w:p w14:paraId="4C75D75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color w:val="auto"/>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）社会效益指标。主要考察存在安全隐患的经营性自建房数量。评价年度预期值为逐年下降，完成率为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i w:val="0"/>
          <w:iCs w:val="0"/>
          <w:caps w:val="0"/>
          <w:color w:val="auto"/>
          <w:spacing w:val="0"/>
          <w:kern w:val="0"/>
          <w:sz w:val="31"/>
          <w:szCs w:val="31"/>
          <w:shd w:val="clear" w:color="auto" w:fill="auto"/>
          <w:lang w:val="en-US" w:eastAsia="zh-CN" w:bidi="ar"/>
        </w:rPr>
        <w:t>统计数据显示，截至2023年12月底，我省存有安全隐患的经营性自建房为39,204栋，已完成整治销号38,949栋，整治销号比例为99.39%。截至2024年12月底，我省全面完成2,150.15万栋自建房的排查摸底工作。其中，累计排查经营性自建房309.85万栋，针对排查出存在安全隐患的3.92万栋经营性自建房，整治销号比例为99.83%，</w:t>
      </w:r>
      <w:r>
        <w:rPr>
          <w:rFonts w:hint="default" w:ascii="Times New Roman" w:hAnsi="Times New Roman" w:eastAsia="仿宋_GB2312" w:cs="Times New Roman"/>
          <w:color w:val="auto"/>
          <w:sz w:val="32"/>
          <w:szCs w:val="32"/>
          <w:lang w:val="en-US" w:eastAsia="zh-CN"/>
        </w:rPr>
        <w:t>未完成整治销号的经营性自建房处于安全管控状态</w:t>
      </w:r>
      <w:r>
        <w:rPr>
          <w:rFonts w:hint="default" w:ascii="Times New Roman" w:hAnsi="Times New Roman" w:eastAsia="仿宋_GB2312" w:cs="Times New Roman"/>
          <w:i w:val="0"/>
          <w:iCs w:val="0"/>
          <w:caps w:val="0"/>
          <w:color w:val="auto"/>
          <w:spacing w:val="0"/>
          <w:kern w:val="0"/>
          <w:sz w:val="31"/>
          <w:szCs w:val="31"/>
          <w:shd w:val="clear" w:color="auto" w:fill="auto"/>
          <w:lang w:val="en-US" w:eastAsia="zh-CN" w:bidi="ar"/>
        </w:rPr>
        <w:t>。此外，通过督促各区、县级市深入开展“回头看”行动，严格落实“一户一档”管理，实现存在安全隐患的经营性自建房数量逐年递减，自建房安全整治工作取得显著成效。</w:t>
      </w:r>
    </w:p>
    <w:p w14:paraId="59800ACE">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）可持续发展指标。主要考核城市危旧房通过危险性房屋鉴定为 C、D级（栋）指标。评价年度预期值为约</w:t>
      </w:r>
      <w:r>
        <w:rPr>
          <w:rFonts w:hint="default" w:ascii="Times New Roman" w:hAnsi="Times New Roman" w:eastAsia="仿宋_GB2312" w:cs="Times New Roman"/>
          <w:color w:val="auto"/>
          <w:kern w:val="2"/>
          <w:sz w:val="32"/>
          <w:szCs w:val="32"/>
          <w:highlight w:val="none"/>
          <w:lang w:val="en-US" w:eastAsia="zh-CN" w:bidi="ar-SA"/>
        </w:rPr>
        <w:t>500</w:t>
      </w:r>
      <w:r>
        <w:rPr>
          <w:rFonts w:hint="eastAsia" w:ascii="仿宋_GB2312" w:hAnsi="仿宋_GB2312" w:eastAsia="仿宋_GB2312" w:cs="仿宋_GB2312"/>
          <w:color w:val="auto"/>
          <w:kern w:val="2"/>
          <w:sz w:val="32"/>
          <w:szCs w:val="32"/>
          <w:highlight w:val="none"/>
          <w:lang w:val="en-US" w:eastAsia="zh-CN" w:bidi="ar-SA"/>
        </w:rPr>
        <w:t>栋，实际完成</w:t>
      </w:r>
      <w:r>
        <w:rPr>
          <w:rFonts w:hint="default" w:ascii="Times New Roman" w:hAnsi="Times New Roman" w:eastAsia="仿宋_GB2312" w:cs="Times New Roman"/>
          <w:color w:val="auto"/>
          <w:kern w:val="2"/>
          <w:sz w:val="32"/>
          <w:szCs w:val="32"/>
          <w:highlight w:val="none"/>
          <w:lang w:val="en-US" w:eastAsia="zh-CN" w:bidi="ar-SA"/>
        </w:rPr>
        <w:t>506</w:t>
      </w:r>
      <w:r>
        <w:rPr>
          <w:rFonts w:hint="eastAsia" w:ascii="仿宋_GB2312" w:hAnsi="仿宋_GB2312" w:eastAsia="仿宋_GB2312" w:cs="仿宋_GB2312"/>
          <w:color w:val="auto"/>
          <w:kern w:val="2"/>
          <w:sz w:val="32"/>
          <w:szCs w:val="32"/>
          <w:highlight w:val="none"/>
          <w:lang w:val="en-US" w:eastAsia="zh-CN" w:bidi="ar-SA"/>
        </w:rPr>
        <w:t>栋，完成率为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通过危险性房屋鉴定，及时发现了C、D级危旧房，为后续的改造升级提供了精准的数据支持。同时，也为城市的可持续发展奠定了坚实基础，有助于提升城市形象，改善居民居住条件，进一步推动社会的和谐稳定。</w:t>
      </w:r>
    </w:p>
    <w:p w14:paraId="4C9B2E21">
      <w:pPr>
        <w:adjustRightInd w:val="0"/>
        <w:snapToGrid w:val="0"/>
        <w:spacing w:beforeLines="0" w:afterLines="0" w:line="360" w:lineRule="auto"/>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）满意度指标。</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城镇住房保障家庭抽查满意度（%）。评价年度预期值为≥</w:t>
      </w:r>
      <w:r>
        <w:rPr>
          <w:rFonts w:hint="default" w:ascii="Times New Roman" w:hAnsi="Times New Roman" w:eastAsia="仿宋_GB2312" w:cs="Times New Roman"/>
          <w:color w:val="auto"/>
          <w:kern w:val="2"/>
          <w:sz w:val="32"/>
          <w:szCs w:val="32"/>
          <w:highlight w:val="none"/>
          <w:lang w:val="en-US" w:eastAsia="zh-CN" w:bidi="ar-SA"/>
        </w:rPr>
        <w:t>80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Times New Roman" w:eastAsia="仿宋_GB2312"/>
          <w:b w:val="0"/>
          <w:bCs w:val="0"/>
          <w:color w:val="auto"/>
          <w:sz w:val="32"/>
        </w:rPr>
        <w:t>根据各市统计、住房城乡建设主管部门调查结果，全省</w:t>
      </w:r>
      <w:r>
        <w:rPr>
          <w:rFonts w:hint="eastAsia" w:ascii="仿宋_GB2312" w:hAnsi="仿宋_GB2312" w:eastAsia="仿宋_GB2312" w:cs="仿宋_GB2312"/>
          <w:color w:val="auto"/>
          <w:kern w:val="2"/>
          <w:sz w:val="32"/>
          <w:szCs w:val="32"/>
          <w:highlight w:val="none"/>
          <w:lang w:val="en-US" w:eastAsia="zh-CN" w:bidi="ar-SA"/>
        </w:rPr>
        <w:t>城镇住房保障家庭抽查满意度</w:t>
      </w:r>
      <w:r>
        <w:rPr>
          <w:rFonts w:hint="eastAsia" w:ascii="仿宋_GB2312" w:hAnsi="Times New Roman" w:eastAsia="仿宋_GB2312"/>
          <w:b w:val="0"/>
          <w:bCs w:val="0"/>
          <w:color w:val="auto"/>
          <w:sz w:val="32"/>
        </w:rPr>
        <w:t>为</w:t>
      </w:r>
      <w:r>
        <w:rPr>
          <w:rFonts w:hint="default" w:ascii="Times New Roman" w:hAnsi="Times New Roman" w:eastAsia="仿宋_GB2312" w:cs="Times New Roman"/>
          <w:b w:val="0"/>
          <w:bCs w:val="0"/>
          <w:color w:val="auto"/>
          <w:sz w:val="32"/>
          <w:lang w:val="en-US" w:eastAsia="zh-CN"/>
        </w:rPr>
        <w:t>93</w:t>
      </w:r>
      <w:r>
        <w:rPr>
          <w:rFonts w:hint="eastAsia" w:ascii="仿宋_GB2312" w:hAnsi="Times New Roman" w:eastAsia="仿宋_GB2312"/>
          <w:b w:val="0"/>
          <w:bCs w:val="0"/>
          <w:color w:val="auto"/>
          <w:sz w:val="32"/>
          <w:lang w:val="en-US" w:eastAsia="zh-CN"/>
        </w:rPr>
        <w:t>.</w:t>
      </w:r>
      <w:r>
        <w:rPr>
          <w:rFonts w:hint="default" w:ascii="Times New Roman" w:hAnsi="Times New Roman" w:eastAsia="仿宋_GB2312" w:cs="Times New Roman"/>
          <w:b w:val="0"/>
          <w:bCs w:val="0"/>
          <w:color w:val="auto"/>
          <w:sz w:val="32"/>
          <w:lang w:val="en-US" w:eastAsia="zh-CN"/>
        </w:rPr>
        <w:t>76</w:t>
      </w:r>
      <w:r>
        <w:rPr>
          <w:rFonts w:hint="eastAsia" w:ascii="仿宋_GB2312" w:hAnsi="Times New Roman" w:eastAsia="仿宋_GB2312"/>
          <w:b w:val="0"/>
          <w:bCs w:val="0"/>
          <w:color w:val="auto"/>
          <w:sz w:val="32"/>
        </w:rPr>
        <w:t>%，</w:t>
      </w:r>
      <w:r>
        <w:rPr>
          <w:rFonts w:hint="eastAsia" w:ascii="仿宋_GB2312" w:hAnsi="Times New Roman" w:eastAsia="仿宋_GB2312"/>
          <w:b w:val="0"/>
          <w:bCs w:val="0"/>
          <w:color w:val="auto"/>
          <w:sz w:val="32"/>
          <w:lang w:val="en-US" w:eastAsia="zh-CN"/>
        </w:rPr>
        <w:t>超过</w:t>
      </w:r>
      <w:r>
        <w:rPr>
          <w:rFonts w:hint="default" w:ascii="Times New Roman" w:hAnsi="Times New Roman" w:eastAsia="仿宋_GB2312" w:cs="Times New Roman"/>
          <w:color w:val="auto"/>
          <w:sz w:val="32"/>
          <w:highlight w:val="none"/>
          <w:lang w:val="en-US" w:eastAsia="zh-CN"/>
        </w:rPr>
        <w:t>80</w:t>
      </w:r>
      <w:r>
        <w:rPr>
          <w:rFonts w:hint="eastAsia" w:ascii="仿宋_GB2312" w:hAnsi="仿宋_GB2312" w:eastAsia="仿宋_GB2312" w:cs="仿宋_GB2312"/>
          <w:color w:val="auto"/>
          <w:sz w:val="32"/>
          <w:highlight w:val="none"/>
          <w:lang w:val="en-US" w:eastAsia="zh-CN"/>
        </w:rPr>
        <w:t>%的指标值，</w:t>
      </w:r>
      <w:r>
        <w:rPr>
          <w:rFonts w:hint="eastAsia" w:ascii="仿宋_GB2312" w:hAnsi="仿宋_GB2312" w:eastAsia="仿宋_GB2312" w:cs="仿宋_GB2312"/>
          <w:color w:val="auto"/>
          <w:kern w:val="2"/>
          <w:sz w:val="32"/>
          <w:szCs w:val="32"/>
          <w:highlight w:val="none"/>
          <w:lang w:val="en-US" w:eastAsia="zh-CN" w:bidi="ar-SA"/>
        </w:rPr>
        <w:t>完成率为</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%。这一指标体现了政府部门在提升服务质量方面所做的努力得到了广大住房保障家庭的认可与信赖。</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省市住建主管部门对自建房安全专项排查工作开展情况满意度（%）。评价年度预期值为≥</w:t>
      </w:r>
      <w:r>
        <w:rPr>
          <w:rFonts w:hint="default" w:ascii="Times New Roman" w:hAnsi="Times New Roman" w:eastAsia="仿宋_GB2312" w:cs="Times New Roman"/>
          <w:color w:val="auto"/>
          <w:kern w:val="2"/>
          <w:sz w:val="32"/>
          <w:szCs w:val="32"/>
          <w:highlight w:val="none"/>
          <w:lang w:val="en-US" w:eastAsia="zh-CN" w:bidi="ar-SA"/>
        </w:rPr>
        <w:t>95%</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rPr>
        <w:t>综合满意度为</w:t>
      </w:r>
      <w:r>
        <w:rPr>
          <w:rFonts w:hint="default" w:ascii="Times New Roman" w:hAnsi="Times New Roman" w:eastAsia="仿宋_GB2312" w:cs="Times New Roman"/>
          <w:color w:val="auto"/>
          <w:sz w:val="32"/>
          <w:szCs w:val="32"/>
          <w:lang w:val="en-US" w:eastAsia="zh-CN"/>
        </w:rPr>
        <w:t>97.60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项目的实施得到了省、市住</w:t>
      </w:r>
      <w:r>
        <w:rPr>
          <w:rFonts w:hint="default" w:ascii="Times New Roman" w:hAnsi="Times New Roman" w:eastAsia="仿宋_GB2312" w:cs="Times New Roman"/>
          <w:color w:val="auto"/>
          <w:sz w:val="32"/>
          <w:szCs w:val="32"/>
          <w:lang w:val="en-US" w:eastAsia="zh-CN"/>
        </w:rPr>
        <w:t>房城乡</w:t>
      </w:r>
      <w:r>
        <w:rPr>
          <w:rFonts w:hint="default" w:ascii="Times New Roman" w:hAnsi="Times New Roman" w:eastAsia="仿宋_GB2312" w:cs="Times New Roman"/>
          <w:color w:val="auto"/>
          <w:sz w:val="32"/>
          <w:szCs w:val="32"/>
        </w:rPr>
        <w:t>建</w:t>
      </w:r>
      <w:r>
        <w:rPr>
          <w:rFonts w:hint="default" w:ascii="Times New Roman" w:hAnsi="Times New Roman" w:eastAsia="仿宋_GB2312" w:cs="Times New Roman"/>
          <w:color w:val="auto"/>
          <w:sz w:val="32"/>
          <w:szCs w:val="32"/>
          <w:lang w:val="en-US" w:eastAsia="zh-CN"/>
        </w:rPr>
        <w:t>设</w:t>
      </w:r>
      <w:r>
        <w:rPr>
          <w:rFonts w:hint="default" w:ascii="Times New Roman" w:hAnsi="Times New Roman" w:eastAsia="仿宋_GB2312" w:cs="Times New Roman"/>
          <w:color w:val="auto"/>
          <w:sz w:val="32"/>
          <w:szCs w:val="32"/>
        </w:rPr>
        <w:t>主管部门</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经营性自建房产权人的广泛好评，综合满意度为</w:t>
      </w:r>
      <w:r>
        <w:rPr>
          <w:rFonts w:hint="default" w:ascii="Times New Roman" w:hAnsi="Times New Roman" w:eastAsia="仿宋_GB2312" w:cs="Times New Roman"/>
          <w:color w:val="auto"/>
          <w:sz w:val="32"/>
          <w:szCs w:val="32"/>
          <w:lang w:val="en-US" w:eastAsia="zh-CN"/>
        </w:rPr>
        <w:t>97.60</w:t>
      </w:r>
      <w:r>
        <w:rPr>
          <w:rFonts w:hint="default" w:ascii="Times New Roman" w:hAnsi="Times New Roman" w:eastAsia="仿宋_GB2312" w:cs="Times New Roman"/>
          <w:color w:val="auto"/>
          <w:sz w:val="32"/>
          <w:szCs w:val="32"/>
        </w:rPr>
        <w:t>%，达到预期绩效目标。</w:t>
      </w:r>
    </w:p>
    <w:p w14:paraId="0C5AC397">
      <w:pPr>
        <w:pStyle w:val="3"/>
        <w:spacing w:beforeAutospacing="0" w:afterAutospacing="0"/>
        <w:ind w:firstLine="643" w:firstLineChars="200"/>
        <w:outlineLvl w:val="1"/>
        <w:rPr>
          <w:rFonts w:hint="eastAsia" w:ascii="楷体_GB2312" w:hAnsi="楷体_GB2312" w:eastAsia="楷体_GB2312" w:cs="楷体_GB2312"/>
          <w:color w:val="auto"/>
          <w:sz w:val="32"/>
          <w:szCs w:val="32"/>
        </w:rPr>
      </w:pPr>
      <w:bookmarkStart w:id="25" w:name="_Toc10950"/>
      <w:bookmarkStart w:id="26" w:name="_Toc24772"/>
      <w:bookmarkStart w:id="27" w:name="_Toc139976782"/>
      <w:bookmarkStart w:id="28" w:name="_Toc12318"/>
      <w:bookmarkStart w:id="29" w:name="_Toc27548"/>
      <w:bookmarkStart w:id="30" w:name="_Toc3302"/>
      <w:bookmarkStart w:id="31" w:name="_Toc4518"/>
      <w:bookmarkStart w:id="32" w:name="_Toc2017"/>
      <w:r>
        <w:rPr>
          <w:rFonts w:hint="eastAsia" w:ascii="楷体_GB2312" w:hAnsi="楷体_GB2312" w:eastAsia="楷体_GB2312" w:cs="楷体_GB2312"/>
          <w:color w:val="auto"/>
          <w:sz w:val="32"/>
          <w:szCs w:val="32"/>
        </w:rPr>
        <w:t>（二）专项资金使用绩效</w:t>
      </w:r>
      <w:bookmarkEnd w:id="25"/>
      <w:bookmarkEnd w:id="26"/>
      <w:bookmarkEnd w:id="27"/>
      <w:bookmarkEnd w:id="28"/>
      <w:bookmarkEnd w:id="29"/>
      <w:bookmarkEnd w:id="30"/>
      <w:bookmarkEnd w:id="31"/>
      <w:bookmarkEnd w:id="32"/>
    </w:p>
    <w:p w14:paraId="620EDA91">
      <w:pPr>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default" w:ascii="仿宋_GB2312" w:eastAsia="仿宋_GB2312"/>
          <w:color w:val="auto"/>
          <w:sz w:val="32"/>
          <w:lang w:val="en-US" w:eastAsia="zh-CN"/>
        </w:rPr>
      </w:pPr>
      <w:r>
        <w:rPr>
          <w:rFonts w:hint="default" w:ascii="Times New Roman" w:hAnsi="Times New Roman" w:eastAsia="仿宋_GB2312" w:cs="Times New Roman"/>
          <w:b/>
          <w:bCs/>
          <w:color w:val="auto"/>
          <w:sz w:val="32"/>
          <w:szCs w:val="32"/>
        </w:rPr>
        <w:t>1</w:t>
      </w:r>
      <w:r>
        <w:rPr>
          <w:rFonts w:hint="eastAsia" w:ascii="仿宋_GB2312" w:eastAsia="仿宋_GB2312"/>
          <w:b/>
          <w:bCs/>
          <w:color w:val="auto"/>
          <w:sz w:val="32"/>
          <w:szCs w:val="32"/>
        </w:rPr>
        <w:t>.专项资金支出情况。</w:t>
      </w:r>
      <w:r>
        <w:rPr>
          <w:rFonts w:hint="eastAsia" w:ascii="仿宋_GB2312" w:eastAsia="仿宋_GB2312"/>
          <w:color w:val="auto"/>
          <w:sz w:val="32"/>
          <w:szCs w:val="32"/>
        </w:rPr>
        <w:t>截至</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12</w:t>
      </w:r>
      <w:r>
        <w:rPr>
          <w:rFonts w:hint="eastAsia" w:ascii="仿宋_GB2312" w:eastAsia="仿宋_GB2312"/>
          <w:color w:val="auto"/>
          <w:sz w:val="32"/>
          <w:szCs w:val="32"/>
        </w:rPr>
        <w:t>月</w:t>
      </w:r>
      <w:r>
        <w:rPr>
          <w:rFonts w:hint="default" w:ascii="Times New Roman" w:hAnsi="Times New Roman" w:eastAsia="仿宋_GB2312" w:cs="Times New Roman"/>
          <w:color w:val="auto"/>
          <w:sz w:val="32"/>
          <w:szCs w:val="32"/>
        </w:rPr>
        <w:t>31</w:t>
      </w:r>
      <w:r>
        <w:rPr>
          <w:rFonts w:hint="eastAsia" w:ascii="仿宋_GB2312" w:eastAsia="仿宋_GB2312"/>
          <w:color w:val="auto"/>
          <w:sz w:val="32"/>
          <w:szCs w:val="32"/>
        </w:rPr>
        <w:t>日，专项资金到位</w:t>
      </w:r>
      <w:r>
        <w:rPr>
          <w:rFonts w:hint="eastAsia" w:ascii="仿宋_GB2312" w:eastAsia="仿宋_GB2312"/>
          <w:color w:val="auto"/>
          <w:sz w:val="32"/>
          <w:szCs w:val="32"/>
          <w:lang w:val="en-US" w:eastAsia="zh-CN"/>
        </w:rPr>
        <w:t>数</w:t>
      </w:r>
      <w:r>
        <w:rPr>
          <w:rFonts w:hint="default" w:ascii="Times New Roman" w:hAnsi="Times New Roman" w:eastAsia="仿宋_GB2312" w:cs="Times New Roman"/>
          <w:color w:val="auto"/>
          <w:sz w:val="32"/>
          <w:szCs w:val="32"/>
          <w:lang w:val="en-US" w:eastAsia="zh-CN"/>
        </w:rPr>
        <w:t>53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285</w:t>
      </w:r>
      <w:r>
        <w:rPr>
          <w:rFonts w:hint="eastAsia" w:ascii="Times New Roman" w:hAnsi="Times New Roman" w:eastAsia="仿宋_GB2312" w:cs="Times New Roman"/>
          <w:color w:val="auto"/>
          <w:sz w:val="32"/>
          <w:szCs w:val="32"/>
          <w:lang w:val="en-US" w:eastAsia="zh-CN"/>
        </w:rPr>
        <w:t>万</w:t>
      </w:r>
      <w:r>
        <w:rPr>
          <w:rFonts w:hint="eastAsia" w:ascii="仿宋_GB2312" w:eastAsia="仿宋_GB2312"/>
          <w:color w:val="auto"/>
          <w:sz w:val="32"/>
          <w:szCs w:val="32"/>
        </w:rPr>
        <w:t>元，支出</w:t>
      </w:r>
      <w:r>
        <w:rPr>
          <w:rFonts w:hint="eastAsia" w:ascii="仿宋_GB2312" w:eastAsia="仿宋_GB2312"/>
          <w:color w:val="auto"/>
          <w:sz w:val="32"/>
          <w:szCs w:val="32"/>
          <w:lang w:val="en-US" w:eastAsia="zh-CN"/>
        </w:rPr>
        <w:t>数</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44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870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64</w:t>
      </w:r>
      <w:r>
        <w:rPr>
          <w:rFonts w:hint="eastAsia" w:ascii="Times New Roman" w:hAnsi="Times New Roman" w:eastAsia="仿宋_GB2312" w:cs="Times New Roman"/>
          <w:color w:val="auto"/>
          <w:sz w:val="32"/>
          <w:szCs w:val="32"/>
          <w:lang w:val="en-US" w:eastAsia="zh-CN"/>
        </w:rPr>
        <w:t xml:space="preserve"> </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，资金支出率</w:t>
      </w:r>
      <w:r>
        <w:rPr>
          <w:rFonts w:hint="eastAsia" w:ascii="仿宋_GB2312" w:eastAsia="仿宋_GB2312"/>
          <w:color w:val="auto"/>
          <w:sz w:val="32"/>
          <w:szCs w:val="32"/>
          <w:lang w:val="en-US" w:eastAsia="zh-CN"/>
        </w:rPr>
        <w:t>为</w:t>
      </w:r>
      <w:r>
        <w:rPr>
          <w:rFonts w:hint="default" w:ascii="Times New Roman" w:hAnsi="Times New Roman" w:eastAsia="仿宋_GB2312" w:cs="Times New Roman"/>
          <w:color w:val="auto"/>
          <w:sz w:val="32"/>
          <w:szCs w:val="32"/>
          <w:lang w:val="en-US" w:eastAsia="zh-CN"/>
        </w:rPr>
        <w:t>84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21</w:t>
      </w:r>
      <w:r>
        <w:rPr>
          <w:rFonts w:hint="eastAsia" w:ascii="仿宋_GB2312" w:eastAsia="仿宋_GB2312"/>
          <w:color w:val="auto"/>
          <w:sz w:val="32"/>
          <w:szCs w:val="32"/>
          <w:lang w:val="en-US" w:eastAsia="zh-CN"/>
        </w:rPr>
        <w:t>%，</w:t>
      </w:r>
      <w:r>
        <w:rPr>
          <w:rFonts w:hint="eastAsia" w:ascii="仿宋_GB2312" w:eastAsia="仿宋_GB2312"/>
          <w:color w:val="auto"/>
          <w:sz w:val="32"/>
          <w:lang w:val="en-US" w:eastAsia="zh-CN"/>
        </w:rPr>
        <w:t>其中保障性安居工程支出</w:t>
      </w:r>
      <w:r>
        <w:rPr>
          <w:rFonts w:hint="default" w:ascii="Times New Roman" w:hAnsi="Times New Roman" w:eastAsia="仿宋_GB2312" w:cs="Times New Roman"/>
          <w:color w:val="auto"/>
          <w:sz w:val="32"/>
          <w:lang w:val="en-US" w:eastAsia="zh-CN"/>
        </w:rPr>
        <w:t>42</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541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48</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85</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98</w:t>
      </w:r>
      <w:r>
        <w:rPr>
          <w:rFonts w:hint="eastAsia" w:ascii="仿宋_GB2312" w:eastAsia="仿宋_GB2312"/>
          <w:color w:val="auto"/>
          <w:sz w:val="32"/>
          <w:lang w:val="en-US" w:eastAsia="zh-CN"/>
        </w:rPr>
        <w:t>%）、城市危旧房摸底调查支出</w:t>
      </w:r>
      <w:r>
        <w:rPr>
          <w:rFonts w:hint="default" w:ascii="Times New Roman" w:hAnsi="Times New Roman" w:eastAsia="仿宋_GB2312" w:cs="Times New Roman"/>
          <w:color w:val="auto"/>
          <w:sz w:val="32"/>
          <w:lang w:val="en-US" w:eastAsia="zh-CN"/>
        </w:rPr>
        <w:t>368</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39</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43</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19</w:t>
      </w:r>
      <w:r>
        <w:rPr>
          <w:rFonts w:hint="eastAsia" w:ascii="仿宋_GB2312" w:eastAsia="仿宋_GB2312"/>
          <w:color w:val="auto"/>
          <w:sz w:val="32"/>
          <w:lang w:val="en-US" w:eastAsia="zh-CN"/>
        </w:rPr>
        <w:t>%）、自建房安全专项整治支出</w:t>
      </w:r>
      <w:r>
        <w:rPr>
          <w:rFonts w:hint="default" w:ascii="Times New Roman" w:hAnsi="Times New Roman" w:eastAsia="仿宋_GB2312" w:cs="Times New Roman"/>
          <w:color w:val="auto"/>
          <w:sz w:val="32"/>
          <w:lang w:val="en-US" w:eastAsia="zh-CN"/>
        </w:rPr>
        <w:t>1,071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14</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51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95%</w:t>
      </w:r>
      <w:r>
        <w:rPr>
          <w:rFonts w:hint="eastAsia" w:ascii="仿宋_GB2312" w:eastAsia="仿宋_GB2312"/>
          <w:color w:val="auto"/>
          <w:sz w:val="32"/>
          <w:lang w:val="en-US" w:eastAsia="zh-CN"/>
        </w:rPr>
        <w:t>）、省级工作经费</w:t>
      </w:r>
      <w:r>
        <w:rPr>
          <w:rFonts w:hint="default" w:ascii="Times New Roman" w:hAnsi="Times New Roman" w:eastAsia="仿宋_GB2312" w:cs="Times New Roman"/>
          <w:color w:val="auto"/>
          <w:sz w:val="32"/>
          <w:lang w:val="en-US" w:eastAsia="zh-CN"/>
        </w:rPr>
        <w:t>889</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64</w:t>
      </w:r>
      <w:r>
        <w:rPr>
          <w:rFonts w:hint="eastAsia" w:ascii="仿宋_GB2312" w:eastAsia="仿宋_GB2312"/>
          <w:color w:val="auto"/>
          <w:sz w:val="32"/>
          <w:lang w:val="en-US" w:eastAsia="zh-CN"/>
        </w:rPr>
        <w:t>万元（支出率</w:t>
      </w:r>
      <w:r>
        <w:rPr>
          <w:rFonts w:hint="default" w:ascii="Times New Roman" w:hAnsi="Times New Roman" w:eastAsia="仿宋_GB2312" w:cs="Times New Roman"/>
          <w:color w:val="auto"/>
          <w:sz w:val="32"/>
          <w:lang w:val="en-US" w:eastAsia="zh-CN"/>
        </w:rPr>
        <w:t>99</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96</w:t>
      </w:r>
      <w:r>
        <w:rPr>
          <w:rFonts w:hint="eastAsia" w:ascii="仿宋_GB2312" w:eastAsia="仿宋_GB2312"/>
          <w:color w:val="auto"/>
          <w:sz w:val="32"/>
          <w:lang w:val="en-US" w:eastAsia="zh-CN"/>
        </w:rPr>
        <w:t>%）</w:t>
      </w:r>
      <w:r>
        <w:rPr>
          <w:rFonts w:hint="eastAsia" w:ascii="仿宋_GB2312" w:eastAsia="仿宋_GB2312"/>
          <w:color w:val="auto"/>
          <w:sz w:val="32"/>
          <w:szCs w:val="32"/>
        </w:rPr>
        <w:t>。</w:t>
      </w:r>
      <w:r>
        <w:rPr>
          <w:rFonts w:hint="eastAsia" w:ascii="仿宋_GB2312" w:eastAsia="仿宋_GB2312"/>
          <w:color w:val="auto"/>
          <w:sz w:val="32"/>
          <w:lang w:val="en-US" w:eastAsia="zh-CN"/>
        </w:rPr>
        <w:t>城市危旧房摸底调查及自建房安全专项整治项目的支出率较低，分别为</w:t>
      </w:r>
      <w:r>
        <w:rPr>
          <w:rFonts w:hint="default" w:ascii="Times New Roman" w:hAnsi="Times New Roman" w:eastAsia="仿宋_GB2312" w:cs="Times New Roman"/>
          <w:color w:val="auto"/>
          <w:sz w:val="32"/>
          <w:lang w:val="en-US" w:eastAsia="zh-CN"/>
        </w:rPr>
        <w:t>43</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19</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lang w:val="en-US" w:eastAsia="zh-CN"/>
        </w:rPr>
        <w:t>51</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95</w:t>
      </w:r>
      <w:r>
        <w:rPr>
          <w:rFonts w:hint="eastAsia" w:ascii="Times New Roman" w:hAnsi="Times New Roman" w:eastAsia="仿宋_GB2312" w:cs="Times New Roman"/>
          <w:color w:val="auto"/>
          <w:sz w:val="32"/>
          <w:lang w:val="en-US" w:eastAsia="zh-CN"/>
        </w:rPr>
        <w:t>%</w:t>
      </w:r>
      <w:r>
        <w:rPr>
          <w:rFonts w:hint="eastAsia" w:ascii="仿宋_GB2312" w:eastAsia="仿宋_GB2312"/>
          <w:color w:val="auto"/>
          <w:sz w:val="32"/>
          <w:lang w:val="en-US" w:eastAsia="zh-CN"/>
        </w:rPr>
        <w:t>，主要原因：</w:t>
      </w:r>
      <w:r>
        <w:rPr>
          <w:rFonts w:hint="eastAsia" w:ascii="仿宋_GB2312" w:eastAsia="仿宋_GB2312"/>
          <w:b/>
          <w:bCs/>
          <w:color w:val="auto"/>
          <w:sz w:val="32"/>
          <w:lang w:val="en-US" w:eastAsia="zh-CN"/>
        </w:rPr>
        <w:t>一是</w:t>
      </w:r>
      <w:r>
        <w:rPr>
          <w:rFonts w:hint="eastAsia" w:ascii="仿宋_GB2312" w:eastAsia="仿宋_GB2312"/>
          <w:color w:val="auto"/>
          <w:sz w:val="32"/>
          <w:lang w:val="en-US" w:eastAsia="zh-CN"/>
        </w:rPr>
        <w:t>部分县区财政困难，财政部门无法及时拨付工作经费到项目单位；</w:t>
      </w:r>
      <w:r>
        <w:rPr>
          <w:rFonts w:hint="eastAsia" w:ascii="仿宋_GB2312" w:eastAsia="仿宋_GB2312"/>
          <w:b/>
          <w:bCs/>
          <w:color w:val="auto"/>
          <w:sz w:val="32"/>
          <w:lang w:val="en-US" w:eastAsia="zh-CN"/>
        </w:rPr>
        <w:t>二是</w:t>
      </w:r>
      <w:r>
        <w:rPr>
          <w:rFonts w:hint="eastAsia" w:ascii="仿宋_GB2312" w:eastAsia="仿宋_GB2312"/>
          <w:color w:val="auto"/>
          <w:sz w:val="32"/>
          <w:lang w:val="en-US" w:eastAsia="zh-CN"/>
        </w:rPr>
        <w:t>部分市县于</w:t>
      </w:r>
      <w:r>
        <w:rPr>
          <w:rFonts w:hint="default" w:ascii="Times New Roman" w:hAnsi="Times New Roman" w:eastAsia="仿宋_GB2312" w:cs="Times New Roman"/>
          <w:color w:val="auto"/>
          <w:sz w:val="32"/>
          <w:lang w:val="en-US" w:eastAsia="zh-CN"/>
        </w:rPr>
        <w:t>2023</w:t>
      </w:r>
      <w:r>
        <w:rPr>
          <w:rFonts w:hint="eastAsia" w:ascii="仿宋_GB2312" w:eastAsia="仿宋_GB2312"/>
          <w:color w:val="auto"/>
          <w:sz w:val="32"/>
          <w:lang w:val="en-US" w:eastAsia="zh-CN"/>
        </w:rPr>
        <w:t>年</w:t>
      </w:r>
      <w:r>
        <w:rPr>
          <w:rFonts w:hint="default" w:ascii="Times New Roman" w:hAnsi="Times New Roman" w:eastAsia="仿宋_GB2312" w:cs="Times New Roman"/>
          <w:color w:val="auto"/>
          <w:sz w:val="32"/>
          <w:lang w:val="en-US" w:eastAsia="zh-CN"/>
        </w:rPr>
        <w:t>9</w:t>
      </w:r>
      <w:r>
        <w:rPr>
          <w:rFonts w:hint="eastAsia" w:ascii="仿宋_GB2312" w:eastAsia="仿宋_GB2312"/>
          <w:color w:val="auto"/>
          <w:sz w:val="32"/>
          <w:lang w:val="en-US" w:eastAsia="zh-CN"/>
        </w:rPr>
        <w:t>月前已完成危旧房摸底前期调查、鉴定工作，本次下达资金未明确能否用于危旧房修缮工作等相关工作，部分市县既未向上级请示，也未自行把资金用于危旧房修缮等，造成城市危旧房摸底调查资金沉淀；</w:t>
      </w:r>
      <w:r>
        <w:rPr>
          <w:rFonts w:hint="eastAsia" w:ascii="仿宋_GB2312" w:eastAsia="仿宋_GB2312"/>
          <w:b/>
          <w:bCs/>
          <w:color w:val="auto"/>
          <w:sz w:val="32"/>
          <w:lang w:val="en-US" w:eastAsia="zh-CN"/>
        </w:rPr>
        <w:t>三是</w:t>
      </w:r>
      <w:r>
        <w:rPr>
          <w:rFonts w:hint="eastAsia" w:ascii="仿宋_GB2312" w:eastAsia="仿宋_GB2312"/>
          <w:color w:val="auto"/>
          <w:sz w:val="32"/>
          <w:lang w:val="en-US" w:eastAsia="zh-CN"/>
        </w:rPr>
        <w:t>技术力量不足。部分市县住建部门缺乏足够的具备房屋安全鉴定、工程整治资质的专业技术人员，执法装备等专业物资配备不齐全，制约了危旧房整治工作的开展；</w:t>
      </w:r>
      <w:r>
        <w:rPr>
          <w:rFonts w:hint="eastAsia" w:ascii="仿宋_GB2312" w:eastAsia="仿宋_GB2312"/>
          <w:b/>
          <w:bCs/>
          <w:color w:val="auto"/>
          <w:sz w:val="32"/>
          <w:lang w:val="en-US" w:eastAsia="zh-CN"/>
        </w:rPr>
        <w:t>四是</w:t>
      </w:r>
      <w:r>
        <w:rPr>
          <w:rFonts w:hint="default" w:ascii="Times New Roman" w:hAnsi="Times New Roman" w:eastAsia="仿宋_GB2312" w:cs="Times New Roman"/>
          <w:b w:val="0"/>
          <w:bCs w:val="0"/>
          <w:color w:val="auto"/>
          <w:sz w:val="32"/>
          <w:szCs w:val="32"/>
          <w:highlight w:val="none"/>
          <w:lang w:val="en-US" w:eastAsia="zh-CN"/>
        </w:rPr>
        <w:t>自建房整治项目执行存在梗阻</w:t>
      </w:r>
      <w:r>
        <w:rPr>
          <w:rFonts w:hint="eastAsia" w:ascii="仿宋_GB2312" w:eastAsia="仿宋_GB2312"/>
          <w:color w:val="auto"/>
          <w:sz w:val="32"/>
          <w:lang w:val="en-US" w:eastAsia="zh-CN"/>
        </w:rPr>
        <w:t>。</w:t>
      </w:r>
      <w:r>
        <w:rPr>
          <w:rFonts w:hint="default" w:ascii="Times New Roman" w:hAnsi="Times New Roman" w:eastAsia="仿宋_GB2312" w:cs="Times New Roman"/>
          <w:color w:val="auto"/>
          <w:sz w:val="32"/>
          <w:szCs w:val="32"/>
        </w:rPr>
        <w:t>因</w:t>
      </w:r>
      <w:r>
        <w:rPr>
          <w:rFonts w:hint="eastAsia" w:ascii="Times New Roman" w:hAnsi="Times New Roman" w:eastAsia="仿宋_GB2312" w:cs="Times New Roman"/>
          <w:color w:val="auto"/>
          <w:sz w:val="32"/>
          <w:szCs w:val="32"/>
          <w:lang w:val="en-US" w:eastAsia="zh-CN"/>
        </w:rPr>
        <w:t>整治</w:t>
      </w:r>
      <w:r>
        <w:rPr>
          <w:rFonts w:hint="default" w:ascii="Times New Roman" w:hAnsi="Times New Roman" w:eastAsia="仿宋_GB2312" w:cs="Times New Roman"/>
          <w:color w:val="auto"/>
          <w:sz w:val="32"/>
          <w:szCs w:val="32"/>
        </w:rPr>
        <w:t>工程管理流程复杂导致资金支付节点后移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部分乡镇对专项资金申报政策理解不深、操作流程掌握不熟，项目申报主动性不足，影响资金使用进度。</w:t>
      </w:r>
    </w:p>
    <w:p w14:paraId="2A8C0B7A">
      <w:pPr>
        <w:adjustRightInd w:val="0"/>
        <w:snapToGrid w:val="0"/>
        <w:spacing w:line="360" w:lineRule="auto"/>
        <w:ind w:firstLine="643" w:firstLineChars="200"/>
        <w:outlineLvl w:val="9"/>
        <w:rPr>
          <w:rFonts w:hint="eastAsia" w:ascii="仿宋_GB2312" w:eastAsia="仿宋_GB2312"/>
          <w:b/>
          <w:bCs/>
          <w:color w:val="auto"/>
          <w:sz w:val="32"/>
          <w:szCs w:val="32"/>
        </w:rPr>
      </w:pPr>
      <w:bookmarkStart w:id="33" w:name="_Toc1618"/>
      <w:r>
        <w:rPr>
          <w:rFonts w:hint="default" w:ascii="Times New Roman" w:hAnsi="Times New Roman" w:eastAsia="仿宋_GB2312" w:cs="Times New Roman"/>
          <w:b/>
          <w:bCs/>
          <w:color w:val="auto"/>
          <w:sz w:val="32"/>
          <w:szCs w:val="32"/>
        </w:rPr>
        <w:t>2</w:t>
      </w:r>
      <w:r>
        <w:rPr>
          <w:rFonts w:hint="eastAsia" w:ascii="仿宋_GB2312" w:eastAsia="仿宋_GB2312"/>
          <w:b/>
          <w:bCs/>
          <w:color w:val="auto"/>
          <w:sz w:val="32"/>
          <w:szCs w:val="32"/>
        </w:rPr>
        <w:t>.专项资金完成绩效目标情况。</w:t>
      </w:r>
      <w:bookmarkEnd w:id="33"/>
    </w:p>
    <w:p w14:paraId="4CB4A7B7">
      <w:pPr>
        <w:adjustRightInd w:val="0"/>
        <w:snapToGrid w:val="0"/>
        <w:spacing w:line="360" w:lineRule="auto"/>
        <w:ind w:firstLine="640" w:firstLineChars="200"/>
        <w:rPr>
          <w:rFonts w:hint="eastAsia" w:ascii="仿宋_GB2312" w:eastAsia="仿宋_GB2312"/>
          <w:bCs/>
          <w:color w:val="auto"/>
          <w:sz w:val="32"/>
          <w:szCs w:val="32"/>
        </w:rPr>
      </w:pPr>
      <w:r>
        <w:rPr>
          <w:rFonts w:hint="default" w:ascii="Times New Roman" w:hAnsi="Times New Roman" w:eastAsia="仿宋_GB2312" w:cs="Times New Roman"/>
          <w:color w:val="auto"/>
          <w:sz w:val="32"/>
        </w:rPr>
        <w:t>2024</w:t>
      </w:r>
      <w:r>
        <w:rPr>
          <w:rFonts w:hint="eastAsia" w:ascii="仿宋_GB2312" w:eastAsia="仿宋_GB2312"/>
          <w:color w:val="auto"/>
          <w:sz w:val="32"/>
        </w:rPr>
        <w:t>年保障性安居工程专项资金项目</w:t>
      </w:r>
      <w:r>
        <w:rPr>
          <w:rFonts w:hint="eastAsia" w:ascii="仿宋_GB2312" w:hAnsi="仿宋_GB2312" w:eastAsia="仿宋_GB2312" w:cs="Calibri"/>
          <w:color w:val="auto"/>
          <w:kern w:val="0"/>
          <w:sz w:val="32"/>
          <w:szCs w:val="32"/>
        </w:rPr>
        <w:t>基本完成当年的任务目标，已</w:t>
      </w:r>
      <w:r>
        <w:rPr>
          <w:rFonts w:hint="eastAsia" w:ascii="仿宋_GB2312" w:hAnsi="仿宋_GB2312" w:eastAsia="仿宋_GB2312" w:cs="Calibri"/>
          <w:color w:val="auto"/>
          <w:kern w:val="0"/>
          <w:sz w:val="32"/>
          <w:szCs w:val="32"/>
          <w:lang w:eastAsia="zh-CN"/>
        </w:rPr>
        <w:t>按计划</w:t>
      </w:r>
      <w:r>
        <w:rPr>
          <w:rFonts w:hint="eastAsia" w:ascii="仿宋_GB2312" w:hAnsi="仿宋_GB2312" w:eastAsia="仿宋_GB2312" w:cs="Calibri"/>
          <w:color w:val="auto"/>
          <w:kern w:val="0"/>
          <w:sz w:val="32"/>
          <w:szCs w:val="32"/>
        </w:rPr>
        <w:t>开展保障性安居工程、危旧房改造与自建房排查鉴定等相关工作。</w:t>
      </w:r>
    </w:p>
    <w:p w14:paraId="5EF3D444">
      <w:pPr>
        <w:numPr>
          <w:ilvl w:val="0"/>
          <w:numId w:val="0"/>
        </w:numPr>
        <w:adjustRightInd w:val="0"/>
        <w:snapToGrid w:val="0"/>
        <w:spacing w:line="360" w:lineRule="auto"/>
        <w:ind w:left="643" w:leftChars="0"/>
        <w:outlineLvl w:val="9"/>
        <w:rPr>
          <w:rFonts w:hint="eastAsia" w:ascii="仿宋_GB2312" w:eastAsia="仿宋_GB2312"/>
          <w:b/>
          <w:bCs/>
          <w:color w:val="auto"/>
          <w:sz w:val="32"/>
          <w:szCs w:val="32"/>
        </w:rPr>
      </w:pPr>
      <w:bookmarkStart w:id="34" w:name="_Toc12376"/>
      <w:r>
        <w:rPr>
          <w:rFonts w:hint="default" w:ascii="Times New Roman" w:hAnsi="Times New Roman" w:eastAsia="仿宋_GB2312" w:cs="Times New Roman"/>
          <w:b/>
          <w:bCs/>
          <w:color w:val="auto"/>
          <w:sz w:val="32"/>
          <w:szCs w:val="32"/>
          <w:lang w:val="en-US" w:eastAsia="zh-CN"/>
        </w:rPr>
        <w:t>3</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rPr>
        <w:t>专项资金分用途使用绩效。</w:t>
      </w:r>
      <w:bookmarkEnd w:id="34"/>
    </w:p>
    <w:p w14:paraId="7AD099EA">
      <w:pPr>
        <w:numPr>
          <w:ilvl w:val="0"/>
          <w:numId w:val="3"/>
        </w:numPr>
        <w:adjustRightInd w:val="0"/>
        <w:snapToGrid w:val="0"/>
        <w:spacing w:line="360" w:lineRule="auto"/>
        <w:ind w:firstLine="640" w:firstLineChars="200"/>
        <w:rPr>
          <w:rFonts w:hint="eastAsia" w:ascii="仿宋_GB2312" w:hAnsi="仿宋_GB2312" w:eastAsia="仿宋_GB2312" w:cs="Calibri"/>
          <w:color w:val="auto"/>
          <w:kern w:val="0"/>
          <w:sz w:val="32"/>
          <w:szCs w:val="32"/>
        </w:rPr>
      </w:pPr>
      <w:r>
        <w:rPr>
          <w:rFonts w:hint="eastAsia" w:ascii="仿宋_GB2312" w:hAnsi="仿宋_GB2312" w:eastAsia="仿宋_GB2312" w:cs="Calibri"/>
          <w:color w:val="auto"/>
          <w:kern w:val="0"/>
          <w:sz w:val="32"/>
          <w:szCs w:val="32"/>
        </w:rPr>
        <w:t>保障性安居工程</w:t>
      </w:r>
      <w:r>
        <w:rPr>
          <w:rFonts w:hint="eastAsia" w:ascii="仿宋_GB2312" w:hAnsi="仿宋_GB2312" w:eastAsia="仿宋_GB2312" w:cs="Calibri"/>
          <w:color w:val="auto"/>
          <w:kern w:val="0"/>
          <w:sz w:val="32"/>
          <w:szCs w:val="32"/>
          <w:lang w:eastAsia="zh-CN"/>
        </w:rPr>
        <w:t>。</w:t>
      </w:r>
      <w:r>
        <w:rPr>
          <w:rFonts w:hint="eastAsia" w:ascii="仿宋_GB2312" w:hAnsi="仿宋_GB2312" w:eastAsia="仿宋_GB2312" w:cs="Calibri"/>
          <w:b/>
          <w:bCs/>
          <w:color w:val="auto"/>
          <w:kern w:val="0"/>
          <w:sz w:val="32"/>
          <w:szCs w:val="32"/>
          <w:lang w:val="en-US" w:eastAsia="zh-CN"/>
        </w:rPr>
        <w:t>一是</w:t>
      </w:r>
      <w:r>
        <w:rPr>
          <w:rFonts w:hint="eastAsia" w:ascii="仿宋_GB2312" w:hAnsi="仿宋_GB2312" w:eastAsia="仿宋_GB2312" w:cs="Calibri"/>
          <w:color w:val="auto"/>
          <w:kern w:val="0"/>
          <w:sz w:val="32"/>
          <w:szCs w:val="32"/>
        </w:rPr>
        <w:t>超额完成年度目标</w:t>
      </w:r>
      <w:r>
        <w:rPr>
          <w:rFonts w:hint="eastAsia" w:ascii="仿宋_GB2312" w:hAnsi="仿宋_GB2312" w:eastAsia="仿宋_GB2312" w:cs="Calibri"/>
          <w:color w:val="auto"/>
          <w:kern w:val="0"/>
          <w:sz w:val="32"/>
          <w:szCs w:val="32"/>
          <w:lang w:eastAsia="zh-CN"/>
        </w:rPr>
        <w:t>。</w:t>
      </w:r>
      <w:r>
        <w:rPr>
          <w:rFonts w:hint="default" w:ascii="仿宋_GB2312" w:hAnsi="仿宋_GB2312" w:eastAsia="仿宋_GB2312" w:cs="Calibri"/>
          <w:color w:val="auto"/>
          <w:kern w:val="0"/>
          <w:sz w:val="32"/>
          <w:szCs w:val="32"/>
        </w:rPr>
        <w:t>截至</w:t>
      </w:r>
      <w:r>
        <w:rPr>
          <w:rFonts w:hint="default" w:ascii="Times New Roman" w:hAnsi="Times New Roman" w:eastAsia="仿宋_GB2312" w:cs="Times New Roman"/>
          <w:color w:val="auto"/>
          <w:kern w:val="0"/>
          <w:sz w:val="32"/>
          <w:szCs w:val="32"/>
          <w:lang w:val="en-US" w:eastAsia="zh-CN"/>
        </w:rPr>
        <w:t>2024</w:t>
      </w:r>
      <w:r>
        <w:rPr>
          <w:rFonts w:hint="eastAsia" w:ascii="仿宋_GB2312" w:hAnsi="仿宋_GB2312" w:eastAsia="仿宋_GB2312" w:cs="Calibri"/>
          <w:color w:val="auto"/>
          <w:kern w:val="0"/>
          <w:sz w:val="32"/>
          <w:szCs w:val="32"/>
          <w:lang w:val="en-US" w:eastAsia="zh-CN"/>
        </w:rPr>
        <w:t>年</w:t>
      </w:r>
      <w:r>
        <w:rPr>
          <w:rFonts w:hint="default" w:ascii="Times New Roman" w:hAnsi="Times New Roman" w:eastAsia="仿宋_GB2312" w:cs="Times New Roman"/>
          <w:color w:val="auto"/>
          <w:kern w:val="0"/>
          <w:sz w:val="32"/>
          <w:szCs w:val="32"/>
          <w:lang w:val="en-US" w:eastAsia="zh-CN"/>
        </w:rPr>
        <w:t>12</w:t>
      </w:r>
      <w:r>
        <w:rPr>
          <w:rFonts w:hint="eastAsia" w:ascii="仿宋_GB2312" w:hAnsi="仿宋_GB2312" w:eastAsia="仿宋_GB2312" w:cs="Calibri"/>
          <w:color w:val="auto"/>
          <w:kern w:val="0"/>
          <w:sz w:val="32"/>
          <w:szCs w:val="32"/>
          <w:lang w:val="en-US" w:eastAsia="zh-CN"/>
        </w:rPr>
        <w:t>月</w:t>
      </w:r>
      <w:r>
        <w:rPr>
          <w:rFonts w:hint="default" w:ascii="仿宋_GB2312" w:hAnsi="仿宋_GB2312" w:eastAsia="仿宋_GB2312" w:cs="Calibri"/>
          <w:color w:val="auto"/>
          <w:kern w:val="0"/>
          <w:sz w:val="32"/>
          <w:szCs w:val="32"/>
        </w:rPr>
        <w:t>，全省新筹集建设配售型保障性住房</w:t>
      </w:r>
      <w:r>
        <w:rPr>
          <w:rFonts w:hint="default" w:ascii="Times New Roman" w:hAnsi="Times New Roman" w:eastAsia="仿宋_GB2312" w:cs="Times New Roman"/>
          <w:color w:val="auto"/>
          <w:kern w:val="0"/>
          <w:sz w:val="32"/>
          <w:szCs w:val="32"/>
        </w:rPr>
        <w:t>2</w:t>
      </w:r>
      <w:r>
        <w:rPr>
          <w:rFonts w:hint="default" w:ascii="仿宋_GB2312" w:hAnsi="仿宋_GB2312" w:eastAsia="仿宋_GB2312" w:cs="Calibri"/>
          <w:color w:val="auto"/>
          <w:kern w:val="0"/>
          <w:sz w:val="32"/>
          <w:szCs w:val="32"/>
        </w:rPr>
        <w:t>.</w:t>
      </w:r>
      <w:r>
        <w:rPr>
          <w:rFonts w:hint="default" w:ascii="Times New Roman" w:hAnsi="Times New Roman" w:eastAsia="仿宋_GB2312" w:cs="Times New Roman"/>
          <w:color w:val="auto"/>
          <w:kern w:val="0"/>
          <w:sz w:val="32"/>
          <w:szCs w:val="32"/>
        </w:rPr>
        <w:t>7</w:t>
      </w:r>
      <w:r>
        <w:rPr>
          <w:rFonts w:hint="default" w:ascii="Times New Roman" w:hAnsi="Times New Roman" w:eastAsia="仿宋_GB2312" w:cs="Times New Roman"/>
          <w:color w:val="auto"/>
          <w:kern w:val="0"/>
          <w:sz w:val="32"/>
          <w:szCs w:val="32"/>
          <w:lang w:val="en-US" w:eastAsia="zh-CN"/>
        </w:rPr>
        <w:t>0</w:t>
      </w:r>
      <w:r>
        <w:rPr>
          <w:rFonts w:hint="default" w:ascii="仿宋_GB2312" w:hAnsi="仿宋_GB2312" w:eastAsia="仿宋_GB2312" w:cs="Calibri"/>
          <w:color w:val="auto"/>
          <w:kern w:val="0"/>
          <w:sz w:val="32"/>
          <w:szCs w:val="32"/>
        </w:rPr>
        <w:t>万套、保障性租赁住房</w:t>
      </w:r>
      <w:r>
        <w:rPr>
          <w:rFonts w:hint="default" w:ascii="Times New Roman" w:hAnsi="Times New Roman" w:eastAsia="仿宋_GB2312" w:cs="Times New Roman"/>
          <w:color w:val="auto"/>
          <w:kern w:val="0"/>
          <w:sz w:val="32"/>
          <w:szCs w:val="32"/>
        </w:rPr>
        <w:t>22</w:t>
      </w:r>
      <w:r>
        <w:rPr>
          <w:rFonts w:hint="default" w:ascii="仿宋_GB2312" w:hAnsi="仿宋_GB2312" w:eastAsia="仿宋_GB2312" w:cs="Calibri"/>
          <w:color w:val="auto"/>
          <w:kern w:val="0"/>
          <w:sz w:val="32"/>
          <w:szCs w:val="32"/>
        </w:rPr>
        <w:t>.</w:t>
      </w:r>
      <w:r>
        <w:rPr>
          <w:rFonts w:hint="default" w:ascii="Times New Roman" w:hAnsi="Times New Roman" w:eastAsia="仿宋_GB2312" w:cs="Times New Roman"/>
          <w:color w:val="auto"/>
          <w:kern w:val="0"/>
          <w:sz w:val="32"/>
          <w:szCs w:val="32"/>
        </w:rPr>
        <w:t>8</w:t>
      </w:r>
      <w:r>
        <w:rPr>
          <w:rFonts w:hint="default" w:ascii="Times New Roman" w:hAnsi="Times New Roman" w:eastAsia="仿宋_GB2312" w:cs="Times New Roman"/>
          <w:color w:val="auto"/>
          <w:kern w:val="0"/>
          <w:sz w:val="32"/>
          <w:szCs w:val="32"/>
          <w:lang w:val="en-US" w:eastAsia="zh-CN"/>
        </w:rPr>
        <w:t>0</w:t>
      </w:r>
      <w:r>
        <w:rPr>
          <w:rFonts w:hint="default" w:ascii="仿宋_GB2312" w:hAnsi="仿宋_GB2312" w:eastAsia="仿宋_GB2312" w:cs="Calibri"/>
          <w:color w:val="auto"/>
          <w:kern w:val="0"/>
          <w:sz w:val="32"/>
          <w:szCs w:val="32"/>
        </w:rPr>
        <w:t>万套（间），实施发放租赁补贴超</w:t>
      </w:r>
      <w:r>
        <w:rPr>
          <w:rFonts w:hint="default" w:ascii="Times New Roman" w:hAnsi="Times New Roman" w:eastAsia="仿宋_GB2312" w:cs="Times New Roman"/>
          <w:color w:val="auto"/>
          <w:kern w:val="0"/>
          <w:sz w:val="32"/>
          <w:szCs w:val="32"/>
        </w:rPr>
        <w:t>6</w:t>
      </w:r>
      <w:r>
        <w:rPr>
          <w:rFonts w:hint="default" w:ascii="仿宋_GB2312" w:hAnsi="仿宋_GB2312" w:eastAsia="仿宋_GB2312" w:cs="Calibri"/>
          <w:color w:val="auto"/>
          <w:kern w:val="0"/>
          <w:sz w:val="32"/>
          <w:szCs w:val="32"/>
        </w:rPr>
        <w:t>万户，提前超额完成住房保障各项目标任务。</w:t>
      </w:r>
      <w:r>
        <w:rPr>
          <w:rFonts w:hint="eastAsia" w:ascii="仿宋_GB2312" w:hAnsi="仿宋_GB2312" w:eastAsia="仿宋_GB2312" w:cs="Calibri"/>
          <w:b/>
          <w:bCs/>
          <w:color w:val="auto"/>
          <w:kern w:val="0"/>
          <w:sz w:val="32"/>
          <w:szCs w:val="32"/>
          <w:lang w:val="en-US" w:eastAsia="zh-CN"/>
        </w:rPr>
        <w:t>二是</w:t>
      </w:r>
      <w:r>
        <w:rPr>
          <w:rFonts w:hint="default" w:ascii="仿宋_GB2312" w:hAnsi="仿宋_GB2312" w:eastAsia="仿宋_GB2312" w:cs="Calibri"/>
          <w:color w:val="auto"/>
          <w:kern w:val="0"/>
          <w:sz w:val="32"/>
          <w:szCs w:val="32"/>
        </w:rPr>
        <w:t>有序推进配售型保障房建设</w:t>
      </w:r>
      <w:r>
        <w:rPr>
          <w:rFonts w:hint="eastAsia" w:ascii="仿宋_GB2312" w:hAnsi="仿宋_GB2312" w:eastAsia="仿宋_GB2312" w:cs="Calibri"/>
          <w:color w:val="auto"/>
          <w:kern w:val="0"/>
          <w:sz w:val="32"/>
          <w:szCs w:val="32"/>
          <w:lang w:eastAsia="zh-CN"/>
        </w:rPr>
        <w:t>。</w:t>
      </w:r>
      <w:r>
        <w:rPr>
          <w:rFonts w:hint="default" w:ascii="仿宋_GB2312" w:hAnsi="仿宋_GB2312" w:eastAsia="仿宋_GB2312" w:cs="Calibri"/>
          <w:color w:val="auto"/>
          <w:kern w:val="0"/>
          <w:sz w:val="32"/>
          <w:szCs w:val="32"/>
        </w:rPr>
        <w:t>广州</w:t>
      </w:r>
      <w:r>
        <w:rPr>
          <w:rFonts w:hint="eastAsia" w:ascii="仿宋_GB2312" w:hAnsi="仿宋_GB2312" w:eastAsia="仿宋_GB2312" w:cs="Calibri"/>
          <w:color w:val="auto"/>
          <w:kern w:val="0"/>
          <w:sz w:val="32"/>
          <w:szCs w:val="32"/>
          <w:lang w:eastAsia="zh-CN"/>
        </w:rPr>
        <w:t>、</w:t>
      </w:r>
      <w:r>
        <w:rPr>
          <w:rFonts w:hint="eastAsia" w:ascii="仿宋_GB2312" w:hAnsi="仿宋_GB2312" w:eastAsia="仿宋_GB2312" w:cs="Calibri"/>
          <w:color w:val="auto"/>
          <w:kern w:val="0"/>
          <w:sz w:val="32"/>
          <w:szCs w:val="32"/>
        </w:rPr>
        <w:t>佛山、东莞、珠海、惠州</w:t>
      </w:r>
      <w:r>
        <w:rPr>
          <w:rFonts w:hint="default" w:ascii="仿宋_GB2312" w:hAnsi="仿宋_GB2312" w:eastAsia="仿宋_GB2312" w:cs="Calibri"/>
          <w:color w:val="auto"/>
          <w:kern w:val="0"/>
          <w:sz w:val="32"/>
          <w:szCs w:val="32"/>
        </w:rPr>
        <w:t>等</w:t>
      </w:r>
      <w:r>
        <w:rPr>
          <w:rFonts w:hint="default" w:ascii="Times New Roman" w:hAnsi="Times New Roman" w:eastAsia="仿宋_GB2312" w:cs="Times New Roman"/>
          <w:color w:val="auto"/>
          <w:kern w:val="0"/>
          <w:sz w:val="32"/>
          <w:szCs w:val="32"/>
        </w:rPr>
        <w:t>6</w:t>
      </w:r>
      <w:r>
        <w:rPr>
          <w:rFonts w:hint="eastAsia" w:ascii="Times New Roman" w:hAnsi="Times New Roman" w:eastAsia="仿宋_GB2312" w:cs="Times New Roman"/>
          <w:color w:val="auto"/>
          <w:kern w:val="0"/>
          <w:sz w:val="32"/>
          <w:szCs w:val="32"/>
          <w:lang w:val="en-US" w:eastAsia="zh-CN"/>
        </w:rPr>
        <w:t>个</w:t>
      </w:r>
      <w:r>
        <w:rPr>
          <w:rFonts w:hint="default" w:ascii="仿宋_GB2312" w:hAnsi="仿宋_GB2312" w:eastAsia="仿宋_GB2312" w:cs="Calibri"/>
          <w:color w:val="auto"/>
          <w:kern w:val="0"/>
          <w:sz w:val="32"/>
          <w:szCs w:val="32"/>
        </w:rPr>
        <w:t>城</w:t>
      </w:r>
      <w:r>
        <w:rPr>
          <w:rFonts w:hint="eastAsia" w:ascii="仿宋_GB2312" w:hAnsi="仿宋_GB2312" w:eastAsia="仿宋_GB2312" w:cs="Calibri"/>
          <w:color w:val="auto"/>
          <w:kern w:val="0"/>
          <w:sz w:val="32"/>
          <w:szCs w:val="32"/>
          <w:lang w:val="en-US" w:eastAsia="zh-CN"/>
        </w:rPr>
        <w:t>市</w:t>
      </w:r>
      <w:r>
        <w:rPr>
          <w:rFonts w:hint="default" w:ascii="仿宋_GB2312" w:hAnsi="仿宋_GB2312" w:eastAsia="仿宋_GB2312" w:cs="Calibri"/>
          <w:color w:val="auto"/>
          <w:kern w:val="0"/>
          <w:sz w:val="32"/>
          <w:szCs w:val="32"/>
        </w:rPr>
        <w:t>已有配售型保障性住房项目落地开工且进度良好。省、市两级成立工作专班统筹，相关城市正研究出台实施方案及配套政策，如广州已印发管理办法</w:t>
      </w:r>
      <w:r>
        <w:rPr>
          <w:rFonts w:hint="eastAsia" w:ascii="仿宋_GB2312" w:hAnsi="仿宋_GB2312" w:eastAsia="仿宋_GB2312" w:cs="Calibri"/>
          <w:color w:val="auto"/>
          <w:kern w:val="0"/>
          <w:sz w:val="32"/>
          <w:szCs w:val="32"/>
          <w:lang w:eastAsia="zh-CN"/>
        </w:rPr>
        <w:t>，</w:t>
      </w:r>
      <w:r>
        <w:rPr>
          <w:rFonts w:hint="default" w:ascii="仿宋_GB2312" w:hAnsi="仿宋_GB2312" w:eastAsia="仿宋_GB2312" w:cs="Calibri"/>
          <w:color w:val="auto"/>
          <w:kern w:val="0"/>
          <w:sz w:val="32"/>
          <w:szCs w:val="32"/>
        </w:rPr>
        <w:t>形成了项目滚动推进机制。</w:t>
      </w:r>
      <w:r>
        <w:rPr>
          <w:rFonts w:hint="eastAsia" w:ascii="仿宋_GB2312" w:hAnsi="仿宋_GB2312" w:eastAsia="仿宋_GB2312" w:cs="Calibri"/>
          <w:b/>
          <w:bCs/>
          <w:color w:val="auto"/>
          <w:kern w:val="0"/>
          <w:sz w:val="32"/>
          <w:szCs w:val="32"/>
          <w:lang w:val="en-US" w:eastAsia="zh-CN"/>
        </w:rPr>
        <w:t>三是</w:t>
      </w:r>
      <w:r>
        <w:rPr>
          <w:rFonts w:hint="default" w:ascii="仿宋_GB2312" w:hAnsi="仿宋_GB2312" w:eastAsia="仿宋_GB2312" w:cs="Calibri"/>
          <w:color w:val="auto"/>
          <w:kern w:val="0"/>
          <w:sz w:val="32"/>
          <w:szCs w:val="32"/>
        </w:rPr>
        <w:t>大力发展保障性租赁住房</w:t>
      </w:r>
      <w:r>
        <w:rPr>
          <w:rFonts w:hint="eastAsia" w:ascii="仿宋_GB2312" w:hAnsi="仿宋_GB2312" w:eastAsia="仿宋_GB2312" w:cs="Calibri"/>
          <w:color w:val="auto"/>
          <w:kern w:val="0"/>
          <w:sz w:val="32"/>
          <w:szCs w:val="32"/>
          <w:lang w:eastAsia="zh-CN"/>
        </w:rPr>
        <w:t>。</w:t>
      </w:r>
      <w:r>
        <w:rPr>
          <w:rFonts w:hint="default" w:ascii="Times New Roman" w:hAnsi="Times New Roman" w:eastAsia="仿宋_GB2312" w:cs="Times New Roman"/>
          <w:color w:val="auto"/>
          <w:kern w:val="0"/>
          <w:sz w:val="32"/>
          <w:szCs w:val="32"/>
        </w:rPr>
        <w:t>2024</w:t>
      </w:r>
      <w:r>
        <w:rPr>
          <w:rFonts w:hint="default" w:ascii="仿宋_GB2312" w:hAnsi="仿宋_GB2312" w:eastAsia="仿宋_GB2312" w:cs="Calibri"/>
          <w:color w:val="auto"/>
          <w:kern w:val="0"/>
          <w:sz w:val="32"/>
          <w:szCs w:val="32"/>
        </w:rPr>
        <w:t>年</w:t>
      </w:r>
      <w:r>
        <w:rPr>
          <w:rFonts w:hint="eastAsia" w:ascii="仿宋_GB2312" w:hAnsi="仿宋_GB2312" w:eastAsia="仿宋_GB2312" w:cs="Calibri"/>
          <w:color w:val="auto"/>
          <w:kern w:val="0"/>
          <w:sz w:val="32"/>
          <w:szCs w:val="32"/>
          <w:lang w:val="en-US" w:eastAsia="zh-CN"/>
        </w:rPr>
        <w:t>除深圳外全省</w:t>
      </w:r>
      <w:r>
        <w:rPr>
          <w:rFonts w:hint="default" w:ascii="仿宋_GB2312" w:hAnsi="仿宋_GB2312" w:eastAsia="仿宋_GB2312" w:cs="Calibri"/>
          <w:color w:val="auto"/>
          <w:kern w:val="0"/>
          <w:sz w:val="32"/>
          <w:szCs w:val="32"/>
        </w:rPr>
        <w:t>计划新增不少于</w:t>
      </w:r>
      <w:r>
        <w:rPr>
          <w:rFonts w:hint="default" w:ascii="Times New Roman" w:hAnsi="Times New Roman" w:eastAsia="仿宋_GB2312" w:cs="Times New Roman"/>
          <w:color w:val="auto"/>
          <w:kern w:val="0"/>
          <w:sz w:val="32"/>
          <w:szCs w:val="32"/>
          <w:lang w:val="en-US" w:eastAsia="zh-CN"/>
        </w:rPr>
        <w:t>16</w:t>
      </w:r>
      <w:r>
        <w:rPr>
          <w:rFonts w:hint="eastAsia" w:ascii="仿宋_GB2312" w:hAnsi="仿宋_GB2312" w:eastAsia="仿宋_GB2312" w:cs="Calibri"/>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96</w:t>
      </w:r>
      <w:r>
        <w:rPr>
          <w:rFonts w:hint="default" w:ascii="仿宋_GB2312" w:hAnsi="仿宋_GB2312" w:eastAsia="仿宋_GB2312" w:cs="Calibri"/>
          <w:color w:val="auto"/>
          <w:kern w:val="0"/>
          <w:sz w:val="32"/>
          <w:szCs w:val="32"/>
        </w:rPr>
        <w:t>万套（间），</w:t>
      </w:r>
      <w:r>
        <w:rPr>
          <w:rFonts w:hint="default" w:ascii="Times New Roman" w:hAnsi="Times New Roman" w:eastAsia="仿宋_GB2312" w:cs="Times New Roman"/>
          <w:color w:val="auto"/>
          <w:kern w:val="0"/>
          <w:sz w:val="32"/>
          <w:szCs w:val="32"/>
        </w:rPr>
        <w:t>10</w:t>
      </w:r>
      <w:r>
        <w:rPr>
          <w:rFonts w:hint="default" w:ascii="仿宋_GB2312" w:hAnsi="仿宋_GB2312" w:eastAsia="仿宋_GB2312" w:cs="Calibri"/>
          <w:color w:val="auto"/>
          <w:kern w:val="0"/>
          <w:sz w:val="32"/>
          <w:szCs w:val="32"/>
        </w:rPr>
        <w:t>个重点城市完善政策措施、优化服务，鼓励多方参与建设。“十四五”规划实施以来，已筹集建设超</w:t>
      </w:r>
      <w:r>
        <w:rPr>
          <w:rFonts w:hint="default" w:ascii="Times New Roman" w:hAnsi="Times New Roman" w:eastAsia="仿宋_GB2312" w:cs="Times New Roman"/>
          <w:color w:val="auto"/>
          <w:kern w:val="0"/>
          <w:sz w:val="32"/>
          <w:szCs w:val="32"/>
        </w:rPr>
        <w:t>109</w:t>
      </w:r>
      <w:r>
        <w:rPr>
          <w:rFonts w:hint="default" w:ascii="仿宋_GB2312" w:hAnsi="仿宋_GB2312" w:eastAsia="仿宋_GB2312" w:cs="Calibri"/>
          <w:color w:val="auto"/>
          <w:kern w:val="0"/>
          <w:sz w:val="32"/>
          <w:szCs w:val="32"/>
        </w:rPr>
        <w:t>万套（间），完成目标总量的</w:t>
      </w:r>
      <w:r>
        <w:rPr>
          <w:rFonts w:hint="default" w:ascii="Times New Roman" w:hAnsi="Times New Roman" w:eastAsia="仿宋_GB2312" w:cs="Times New Roman"/>
          <w:color w:val="auto"/>
          <w:kern w:val="0"/>
          <w:sz w:val="32"/>
          <w:szCs w:val="32"/>
        </w:rPr>
        <w:t>84</w:t>
      </w:r>
      <w:r>
        <w:rPr>
          <w:rFonts w:hint="default" w:ascii="仿宋_GB2312" w:hAnsi="仿宋_GB2312" w:eastAsia="仿宋_GB2312" w:cs="Calibri"/>
          <w:color w:val="auto"/>
          <w:kern w:val="0"/>
          <w:sz w:val="32"/>
          <w:szCs w:val="32"/>
        </w:rPr>
        <w:t>%。</w:t>
      </w:r>
      <w:r>
        <w:rPr>
          <w:rFonts w:hint="eastAsia" w:ascii="仿宋_GB2312" w:hAnsi="仿宋_GB2312" w:eastAsia="仿宋_GB2312" w:cs="Calibri"/>
          <w:b/>
          <w:bCs/>
          <w:color w:val="auto"/>
          <w:kern w:val="0"/>
          <w:sz w:val="32"/>
          <w:szCs w:val="32"/>
          <w:lang w:val="en-US" w:eastAsia="zh-CN"/>
        </w:rPr>
        <w:t>四是</w:t>
      </w:r>
      <w:r>
        <w:rPr>
          <w:rFonts w:hint="eastAsia" w:ascii="仿宋_GB2312" w:hAnsi="仿宋_GB2312" w:eastAsia="仿宋_GB2312" w:cs="Calibri"/>
          <w:color w:val="auto"/>
          <w:kern w:val="0"/>
          <w:sz w:val="32"/>
          <w:szCs w:val="32"/>
          <w:lang w:val="en-US" w:eastAsia="zh-CN"/>
        </w:rPr>
        <w:t>开</w:t>
      </w:r>
      <w:r>
        <w:rPr>
          <w:rFonts w:hint="default" w:ascii="仿宋_GB2312" w:hAnsi="仿宋_GB2312" w:eastAsia="仿宋_GB2312" w:cs="Calibri"/>
          <w:color w:val="auto"/>
          <w:kern w:val="0"/>
          <w:sz w:val="32"/>
          <w:szCs w:val="32"/>
        </w:rPr>
        <w:t>展存量商品房收购工作</w:t>
      </w:r>
      <w:r>
        <w:rPr>
          <w:rFonts w:hint="eastAsia" w:ascii="仿宋_GB2312" w:hAnsi="仿宋_GB2312" w:eastAsia="仿宋_GB2312" w:cs="Calibri"/>
          <w:color w:val="auto"/>
          <w:kern w:val="0"/>
          <w:sz w:val="32"/>
          <w:szCs w:val="32"/>
          <w:lang w:eastAsia="zh-CN"/>
        </w:rPr>
        <w:t>。</w:t>
      </w:r>
      <w:r>
        <w:rPr>
          <w:rFonts w:hint="default" w:ascii="Times New Roman" w:hAnsi="Times New Roman" w:eastAsia="仿宋_GB2312" w:cs="Times New Roman"/>
          <w:color w:val="auto"/>
          <w:kern w:val="0"/>
          <w:sz w:val="32"/>
          <w:szCs w:val="32"/>
        </w:rPr>
        <w:t>2024</w:t>
      </w:r>
      <w:r>
        <w:rPr>
          <w:rFonts w:hint="default" w:ascii="仿宋_GB2312" w:hAnsi="仿宋_GB2312" w:eastAsia="仿宋_GB2312" w:cs="Calibri"/>
          <w:color w:val="auto"/>
          <w:kern w:val="0"/>
          <w:sz w:val="32"/>
          <w:szCs w:val="32"/>
        </w:rPr>
        <w:t>年组织开展收购已建成存量商品房用作保障性住房工作，惠州、江门等</w:t>
      </w:r>
      <w:r>
        <w:rPr>
          <w:rFonts w:hint="default" w:ascii="Times New Roman" w:hAnsi="Times New Roman" w:eastAsia="仿宋_GB2312" w:cs="Times New Roman"/>
          <w:color w:val="auto"/>
          <w:kern w:val="0"/>
          <w:sz w:val="32"/>
          <w:szCs w:val="32"/>
        </w:rPr>
        <w:t>8</w:t>
      </w:r>
      <w:r>
        <w:rPr>
          <w:rFonts w:hint="default" w:ascii="仿宋_GB2312" w:hAnsi="仿宋_GB2312" w:eastAsia="仿宋_GB2312" w:cs="Calibri"/>
          <w:color w:val="auto"/>
          <w:kern w:val="0"/>
          <w:sz w:val="32"/>
          <w:szCs w:val="32"/>
        </w:rPr>
        <w:t>个城市发布征集公告，部分城市已有项目报名。这些举措有力缓解了城镇中低收入家庭、新市民、青年人和工薪阶层等群体住房困难，</w:t>
      </w:r>
      <w:r>
        <w:rPr>
          <w:rFonts w:hint="eastAsia" w:ascii="仿宋_GB2312" w:hAnsi="仿宋_GB2312" w:eastAsia="仿宋_GB2312" w:cs="Calibri"/>
          <w:color w:val="auto"/>
          <w:kern w:val="0"/>
          <w:sz w:val="32"/>
          <w:szCs w:val="32"/>
          <w:lang w:eastAsia="zh-CN"/>
        </w:rPr>
        <w:t>保障和改善民生</w:t>
      </w:r>
      <w:r>
        <w:rPr>
          <w:rFonts w:hint="default" w:ascii="仿宋_GB2312" w:hAnsi="仿宋_GB2312" w:eastAsia="仿宋_GB2312" w:cs="Calibri"/>
          <w:color w:val="auto"/>
          <w:kern w:val="0"/>
          <w:sz w:val="32"/>
          <w:szCs w:val="32"/>
        </w:rPr>
        <w:t>，推动构建房地产发展新模式。</w:t>
      </w:r>
    </w:p>
    <w:p w14:paraId="7DECDDA4">
      <w:pPr>
        <w:numPr>
          <w:ilvl w:val="0"/>
          <w:numId w:val="3"/>
        </w:numPr>
        <w:adjustRightInd w:val="0"/>
        <w:snapToGrid w:val="0"/>
        <w:spacing w:line="360" w:lineRule="auto"/>
        <w:ind w:firstLine="640" w:firstLineChars="200"/>
        <w:rPr>
          <w:rFonts w:hint="default"/>
          <w:color w:val="auto"/>
          <w:lang w:val="en-US" w:eastAsia="zh-CN"/>
        </w:rPr>
      </w:pPr>
      <w:r>
        <w:rPr>
          <w:rFonts w:hint="eastAsia" w:ascii="仿宋_GB2312" w:hAnsi="仿宋_GB2312" w:eastAsia="仿宋_GB2312" w:cs="Calibri"/>
          <w:color w:val="auto"/>
          <w:kern w:val="0"/>
          <w:sz w:val="32"/>
          <w:szCs w:val="32"/>
          <w:lang w:val="en-US" w:eastAsia="zh-CN"/>
        </w:rPr>
        <w:t>城市危旧房摸底调查前期工作、城市危旧房摸底调查鉴定工作。</w:t>
      </w:r>
      <w:r>
        <w:rPr>
          <w:rFonts w:hint="eastAsia" w:ascii="仿宋_GB2312" w:hAnsi="仿宋_GB2312" w:eastAsia="仿宋_GB2312" w:cs="Calibri"/>
          <w:b/>
          <w:bCs/>
          <w:color w:val="auto"/>
          <w:kern w:val="0"/>
          <w:sz w:val="32"/>
          <w:szCs w:val="32"/>
          <w:lang w:val="en-US" w:eastAsia="zh-CN"/>
        </w:rPr>
        <w:t>一是</w:t>
      </w:r>
      <w:r>
        <w:rPr>
          <w:rFonts w:hint="eastAsia" w:ascii="仿宋_GB2312" w:hAnsi="仿宋_GB2312" w:eastAsia="仿宋_GB2312" w:cs="Calibri"/>
          <w:color w:val="auto"/>
          <w:kern w:val="0"/>
          <w:sz w:val="32"/>
          <w:szCs w:val="32"/>
          <w:lang w:val="en-US" w:eastAsia="zh-CN"/>
        </w:rPr>
        <w:t>完成摸底调查任务。大部分地市均按要求完成了城市危旧房摸底调查工作。城市危旧房摸底调查</w:t>
      </w:r>
      <w:r>
        <w:rPr>
          <w:rFonts w:hint="default" w:ascii="Times New Roman" w:hAnsi="Times New Roman" w:eastAsia="仿宋_GB2312" w:cs="Times New Roman"/>
          <w:color w:val="auto"/>
          <w:kern w:val="0"/>
          <w:sz w:val="32"/>
          <w:szCs w:val="32"/>
          <w:lang w:val="en-US" w:eastAsia="zh-CN"/>
        </w:rPr>
        <w:t>9</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206</w:t>
      </w:r>
      <w:r>
        <w:rPr>
          <w:rFonts w:hint="eastAsia" w:ascii="Times New Roman" w:hAnsi="Times New Roman" w:eastAsia="仿宋_GB2312" w:cs="Times New Roman"/>
          <w:color w:val="auto"/>
          <w:kern w:val="0"/>
          <w:sz w:val="32"/>
          <w:szCs w:val="32"/>
          <w:lang w:val="en-US" w:eastAsia="zh-CN"/>
        </w:rPr>
        <w:t>栋</w:t>
      </w:r>
      <w:r>
        <w:rPr>
          <w:rFonts w:hint="eastAsia" w:ascii="仿宋_GB2312" w:hAnsi="仿宋_GB2312" w:eastAsia="仿宋_GB2312" w:cs="Calibri"/>
          <w:color w:val="auto"/>
          <w:kern w:val="0"/>
          <w:sz w:val="32"/>
          <w:szCs w:val="32"/>
          <w:lang w:val="en-US" w:eastAsia="zh-CN"/>
        </w:rPr>
        <w:t>、城市危旧房鉴定栋数</w:t>
      </w:r>
      <w:r>
        <w:rPr>
          <w:rFonts w:hint="default" w:ascii="Times New Roman" w:hAnsi="Times New Roman" w:eastAsia="仿宋_GB2312" w:cs="Times New Roman"/>
          <w:color w:val="auto"/>
          <w:kern w:val="0"/>
          <w:sz w:val="32"/>
          <w:szCs w:val="32"/>
          <w:lang w:val="en-US" w:eastAsia="zh-CN"/>
        </w:rPr>
        <w:t>505</w:t>
      </w:r>
      <w:r>
        <w:rPr>
          <w:rFonts w:hint="eastAsia" w:ascii="仿宋_GB2312" w:hAnsi="仿宋_GB2312" w:eastAsia="仿宋_GB2312" w:cs="Calibri"/>
          <w:color w:val="auto"/>
          <w:kern w:val="0"/>
          <w:sz w:val="32"/>
          <w:szCs w:val="32"/>
          <w:lang w:val="en-US" w:eastAsia="zh-CN"/>
        </w:rPr>
        <w:t>栋、城市危旧房安全鉴定面积</w:t>
      </w:r>
      <w:r>
        <w:rPr>
          <w:rFonts w:hint="default" w:ascii="Times New Roman" w:hAnsi="Times New Roman" w:eastAsia="仿宋_GB2312" w:cs="Times New Roman"/>
          <w:color w:val="auto"/>
          <w:kern w:val="0"/>
          <w:sz w:val="32"/>
          <w:szCs w:val="32"/>
          <w:lang w:val="en-US" w:eastAsia="zh-CN"/>
        </w:rPr>
        <w:t>203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792</w:t>
      </w:r>
      <w:r>
        <w:rPr>
          <w:rFonts w:hint="eastAsia" w:ascii="Times New Roman" w:hAnsi="Times New Roman" w:eastAsia="仿宋_GB2312" w:cs="Times New Roman"/>
          <w:color w:val="auto"/>
          <w:kern w:val="0"/>
          <w:sz w:val="32"/>
          <w:szCs w:val="32"/>
          <w:lang w:val="en-US" w:eastAsia="zh-CN"/>
        </w:rPr>
        <w:t>平</w:t>
      </w:r>
      <w:r>
        <w:rPr>
          <w:rFonts w:hint="eastAsia" w:ascii="仿宋_GB2312" w:hAnsi="仿宋_GB2312" w:eastAsia="仿宋_GB2312" w:cs="Calibri"/>
          <w:color w:val="auto"/>
          <w:kern w:val="0"/>
          <w:sz w:val="32"/>
          <w:szCs w:val="32"/>
          <w:lang w:val="en-US" w:eastAsia="zh-CN"/>
        </w:rPr>
        <w:t>方米、排查为疑似危旧房的共</w:t>
      </w:r>
      <w:r>
        <w:rPr>
          <w:rFonts w:hint="default"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520</w:t>
      </w:r>
      <w:r>
        <w:rPr>
          <w:rFonts w:hint="eastAsia" w:ascii="Times New Roman" w:hAnsi="Times New Roman" w:eastAsia="仿宋_GB2312" w:cs="Times New Roman"/>
          <w:color w:val="auto"/>
          <w:kern w:val="0"/>
          <w:sz w:val="32"/>
          <w:szCs w:val="32"/>
          <w:lang w:val="en-US" w:eastAsia="zh-CN"/>
        </w:rPr>
        <w:t>栋</w:t>
      </w:r>
      <w:r>
        <w:rPr>
          <w:rFonts w:hint="eastAsia" w:ascii="仿宋_GB2312" w:hAnsi="仿宋_GB2312" w:eastAsia="仿宋_GB2312" w:cs="Calibri"/>
          <w:color w:val="auto"/>
          <w:kern w:val="0"/>
          <w:sz w:val="32"/>
          <w:szCs w:val="32"/>
          <w:lang w:val="en-US" w:eastAsia="zh-CN"/>
        </w:rPr>
        <w:t>，市级抽查</w:t>
      </w: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549</w:t>
      </w:r>
      <w:r>
        <w:rPr>
          <w:rFonts w:hint="eastAsia" w:ascii="Times New Roman" w:hAnsi="Times New Roman" w:eastAsia="仿宋_GB2312" w:cs="Times New Roman"/>
          <w:color w:val="auto"/>
          <w:kern w:val="0"/>
          <w:sz w:val="32"/>
          <w:szCs w:val="32"/>
          <w:lang w:val="en-US" w:eastAsia="zh-CN"/>
        </w:rPr>
        <w:t>栋</w:t>
      </w:r>
      <w:r>
        <w:rPr>
          <w:rFonts w:hint="eastAsia" w:ascii="仿宋_GB2312" w:hAnsi="仿宋_GB2312" w:eastAsia="仿宋_GB2312" w:cs="Calibri"/>
          <w:color w:val="auto"/>
          <w:kern w:val="0"/>
          <w:sz w:val="32"/>
          <w:szCs w:val="32"/>
          <w:lang w:val="en-US" w:eastAsia="zh-CN"/>
        </w:rPr>
        <w:t>，占摸底调查栋数的</w:t>
      </w:r>
      <w:r>
        <w:rPr>
          <w:rFonts w:hint="default" w:ascii="Times New Roman" w:hAnsi="Times New Roman" w:eastAsia="仿宋_GB2312" w:cs="Times New Roman"/>
          <w:color w:val="auto"/>
          <w:kern w:val="0"/>
          <w:sz w:val="32"/>
          <w:szCs w:val="32"/>
          <w:lang w:val="en-US" w:eastAsia="zh-CN"/>
        </w:rPr>
        <w:t>16</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83</w:t>
      </w:r>
      <w:r>
        <w:rPr>
          <w:rFonts w:hint="eastAsia" w:ascii="仿宋_GB2312" w:hAnsi="仿宋_GB2312" w:eastAsia="仿宋_GB2312" w:cs="Calibri"/>
          <w:color w:val="auto"/>
          <w:kern w:val="0"/>
          <w:sz w:val="32"/>
          <w:szCs w:val="32"/>
          <w:lang w:val="en-US" w:eastAsia="zh-CN"/>
        </w:rPr>
        <w:t>%；通过鉴定，危旧房通过危险性房屋鉴定为C、D级(栋)的有</w:t>
      </w:r>
      <w:r>
        <w:rPr>
          <w:rFonts w:hint="default" w:ascii="Times New Roman" w:hAnsi="Times New Roman" w:eastAsia="仿宋_GB2312" w:cs="Times New Roman"/>
          <w:color w:val="auto"/>
          <w:kern w:val="0"/>
          <w:sz w:val="32"/>
          <w:szCs w:val="32"/>
          <w:lang w:val="en-US" w:eastAsia="zh-CN"/>
        </w:rPr>
        <w:t>522</w:t>
      </w:r>
      <w:r>
        <w:rPr>
          <w:rFonts w:hint="eastAsia" w:ascii="仿宋_GB2312" w:hAnsi="仿宋_GB2312" w:eastAsia="仿宋_GB2312" w:cs="Calibri"/>
          <w:color w:val="auto"/>
          <w:kern w:val="0"/>
          <w:sz w:val="32"/>
          <w:szCs w:val="32"/>
          <w:lang w:val="en-US" w:eastAsia="zh-CN"/>
        </w:rPr>
        <w:t>栋。</w:t>
      </w:r>
      <w:r>
        <w:rPr>
          <w:rFonts w:hint="eastAsia" w:ascii="仿宋_GB2312" w:hAnsi="仿宋_GB2312" w:eastAsia="仿宋_GB2312" w:cs="Calibri"/>
          <w:b/>
          <w:bCs/>
          <w:color w:val="auto"/>
          <w:kern w:val="0"/>
          <w:sz w:val="32"/>
          <w:szCs w:val="32"/>
          <w:lang w:val="en-US" w:eastAsia="zh-CN"/>
        </w:rPr>
        <w:t>二是</w:t>
      </w:r>
      <w:r>
        <w:rPr>
          <w:rFonts w:hint="eastAsia" w:ascii="仿宋_GB2312" w:hAnsi="仿宋_GB2312" w:eastAsia="仿宋_GB2312" w:cs="Calibri"/>
          <w:color w:val="auto"/>
          <w:kern w:val="0"/>
          <w:sz w:val="32"/>
          <w:szCs w:val="32"/>
          <w:lang w:val="en-US" w:eastAsia="zh-CN"/>
        </w:rPr>
        <w:t>保障群众安全与普及知识。相关市县在摸底调查过程中采取多种措施消除安全隐患，保障人民群众生命财产安全，同时通过多种形式宣传普及危旧房知识，同步落实属地管理责任等，强化危险住房管控和整治。</w:t>
      </w:r>
    </w:p>
    <w:p w14:paraId="4E586694">
      <w:pPr>
        <w:numPr>
          <w:ilvl w:val="0"/>
          <w:numId w:val="3"/>
        </w:numPr>
        <w:adjustRightInd w:val="0"/>
        <w:snapToGrid w:val="0"/>
        <w:spacing w:line="360" w:lineRule="auto"/>
        <w:ind w:firstLine="640" w:firstLineChars="200"/>
        <w:rPr>
          <w:rFonts w:hint="eastAsia"/>
          <w:color w:val="auto"/>
        </w:rPr>
      </w:pPr>
      <w:r>
        <w:rPr>
          <w:rFonts w:hint="default" w:ascii="Times New Roman" w:hAnsi="Times New Roman" w:eastAsia="仿宋_GB2312" w:cs="Times New Roman"/>
          <w:b w:val="0"/>
          <w:bCs w:val="0"/>
          <w:color w:val="auto"/>
          <w:kern w:val="2"/>
          <w:sz w:val="32"/>
          <w:szCs w:val="32"/>
          <w:lang w:val="en-US" w:eastAsia="zh-CN" w:bidi="ar-SA"/>
        </w:rPr>
        <w:t>自</w:t>
      </w:r>
      <w:r>
        <w:rPr>
          <w:rFonts w:hint="default" w:ascii="仿宋_GB2312" w:hAnsi="仿宋_GB2312" w:eastAsia="仿宋_GB2312" w:cs="Calibri"/>
          <w:color w:val="auto"/>
          <w:kern w:val="0"/>
          <w:sz w:val="32"/>
          <w:szCs w:val="32"/>
          <w:lang w:val="en-US" w:eastAsia="zh-CN"/>
        </w:rPr>
        <w:t>建房安全专项整治</w:t>
      </w:r>
      <w:r>
        <w:rPr>
          <w:rFonts w:hint="eastAsia" w:ascii="仿宋_GB2312" w:hAnsi="仿宋_GB2312" w:eastAsia="仿宋_GB2312" w:cs="Calibri"/>
          <w:color w:val="auto"/>
          <w:kern w:val="0"/>
          <w:sz w:val="32"/>
          <w:szCs w:val="32"/>
          <w:lang w:val="en-US" w:eastAsia="zh-CN"/>
        </w:rPr>
        <w:t>。</w:t>
      </w:r>
      <w:r>
        <w:rPr>
          <w:rFonts w:hint="eastAsia" w:ascii="仿宋_GB2312" w:hAnsi="仿宋_GB2312" w:eastAsia="仿宋_GB2312" w:cs="Calibri"/>
          <w:b/>
          <w:bCs/>
          <w:color w:val="auto"/>
          <w:kern w:val="0"/>
          <w:sz w:val="32"/>
          <w:szCs w:val="32"/>
          <w:lang w:val="en-US" w:eastAsia="zh-CN"/>
        </w:rPr>
        <w:t>一</w:t>
      </w:r>
      <w:r>
        <w:rPr>
          <w:rFonts w:hint="default" w:ascii="仿宋_GB2312" w:hAnsi="仿宋_GB2312" w:eastAsia="仿宋_GB2312" w:cs="Calibri"/>
          <w:b/>
          <w:bCs/>
          <w:color w:val="auto"/>
          <w:kern w:val="0"/>
          <w:sz w:val="32"/>
          <w:szCs w:val="32"/>
          <w:lang w:val="en-US" w:eastAsia="zh-CN"/>
        </w:rPr>
        <w:t>是</w:t>
      </w:r>
      <w:r>
        <w:rPr>
          <w:rFonts w:hint="default" w:ascii="仿宋_GB2312" w:hAnsi="仿宋_GB2312" w:eastAsia="仿宋_GB2312" w:cs="Calibri"/>
          <w:color w:val="auto"/>
          <w:kern w:val="0"/>
          <w:sz w:val="32"/>
          <w:szCs w:val="32"/>
          <w:lang w:val="en-US" w:eastAsia="zh-CN"/>
        </w:rPr>
        <w:t>深化系统治理，实施精准整治。锚</w:t>
      </w:r>
      <w:r>
        <w:rPr>
          <w:rFonts w:hint="default" w:ascii="Times New Roman" w:hAnsi="Times New Roman" w:eastAsia="仿宋_GB2312" w:cs="Times New Roman"/>
          <w:color w:val="auto"/>
          <w:kern w:val="0"/>
          <w:sz w:val="32"/>
          <w:szCs w:val="32"/>
          <w:lang w:val="en-US" w:eastAsia="zh-CN"/>
        </w:rPr>
        <w:t>定长效目标，印发《广东省自建房安全治本攻坚三年行动实施方案（2024－2026年）》，聚焦非经营性自建房整治、经营性自建房深化治理等八大核心领域，系统推进专项整治。筑牢安全防线，联合省消防安全委员会印发相关通知，靶向施策深化自建房火灾防控工作。强化过程管控，印发巡检计划，以年度巡检推动各地构建房屋安全隐患常态化巡查机制。通过组织交叉检查、实施 “双线检查”，截至2024年底，线上累计抽查自建房 10,597 栋，线下核查1,580栋，精准发现并督促整改问题417处，并印发工作通报压实整改责任，提升整治工作质效。</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color w:val="auto"/>
          <w:kern w:val="0"/>
          <w:sz w:val="32"/>
          <w:szCs w:val="32"/>
          <w:lang w:val="en-US" w:eastAsia="zh-CN"/>
        </w:rPr>
        <w:t>健全长效机制，巩固整治成果。省领导小组办公室印发工作指引，有序推进自建房安全专项整治。同时，强化从业管理，编制房屋安全鉴定报告要求及范本；加快信息化建设，搭建房屋建筑综合管理平台；开展课题研究推动制度创新突破；积极推进广州、深圳、东莞试点工作。截至2024年底，全省完成26.72万栋隐患自建房整治，销号率达98.29%，其中3.92万栋经营性自建房全部完成整治销号。</w:t>
      </w:r>
      <w:r>
        <w:rPr>
          <w:rFonts w:hint="default" w:ascii="Times New Roman" w:hAnsi="Times New Roman" w:eastAsia="仿宋_GB2312" w:cs="Times New Roman"/>
          <w:b/>
          <w:bCs/>
          <w:color w:val="auto"/>
          <w:kern w:val="0"/>
          <w:sz w:val="32"/>
          <w:szCs w:val="32"/>
          <w:lang w:val="en-US" w:eastAsia="zh-CN"/>
        </w:rPr>
        <w:t>三是</w:t>
      </w:r>
      <w:r>
        <w:rPr>
          <w:rFonts w:hint="default" w:ascii="Times New Roman" w:hAnsi="Times New Roman" w:eastAsia="仿宋_GB2312" w:cs="Times New Roman"/>
          <w:color w:val="auto"/>
          <w:kern w:val="0"/>
          <w:sz w:val="32"/>
          <w:szCs w:val="32"/>
          <w:lang w:val="en-US" w:eastAsia="zh-CN"/>
        </w:rPr>
        <w:t>加强宣传引导，凝聚共治合力。结合专家下基层帮扶行动开展现场指导与培训，通过面对面讲解、案例分析等，推动自建房所有权人落实安全主体责任，提升群</w:t>
      </w:r>
      <w:r>
        <w:rPr>
          <w:rFonts w:hint="default" w:ascii="仿宋_GB2312" w:hAnsi="仿宋_GB2312" w:eastAsia="仿宋_GB2312" w:cs="Calibri"/>
          <w:color w:val="auto"/>
          <w:kern w:val="0"/>
          <w:sz w:val="32"/>
          <w:szCs w:val="32"/>
          <w:lang w:val="en-US" w:eastAsia="zh-CN"/>
        </w:rPr>
        <w:t>众安全意识与隐患自查能力。畅通群众监督渠道，鼓励通过 “吹哨人” 等机制反馈隐患问题，形成政府主导、专家支撑、群众参与的共建共治共享格局。</w:t>
      </w:r>
    </w:p>
    <w:p w14:paraId="6609C1EA">
      <w:pPr>
        <w:numPr>
          <w:ilvl w:val="0"/>
          <w:numId w:val="3"/>
        </w:numPr>
        <w:adjustRightInd w:val="0"/>
        <w:snapToGrid w:val="0"/>
        <w:spacing w:line="360" w:lineRule="auto"/>
        <w:ind w:firstLine="640" w:firstLineChars="200"/>
        <w:rPr>
          <w:rFonts w:hint="eastAsia" w:ascii="仿宋_GB2312" w:hAnsi="仿宋_GB2312" w:eastAsia="仿宋_GB2312" w:cs="Calibri"/>
          <w:color w:val="auto"/>
          <w:kern w:val="0"/>
          <w:sz w:val="32"/>
          <w:szCs w:val="32"/>
          <w:lang w:val="en-US" w:eastAsia="zh-CN"/>
        </w:rPr>
      </w:pPr>
      <w:r>
        <w:rPr>
          <w:rFonts w:hint="eastAsia" w:ascii="仿宋_GB2312" w:hAnsi="仿宋_GB2312" w:eastAsia="仿宋_GB2312" w:cs="Calibri"/>
          <w:color w:val="auto"/>
          <w:kern w:val="0"/>
          <w:sz w:val="32"/>
          <w:szCs w:val="32"/>
          <w:lang w:val="en-US" w:eastAsia="zh-CN"/>
        </w:rPr>
        <w:t>省级工作经费。</w:t>
      </w:r>
      <w:r>
        <w:rPr>
          <w:rFonts w:hint="default" w:ascii="Times New Roman" w:hAnsi="Times New Roman" w:eastAsia="仿宋_GB2312" w:cs="Times New Roman"/>
          <w:b/>
          <w:bCs/>
          <w:color w:val="auto"/>
          <w:kern w:val="0"/>
          <w:sz w:val="32"/>
          <w:szCs w:val="32"/>
          <w:lang w:val="en-US" w:eastAsia="zh-CN"/>
        </w:rPr>
        <w:t>一是</w:t>
      </w:r>
      <w:r>
        <w:rPr>
          <w:rFonts w:hint="default" w:ascii="Times New Roman" w:hAnsi="Times New Roman" w:eastAsia="仿宋_GB2312" w:cs="Times New Roman"/>
          <w:color w:val="auto"/>
          <w:kern w:val="0"/>
          <w:sz w:val="32"/>
          <w:szCs w:val="32"/>
          <w:lang w:val="en-US" w:eastAsia="zh-CN"/>
        </w:rPr>
        <w:t>在资金使用与项目监测上，科学评估专项资金使用绩效，通过2024年度保障性安居工程实地调研核实和资金绩效评价，全面掌握项目建设情况与居民体验，确保资金合理高效利用；同时开展重点城市保障性租赁住房监测评价、示范激励技术评估等工作，有效监督项目发展，提升整体质量与管理水平。</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color w:val="auto"/>
          <w:kern w:val="0"/>
          <w:sz w:val="32"/>
          <w:szCs w:val="32"/>
          <w:lang w:val="en-US" w:eastAsia="zh-CN"/>
        </w:rPr>
        <w:t>在自建房专项整治中，质检核查经费保障“双线检查”，线上抽查10,597栋、线下核查1,580 栋，整改问题417 处；综合保障工作经费落实24</w:t>
      </w:r>
      <w:r>
        <w:rPr>
          <w:rFonts w:hint="default" w:ascii="仿宋_GB2312" w:hAnsi="仿宋_GB2312" w:eastAsia="仿宋_GB2312" w:cs="Calibri"/>
          <w:color w:val="auto"/>
          <w:kern w:val="0"/>
          <w:sz w:val="32"/>
          <w:szCs w:val="32"/>
          <w:lang w:val="en-US" w:eastAsia="zh-CN"/>
        </w:rPr>
        <w:t>小时值班值守，跟进安全动态；系统技术支持服务费用加速房屋建筑综合管理平台搭建，实现管理智能化。</w:t>
      </w:r>
      <w:r>
        <w:rPr>
          <w:rFonts w:hint="eastAsia" w:ascii="仿宋_GB2312" w:hAnsi="仿宋_GB2312" w:eastAsia="仿宋_GB2312" w:cs="Calibri"/>
          <w:b/>
          <w:bCs/>
          <w:color w:val="auto"/>
          <w:kern w:val="0"/>
          <w:sz w:val="32"/>
          <w:szCs w:val="32"/>
          <w:lang w:val="en-US" w:eastAsia="zh-CN"/>
        </w:rPr>
        <w:t>三是</w:t>
      </w:r>
      <w:r>
        <w:rPr>
          <w:rFonts w:hint="default" w:ascii="仿宋_GB2312" w:hAnsi="仿宋_GB2312" w:eastAsia="仿宋_GB2312" w:cs="Calibri"/>
          <w:color w:val="auto"/>
          <w:kern w:val="0"/>
          <w:sz w:val="32"/>
          <w:szCs w:val="32"/>
          <w:lang w:val="en-US" w:eastAsia="zh-CN"/>
        </w:rPr>
        <w:t>政策研究与数据支撑方面，开展高层次人才住房支持、保障性住房专题等多项政</w:t>
      </w:r>
      <w:r>
        <w:rPr>
          <w:rFonts w:hint="default" w:ascii="Times New Roman" w:hAnsi="Times New Roman" w:eastAsia="仿宋_GB2312" w:cs="Times New Roman"/>
          <w:color w:val="auto"/>
          <w:kern w:val="0"/>
          <w:sz w:val="32"/>
          <w:szCs w:val="32"/>
          <w:lang w:val="en-US" w:eastAsia="zh-CN"/>
        </w:rPr>
        <w:t>策研究，完善保障性安居工程政策体系，满足不同群体住房需求；完成2024年保障性安居工程数据统计分析，为政策制定、项目规划等提供决策依据。在自建房领域，</w:t>
      </w:r>
      <w:r>
        <w:rPr>
          <w:rFonts w:hint="eastAsia" w:ascii="Times New Roman" w:hAnsi="Times New Roman" w:eastAsia="仿宋_GB2312" w:cs="Times New Roman"/>
          <w:color w:val="auto"/>
          <w:kern w:val="0"/>
          <w:sz w:val="32"/>
          <w:szCs w:val="32"/>
          <w:lang w:val="en-US" w:eastAsia="zh-CN"/>
        </w:rPr>
        <w:t>粤</w:t>
      </w:r>
      <w:r>
        <w:rPr>
          <w:rFonts w:hint="default" w:ascii="Times New Roman" w:hAnsi="Times New Roman" w:eastAsia="仿宋_GB2312" w:cs="Times New Roman"/>
          <w:color w:val="auto"/>
          <w:kern w:val="0"/>
          <w:sz w:val="32"/>
          <w:szCs w:val="32"/>
          <w:lang w:val="en-US" w:eastAsia="zh-CN"/>
        </w:rPr>
        <w:t>港澳大湾区城镇房屋安全管理制度创新课题助力长效机制建设，经营性自建房等课题研究规范从业管理，推动全省26.72万栋隐患自建房完成整治，销号率达98.29%，3.92万栋经营</w:t>
      </w:r>
      <w:r>
        <w:rPr>
          <w:rFonts w:hint="default" w:ascii="仿宋_GB2312" w:hAnsi="仿宋_GB2312" w:eastAsia="仿宋_GB2312" w:cs="Calibri"/>
          <w:color w:val="auto"/>
          <w:kern w:val="0"/>
          <w:sz w:val="32"/>
          <w:szCs w:val="32"/>
          <w:lang w:val="en-US" w:eastAsia="zh-CN"/>
        </w:rPr>
        <w:t>性自建房全部销号。</w:t>
      </w:r>
      <w:r>
        <w:rPr>
          <w:rFonts w:hint="eastAsia" w:ascii="仿宋_GB2312" w:hAnsi="仿宋_GB2312" w:eastAsia="仿宋_GB2312" w:cs="Calibri"/>
          <w:b/>
          <w:bCs/>
          <w:color w:val="auto"/>
          <w:kern w:val="0"/>
          <w:sz w:val="32"/>
          <w:szCs w:val="32"/>
          <w:lang w:val="en-US" w:eastAsia="zh-CN"/>
        </w:rPr>
        <w:t>四是</w:t>
      </w:r>
      <w:r>
        <w:rPr>
          <w:rFonts w:hint="eastAsia" w:ascii="仿宋_GB2312" w:hAnsi="仿宋_GB2312" w:eastAsia="仿宋_GB2312" w:cs="Calibri"/>
          <w:b w:val="0"/>
          <w:bCs w:val="0"/>
          <w:color w:val="auto"/>
          <w:kern w:val="0"/>
          <w:sz w:val="32"/>
          <w:szCs w:val="32"/>
          <w:lang w:val="en-US" w:eastAsia="zh-CN"/>
        </w:rPr>
        <w:t>住房发展规划前期研究方面，</w:t>
      </w:r>
      <w:r>
        <w:rPr>
          <w:rFonts w:hint="default" w:ascii="仿宋_GB2312" w:hAnsi="仿宋_GB2312" w:eastAsia="仿宋_GB2312" w:cs="Calibri"/>
          <w:color w:val="auto"/>
          <w:kern w:val="0"/>
          <w:sz w:val="32"/>
          <w:szCs w:val="32"/>
          <w:lang w:val="en-US" w:eastAsia="zh-CN"/>
        </w:rPr>
        <w:t>已完成《广东省房地产市场平稳健康发展策略研究》等三份研究报告并通过专家评审，为“十五五”住房工作提供有力支撑。</w:t>
      </w:r>
    </w:p>
    <w:p w14:paraId="613FFA4C">
      <w:pPr>
        <w:pStyle w:val="3"/>
        <w:spacing w:beforeAutospacing="0" w:afterAutospacing="0"/>
        <w:ind w:firstLine="643" w:firstLineChars="200"/>
        <w:outlineLvl w:val="1"/>
        <w:rPr>
          <w:rFonts w:hint="eastAsia" w:ascii="楷体_GB2312" w:hAnsi="楷体_GB2312" w:eastAsia="楷体_GB2312" w:cs="楷体_GB2312"/>
          <w:color w:val="auto"/>
          <w:sz w:val="32"/>
          <w:szCs w:val="32"/>
        </w:rPr>
      </w:pPr>
      <w:bookmarkStart w:id="35" w:name="_Toc11196"/>
      <w:bookmarkStart w:id="36" w:name="_Toc8190"/>
      <w:bookmarkStart w:id="37" w:name="_Toc139976783"/>
      <w:bookmarkStart w:id="38" w:name="_Toc12885"/>
      <w:bookmarkStart w:id="39" w:name="_Toc27668"/>
      <w:bookmarkStart w:id="40" w:name="_Toc4711"/>
      <w:bookmarkStart w:id="41" w:name="_Toc10301"/>
      <w:bookmarkStart w:id="42" w:name="_Toc18196"/>
      <w:r>
        <w:rPr>
          <w:rFonts w:hint="eastAsia" w:ascii="楷体_GB2312" w:hAnsi="楷体_GB2312" w:eastAsia="楷体_GB2312" w:cs="楷体_GB2312"/>
          <w:color w:val="auto"/>
          <w:sz w:val="32"/>
          <w:szCs w:val="32"/>
        </w:rPr>
        <w:t>（三）专项资金使用绩效存在的问题</w:t>
      </w:r>
      <w:bookmarkEnd w:id="35"/>
      <w:bookmarkEnd w:id="36"/>
      <w:bookmarkEnd w:id="37"/>
      <w:bookmarkEnd w:id="38"/>
      <w:bookmarkEnd w:id="39"/>
      <w:bookmarkEnd w:id="40"/>
      <w:bookmarkEnd w:id="41"/>
      <w:bookmarkEnd w:id="42"/>
    </w:p>
    <w:p w14:paraId="27B0E082">
      <w:pPr>
        <w:widowControl w:val="0"/>
        <w:numPr>
          <w:ilvl w:val="0"/>
          <w:numId w:val="0"/>
        </w:numPr>
        <w:bidi w:val="0"/>
        <w:adjustRightInd w:val="0"/>
        <w:snapToGrid w:val="0"/>
        <w:spacing w:line="360" w:lineRule="auto"/>
        <w:ind w:firstLine="643" w:firstLineChars="200"/>
        <w:jc w:val="both"/>
        <w:rPr>
          <w:rFonts w:hint="eastAsia" w:ascii="仿宋_GB2312" w:hAnsi="仿宋_GB2312" w:eastAsia="仿宋_GB2312" w:cs="Calibri"/>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1</w:t>
      </w:r>
      <w:r>
        <w:rPr>
          <w:rFonts w:hint="eastAsia" w:ascii="仿宋_GB2312" w:hAnsi="仿宋_GB2312" w:eastAsia="仿宋_GB2312" w:cs="Calibri"/>
          <w:b/>
          <w:bCs/>
          <w:color w:val="auto"/>
          <w:kern w:val="0"/>
          <w:sz w:val="32"/>
          <w:szCs w:val="32"/>
          <w:lang w:val="en-US" w:eastAsia="zh-CN"/>
        </w:rPr>
        <w:t>.</w:t>
      </w:r>
      <w:r>
        <w:rPr>
          <w:rFonts w:hint="default" w:ascii="仿宋_GB2312" w:hAnsi="仿宋_GB2312" w:eastAsia="仿宋_GB2312" w:cs="Calibri"/>
          <w:b/>
          <w:bCs/>
          <w:color w:val="auto"/>
          <w:kern w:val="0"/>
          <w:sz w:val="32"/>
          <w:szCs w:val="32"/>
          <w:lang w:val="en-US" w:eastAsia="zh-CN"/>
        </w:rPr>
        <w:t>资金保障与使用方面</w:t>
      </w:r>
      <w:r>
        <w:rPr>
          <w:rFonts w:hint="eastAsia" w:ascii="仿宋_GB2312" w:hAnsi="仿宋_GB2312" w:eastAsia="仿宋_GB2312" w:cs="Calibri"/>
          <w:b/>
          <w:bCs/>
          <w:color w:val="auto"/>
          <w:kern w:val="0"/>
          <w:sz w:val="32"/>
          <w:szCs w:val="32"/>
          <w:lang w:val="en-US" w:eastAsia="zh-CN"/>
        </w:rPr>
        <w:t>。</w:t>
      </w:r>
      <w:r>
        <w:rPr>
          <w:rFonts w:hint="eastAsia" w:ascii="仿宋_GB2312" w:hAnsi="仿宋_GB2312" w:eastAsia="仿宋_GB2312" w:cs="Calibri"/>
          <w:b/>
          <w:bCs/>
          <w:color w:val="auto"/>
          <w:kern w:val="0"/>
          <w:sz w:val="32"/>
          <w:szCs w:val="32"/>
          <w:lang w:val="en-US" w:eastAsia="zh-CN" w:bidi="ar-SA"/>
        </w:rPr>
        <w:t>一是</w:t>
      </w:r>
      <w:r>
        <w:rPr>
          <w:rFonts w:hint="eastAsia" w:ascii="仿宋_GB2312" w:hAnsi="仿宋_GB2312" w:eastAsia="仿宋_GB2312" w:cs="Calibri"/>
          <w:color w:val="auto"/>
          <w:kern w:val="0"/>
          <w:sz w:val="32"/>
          <w:szCs w:val="32"/>
          <w:lang w:val="en-US" w:eastAsia="zh-CN" w:bidi="ar-SA"/>
        </w:rPr>
        <w:t>部分地市财政困难，导致资金支付率低，影响项目建设进度和资金使用效益。</w:t>
      </w:r>
      <w:r>
        <w:rPr>
          <w:rFonts w:hint="eastAsia" w:ascii="仿宋_GB2312" w:hAnsi="仿宋_GB2312" w:eastAsia="仿宋_GB2312" w:cs="Calibri"/>
          <w:b/>
          <w:bCs/>
          <w:color w:val="auto"/>
          <w:kern w:val="0"/>
          <w:sz w:val="32"/>
          <w:szCs w:val="32"/>
          <w:lang w:val="en-US" w:eastAsia="zh-CN" w:bidi="ar-SA"/>
        </w:rPr>
        <w:t>二是</w:t>
      </w:r>
      <w:r>
        <w:rPr>
          <w:rFonts w:hint="eastAsia" w:ascii="仿宋_GB2312" w:hAnsi="仿宋_GB2312" w:eastAsia="仿宋_GB2312" w:cs="Calibri"/>
          <w:color w:val="auto"/>
          <w:kern w:val="0"/>
          <w:sz w:val="32"/>
          <w:szCs w:val="32"/>
          <w:lang w:val="en-US" w:eastAsia="zh-CN" w:bidi="ar-SA"/>
        </w:rPr>
        <w:t>部分项目因前期准备工作不充分、项目验收程序繁琐、资金审批划拨较慢等原因，使得资金支付滞后。</w:t>
      </w:r>
      <w:r>
        <w:rPr>
          <w:rFonts w:hint="eastAsia" w:ascii="仿宋_GB2312" w:hAnsi="仿宋_GB2312" w:eastAsia="仿宋_GB2312" w:cs="Calibri"/>
          <w:b/>
          <w:bCs/>
          <w:color w:val="auto"/>
          <w:kern w:val="0"/>
          <w:sz w:val="32"/>
          <w:szCs w:val="32"/>
          <w:lang w:val="en-US" w:eastAsia="zh-CN" w:bidi="ar-SA"/>
        </w:rPr>
        <w:t>三是</w:t>
      </w:r>
      <w:r>
        <w:rPr>
          <w:rFonts w:hint="eastAsia" w:ascii="仿宋_GB2312" w:hAnsi="仿宋_GB2312" w:eastAsia="仿宋_GB2312" w:cs="Calibri"/>
          <w:color w:val="auto"/>
          <w:kern w:val="0"/>
          <w:sz w:val="32"/>
          <w:szCs w:val="32"/>
          <w:lang w:val="en-US" w:eastAsia="zh-CN" w:bidi="ar-SA"/>
        </w:rPr>
        <w:t>专项资金使用不灵活，影响资金合理使用。</w:t>
      </w:r>
      <w:r>
        <w:rPr>
          <w:rFonts w:hint="eastAsia" w:ascii="仿宋_GB2312" w:hAnsi="仿宋_GB2312" w:eastAsia="仿宋_GB2312" w:cs="Calibri"/>
          <w:b/>
          <w:bCs/>
          <w:color w:val="auto"/>
          <w:kern w:val="0"/>
          <w:sz w:val="32"/>
          <w:szCs w:val="32"/>
          <w:lang w:val="en-US" w:eastAsia="zh-CN" w:bidi="ar-SA"/>
        </w:rPr>
        <w:t>四是</w:t>
      </w:r>
      <w:r>
        <w:rPr>
          <w:rFonts w:hint="eastAsia" w:ascii="仿宋_GB2312" w:hAnsi="仿宋_GB2312" w:eastAsia="仿宋_GB2312" w:cs="Calibri"/>
          <w:color w:val="auto"/>
          <w:kern w:val="0"/>
          <w:sz w:val="32"/>
          <w:szCs w:val="32"/>
          <w:lang w:val="en-US" w:eastAsia="zh-CN" w:bidi="ar-SA"/>
        </w:rPr>
        <w:t>部分地市资金缺口大。</w:t>
      </w:r>
      <w:r>
        <w:rPr>
          <w:rFonts w:hint="eastAsia" w:ascii="仿宋_GB2312" w:hAnsi="仿宋_GB2312" w:eastAsia="仿宋_GB2312" w:cs="仿宋_GB2312"/>
          <w:i w:val="0"/>
          <w:iCs w:val="0"/>
          <w:caps w:val="0"/>
          <w:color w:val="auto"/>
          <w:spacing w:val="0"/>
          <w:sz w:val="32"/>
          <w:szCs w:val="32"/>
          <w:shd w:val="clear" w:fill="FFFFFF"/>
        </w:rPr>
        <w:t>城市危旧房改造需要大量资金，但资金来源主要依赖上级补</w:t>
      </w:r>
      <w:bookmarkStart w:id="53" w:name="_GoBack"/>
      <w:bookmarkEnd w:id="53"/>
      <w:r>
        <w:rPr>
          <w:rFonts w:hint="eastAsia" w:ascii="仿宋_GB2312" w:hAnsi="仿宋_GB2312" w:eastAsia="仿宋_GB2312" w:cs="仿宋_GB2312"/>
          <w:i w:val="0"/>
          <w:iCs w:val="0"/>
          <w:caps w:val="0"/>
          <w:color w:val="auto"/>
          <w:spacing w:val="0"/>
          <w:sz w:val="32"/>
          <w:szCs w:val="32"/>
          <w:shd w:val="clear" w:fill="FFFFFF"/>
        </w:rPr>
        <w:t>助，社会资本参与难度大，当地财政配套资金不足，导致资金缺口较大。</w:t>
      </w:r>
    </w:p>
    <w:p w14:paraId="228EEDB3">
      <w:pPr>
        <w:pStyle w:val="16"/>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Calibri"/>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r>
        <w:rPr>
          <w:rFonts w:hint="eastAsia" w:ascii="仿宋_GB2312" w:hAnsi="仿宋_GB2312" w:eastAsia="仿宋_GB2312" w:cs="Calibri"/>
          <w:b/>
          <w:bCs/>
          <w:color w:val="auto"/>
          <w:kern w:val="0"/>
          <w:sz w:val="32"/>
          <w:szCs w:val="32"/>
          <w:lang w:val="en-US" w:eastAsia="zh-CN"/>
        </w:rPr>
        <w:t>.</w:t>
      </w:r>
      <w:r>
        <w:rPr>
          <w:rFonts w:hint="default" w:ascii="仿宋_GB2312" w:hAnsi="仿宋_GB2312" w:eastAsia="仿宋_GB2312" w:cs="Calibri"/>
          <w:b/>
          <w:bCs/>
          <w:color w:val="auto"/>
          <w:kern w:val="0"/>
          <w:sz w:val="32"/>
          <w:szCs w:val="32"/>
          <w:lang w:val="en-US" w:eastAsia="zh-CN"/>
        </w:rPr>
        <w:t>项目推进与实施方面</w:t>
      </w:r>
      <w:r>
        <w:rPr>
          <w:rFonts w:hint="eastAsia" w:ascii="仿宋_GB2312" w:hAnsi="仿宋_GB2312" w:eastAsia="仿宋_GB2312" w:cs="Calibri"/>
          <w:b/>
          <w:bCs/>
          <w:color w:val="auto"/>
          <w:kern w:val="0"/>
          <w:sz w:val="32"/>
          <w:szCs w:val="32"/>
          <w:lang w:val="en-US" w:eastAsia="zh-CN"/>
        </w:rPr>
        <w:t>。一是</w:t>
      </w:r>
      <w:r>
        <w:rPr>
          <w:rFonts w:hint="default" w:ascii="仿宋_GB2312" w:hAnsi="仿宋_GB2312" w:eastAsia="仿宋_GB2312" w:cs="Calibri"/>
          <w:color w:val="auto"/>
          <w:kern w:val="0"/>
          <w:sz w:val="32"/>
          <w:szCs w:val="32"/>
          <w:lang w:val="en-US" w:eastAsia="zh-CN"/>
        </w:rPr>
        <w:t>部分市县项目前期准备不扎实，资金计划与需求衔接差，受外部环境、部门协作等因素制约</w:t>
      </w:r>
      <w:r>
        <w:rPr>
          <w:rFonts w:hint="eastAsia" w:ascii="仿宋_GB2312" w:hAnsi="仿宋_GB2312" w:eastAsia="仿宋_GB2312" w:cs="Calibri"/>
          <w:color w:val="auto"/>
          <w:kern w:val="0"/>
          <w:sz w:val="32"/>
          <w:szCs w:val="32"/>
          <w:lang w:val="en-US" w:eastAsia="zh-CN"/>
        </w:rPr>
        <w:t>多等。</w:t>
      </w:r>
      <w:r>
        <w:rPr>
          <w:rFonts w:hint="eastAsia" w:ascii="仿宋_GB2312" w:hAnsi="仿宋_GB2312" w:eastAsia="仿宋_GB2312" w:cs="Calibri"/>
          <w:b/>
          <w:bCs/>
          <w:color w:val="auto"/>
          <w:kern w:val="0"/>
          <w:sz w:val="32"/>
          <w:szCs w:val="32"/>
          <w:lang w:val="en-US" w:eastAsia="zh-CN"/>
        </w:rPr>
        <w:t>二是</w:t>
      </w:r>
      <w:r>
        <w:rPr>
          <w:rFonts w:hint="default" w:ascii="仿宋_GB2312" w:hAnsi="仿宋_GB2312" w:eastAsia="仿宋_GB2312" w:cs="Calibri"/>
          <w:color w:val="auto"/>
          <w:kern w:val="0"/>
          <w:sz w:val="32"/>
          <w:szCs w:val="32"/>
          <w:lang w:val="en-US" w:eastAsia="zh-CN"/>
        </w:rPr>
        <w:t>城市危旧房改造阻力大，存在系统与实际不符、产权补偿纠纷、产权不清及产权人不配合等问题。</w:t>
      </w:r>
      <w:r>
        <w:rPr>
          <w:rFonts w:hint="eastAsia" w:ascii="仿宋_GB2312" w:hAnsi="仿宋_GB2312" w:eastAsia="仿宋_GB2312" w:cs="Calibri"/>
          <w:color w:val="auto"/>
          <w:kern w:val="0"/>
          <w:sz w:val="32"/>
          <w:szCs w:val="32"/>
          <w:lang w:val="en-US" w:eastAsia="zh-CN" w:bidi="ar-SA"/>
        </w:rPr>
        <w:t>三</w:t>
      </w:r>
      <w:r>
        <w:rPr>
          <w:rFonts w:hint="eastAsia" w:ascii="仿宋_GB2312" w:hAnsi="仿宋_GB2312" w:eastAsia="仿宋_GB2312" w:cs="Calibri"/>
          <w:b/>
          <w:bCs/>
          <w:color w:val="auto"/>
          <w:kern w:val="0"/>
          <w:sz w:val="32"/>
          <w:szCs w:val="32"/>
          <w:lang w:val="en-US" w:eastAsia="zh-CN"/>
        </w:rPr>
        <w:t>是</w:t>
      </w:r>
      <w:r>
        <w:rPr>
          <w:rFonts w:hint="eastAsia" w:ascii="仿宋_GB2312" w:hAnsi="仿宋_GB2312" w:eastAsia="仿宋_GB2312" w:cs="Calibri"/>
          <w:b w:val="0"/>
          <w:bCs w:val="0"/>
          <w:color w:val="auto"/>
          <w:kern w:val="0"/>
          <w:sz w:val="32"/>
          <w:szCs w:val="32"/>
          <w:lang w:val="en-US" w:eastAsia="zh-CN"/>
        </w:rPr>
        <w:t>有的地区</w:t>
      </w:r>
      <w:r>
        <w:rPr>
          <w:rFonts w:hint="eastAsia" w:ascii="仿宋_GB2312" w:hAnsi="仿宋_GB2312" w:eastAsia="仿宋_GB2312" w:cs="Calibri"/>
          <w:color w:val="auto"/>
          <w:kern w:val="0"/>
          <w:sz w:val="32"/>
          <w:szCs w:val="32"/>
          <w:lang w:val="en-US" w:eastAsia="zh-CN"/>
        </w:rPr>
        <w:t>自建房整治</w:t>
      </w:r>
      <w:r>
        <w:rPr>
          <w:rFonts w:hint="default" w:ascii="仿宋_GB2312" w:hAnsi="仿宋_GB2312" w:eastAsia="仿宋_GB2312" w:cs="Calibri"/>
          <w:color w:val="auto"/>
          <w:kern w:val="0"/>
          <w:sz w:val="32"/>
          <w:szCs w:val="32"/>
          <w:lang w:val="en-US" w:eastAsia="zh-CN"/>
        </w:rPr>
        <w:t>专项资金</w:t>
      </w:r>
      <w:r>
        <w:rPr>
          <w:rFonts w:hint="eastAsia" w:ascii="仿宋_GB2312" w:hAnsi="仿宋_GB2312" w:eastAsia="仿宋_GB2312" w:cs="Calibri"/>
          <w:color w:val="auto"/>
          <w:kern w:val="0"/>
          <w:sz w:val="32"/>
          <w:szCs w:val="32"/>
          <w:lang w:val="en-US" w:eastAsia="zh-CN"/>
        </w:rPr>
        <w:t>存在</w:t>
      </w:r>
      <w:r>
        <w:rPr>
          <w:rFonts w:hint="default" w:ascii="仿宋_GB2312" w:hAnsi="仿宋_GB2312" w:eastAsia="仿宋_GB2312" w:cs="Calibri"/>
          <w:color w:val="auto"/>
          <w:kern w:val="0"/>
          <w:sz w:val="32"/>
          <w:szCs w:val="32"/>
          <w:lang w:val="en-US" w:eastAsia="zh-CN"/>
        </w:rPr>
        <w:t>资源配置错位现象</w:t>
      </w:r>
      <w:r>
        <w:rPr>
          <w:rFonts w:hint="eastAsia" w:ascii="仿宋_GB2312" w:hAnsi="仿宋_GB2312" w:eastAsia="仿宋_GB2312" w:cs="Calibri"/>
          <w:color w:val="auto"/>
          <w:kern w:val="0"/>
          <w:sz w:val="32"/>
          <w:szCs w:val="32"/>
          <w:lang w:val="en-US" w:eastAsia="zh-CN"/>
        </w:rPr>
        <w:t>。</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部分地市虽然已完成</w:t>
      </w:r>
      <w:r>
        <w:rPr>
          <w:rFonts w:hint="eastAsia" w:ascii="Times New Roman" w:hAnsi="Times New Roman" w:eastAsia="仿宋_GB2312" w:cs="Times New Roman"/>
          <w:color w:val="auto"/>
          <w:spacing w:val="0"/>
          <w:w w:val="100"/>
          <w:kern w:val="0"/>
          <w:position w:val="0"/>
          <w:sz w:val="32"/>
          <w:szCs w:val="32"/>
          <w:highlight w:val="none"/>
          <w:lang w:val="en-US" w:eastAsia="zh-CN" w:bidi="ar-SA"/>
        </w:rPr>
        <w:t>上级</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下达的鉴定工作任务，但由于相关房屋产权人缺乏主动整治意愿，或由于其缺少收入支持开</w:t>
      </w:r>
      <w:r>
        <w:rPr>
          <w:rFonts w:hint="eastAsia" w:ascii="Times New Roman" w:hAnsi="Times New Roman" w:eastAsia="仿宋_GB2312" w:cs="Times New Roman"/>
          <w:color w:val="auto"/>
          <w:spacing w:val="0"/>
          <w:w w:val="100"/>
          <w:kern w:val="0"/>
          <w:position w:val="0"/>
          <w:sz w:val="32"/>
          <w:szCs w:val="32"/>
          <w:highlight w:val="none"/>
          <w:lang w:val="en-US" w:eastAsia="zh-CN" w:bidi="ar-SA"/>
        </w:rPr>
        <w:t>展</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整治，导致部分地区后期整治工程资金缺口显著</w:t>
      </w:r>
      <w:r>
        <w:rPr>
          <w:rFonts w:hint="eastAsia" w:ascii="Times New Roman" w:hAnsi="Times New Roman" w:eastAsia="仿宋_GB2312" w:cs="Times New Roman"/>
          <w:color w:val="auto"/>
          <w:spacing w:val="0"/>
          <w:w w:val="100"/>
          <w:kern w:val="0"/>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部分</w:t>
      </w:r>
      <w:r>
        <w:rPr>
          <w:rFonts w:hint="eastAsia" w:ascii="Times New Roman" w:hAnsi="Times New Roman" w:eastAsia="仿宋_GB2312" w:cs="Times New Roman"/>
          <w:color w:val="auto"/>
          <w:spacing w:val="0"/>
          <w:w w:val="100"/>
          <w:kern w:val="0"/>
          <w:position w:val="0"/>
          <w:sz w:val="32"/>
          <w:szCs w:val="32"/>
          <w:highlight w:val="none"/>
          <w:lang w:val="en-US" w:eastAsia="zh-CN" w:bidi="ar-SA"/>
        </w:rPr>
        <w:t>市县的</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隐患房屋</w:t>
      </w:r>
      <w:r>
        <w:rPr>
          <w:rFonts w:hint="eastAsia" w:ascii="Times New Roman" w:hAnsi="Times New Roman" w:eastAsia="仿宋_GB2312" w:cs="Times New Roman"/>
          <w:color w:val="auto"/>
          <w:spacing w:val="0"/>
          <w:w w:val="100"/>
          <w:kern w:val="0"/>
          <w:position w:val="0"/>
          <w:sz w:val="32"/>
          <w:szCs w:val="32"/>
          <w:highlight w:val="none"/>
          <w:lang w:val="en-US" w:eastAsia="zh-CN" w:bidi="ar-SA"/>
        </w:rPr>
        <w:t>由于</w:t>
      </w:r>
      <w:r>
        <w:rPr>
          <w:rFonts w:hint="default" w:ascii="Times New Roman" w:hAnsi="Times New Roman" w:eastAsia="仿宋_GB2312" w:cs="Times New Roman"/>
          <w:b w:val="0"/>
          <w:bCs w:val="0"/>
          <w:color w:val="auto"/>
          <w:spacing w:val="0"/>
          <w:w w:val="100"/>
          <w:kern w:val="0"/>
          <w:position w:val="0"/>
          <w:sz w:val="32"/>
          <w:szCs w:val="32"/>
          <w:highlight w:val="none"/>
          <w:lang w:val="en-US" w:eastAsia="zh-CN" w:bidi="ar-SA"/>
        </w:rPr>
        <w:t>缺乏</w:t>
      </w:r>
      <w:r>
        <w:rPr>
          <w:rFonts w:hint="default" w:ascii="Times New Roman" w:hAnsi="Times New Roman" w:eastAsia="仿宋_GB2312" w:cs="Times New Roman"/>
          <w:color w:val="auto"/>
          <w:spacing w:val="0"/>
          <w:w w:val="100"/>
          <w:kern w:val="0"/>
          <w:position w:val="0"/>
          <w:sz w:val="32"/>
          <w:szCs w:val="32"/>
          <w:highlight w:val="none"/>
          <w:lang w:val="en-US" w:eastAsia="zh-CN" w:bidi="ar-SA"/>
        </w:rPr>
        <w:t>整治</w:t>
      </w:r>
      <w:r>
        <w:rPr>
          <w:rFonts w:hint="default" w:ascii="Times New Roman" w:hAnsi="Times New Roman" w:eastAsia="仿宋_GB2312" w:cs="Times New Roman"/>
          <w:b w:val="0"/>
          <w:bCs w:val="0"/>
          <w:color w:val="auto"/>
          <w:spacing w:val="0"/>
          <w:w w:val="100"/>
          <w:kern w:val="0"/>
          <w:position w:val="0"/>
          <w:sz w:val="32"/>
          <w:szCs w:val="32"/>
          <w:highlight w:val="none"/>
          <w:lang w:val="en-US" w:eastAsia="zh-CN" w:bidi="ar-SA"/>
        </w:rPr>
        <w:t>工程资金仅能临时封控，无法彻底消除安全隐患。</w:t>
      </w:r>
    </w:p>
    <w:p w14:paraId="12CE2396">
      <w:pPr>
        <w:numPr>
          <w:ilvl w:val="0"/>
          <w:numId w:val="0"/>
        </w:numPr>
        <w:adjustRightInd w:val="0"/>
        <w:snapToGrid w:val="0"/>
        <w:spacing w:line="360" w:lineRule="auto"/>
        <w:ind w:firstLine="643" w:firstLineChars="200"/>
        <w:rPr>
          <w:rFonts w:hint="default" w:ascii="仿宋_GB2312" w:hAnsi="仿宋_GB2312" w:eastAsia="仿宋_GB2312" w:cs="Calibri"/>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r>
        <w:rPr>
          <w:rFonts w:hint="eastAsia" w:ascii="仿宋_GB2312" w:hAnsi="仿宋_GB2312" w:eastAsia="仿宋_GB2312" w:cs="Calibri"/>
          <w:b/>
          <w:bCs/>
          <w:color w:val="auto"/>
          <w:kern w:val="0"/>
          <w:sz w:val="32"/>
          <w:szCs w:val="32"/>
          <w:lang w:val="en-US" w:eastAsia="zh-CN"/>
        </w:rPr>
        <w:t>.</w:t>
      </w:r>
      <w:r>
        <w:rPr>
          <w:rFonts w:hint="default" w:ascii="仿宋_GB2312" w:hAnsi="仿宋_GB2312" w:eastAsia="仿宋_GB2312" w:cs="Calibri"/>
          <w:b/>
          <w:bCs/>
          <w:color w:val="auto"/>
          <w:kern w:val="0"/>
          <w:sz w:val="32"/>
          <w:szCs w:val="32"/>
          <w:lang w:val="en-US" w:eastAsia="zh-CN"/>
        </w:rPr>
        <w:t>社会参与</w:t>
      </w:r>
      <w:r>
        <w:rPr>
          <w:rFonts w:hint="eastAsia" w:ascii="仿宋_GB2312" w:hAnsi="仿宋_GB2312" w:eastAsia="仿宋_GB2312" w:cs="Calibri"/>
          <w:b/>
          <w:bCs/>
          <w:color w:val="auto"/>
          <w:kern w:val="0"/>
          <w:sz w:val="32"/>
          <w:szCs w:val="32"/>
          <w:lang w:val="en-US" w:eastAsia="zh-CN"/>
        </w:rPr>
        <w:t>和</w:t>
      </w:r>
      <w:r>
        <w:rPr>
          <w:rFonts w:hint="default" w:ascii="仿宋_GB2312" w:hAnsi="仿宋_GB2312" w:eastAsia="仿宋_GB2312" w:cs="Calibri"/>
          <w:b/>
          <w:bCs/>
          <w:color w:val="auto"/>
          <w:kern w:val="0"/>
          <w:sz w:val="32"/>
          <w:szCs w:val="32"/>
          <w:lang w:val="en-US" w:eastAsia="zh-CN"/>
        </w:rPr>
        <w:t>主体意识方面</w:t>
      </w:r>
      <w:r>
        <w:rPr>
          <w:rFonts w:hint="eastAsia" w:ascii="仿宋_GB2312" w:hAnsi="仿宋_GB2312" w:eastAsia="仿宋_GB2312" w:cs="Calibri"/>
          <w:b/>
          <w:bCs/>
          <w:color w:val="auto"/>
          <w:kern w:val="0"/>
          <w:sz w:val="32"/>
          <w:szCs w:val="32"/>
          <w:lang w:val="en-US" w:eastAsia="zh-CN"/>
        </w:rPr>
        <w:t>。一是</w:t>
      </w:r>
      <w:r>
        <w:rPr>
          <w:rFonts w:hint="default" w:ascii="仿宋_GB2312" w:hAnsi="仿宋_GB2312" w:eastAsia="仿宋_GB2312" w:cs="Calibri"/>
          <w:color w:val="auto"/>
          <w:kern w:val="0"/>
          <w:sz w:val="32"/>
          <w:szCs w:val="32"/>
          <w:lang w:val="en-US" w:eastAsia="zh-CN"/>
        </w:rPr>
        <w:t>保障性租赁住房社会资本参与意愿低，新建装修成本高、收益低、优惠政策不明显；后期筹集难度大，存量住房改造空间小</w:t>
      </w:r>
      <w:r>
        <w:rPr>
          <w:rFonts w:hint="eastAsia" w:ascii="仿宋_GB2312" w:hAnsi="仿宋_GB2312" w:eastAsia="仿宋_GB2312" w:cs="Calibri"/>
          <w:color w:val="auto"/>
          <w:kern w:val="0"/>
          <w:sz w:val="32"/>
          <w:szCs w:val="32"/>
          <w:lang w:val="en-US" w:eastAsia="zh-CN"/>
        </w:rPr>
        <w:t>。</w:t>
      </w:r>
      <w:r>
        <w:rPr>
          <w:rFonts w:hint="eastAsia" w:ascii="仿宋_GB2312" w:hAnsi="仿宋_GB2312" w:eastAsia="仿宋_GB2312" w:cs="Calibri"/>
          <w:b/>
          <w:bCs/>
          <w:color w:val="auto"/>
          <w:kern w:val="0"/>
          <w:sz w:val="32"/>
          <w:szCs w:val="32"/>
          <w:lang w:val="en-US" w:eastAsia="zh-CN"/>
        </w:rPr>
        <w:t>二是</w:t>
      </w:r>
      <w:r>
        <w:rPr>
          <w:rFonts w:hint="default" w:ascii="仿宋_GB2312" w:hAnsi="仿宋_GB2312" w:eastAsia="仿宋_GB2312" w:cs="Calibri"/>
          <w:color w:val="auto"/>
          <w:kern w:val="0"/>
          <w:sz w:val="32"/>
          <w:szCs w:val="32"/>
          <w:lang w:val="en-US" w:eastAsia="zh-CN"/>
        </w:rPr>
        <w:t>部分自建房产权人（使用人）安全意识薄弱，主动整改意愿低；工作落实存在 “上热下冷、层层衰减”现象，基层执行不到位。</w:t>
      </w:r>
    </w:p>
    <w:p w14:paraId="7E03E7AB">
      <w:pPr>
        <w:numPr>
          <w:ilvl w:val="0"/>
          <w:numId w:val="0"/>
        </w:numPr>
        <w:adjustRightInd w:val="0"/>
        <w:snapToGrid w:val="0"/>
        <w:spacing w:line="360" w:lineRule="auto"/>
        <w:ind w:firstLine="643" w:firstLineChars="200"/>
        <w:rPr>
          <w:rFonts w:hint="default" w:ascii="仿宋_GB2312" w:hAnsi="仿宋_GB2312" w:eastAsia="仿宋_GB2312" w:cs="Calibri"/>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4</w:t>
      </w:r>
      <w:r>
        <w:rPr>
          <w:rFonts w:hint="eastAsia" w:ascii="仿宋_GB2312" w:hAnsi="仿宋_GB2312" w:eastAsia="仿宋_GB2312" w:cs="Calibri"/>
          <w:b/>
          <w:bCs/>
          <w:color w:val="auto"/>
          <w:kern w:val="0"/>
          <w:sz w:val="32"/>
          <w:szCs w:val="32"/>
          <w:lang w:val="en-US" w:eastAsia="zh-CN"/>
        </w:rPr>
        <w:t>.</w:t>
      </w:r>
      <w:r>
        <w:rPr>
          <w:rFonts w:hint="default" w:ascii="仿宋_GB2312" w:hAnsi="仿宋_GB2312" w:eastAsia="仿宋_GB2312" w:cs="Calibri"/>
          <w:b/>
          <w:bCs/>
          <w:color w:val="auto"/>
          <w:kern w:val="0"/>
          <w:sz w:val="32"/>
          <w:szCs w:val="32"/>
          <w:lang w:val="en-US" w:eastAsia="zh-CN"/>
        </w:rPr>
        <w:t>基层能力与行业监管方面</w:t>
      </w:r>
      <w:r>
        <w:rPr>
          <w:rFonts w:hint="eastAsia" w:ascii="仿宋_GB2312" w:hAnsi="仿宋_GB2312" w:eastAsia="仿宋_GB2312" w:cs="Calibri"/>
          <w:b/>
          <w:bCs/>
          <w:color w:val="auto"/>
          <w:kern w:val="0"/>
          <w:sz w:val="32"/>
          <w:szCs w:val="32"/>
          <w:lang w:val="en-US" w:eastAsia="zh-CN"/>
        </w:rPr>
        <w:t>。一是</w:t>
      </w:r>
      <w:r>
        <w:rPr>
          <w:rFonts w:hint="default" w:ascii="仿宋_GB2312" w:hAnsi="仿宋_GB2312" w:eastAsia="仿宋_GB2312" w:cs="Calibri"/>
          <w:color w:val="auto"/>
          <w:kern w:val="0"/>
          <w:sz w:val="32"/>
          <w:szCs w:val="32"/>
          <w:lang w:val="en-US" w:eastAsia="zh-CN"/>
        </w:rPr>
        <w:t>基层技术力量薄弱，依赖第三方鉴定机构，本土专业队伍缺乏，巡查人员专业知识不足，初期排查数据存在误差</w:t>
      </w:r>
      <w:r>
        <w:rPr>
          <w:rFonts w:hint="eastAsia" w:ascii="仿宋_GB2312" w:hAnsi="仿宋_GB2312" w:eastAsia="仿宋_GB2312" w:cs="Calibri"/>
          <w:color w:val="auto"/>
          <w:kern w:val="0"/>
          <w:sz w:val="32"/>
          <w:szCs w:val="32"/>
          <w:lang w:val="en-US" w:eastAsia="zh-CN"/>
        </w:rPr>
        <w:t>。</w:t>
      </w:r>
      <w:r>
        <w:rPr>
          <w:rFonts w:hint="eastAsia" w:ascii="仿宋_GB2312" w:hAnsi="仿宋_GB2312" w:eastAsia="仿宋_GB2312" w:cs="Calibri"/>
          <w:b/>
          <w:bCs/>
          <w:color w:val="auto"/>
          <w:kern w:val="0"/>
          <w:sz w:val="32"/>
          <w:szCs w:val="32"/>
          <w:lang w:val="en-US" w:eastAsia="zh-CN"/>
        </w:rPr>
        <w:t>二是</w:t>
      </w:r>
      <w:r>
        <w:rPr>
          <w:rFonts w:hint="default" w:ascii="仿宋_GB2312" w:hAnsi="仿宋_GB2312" w:eastAsia="仿宋_GB2312" w:cs="Calibri"/>
          <w:color w:val="auto"/>
          <w:kern w:val="0"/>
          <w:sz w:val="32"/>
          <w:szCs w:val="32"/>
          <w:lang w:val="en-US" w:eastAsia="zh-CN"/>
        </w:rPr>
        <w:t>鉴定市场管理不足，部分机构报告不规范、资质不合规，行业监管精细化和常态化机制有待完善。</w:t>
      </w:r>
    </w:p>
    <w:p w14:paraId="1C43A866">
      <w:pPr>
        <w:adjustRightInd w:val="0"/>
        <w:snapToGrid w:val="0"/>
        <w:spacing w:line="360" w:lineRule="auto"/>
        <w:ind w:firstLine="640" w:firstLineChars="200"/>
        <w:outlineLvl w:val="0"/>
        <w:rPr>
          <w:rFonts w:hint="eastAsia" w:ascii="黑体" w:eastAsia="黑体"/>
          <w:color w:val="auto"/>
          <w:sz w:val="32"/>
          <w:szCs w:val="32"/>
        </w:rPr>
      </w:pPr>
      <w:bookmarkStart w:id="43" w:name="_Toc10892"/>
      <w:bookmarkStart w:id="44" w:name="_Toc30493"/>
      <w:bookmarkStart w:id="45" w:name="_Toc21929"/>
      <w:r>
        <w:rPr>
          <w:rFonts w:hint="eastAsia" w:ascii="黑体" w:eastAsia="黑体"/>
          <w:color w:val="auto"/>
          <w:sz w:val="32"/>
          <w:szCs w:val="32"/>
        </w:rPr>
        <w:t>三、改进意见</w:t>
      </w:r>
      <w:bookmarkEnd w:id="43"/>
      <w:bookmarkEnd w:id="44"/>
      <w:bookmarkEnd w:id="45"/>
    </w:p>
    <w:p w14:paraId="4DB9155B">
      <w:pPr>
        <w:numPr>
          <w:ilvl w:val="0"/>
          <w:numId w:val="0"/>
        </w:numPr>
        <w:adjustRightInd w:val="0"/>
        <w:snapToGrid w:val="0"/>
        <w:spacing w:line="360" w:lineRule="auto"/>
        <w:ind w:firstLine="643" w:firstLineChars="200"/>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（一）强化战略引领与资源统筹</w:t>
      </w:r>
    </w:p>
    <w:p w14:paraId="5CB6CC10">
      <w:pPr>
        <w:numPr>
          <w:ilvl w:val="0"/>
          <w:numId w:val="0"/>
        </w:numPr>
        <w:adjustRightInd w:val="0"/>
        <w:snapToGrid w:val="0"/>
        <w:spacing w:line="360" w:lineRule="auto"/>
        <w:ind w:firstLine="640" w:firstLineChars="200"/>
        <w:rPr>
          <w:rFonts w:hint="default" w:ascii="仿宋_GB2312" w:hAnsi="仿宋_GB2312" w:eastAsia="仿宋_GB2312" w:cs="Calibri"/>
          <w:color w:val="auto"/>
          <w:kern w:val="0"/>
          <w:sz w:val="32"/>
          <w:szCs w:val="32"/>
          <w:lang w:val="en-US" w:eastAsia="zh-CN"/>
        </w:rPr>
      </w:pPr>
      <w:r>
        <w:rPr>
          <w:rFonts w:hint="default" w:ascii="仿宋_GB2312" w:hAnsi="仿宋_GB2312" w:eastAsia="仿宋_GB2312" w:cs="Calibri"/>
          <w:color w:val="auto"/>
          <w:kern w:val="0"/>
          <w:sz w:val="32"/>
          <w:szCs w:val="32"/>
          <w:lang w:val="en-US" w:eastAsia="zh-CN"/>
        </w:rPr>
        <w:t>立足住房民生保障与城市安全发展战略高度，加强顶层设计，完善多元化资金筹措机制，优化财政资金分配格局，构建科学高效的资金动态监测与绩效评估体系，提升资金使用效能，强化住房领域风险防控的资源保障能力。</w:t>
      </w:r>
    </w:p>
    <w:p w14:paraId="69E48554">
      <w:pPr>
        <w:numPr>
          <w:ilvl w:val="0"/>
          <w:numId w:val="4"/>
        </w:numPr>
        <w:adjustRightInd w:val="0"/>
        <w:snapToGrid w:val="0"/>
        <w:spacing w:line="360" w:lineRule="auto"/>
        <w:ind w:firstLine="643" w:firstLineChars="200"/>
        <w:rPr>
          <w:rFonts w:hint="default" w:ascii="楷体_GB2312" w:hAnsi="楷体_GB2312" w:eastAsia="楷体_GB2312" w:cs="楷体_GB2312"/>
          <w:b/>
          <w:bCs/>
          <w:color w:val="auto"/>
          <w:kern w:val="0"/>
          <w:sz w:val="32"/>
          <w:szCs w:val="32"/>
          <w:lang w:val="en-US" w:eastAsia="zh-CN"/>
        </w:rPr>
      </w:pPr>
      <w:r>
        <w:rPr>
          <w:rFonts w:hint="default" w:ascii="楷体_GB2312" w:hAnsi="楷体_GB2312" w:eastAsia="楷体_GB2312" w:cs="楷体_GB2312"/>
          <w:b/>
          <w:bCs/>
          <w:color w:val="auto"/>
          <w:kern w:val="0"/>
          <w:sz w:val="32"/>
          <w:szCs w:val="32"/>
          <w:lang w:val="en-US" w:eastAsia="zh-CN"/>
        </w:rPr>
        <w:t>推动协同治理与政策创新</w:t>
      </w:r>
    </w:p>
    <w:p w14:paraId="087E7713">
      <w:pPr>
        <w:numPr>
          <w:ilvl w:val="0"/>
          <w:numId w:val="0"/>
        </w:numPr>
        <w:adjustRightInd w:val="0"/>
        <w:snapToGrid w:val="0"/>
        <w:spacing w:line="360" w:lineRule="auto"/>
        <w:ind w:firstLine="640" w:firstLineChars="200"/>
        <w:rPr>
          <w:rFonts w:hint="default" w:ascii="仿宋_GB2312" w:hAnsi="仿宋_GB2312" w:eastAsia="仿宋_GB2312" w:cs="Calibri"/>
          <w:color w:val="auto"/>
          <w:kern w:val="0"/>
          <w:sz w:val="32"/>
          <w:szCs w:val="32"/>
          <w:lang w:val="en-US" w:eastAsia="zh-CN"/>
        </w:rPr>
      </w:pPr>
      <w:r>
        <w:rPr>
          <w:rFonts w:hint="default" w:ascii="仿宋_GB2312" w:hAnsi="仿宋_GB2312" w:eastAsia="仿宋_GB2312" w:cs="Calibri"/>
          <w:color w:val="auto"/>
          <w:kern w:val="0"/>
          <w:sz w:val="32"/>
          <w:szCs w:val="32"/>
          <w:lang w:val="en-US" w:eastAsia="zh-CN"/>
        </w:rPr>
        <w:t>打破部门壁垒，建立健全跨部门协同推进机制，强化项目全周期管理与统筹协调。聚焦住房保障和危旧房改造难点问题，加强政策研究与创新，完善相关政策法规体系，以政策引领推动住房项目顺利实施和住房领域治理体系升级。</w:t>
      </w:r>
    </w:p>
    <w:p w14:paraId="38A952C1">
      <w:pPr>
        <w:numPr>
          <w:ilvl w:val="0"/>
          <w:numId w:val="0"/>
        </w:numPr>
        <w:adjustRightInd w:val="0"/>
        <w:snapToGrid w:val="0"/>
        <w:spacing w:line="360" w:lineRule="auto"/>
        <w:ind w:firstLine="643" w:firstLineChars="200"/>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w:t>
      </w:r>
      <w:r>
        <w:rPr>
          <w:rFonts w:hint="default" w:ascii="楷体_GB2312" w:hAnsi="楷体_GB2312" w:eastAsia="楷体_GB2312" w:cs="楷体_GB2312"/>
          <w:b/>
          <w:bCs/>
          <w:color w:val="auto"/>
          <w:kern w:val="0"/>
          <w:sz w:val="32"/>
          <w:szCs w:val="32"/>
          <w:lang w:val="en-US" w:eastAsia="zh-CN"/>
        </w:rPr>
        <w:t>激发社会活力与主体责任</w:t>
      </w:r>
    </w:p>
    <w:p w14:paraId="48A470B1">
      <w:pPr>
        <w:numPr>
          <w:ilvl w:val="0"/>
          <w:numId w:val="0"/>
        </w:numPr>
        <w:adjustRightInd w:val="0"/>
        <w:snapToGrid w:val="0"/>
        <w:spacing w:line="360" w:lineRule="auto"/>
        <w:ind w:firstLine="640" w:firstLineChars="200"/>
        <w:rPr>
          <w:rFonts w:hint="default" w:ascii="仿宋_GB2312" w:hAnsi="仿宋_GB2312" w:eastAsia="仿宋_GB2312" w:cs="Calibri"/>
          <w:color w:val="auto"/>
          <w:kern w:val="0"/>
          <w:sz w:val="32"/>
          <w:szCs w:val="32"/>
          <w:lang w:val="en-US" w:eastAsia="zh-CN"/>
        </w:rPr>
      </w:pPr>
      <w:r>
        <w:rPr>
          <w:rFonts w:hint="default" w:ascii="仿宋_GB2312" w:hAnsi="仿宋_GB2312" w:eastAsia="仿宋_GB2312" w:cs="Calibri"/>
          <w:color w:val="auto"/>
          <w:kern w:val="0"/>
          <w:sz w:val="32"/>
          <w:szCs w:val="32"/>
          <w:lang w:val="en-US" w:eastAsia="zh-CN"/>
        </w:rPr>
        <w:t>坚持共建共治共享理念，优化社会资本参与住房领域建设的政策环境，完善激励机制，提升社会资本参与积极性与获得感。强化宣传引导，增强住房产权人主体责任意识，构建政府主导、社会参与、居民尽责的住房治理共同体，凝聚住房领域发展合力。</w:t>
      </w:r>
    </w:p>
    <w:p w14:paraId="2D259C6D">
      <w:pPr>
        <w:numPr>
          <w:ilvl w:val="0"/>
          <w:numId w:val="0"/>
        </w:numPr>
        <w:adjustRightInd w:val="0"/>
        <w:snapToGrid w:val="0"/>
        <w:spacing w:line="360" w:lineRule="auto"/>
        <w:ind w:firstLine="643" w:firstLineChars="200"/>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w:t>
      </w:r>
      <w:r>
        <w:rPr>
          <w:rFonts w:hint="default" w:ascii="楷体_GB2312" w:hAnsi="楷体_GB2312" w:eastAsia="楷体_GB2312" w:cs="楷体_GB2312"/>
          <w:b/>
          <w:bCs/>
          <w:color w:val="auto"/>
          <w:kern w:val="0"/>
          <w:sz w:val="32"/>
          <w:szCs w:val="32"/>
          <w:lang w:val="en-US" w:eastAsia="zh-CN"/>
        </w:rPr>
        <w:t>夯实基层基础与长效监管</w:t>
      </w:r>
    </w:p>
    <w:p w14:paraId="29DDEC38">
      <w:pPr>
        <w:numPr>
          <w:ilvl w:val="0"/>
          <w:numId w:val="0"/>
        </w:numPr>
        <w:adjustRightInd w:val="0"/>
        <w:snapToGrid w:val="0"/>
        <w:spacing w:line="360" w:lineRule="auto"/>
        <w:ind w:firstLine="640" w:firstLineChars="200"/>
        <w:rPr>
          <w:rFonts w:hint="default" w:ascii="仿宋_GB2312" w:hAnsi="仿宋_GB2312" w:eastAsia="仿宋_GB2312" w:cs="Calibri"/>
          <w:color w:val="auto"/>
          <w:kern w:val="0"/>
          <w:sz w:val="32"/>
          <w:szCs w:val="32"/>
          <w:lang w:val="en-US" w:eastAsia="zh-CN"/>
        </w:rPr>
      </w:pPr>
      <w:r>
        <w:rPr>
          <w:rFonts w:hint="default" w:ascii="仿宋_GB2312" w:hAnsi="仿宋_GB2312" w:eastAsia="仿宋_GB2312" w:cs="Calibri"/>
          <w:color w:val="auto"/>
          <w:kern w:val="0"/>
          <w:sz w:val="32"/>
          <w:szCs w:val="32"/>
          <w:lang w:val="en-US" w:eastAsia="zh-CN"/>
        </w:rPr>
        <w:t>重视基层能力建设，加强基层专业人才队伍培育，提升基层住房治理的专业化、规范化水平。完善住房领域监管体系，强化数字化、智能化监管手段应用，建立健全常态化、精细化监管机制，推动住房领域治理体系和治理能力现代化，实现住房工作长效可持续发展。</w:t>
      </w:r>
    </w:p>
    <w:p w14:paraId="7B7D9AA3">
      <w:pPr>
        <w:pStyle w:val="16"/>
        <w:pageBreakBefore w:val="0"/>
        <w:kinsoku/>
        <w:wordWrap/>
        <w:overflowPunct/>
        <w:topLinePunct w:val="0"/>
        <w:autoSpaceDE/>
        <w:autoSpaceDN/>
        <w:bidi w:val="0"/>
        <w:adjustRightInd/>
        <w:spacing w:line="600" w:lineRule="exact"/>
        <w:ind w:left="1700" w:hanging="1280" w:hangingChars="400"/>
        <w:textAlignment w:val="auto"/>
        <w:outlineLvl w:val="9"/>
        <w:rPr>
          <w:rFonts w:hint="eastAsia" w:ascii="仿宋_GB2312" w:hAnsi="仿宋_GB2312" w:eastAsia="仿宋_GB2312" w:cs="仿宋_GB2312"/>
          <w:color w:val="auto"/>
          <w:sz w:val="32"/>
          <w:highlight w:val="none"/>
        </w:rPr>
      </w:pPr>
      <w:bookmarkStart w:id="46" w:name="_Toc28603"/>
    </w:p>
    <w:p w14:paraId="6DCE8200">
      <w:pPr>
        <w:pStyle w:val="16"/>
        <w:pageBreakBefore w:val="0"/>
        <w:kinsoku/>
        <w:wordWrap/>
        <w:overflowPunct/>
        <w:topLinePunct w:val="0"/>
        <w:autoSpaceDE/>
        <w:autoSpaceDN/>
        <w:bidi w:val="0"/>
        <w:adjustRightInd/>
        <w:spacing w:line="600" w:lineRule="exact"/>
        <w:ind w:left="1700" w:hanging="1280" w:hangingChars="400"/>
        <w:textAlignment w:val="auto"/>
        <w:outlineLvl w:val="9"/>
        <w:rPr>
          <w:rFonts w:hint="eastAsia" w:ascii="仿宋_GB2312" w:hAnsi="仿宋_GB2312" w:eastAsia="仿宋_GB2312" w:cs="仿宋_GB2312"/>
          <w:color w:val="auto"/>
          <w:sz w:val="32"/>
          <w:highlight w:val="none"/>
        </w:rPr>
      </w:pPr>
      <w:bookmarkStart w:id="47" w:name="_Toc13178"/>
      <w:bookmarkStart w:id="48" w:name="_Toc6538"/>
    </w:p>
    <w:p w14:paraId="327745E5">
      <w:pPr>
        <w:pStyle w:val="16"/>
        <w:pageBreakBefore w:val="0"/>
        <w:kinsoku/>
        <w:wordWrap/>
        <w:overflowPunct/>
        <w:topLinePunct w:val="0"/>
        <w:autoSpaceDE/>
        <w:autoSpaceDN/>
        <w:bidi w:val="0"/>
        <w:adjustRightInd/>
        <w:spacing w:line="600" w:lineRule="exact"/>
        <w:ind w:left="1700" w:hanging="1280" w:hangingChars="400"/>
        <w:textAlignment w:val="auto"/>
        <w:outlineLvl w:val="9"/>
        <w:rPr>
          <w:rFonts w:hint="eastAsia" w:ascii="仿宋_GB2312" w:hAnsi="仿宋_GB2312" w:eastAsia="仿宋_GB2312" w:cs="仿宋_GB2312"/>
          <w:color w:val="auto"/>
          <w:sz w:val="32"/>
          <w:highlight w:val="none"/>
        </w:rPr>
      </w:pPr>
    </w:p>
    <w:p w14:paraId="5A64833E">
      <w:pPr>
        <w:pStyle w:val="16"/>
        <w:pageBreakBefore w:val="0"/>
        <w:kinsoku/>
        <w:wordWrap/>
        <w:overflowPunct/>
        <w:topLinePunct w:val="0"/>
        <w:autoSpaceDE/>
        <w:autoSpaceDN/>
        <w:bidi w:val="0"/>
        <w:adjustRightInd/>
        <w:spacing w:line="600" w:lineRule="exact"/>
        <w:ind w:left="1700" w:hanging="1280" w:hangingChars="400"/>
        <w:textAlignment w:val="auto"/>
        <w:outlineLvl w:val="9"/>
        <w:rPr>
          <w:rFonts w:hint="eastAsia" w:ascii="仿宋_GB2312" w:hAnsi="仿宋_GB2312" w:eastAsia="仿宋_GB2312" w:cs="仿宋_GB2312"/>
          <w:color w:val="auto"/>
          <w:sz w:val="32"/>
          <w:highlight w:val="none"/>
        </w:rPr>
      </w:pPr>
    </w:p>
    <w:p w14:paraId="45DFA5B2">
      <w:pPr>
        <w:pStyle w:val="16"/>
        <w:pageBreakBefore w:val="0"/>
        <w:kinsoku/>
        <w:wordWrap/>
        <w:overflowPunct/>
        <w:topLinePunct w:val="0"/>
        <w:autoSpaceDE/>
        <w:autoSpaceDN/>
        <w:bidi w:val="0"/>
        <w:adjustRightInd/>
        <w:spacing w:line="600" w:lineRule="exact"/>
        <w:ind w:left="1700" w:hanging="1280" w:hangingChars="4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highlight w:val="none"/>
        </w:rPr>
        <w:t>附件</w:t>
      </w:r>
      <w:r>
        <w:rPr>
          <w:rFonts w:hint="eastAsia" w:ascii="仿宋_GB2312" w:hAnsi="仿宋_GB2312" w:eastAsia="仿宋_GB2312" w:cs="仿宋_GB2312"/>
          <w:color w:val="auto"/>
          <w:sz w:val="32"/>
          <w:highlight w:val="none"/>
          <w:lang w:eastAsia="zh-CN"/>
        </w:rPr>
        <w:t>：</w:t>
      </w:r>
      <w:bookmarkEnd w:id="46"/>
      <w:bookmarkEnd w:id="47"/>
      <w:bookmarkEnd w:id="48"/>
      <w:r>
        <w:rPr>
          <w:rFonts w:hint="default" w:ascii="Times New Roman" w:hAnsi="Times New Roman" w:eastAsia="仿宋_GB2312" w:cs="Times New Roman"/>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sz w:val="32"/>
          <w:szCs w:val="32"/>
          <w:lang w:val="en-US" w:eastAsia="zh-CN" w:bidi="ar"/>
        </w:rPr>
        <w:t>2024年保障性安居工程专项资金</w:t>
      </w:r>
      <w:r>
        <w:rPr>
          <w:rFonts w:hint="eastAsia" w:ascii="Times New Roman" w:hAnsi="Times New Roman" w:eastAsia="仿宋_GB2312" w:cs="Times New Roman"/>
          <w:color w:val="auto"/>
          <w:kern w:val="0"/>
          <w:sz w:val="32"/>
          <w:szCs w:val="32"/>
          <w:highlight w:val="none"/>
          <w:lang w:eastAsia="zh-CN"/>
        </w:rPr>
        <w:t>收支</w:t>
      </w:r>
      <w:r>
        <w:rPr>
          <w:rFonts w:hint="eastAsia" w:ascii="仿宋_GB2312" w:hAnsi="仿宋_GB2312" w:eastAsia="仿宋_GB2312" w:cs="仿宋_GB2312"/>
          <w:color w:val="auto"/>
          <w:kern w:val="0"/>
          <w:sz w:val="32"/>
          <w:szCs w:val="32"/>
          <w:highlight w:val="none"/>
        </w:rPr>
        <w:t>情况汇总表</w:t>
      </w:r>
    </w:p>
    <w:p w14:paraId="0D868A27">
      <w:pPr>
        <w:pStyle w:val="16"/>
        <w:pageBreakBefore w:val="0"/>
        <w:kinsoku/>
        <w:wordWrap/>
        <w:overflowPunct/>
        <w:topLinePunct w:val="0"/>
        <w:autoSpaceDE/>
        <w:autoSpaceDN/>
        <w:bidi w:val="0"/>
        <w:adjustRightInd/>
        <w:spacing w:line="600" w:lineRule="exact"/>
        <w:ind w:left="1727" w:leftChars="670" w:hanging="320" w:hangingChars="100"/>
        <w:textAlignment w:val="auto"/>
        <w:rPr>
          <w:rFonts w:hint="eastAsia" w:ascii="仿宋_GB2312" w:hAnsi="仿宋_GB2312" w:eastAsia="仿宋_GB2312" w:cs="仿宋_GB2312"/>
          <w:color w:val="auto"/>
          <w:sz w:val="32"/>
          <w:highlight w:val="none"/>
        </w:rPr>
      </w:pPr>
      <w:r>
        <w:rPr>
          <w:rFonts w:hint="default" w:ascii="Times New Roman" w:hAnsi="Times New Roman" w:eastAsia="仿宋_GB2312" w:cs="Times New Roman"/>
          <w:color w:val="auto"/>
          <w:sz w:val="32"/>
          <w:highlight w:val="none"/>
          <w:lang w:val="en-US" w:eastAsia="zh-CN"/>
        </w:rPr>
        <w:t>2</w:t>
      </w:r>
      <w:r>
        <w:rPr>
          <w:rFonts w:hint="eastAsia" w:ascii="仿宋_GB2312" w:hAnsi="仿宋_GB2312" w:eastAsia="仿宋_GB2312" w:cs="仿宋_GB2312"/>
          <w:color w:val="auto"/>
          <w:sz w:val="32"/>
          <w:highlight w:val="none"/>
        </w:rPr>
        <w:t>.</w:t>
      </w:r>
      <w:r>
        <w:rPr>
          <w:rFonts w:hint="default" w:ascii="Times New Roman" w:hAnsi="Times New Roman" w:eastAsia="仿宋_GB2312" w:cs="Times New Roman"/>
          <w:color w:val="auto"/>
          <w:sz w:val="32"/>
          <w:szCs w:val="32"/>
          <w:lang w:val="en-US" w:eastAsia="zh-CN" w:bidi="ar"/>
        </w:rPr>
        <w:t>2024年保障性安居工程专项资金</w:t>
      </w:r>
      <w:r>
        <w:rPr>
          <w:rFonts w:hint="eastAsia" w:ascii="仿宋_GB2312" w:hAnsi="仿宋_GB2312" w:eastAsia="仿宋_GB2312" w:cs="仿宋_GB2312"/>
          <w:color w:val="auto"/>
          <w:sz w:val="32"/>
          <w:highlight w:val="none"/>
        </w:rPr>
        <w:t>计划项目完成情况汇总表</w:t>
      </w:r>
    </w:p>
    <w:p w14:paraId="77B692FE">
      <w:pPr>
        <w:pStyle w:val="9"/>
        <w:pageBreakBefore w:val="0"/>
        <w:kinsoku/>
        <w:wordWrap/>
        <w:overflowPunct/>
        <w:topLinePunct w:val="0"/>
        <w:autoSpaceDE/>
        <w:autoSpaceDN/>
        <w:bidi w:val="0"/>
        <w:adjustRightInd/>
        <w:spacing w:line="600" w:lineRule="exact"/>
        <w:ind w:left="1727" w:leftChars="670" w:hanging="320" w:hangingChars="100"/>
        <w:textAlignment w:val="auto"/>
        <w:rPr>
          <w:rFonts w:hint="eastAsia" w:ascii="仿宋_GB2312" w:hAnsi="仿宋_GB2312" w:eastAsia="仿宋_GB2312" w:cs="仿宋_GB2312"/>
          <w:color w:val="auto"/>
          <w:kern w:val="0"/>
          <w:sz w:val="32"/>
          <w:szCs w:val="32"/>
          <w:highlight w:val="none"/>
        </w:rPr>
        <w:sectPr>
          <w:footerReference r:id="rId5" w:type="default"/>
          <w:pgSz w:w="11906" w:h="16838"/>
          <w:pgMar w:top="2041" w:right="1417" w:bottom="1417"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default" w:ascii="Times New Roman" w:hAnsi="Times New Roman" w:eastAsia="仿宋_GB2312" w:cs="Times New Roman"/>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sz w:val="32"/>
          <w:szCs w:val="32"/>
          <w:lang w:val="en-US" w:eastAsia="zh-CN" w:bidi="ar"/>
        </w:rPr>
        <w:t>2024年保障性安居工程专项资金</w:t>
      </w:r>
      <w:r>
        <w:rPr>
          <w:rFonts w:hint="eastAsia" w:ascii="仿宋_GB2312" w:hAnsi="仿宋_GB2312" w:eastAsia="仿宋_GB2312" w:cs="仿宋_GB2312"/>
          <w:color w:val="auto"/>
          <w:kern w:val="0"/>
          <w:sz w:val="32"/>
          <w:szCs w:val="32"/>
          <w:highlight w:val="none"/>
        </w:rPr>
        <w:t>绩效自评佐证材料清单</w:t>
      </w:r>
    </w:p>
    <w:p w14:paraId="7E6DEFE1">
      <w:pPr>
        <w:pStyle w:val="16"/>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eastAsia="仿宋_GB2312" w:cs="Times New Roman"/>
          <w:color w:val="auto"/>
          <w:kern w:val="0"/>
          <w:sz w:val="28"/>
          <w:szCs w:val="28"/>
          <w:highlight w:val="none"/>
          <w:lang w:val="en-US" w:eastAsia="zh-CN"/>
        </w:rPr>
      </w:pPr>
      <w:bookmarkStart w:id="49" w:name="_Toc27627"/>
      <w:r>
        <w:rPr>
          <w:rFonts w:hint="eastAsia" w:ascii="仿宋_GB2312" w:hAnsi="仿宋_GB2312" w:eastAsia="仿宋_GB2312" w:cs="仿宋_GB2312"/>
          <w:color w:val="auto"/>
          <w:sz w:val="28"/>
          <w:szCs w:val="28"/>
          <w:highlight w:val="none"/>
        </w:rPr>
        <w:t>附件</w:t>
      </w:r>
      <w:r>
        <w:rPr>
          <w:rFonts w:hint="default" w:ascii="Times New Roman" w:hAnsi="Times New Roman" w:eastAsia="仿宋_GB2312" w:cs="Times New Roman"/>
          <w:color w:val="auto"/>
          <w:kern w:val="0"/>
          <w:sz w:val="28"/>
          <w:szCs w:val="28"/>
          <w:highlight w:val="none"/>
          <w:lang w:val="en-US" w:eastAsia="zh-CN"/>
        </w:rPr>
        <w:t>1</w:t>
      </w:r>
      <w:bookmarkEnd w:id="49"/>
    </w:p>
    <w:p w14:paraId="75ADA07B">
      <w:pPr>
        <w:pStyle w:val="16"/>
        <w:keepNext w:val="0"/>
        <w:keepLines w:val="0"/>
        <w:pageBreakBefore w:val="0"/>
        <w:widowControl w:val="0"/>
        <w:kinsoku/>
        <w:wordWrap/>
        <w:overflowPunct/>
        <w:topLinePunct w:val="0"/>
        <w:autoSpaceDE/>
        <w:autoSpaceDN/>
        <w:bidi w:val="0"/>
        <w:adjustRightInd/>
        <w:snapToGrid/>
        <w:spacing w:line="240" w:lineRule="auto"/>
        <w:ind w:left="1700" w:hanging="1120" w:hangingChars="400"/>
        <w:jc w:val="center"/>
        <w:textAlignment w:val="auto"/>
        <w:outlineLvl w:val="9"/>
        <w:rPr>
          <w:rFonts w:hint="eastAsia" w:ascii="黑体" w:hAnsi="黑体" w:eastAsia="黑体" w:cs="黑体"/>
          <w:color w:val="auto"/>
          <w:kern w:val="0"/>
          <w:sz w:val="28"/>
          <w:szCs w:val="28"/>
          <w:highlight w:val="none"/>
        </w:rPr>
      </w:pPr>
      <w:r>
        <w:rPr>
          <w:rFonts w:hint="default" w:ascii="Times New Roman" w:hAnsi="Times New Roman" w:eastAsia="黑体" w:cs="Times New Roman"/>
          <w:color w:val="auto"/>
          <w:kern w:val="0"/>
          <w:sz w:val="28"/>
          <w:szCs w:val="28"/>
          <w:highlight w:val="none"/>
          <w:lang w:val="en-US" w:eastAsia="zh-CN"/>
        </w:rPr>
        <w:t>2024</w:t>
      </w:r>
      <w:r>
        <w:rPr>
          <w:rFonts w:hint="eastAsia" w:ascii="黑体" w:hAnsi="黑体" w:eastAsia="黑体" w:cs="黑体"/>
          <w:color w:val="auto"/>
          <w:kern w:val="0"/>
          <w:sz w:val="28"/>
          <w:szCs w:val="28"/>
          <w:highlight w:val="none"/>
          <w:lang w:val="en-US" w:eastAsia="zh-CN"/>
        </w:rPr>
        <w:t>年保障性安居工程专项资金</w:t>
      </w:r>
      <w:r>
        <w:rPr>
          <w:rFonts w:hint="eastAsia" w:ascii="黑体" w:hAnsi="黑体" w:eastAsia="黑体" w:cs="黑体"/>
          <w:color w:val="auto"/>
          <w:kern w:val="0"/>
          <w:sz w:val="28"/>
          <w:szCs w:val="28"/>
          <w:highlight w:val="none"/>
          <w:lang w:eastAsia="zh-CN"/>
        </w:rPr>
        <w:t>收支</w:t>
      </w:r>
      <w:r>
        <w:rPr>
          <w:rFonts w:hint="eastAsia" w:ascii="黑体" w:hAnsi="黑体" w:eastAsia="黑体" w:cs="黑体"/>
          <w:color w:val="auto"/>
          <w:kern w:val="0"/>
          <w:sz w:val="28"/>
          <w:szCs w:val="28"/>
          <w:highlight w:val="none"/>
        </w:rPr>
        <w:t>情况汇总表</w:t>
      </w:r>
    </w:p>
    <w:p w14:paraId="1EF863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单位：万元</w:t>
      </w:r>
    </w:p>
    <w:tbl>
      <w:tblPr>
        <w:tblStyle w:val="21"/>
        <w:tblW w:w="146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931"/>
        <w:gridCol w:w="1124"/>
        <w:gridCol w:w="1097"/>
        <w:gridCol w:w="1138"/>
        <w:gridCol w:w="863"/>
        <w:gridCol w:w="922"/>
        <w:gridCol w:w="909"/>
        <w:gridCol w:w="1124"/>
        <w:gridCol w:w="1149"/>
        <w:gridCol w:w="1206"/>
        <w:gridCol w:w="1324"/>
        <w:gridCol w:w="1254"/>
        <w:gridCol w:w="1216"/>
      </w:tblGrid>
      <w:tr w14:paraId="6B3B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blHeader/>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FE88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color w:val="auto"/>
                <w:kern w:val="0"/>
                <w:sz w:val="21"/>
                <w:szCs w:val="21"/>
                <w:lang w:bidi="ar"/>
              </w:rPr>
              <w:t>行次</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01E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城市名称</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1B90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保障性安居工程</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46FF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城市危旧房摸底调查</w:t>
            </w:r>
          </w:p>
        </w:tc>
        <w:tc>
          <w:tcPr>
            <w:tcW w:w="3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6951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default" w:ascii="仿宋_GB2312" w:hAnsi="仿宋_GB2312" w:eastAsia="仿宋_GB2312" w:cs="仿宋_GB2312"/>
                <w:b/>
                <w:bCs/>
                <w:color w:val="auto"/>
                <w:kern w:val="0"/>
                <w:sz w:val="24"/>
                <w:szCs w:val="24"/>
                <w:lang w:bidi="ar"/>
              </w:rPr>
              <w:t>自建房</w:t>
            </w:r>
            <w:r>
              <w:rPr>
                <w:rFonts w:hint="eastAsia" w:ascii="仿宋_GB2312" w:hAnsi="仿宋_GB2312" w:eastAsia="仿宋_GB2312" w:cs="仿宋_GB2312"/>
                <w:b/>
                <w:bCs/>
                <w:color w:val="auto"/>
                <w:kern w:val="0"/>
                <w:sz w:val="24"/>
                <w:szCs w:val="24"/>
                <w:lang w:val="en-US" w:eastAsia="zh-CN" w:bidi="ar"/>
              </w:rPr>
              <w:t>安全专项</w:t>
            </w:r>
            <w:r>
              <w:rPr>
                <w:rFonts w:hint="default" w:ascii="仿宋_GB2312" w:hAnsi="仿宋_GB2312" w:eastAsia="仿宋_GB2312" w:cs="仿宋_GB2312"/>
                <w:b/>
                <w:bCs/>
                <w:color w:val="auto"/>
                <w:kern w:val="0"/>
                <w:sz w:val="24"/>
                <w:szCs w:val="24"/>
                <w:lang w:bidi="ar"/>
              </w:rPr>
              <w:t>整治</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7107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合计</w:t>
            </w:r>
          </w:p>
        </w:tc>
      </w:tr>
      <w:tr w14:paraId="133D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blHeader/>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3FE2">
            <w:pPr>
              <w:jc w:val="center"/>
              <w:rPr>
                <w:rFonts w:hint="eastAsia" w:ascii="仿宋_GB2312" w:hAnsi="仿宋_GB2312" w:eastAsia="仿宋_GB2312" w:cs="仿宋_GB2312"/>
                <w:b/>
                <w:bCs/>
                <w:i w:val="0"/>
                <w:iCs w:val="0"/>
                <w:color w:val="auto"/>
                <w:sz w:val="21"/>
                <w:szCs w:val="21"/>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9E15">
            <w:pPr>
              <w:jc w:val="center"/>
              <w:rPr>
                <w:rFonts w:hint="eastAsia" w:ascii="仿宋_GB2312" w:hAnsi="仿宋_GB2312" w:eastAsia="仿宋_GB2312" w:cs="仿宋_GB2312"/>
                <w:b/>
                <w:bCs/>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B4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预算指标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92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到位资金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AB9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实际支出</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141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预算指标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9DA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到位资金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B1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实际支出</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5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预算指标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2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到位资金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65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实际支出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63A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预算指标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DE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到位资金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30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实际支出</w:t>
            </w:r>
          </w:p>
        </w:tc>
      </w:tr>
      <w:tr w14:paraId="45E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blHeader/>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D3CE">
            <w:pPr>
              <w:jc w:val="center"/>
              <w:rPr>
                <w:rFonts w:hint="eastAsia" w:ascii="仿宋_GB2312" w:hAnsi="仿宋_GB2312" w:eastAsia="仿宋_GB2312" w:cs="仿宋_GB2312"/>
                <w:b/>
                <w:bCs/>
                <w:i w:val="0"/>
                <w:iCs w:val="0"/>
                <w:color w:val="auto"/>
                <w:sz w:val="21"/>
                <w:szCs w:val="21"/>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EA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b/>
                <w:bCs/>
                <w:i w:val="0"/>
                <w:iCs w:val="0"/>
                <w:color w:val="auto"/>
                <w:sz w:val="21"/>
                <w:szCs w:val="21"/>
                <w:u w:val="none"/>
                <w:lang w:val="en-US" w:eastAsia="zh-CN"/>
              </w:rPr>
              <w:t>栏次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92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513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1A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5A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24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E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F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BE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5C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A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22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7E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color w:val="auto"/>
                <w:kern w:val="0"/>
                <w:sz w:val="21"/>
                <w:szCs w:val="21"/>
                <w:u w:val="none"/>
                <w:lang w:val="en-US" w:eastAsia="zh-CN" w:bidi="ar"/>
              </w:rPr>
              <w:t>12</w:t>
            </w:r>
          </w:p>
        </w:tc>
      </w:tr>
      <w:tr w14:paraId="7AEF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59A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合  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B6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49480.00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10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49480.00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642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42541.48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CD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853.00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60A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853.00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4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368.39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251">
            <w:pPr>
              <w:keepNext w:val="0"/>
              <w:keepLines w:val="0"/>
              <w:widowControl/>
              <w:suppressLineNumbers w:val="0"/>
              <w:jc w:val="center"/>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2,062.00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986">
            <w:pPr>
              <w:keepNext w:val="0"/>
              <w:keepLines w:val="0"/>
              <w:widowControl/>
              <w:suppressLineNumbers w:val="0"/>
              <w:jc w:val="center"/>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2,062.00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8FAD">
            <w:pPr>
              <w:keepNext w:val="0"/>
              <w:keepLines w:val="0"/>
              <w:widowControl/>
              <w:suppressLineNumbers w:val="0"/>
              <w:jc w:val="center"/>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1,071.14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D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53,285.00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9D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53,074.93 </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A3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44,870.64 </w:t>
            </w:r>
          </w:p>
        </w:tc>
      </w:tr>
      <w:tr w14:paraId="1B0A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F10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845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广州市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26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23375.95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CE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23375.95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8E2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23375.95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A4B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E5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885B">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0CC">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855">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7A19">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7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23,375.95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F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3,375.95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C9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23,375.95 </w:t>
            </w:r>
          </w:p>
        </w:tc>
      </w:tr>
      <w:tr w14:paraId="3070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E2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00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珠海市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C6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3381.24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504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3381.24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55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3370.24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B3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624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DF7A">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A7D">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3B2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20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1C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3,381.24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F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3,381.24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1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3,370.24 </w:t>
            </w:r>
          </w:p>
        </w:tc>
      </w:tr>
      <w:tr w14:paraId="2B70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5C1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3C1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汕头市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24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837.45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DA4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837.45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CD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142.06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8E1">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106.19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78C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106.19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D2C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5.85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4960">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22.53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EBB5">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22.53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9CC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15.00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3F3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966.17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0F1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966.17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62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162.91 </w:t>
            </w:r>
          </w:p>
        </w:tc>
      </w:tr>
      <w:tr w14:paraId="17CE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74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B6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佛山市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DDE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6747.30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0D1">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6747.30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CC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5152.75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28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3A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0853">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A7F1">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AA4F">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383">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37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6,747.30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76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6,747.30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FC5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5,152.75 </w:t>
            </w:r>
          </w:p>
        </w:tc>
      </w:tr>
      <w:tr w14:paraId="379B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E2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ADF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韶关市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7D5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509.75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5CE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509.75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1E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56.00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735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130.51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3C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130.51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911">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80.32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C33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112.87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81FF">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112.87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E4EF">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95.81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36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753.13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4A0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753.13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9A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232.13 </w:t>
            </w:r>
          </w:p>
        </w:tc>
      </w:tr>
      <w:tr w14:paraId="53F0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43C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740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河源市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98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345.58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A77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345.58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D2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165.55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73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55.73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9B9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55.73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F1F">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E549">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157.93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108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157.93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E782">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81.56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6C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559.24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47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499.40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E7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247.11 </w:t>
            </w:r>
          </w:p>
        </w:tc>
      </w:tr>
      <w:tr w14:paraId="4877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23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EC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梅州市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CA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357.46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D84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357.46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2DE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150.21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17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45.58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D03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45.58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FF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41.62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10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93.74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29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93.74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E4B">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60.16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D33E">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496.78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AB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496.78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8AE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251.99 </w:t>
            </w:r>
          </w:p>
        </w:tc>
      </w:tr>
      <w:tr w14:paraId="68BF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642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3EF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惠州市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9CF1">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2237.17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2D4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2237.17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547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1487.08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97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29.76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9D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29.76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C6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29.76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B236">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590.44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55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590.44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FBC">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155.50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F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2,857.37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C0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2,857.37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F6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1,672.34 </w:t>
            </w:r>
          </w:p>
        </w:tc>
      </w:tr>
      <w:tr w14:paraId="6FC3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7E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2E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汕尾市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62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171.35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7F0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171.35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77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166.20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6C0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26.69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BA8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26.69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917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0.60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9234">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99.49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F6F6">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99.49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70F">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91.02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FA5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297.53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81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297.53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47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257.83 </w:t>
            </w:r>
          </w:p>
        </w:tc>
      </w:tr>
      <w:tr w14:paraId="1FE5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3D4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451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东莞市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12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4809.71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CE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4809.71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946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4712.66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E9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0C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E1E5">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9B8">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300">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0E7D">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6BB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4,809.71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DE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4,809.71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1E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4,712.66 </w:t>
            </w:r>
          </w:p>
        </w:tc>
      </w:tr>
      <w:tr w14:paraId="2DA0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036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4F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中山市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00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838.14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87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838.14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62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838.14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AE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BEA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4ED8">
            <w:pPr>
              <w:jc w:val="right"/>
              <w:rPr>
                <w:rFonts w:hint="default" w:ascii="Times New Roman" w:hAnsi="Times New Roman" w:eastAsia="仿宋_GB2312" w:cs="Times New Roman"/>
                <w:i w:val="0"/>
                <w:iCs w:val="0"/>
                <w:color w:val="auto"/>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CF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1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5D93">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D4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838.14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CE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838.14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F3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838.14 </w:t>
            </w:r>
          </w:p>
        </w:tc>
      </w:tr>
      <w:tr w14:paraId="7821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10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26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江门市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1B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1291.76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2E60">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1291.76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002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695.66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D10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134.94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CB0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134.94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85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64.85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2E5">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140.37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BD62">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140.37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B367">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118.90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E2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1,567.07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86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1,567.07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8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879.41 </w:t>
            </w:r>
          </w:p>
        </w:tc>
      </w:tr>
      <w:tr w14:paraId="3EAB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3CF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275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阳江市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DC8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372.34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20D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372.34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FA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372.34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C60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44.16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9D4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44.16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F5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9.16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5BF">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53.96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A13">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53.96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48F7">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49.36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E4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470.46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DA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470.46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62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430.86 </w:t>
            </w:r>
          </w:p>
        </w:tc>
      </w:tr>
      <w:tr w14:paraId="5D39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B3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3D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湛江市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C7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1153.50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62C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1153.50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55BF">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254.67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AF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113.80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55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113.80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BD6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66.73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940">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124.39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7AFD">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124.39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0756">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92.60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7AA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1,391.69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4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1,391.69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1C5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414.00 </w:t>
            </w:r>
          </w:p>
        </w:tc>
      </w:tr>
      <w:tr w14:paraId="567A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1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510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茂名市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30DA">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466.62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1D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466.62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6F6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330.00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9E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22.55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C3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22.55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7F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13.80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A5F2">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129.57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12E8">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129.57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0DB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46.15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59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618.74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39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558.51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15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389.95 </w:t>
            </w:r>
          </w:p>
        </w:tc>
      </w:tr>
      <w:tr w14:paraId="0ACD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CC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33F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肇庆市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12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747.95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6E60">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747.95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8E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265.65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B66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23.22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446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23.22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B3A0">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23.22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C887">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100.98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1E4">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100.98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9E5">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79.71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2A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872.15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F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872.15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467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368.57 </w:t>
            </w:r>
          </w:p>
        </w:tc>
      </w:tr>
      <w:tr w14:paraId="2C49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2C8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E19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清远市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89E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575.94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ECD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575.94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581">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493.17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97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57.72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77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57.72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D5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17.27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22AD">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302.92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3CC">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302.92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1FB">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103.31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707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936.58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BC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936.58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EA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613.75 </w:t>
            </w:r>
          </w:p>
        </w:tc>
      </w:tr>
      <w:tr w14:paraId="7EF3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78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E6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潮州市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D20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403.58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713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403.58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098">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117.71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52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19.63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F37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19.63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1E2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7.77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FEB">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734">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90.00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6D56">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52.29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32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513.21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F0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423.21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A4E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177.76 </w:t>
            </w:r>
          </w:p>
        </w:tc>
      </w:tr>
      <w:tr w14:paraId="6E15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F18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A35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揭阳市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4A6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460.38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E8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460.38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A0B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229.32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89C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37.04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377">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37.04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126">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2.08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6986">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13.35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80D7">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13.35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C17">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0.32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A6B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510.77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57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510.77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6C3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231.73 </w:t>
            </w:r>
          </w:p>
        </w:tc>
      </w:tr>
      <w:tr w14:paraId="43B7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0E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41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云浮市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E885">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396.83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54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396.83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217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166.12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063">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5.48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EDE">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5.48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CBD">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5.36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8E2">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29.46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59E">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29.46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5D5">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29.46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4D7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431.77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4CE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431.77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957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200.94 </w:t>
            </w:r>
          </w:p>
        </w:tc>
      </w:tr>
      <w:tr w14:paraId="0C24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FD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2E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省本级</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FCB">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0"/>
                <w:szCs w:val="20"/>
                <w:u w:val="none"/>
                <w:lang w:val="en-US" w:eastAsia="zh-CN" w:bidi="ar"/>
              </w:rPr>
              <w:t xml:space="preserve"> -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124">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0"/>
                <w:szCs w:val="20"/>
                <w:u w:val="none"/>
                <w:lang w:val="en-US" w:eastAsia="zh-CN" w:bidi="ar"/>
              </w:rPr>
              <w:t xml:space="preserve"> -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19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20C9">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0B52">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4DC">
            <w:pPr>
              <w:keepNext w:val="0"/>
              <w:keepLines w:val="0"/>
              <w:widowControl/>
              <w:suppressLineNumbers w:val="0"/>
              <w:jc w:val="righ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88E8">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3EA">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F3E3">
            <w:pPr>
              <w:keepNext w:val="0"/>
              <w:keepLines w:val="0"/>
              <w:widowControl/>
              <w:suppressLineNumbers w:val="0"/>
              <w:jc w:val="right"/>
              <w:textAlignment w:val="center"/>
              <w:rPr>
                <w:rFonts w:hint="default" w:ascii="Times New Roman" w:hAnsi="Times New Roman" w:eastAsia="楷体_GB2312" w:cs="Times New Roman"/>
                <w:i w:val="0"/>
                <w:iCs w:val="0"/>
                <w:color w:val="auto"/>
                <w:sz w:val="21"/>
                <w:szCs w:val="21"/>
                <w:u w:val="none"/>
              </w:rPr>
            </w:pPr>
            <w:r>
              <w:rPr>
                <w:rFonts w:hint="default" w:ascii="Times New Roman" w:hAnsi="Times New Roman" w:eastAsia="楷体_GB2312" w:cs="Times New Roman"/>
                <w:i w:val="0"/>
                <w:iCs w:val="0"/>
                <w:color w:val="auto"/>
                <w:kern w:val="0"/>
                <w:sz w:val="21"/>
                <w:szCs w:val="21"/>
                <w:u w:val="none"/>
                <w:lang w:val="en-US" w:eastAsia="zh-CN" w:bidi="ar"/>
              </w:rPr>
              <w:t xml:space="preserve"> -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A8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890.00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D17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890.00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99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889.64 </w:t>
            </w:r>
          </w:p>
        </w:tc>
      </w:tr>
    </w:tbl>
    <w:p w14:paraId="36313AD5">
      <w:pPr>
        <w:pStyle w:val="9"/>
        <w:spacing w:beforeLines="-2147483648" w:line="600" w:lineRule="exact"/>
        <w:ind w:left="1607" w:leftChars="670" w:hanging="200" w:hangingChars="100"/>
        <w:rPr>
          <w:rFonts w:hint="eastAsia" w:ascii="仿宋_GB2312" w:hAnsi="仿宋_GB2312" w:eastAsia="仿宋_GB2312" w:cs="仿宋_GB2312"/>
          <w:color w:val="auto"/>
          <w:kern w:val="0"/>
          <w:sz w:val="20"/>
          <w:szCs w:val="20"/>
          <w:highlight w:val="none"/>
        </w:rPr>
        <w:sectPr>
          <w:pgSz w:w="16838" w:h="11906" w:orient="landscape"/>
          <w:pgMar w:top="1134" w:right="1134" w:bottom="113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CCD246F">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0"/>
        <w:rPr>
          <w:rFonts w:hint="default" w:ascii="Times New Roman" w:hAnsi="Times New Roman" w:eastAsia="仿宋_GB2312" w:cs="Times New Roman"/>
          <w:color w:val="auto"/>
          <w:sz w:val="28"/>
          <w:szCs w:val="28"/>
          <w:highlight w:val="none"/>
          <w:lang w:val="en-US" w:eastAsia="zh-CN"/>
        </w:rPr>
      </w:pPr>
      <w:bookmarkStart w:id="50" w:name="_Toc23075"/>
      <w:r>
        <w:rPr>
          <w:rFonts w:hint="eastAsia" w:ascii="Times New Roman" w:hAnsi="Times New Roman" w:eastAsia="仿宋_GB2312" w:cs="Times New Roman"/>
          <w:color w:val="auto"/>
          <w:sz w:val="28"/>
          <w:szCs w:val="28"/>
          <w:highlight w:val="none"/>
          <w:lang w:val="en-US" w:eastAsia="zh-CN"/>
        </w:rPr>
        <w:t>附件</w:t>
      </w:r>
      <w:r>
        <w:rPr>
          <w:rFonts w:hint="default" w:ascii="Times New Roman" w:hAnsi="Times New Roman" w:eastAsia="仿宋_GB2312" w:cs="Times New Roman"/>
          <w:color w:val="auto"/>
          <w:sz w:val="28"/>
          <w:szCs w:val="28"/>
          <w:highlight w:val="none"/>
          <w:lang w:val="en-US" w:eastAsia="zh-CN"/>
        </w:rPr>
        <w:t>2</w:t>
      </w:r>
      <w:bookmarkEnd w:id="50"/>
    </w:p>
    <w:p w14:paraId="4446622A">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28"/>
          <w:szCs w:val="28"/>
          <w:highlight w:val="none"/>
        </w:rPr>
      </w:pPr>
      <w:r>
        <w:rPr>
          <w:rFonts w:hint="default" w:ascii="Times New Roman" w:hAnsi="Times New Roman" w:eastAsia="黑体" w:cs="Times New Roman"/>
          <w:color w:val="auto"/>
          <w:sz w:val="28"/>
          <w:szCs w:val="28"/>
          <w:highlight w:val="none"/>
          <w:lang w:eastAsia="zh-CN"/>
        </w:rPr>
        <w:t>202</w:t>
      </w:r>
      <w:r>
        <w:rPr>
          <w:rFonts w:hint="default" w:ascii="Times New Roman" w:hAnsi="Times New Roman" w:eastAsia="黑体" w:cs="Times New Roman"/>
          <w:color w:val="auto"/>
          <w:sz w:val="28"/>
          <w:szCs w:val="28"/>
          <w:highlight w:val="none"/>
          <w:lang w:val="en-US" w:eastAsia="zh-CN"/>
        </w:rPr>
        <w:t>4</w:t>
      </w:r>
      <w:r>
        <w:rPr>
          <w:rFonts w:hint="eastAsia" w:ascii="黑体" w:hAnsi="黑体" w:eastAsia="黑体" w:cs="黑体"/>
          <w:color w:val="auto"/>
          <w:sz w:val="28"/>
          <w:szCs w:val="28"/>
          <w:highlight w:val="none"/>
          <w:lang w:eastAsia="zh-CN"/>
        </w:rPr>
        <w:t>年</w:t>
      </w:r>
      <w:r>
        <w:rPr>
          <w:rFonts w:hint="eastAsia" w:ascii="黑体" w:hAnsi="黑体" w:eastAsia="黑体" w:cs="黑体"/>
          <w:color w:val="auto"/>
          <w:sz w:val="28"/>
          <w:szCs w:val="28"/>
          <w:highlight w:val="none"/>
          <w:lang w:val="en-US" w:eastAsia="zh-CN"/>
        </w:rPr>
        <w:t>保障性安居工程专项资金</w:t>
      </w:r>
      <w:r>
        <w:rPr>
          <w:rFonts w:hint="eastAsia" w:ascii="黑体" w:hAnsi="黑体" w:eastAsia="黑体" w:cs="黑体"/>
          <w:color w:val="auto"/>
          <w:sz w:val="28"/>
          <w:szCs w:val="28"/>
          <w:highlight w:val="none"/>
        </w:rPr>
        <w:t>计划项目完成情况汇总表</w:t>
      </w:r>
    </w:p>
    <w:tbl>
      <w:tblPr>
        <w:tblStyle w:val="21"/>
        <w:tblW w:w="135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081"/>
        <w:gridCol w:w="1347"/>
        <w:gridCol w:w="1349"/>
        <w:gridCol w:w="1153"/>
        <w:gridCol w:w="1228"/>
        <w:gridCol w:w="1532"/>
        <w:gridCol w:w="1606"/>
        <w:gridCol w:w="1994"/>
        <w:gridCol w:w="1680"/>
      </w:tblGrid>
      <w:tr w14:paraId="716D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Head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137E">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行次</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E6A94">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城市名称</w:t>
            </w:r>
          </w:p>
        </w:tc>
        <w:tc>
          <w:tcPr>
            <w:tcW w:w="2696" w:type="dxa"/>
            <w:gridSpan w:val="2"/>
            <w:tcBorders>
              <w:top w:val="single" w:color="000000" w:sz="4" w:space="0"/>
              <w:left w:val="single" w:color="000000" w:sz="4" w:space="0"/>
              <w:bottom w:val="single" w:color="000000" w:sz="4" w:space="0"/>
              <w:right w:val="nil"/>
            </w:tcBorders>
            <w:shd w:val="clear" w:color="auto" w:fill="auto"/>
            <w:vAlign w:val="center"/>
          </w:tcPr>
          <w:p w14:paraId="45EAC083">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建设筹集保障性租赁住房(套/间)</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004E1">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建设筹集公共租赁住房(套)</w:t>
            </w:r>
          </w:p>
        </w:tc>
        <w:tc>
          <w:tcPr>
            <w:tcW w:w="3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63DB">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发放租赁补贴(户)</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4D3FA">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城市危旧房通过危险性房屋鉴定为C、D级(栋)</w:t>
            </w:r>
          </w:p>
        </w:tc>
      </w:tr>
      <w:tr w14:paraId="7F18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blHead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F83C">
            <w:pPr>
              <w:jc w:val="center"/>
              <w:rPr>
                <w:rFonts w:hint="eastAsia" w:ascii="仿宋_GB2312" w:hAnsi="宋体" w:eastAsia="仿宋_GB2312" w:cs="仿宋_GB2312"/>
                <w:b/>
                <w:bCs/>
                <w:i w:val="0"/>
                <w:iCs w:val="0"/>
                <w:color w:val="auto"/>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9925">
            <w:pPr>
              <w:jc w:val="center"/>
              <w:rPr>
                <w:rFonts w:hint="eastAsia" w:ascii="仿宋_GB2312" w:hAnsi="宋体" w:eastAsia="仿宋_GB2312" w:cs="仿宋_GB2312"/>
                <w:b/>
                <w:bCs/>
                <w:i w:val="0"/>
                <w:iCs w:val="0"/>
                <w:color w:val="auto"/>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51E">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计划数量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38E1">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实际完成数量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231F">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计划数量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CC8">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实际完成数量</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2B9">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实施发放计划数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6EF5">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实际发放数</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F5F">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计划数量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543C">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实际完成数量</w:t>
            </w:r>
          </w:p>
        </w:tc>
      </w:tr>
      <w:tr w14:paraId="3038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0220">
            <w:pPr>
              <w:jc w:val="center"/>
              <w:rPr>
                <w:rFonts w:hint="eastAsia" w:ascii="仿宋_GB2312" w:hAnsi="宋体" w:eastAsia="仿宋_GB2312" w:cs="仿宋_GB2312"/>
                <w:b/>
                <w:bCs/>
                <w:i w:val="0"/>
                <w:iCs w:val="0"/>
                <w:color w:val="auto"/>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8CE">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栏次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FD6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BC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147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F1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CCD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F1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718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71B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r>
      <w:tr w14:paraId="1F74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3A3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44CD">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169,618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904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184,513 </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D5A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726 </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6DF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736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42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49,527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0F6">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61,006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44E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D2F3">
            <w:pPr>
              <w:keepNext w:val="0"/>
              <w:keepLines w:val="0"/>
              <w:widowControl/>
              <w:suppressLineNumbers w:val="0"/>
              <w:jc w:val="righ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 522</w:t>
            </w:r>
            <w:r>
              <w:rPr>
                <w:rFonts w:hint="default" w:ascii="Times New Roman" w:hAnsi="Times New Roman" w:eastAsia="宋体" w:cs="Times New Roman"/>
                <w:b/>
                <w:bCs/>
                <w:i w:val="0"/>
                <w:iCs w:val="0"/>
                <w:color w:val="auto"/>
                <w:kern w:val="0"/>
                <w:sz w:val="24"/>
                <w:szCs w:val="24"/>
                <w:u w:val="none"/>
                <w:lang w:val="en-US" w:eastAsia="zh-CN" w:bidi="ar"/>
              </w:rPr>
              <w:t xml:space="preserve"> </w:t>
            </w:r>
          </w:p>
        </w:tc>
      </w:tr>
      <w:tr w14:paraId="6B5A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6A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D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广州市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C92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100,000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86F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107,938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603A">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DA3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C27">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18,000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1C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21,893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648">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805F">
            <w:pPr>
              <w:jc w:val="right"/>
              <w:rPr>
                <w:rFonts w:hint="default" w:ascii="Times New Roman" w:hAnsi="Times New Roman" w:eastAsia="宋体" w:cs="Times New Roman"/>
                <w:i w:val="0"/>
                <w:iCs w:val="0"/>
                <w:color w:val="auto"/>
                <w:sz w:val="24"/>
                <w:szCs w:val="24"/>
                <w:u w:val="none"/>
              </w:rPr>
            </w:pPr>
          </w:p>
        </w:tc>
      </w:tr>
      <w:tr w14:paraId="6761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F4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6E8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珠海市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78D7">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13,000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C1B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16,508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9C53">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C64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39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1,400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1C9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2,055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3E8">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A500">
            <w:pPr>
              <w:jc w:val="right"/>
              <w:rPr>
                <w:rFonts w:hint="default" w:ascii="Times New Roman" w:hAnsi="Times New Roman" w:eastAsia="宋体" w:cs="Times New Roman"/>
                <w:i w:val="0"/>
                <w:iCs w:val="0"/>
                <w:color w:val="auto"/>
                <w:sz w:val="24"/>
                <w:szCs w:val="24"/>
                <w:u w:val="none"/>
              </w:rPr>
            </w:pPr>
          </w:p>
        </w:tc>
      </w:tr>
      <w:tr w14:paraId="26B6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9B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EDE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汕头市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13E">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9A3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1,061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ACEC">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974">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5C8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2,085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C42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2,317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ABC">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EB28">
            <w:pPr>
              <w:jc w:val="right"/>
              <w:rPr>
                <w:rFonts w:hint="default" w:ascii="Times New Roman" w:hAnsi="Times New Roman" w:eastAsia="宋体" w:cs="Times New Roman"/>
                <w:i w:val="0"/>
                <w:iCs w:val="0"/>
                <w:color w:val="auto"/>
                <w:sz w:val="24"/>
                <w:szCs w:val="24"/>
                <w:u w:val="none"/>
              </w:rPr>
            </w:pPr>
          </w:p>
        </w:tc>
      </w:tr>
      <w:tr w14:paraId="7BAE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DF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580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佛山市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AC2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BBC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15,321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4E98">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740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946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18,500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C241">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20,948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469">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F495">
            <w:pPr>
              <w:jc w:val="right"/>
              <w:rPr>
                <w:rFonts w:hint="default" w:ascii="Times New Roman" w:hAnsi="Times New Roman" w:eastAsia="宋体" w:cs="Times New Roman"/>
                <w:i w:val="0"/>
                <w:iCs w:val="0"/>
                <w:color w:val="auto"/>
                <w:sz w:val="24"/>
                <w:szCs w:val="24"/>
                <w:u w:val="none"/>
              </w:rPr>
            </w:pPr>
          </w:p>
        </w:tc>
      </w:tr>
      <w:tr w14:paraId="5B02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E2E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AB0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韶关市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33D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312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38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321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438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136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E5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136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F87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225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5BC6">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245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967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0E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143 </w:t>
            </w:r>
          </w:p>
        </w:tc>
      </w:tr>
      <w:tr w14:paraId="6E6A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D4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A01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河源市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C1E9">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FAC">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6775">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499C">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ED5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222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423B">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268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28F8">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9290">
            <w:pPr>
              <w:jc w:val="right"/>
              <w:rPr>
                <w:rFonts w:hint="default" w:ascii="Times New Roman" w:hAnsi="Times New Roman" w:eastAsia="宋体" w:cs="Times New Roman"/>
                <w:i w:val="0"/>
                <w:iCs w:val="0"/>
                <w:color w:val="auto"/>
                <w:sz w:val="24"/>
                <w:szCs w:val="24"/>
                <w:u w:val="none"/>
              </w:rPr>
            </w:pPr>
          </w:p>
        </w:tc>
      </w:tr>
      <w:tr w14:paraId="792A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916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FE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梅州市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18DA">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F68E">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373">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3EA9">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6E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304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CA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476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33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B9BB">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76 </w:t>
            </w:r>
          </w:p>
        </w:tc>
      </w:tr>
      <w:tr w14:paraId="1456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095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9AD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惠州市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2FF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6,192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F18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6,535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63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350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8ED1">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350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CC4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316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FC4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823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D69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C2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8 </w:t>
            </w:r>
          </w:p>
        </w:tc>
      </w:tr>
      <w:tr w14:paraId="6FDD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A7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A64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汕尾市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E044">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965">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19C0">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D1E6">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07E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914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8C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918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CC0">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8AB6">
            <w:pPr>
              <w:jc w:val="right"/>
              <w:rPr>
                <w:rFonts w:hint="default" w:ascii="Times New Roman" w:hAnsi="Times New Roman" w:eastAsia="宋体" w:cs="Times New Roman"/>
                <w:i w:val="0"/>
                <w:iCs w:val="0"/>
                <w:color w:val="auto"/>
                <w:sz w:val="24"/>
                <w:szCs w:val="24"/>
                <w:u w:val="none"/>
              </w:rPr>
            </w:pPr>
          </w:p>
        </w:tc>
      </w:tr>
      <w:tr w14:paraId="3A2A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8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4AA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东莞市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857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20,000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B936">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22,680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5358">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DE0">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E65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1,500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B5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2,959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B9B">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06D1">
            <w:pPr>
              <w:jc w:val="right"/>
              <w:rPr>
                <w:rFonts w:hint="default" w:ascii="Times New Roman" w:hAnsi="Times New Roman" w:eastAsia="宋体" w:cs="Times New Roman"/>
                <w:i w:val="0"/>
                <w:iCs w:val="0"/>
                <w:color w:val="auto"/>
                <w:sz w:val="24"/>
                <w:szCs w:val="24"/>
                <w:u w:val="none"/>
              </w:rPr>
            </w:pPr>
          </w:p>
        </w:tc>
      </w:tr>
      <w:tr w14:paraId="6FA9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6B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61D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中山市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8C9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3,000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D7E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3,006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8E3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BA0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FB0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260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A14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370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DA5C">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F498">
            <w:pPr>
              <w:jc w:val="right"/>
              <w:rPr>
                <w:rFonts w:hint="default" w:ascii="Times New Roman" w:hAnsi="Times New Roman" w:eastAsia="宋体" w:cs="Times New Roman"/>
                <w:i w:val="0"/>
                <w:iCs w:val="0"/>
                <w:color w:val="auto"/>
                <w:sz w:val="24"/>
                <w:szCs w:val="24"/>
                <w:u w:val="none"/>
              </w:rPr>
            </w:pPr>
          </w:p>
        </w:tc>
      </w:tr>
      <w:tr w14:paraId="7EF9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32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47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江门市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D9C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3,976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A62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4,037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A816">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3E74">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C09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330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077">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470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8D7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C8C">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151 </w:t>
            </w:r>
          </w:p>
        </w:tc>
      </w:tr>
      <w:tr w14:paraId="3E54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F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5E3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阳江市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AE1B">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E567">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8C46">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90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B48B">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90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1C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116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AA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356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3F6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7F4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55 </w:t>
            </w:r>
          </w:p>
        </w:tc>
      </w:tr>
      <w:tr w14:paraId="6BDD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11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B9D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湛江市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9FCD">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C5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1,502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C55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A78E">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160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9AE">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1,000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2A1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1,161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A76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265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33 </w:t>
            </w:r>
          </w:p>
        </w:tc>
      </w:tr>
      <w:tr w14:paraId="24D3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3F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85E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茂名市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B79F">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110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965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110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91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61C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45AB">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1,805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F62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2,222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1E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B61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 </w:t>
            </w:r>
          </w:p>
        </w:tc>
      </w:tr>
      <w:tr w14:paraId="7ABE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B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68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肇庆市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6243">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4,888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B5CE">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5,004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AB57">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285">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39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344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BAD">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446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A09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674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10 </w:t>
            </w:r>
          </w:p>
        </w:tc>
      </w:tr>
      <w:tr w14:paraId="231C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C6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914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清远市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0C7F">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4C6D">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B2E6">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EA89">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A8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1,510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E26E">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2,288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003">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ECA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16 </w:t>
            </w:r>
          </w:p>
        </w:tc>
      </w:tr>
      <w:tr w14:paraId="7ABB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2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33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潮州市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6E21">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240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143C">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A4C">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D211">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F07A">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240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E60">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261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5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3007">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27 </w:t>
            </w:r>
          </w:p>
        </w:tc>
      </w:tr>
      <w:tr w14:paraId="29D1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A4F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1DE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揭阳市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833">
            <w:pPr>
              <w:jc w:val="right"/>
              <w:rPr>
                <w:rFonts w:hint="default" w:ascii="Times New Roman" w:hAnsi="Times New Roman" w:eastAsia="宋体" w:cs="Times New Roman"/>
                <w:i w:val="0"/>
                <w:iCs w:val="0"/>
                <w:color w:val="auto"/>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4903">
            <w:pPr>
              <w:jc w:val="right"/>
              <w:rPr>
                <w:rFonts w:hint="default" w:ascii="Times New Roman" w:hAnsi="Times New Roman" w:eastAsia="宋体" w:cs="Times New Roman"/>
                <w:i w:val="0"/>
                <w:iCs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7D10">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097D">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012">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80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209">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118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3C9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48"/>
                <w:rFonts w:hAnsi="Times New Roman"/>
                <w:color w:val="auto"/>
                <w:sz w:val="24"/>
                <w:szCs w:val="24"/>
                <w:lang w:val="en-US" w:eastAsia="zh-CN" w:bidi="ar"/>
              </w:rPr>
              <w:t>按实际情况排查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04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1 </w:t>
            </w:r>
          </w:p>
        </w:tc>
      </w:tr>
      <w:tr w14:paraId="18B7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7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D8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云浮市</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0CE1">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9A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490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5CE">
            <w:pPr>
              <w:jc w:val="right"/>
              <w:rPr>
                <w:rFonts w:hint="default" w:ascii="Times New Roman" w:hAnsi="Times New Roman" w:eastAsia="宋体" w:cs="Times New Roman"/>
                <w:i w:val="0"/>
                <w:iCs w:val="0"/>
                <w:color w:val="auto"/>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D21">
            <w:pPr>
              <w:jc w:val="right"/>
              <w:rPr>
                <w:rFonts w:hint="default" w:ascii="Times New Roman" w:hAnsi="Times New Roman" w:eastAsia="宋体" w:cs="Times New Roman"/>
                <w:i w:val="0"/>
                <w:iCs w:val="0"/>
                <w:color w:val="auto"/>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9C5">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376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DDF4">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412 </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1404">
            <w:pPr>
              <w:jc w:val="center"/>
              <w:rPr>
                <w:rFonts w:hint="default" w:ascii="Times New Roman" w:hAnsi="Times New Roman" w:eastAsia="宋体" w:cs="Times New Roman"/>
                <w:i w:val="0"/>
                <w:iCs w:val="0"/>
                <w:color w:val="auto"/>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2F10">
            <w:pPr>
              <w:jc w:val="right"/>
              <w:rPr>
                <w:rFonts w:hint="default" w:ascii="Times New Roman" w:hAnsi="Times New Roman" w:eastAsia="宋体" w:cs="Times New Roman"/>
                <w:i w:val="0"/>
                <w:iCs w:val="0"/>
                <w:color w:val="auto"/>
                <w:sz w:val="24"/>
                <w:szCs w:val="24"/>
                <w:u w:val="none"/>
              </w:rPr>
            </w:pPr>
          </w:p>
        </w:tc>
      </w:tr>
    </w:tbl>
    <w:p w14:paraId="047058CD">
      <w:pPr>
        <w:pStyle w:val="9"/>
        <w:spacing w:beforeLines="-2147483648" w:line="600" w:lineRule="exact"/>
        <w:ind w:left="0" w:leftChars="0" w:firstLine="0" w:firstLineChars="0"/>
        <w:jc w:val="both"/>
        <w:rPr>
          <w:rFonts w:hint="default" w:ascii="Times New Roman" w:hAnsi="Times New Roman" w:eastAsia="仿宋_GB2312" w:cs="Times New Roman"/>
          <w:color w:val="auto"/>
          <w:kern w:val="0"/>
          <w:sz w:val="20"/>
          <w:szCs w:val="20"/>
          <w:highlight w:val="none"/>
        </w:rPr>
        <w:sectPr>
          <w:pgSz w:w="16838" w:h="11906" w:orient="landscape"/>
          <w:pgMar w:top="1134" w:right="1134" w:bottom="113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color w:val="auto"/>
          <w:kern w:val="0"/>
          <w:sz w:val="20"/>
          <w:szCs w:val="20"/>
          <w:highlight w:val="none"/>
        </w:rPr>
        <w:t>说明：计划数按《广东省住房和城乡建设厅广东省发展和改革委员会 广东省财政厅关于印发2024年配售型保障性住房、配租型保障性住房保障性租赁住房、公租房保障)和棚户区(城市危旧房)改造等计划的通知》（粤建保〔2024〕38号）下达的任务数统计，实际完成数量仅统计该指标有下达任务的地级市的完成情况。</w:t>
      </w:r>
    </w:p>
    <w:p w14:paraId="28013EB1">
      <w:pPr>
        <w:pStyle w:val="9"/>
        <w:pageBreakBefore w:val="0"/>
        <w:kinsoku/>
        <w:wordWrap/>
        <w:overflowPunct/>
        <w:topLinePunct w:val="0"/>
        <w:autoSpaceDE/>
        <w:autoSpaceDN/>
        <w:bidi w:val="0"/>
        <w:adjustRightInd/>
        <w:spacing w:line="600" w:lineRule="exact"/>
        <w:ind w:left="0" w:leftChars="0" w:firstLine="0" w:firstLineChars="0"/>
        <w:jc w:val="left"/>
        <w:textAlignment w:val="auto"/>
        <w:outlineLvl w:val="0"/>
        <w:rPr>
          <w:rFonts w:hint="default" w:ascii="Times New Roman" w:hAnsi="Times New Roman" w:eastAsia="仿宋_GB2312" w:cs="Times New Roman"/>
          <w:color w:val="auto"/>
          <w:kern w:val="0"/>
          <w:sz w:val="28"/>
          <w:szCs w:val="28"/>
          <w:highlight w:val="none"/>
          <w:lang w:val="en-US" w:eastAsia="zh-CN"/>
        </w:rPr>
      </w:pPr>
      <w:bookmarkStart w:id="51" w:name="_Toc18750"/>
      <w:r>
        <w:rPr>
          <w:rFonts w:hint="eastAsia" w:ascii="Times New Roman" w:hAnsi="Times New Roman" w:eastAsia="仿宋_GB2312" w:cs="Times New Roman"/>
          <w:color w:val="auto"/>
          <w:kern w:val="0"/>
          <w:sz w:val="28"/>
          <w:szCs w:val="28"/>
          <w:highlight w:val="none"/>
          <w:lang w:val="en-US" w:eastAsia="zh-CN"/>
        </w:rPr>
        <w:t>附件</w:t>
      </w:r>
      <w:r>
        <w:rPr>
          <w:rFonts w:hint="default" w:ascii="Times New Roman" w:hAnsi="Times New Roman" w:eastAsia="仿宋_GB2312" w:cs="Times New Roman"/>
          <w:color w:val="auto"/>
          <w:kern w:val="0"/>
          <w:sz w:val="28"/>
          <w:szCs w:val="28"/>
          <w:highlight w:val="none"/>
          <w:lang w:val="en-US" w:eastAsia="zh-CN"/>
        </w:rPr>
        <w:t>3</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1</w:t>
      </w:r>
      <w:bookmarkEnd w:id="51"/>
    </w:p>
    <w:p w14:paraId="63F58EE7">
      <w:pPr>
        <w:pStyle w:val="9"/>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kern w:val="0"/>
          <w:sz w:val="28"/>
          <w:szCs w:val="28"/>
          <w:highlight w:val="none"/>
        </w:rPr>
      </w:pPr>
      <w:r>
        <w:rPr>
          <w:rFonts w:hint="default" w:ascii="Times New Roman" w:hAnsi="Times New Roman" w:eastAsia="黑体" w:cs="Times New Roman"/>
          <w:color w:val="auto"/>
          <w:kern w:val="0"/>
          <w:sz w:val="28"/>
          <w:szCs w:val="28"/>
          <w:highlight w:val="none"/>
          <w:lang w:val="en-US" w:eastAsia="zh-CN"/>
        </w:rPr>
        <w:t>2024</w:t>
      </w:r>
      <w:r>
        <w:rPr>
          <w:rFonts w:hint="eastAsia" w:ascii="黑体" w:hAnsi="黑体" w:eastAsia="黑体" w:cs="黑体"/>
          <w:color w:val="auto"/>
          <w:kern w:val="0"/>
          <w:sz w:val="28"/>
          <w:szCs w:val="28"/>
          <w:highlight w:val="none"/>
          <w:lang w:val="en-US" w:eastAsia="zh-CN"/>
        </w:rPr>
        <w:t>年保障性安居工程专项资金</w:t>
      </w:r>
      <w:r>
        <w:rPr>
          <w:rFonts w:hint="eastAsia" w:ascii="黑体" w:hAnsi="黑体" w:eastAsia="黑体" w:cs="黑体"/>
          <w:color w:val="auto"/>
          <w:kern w:val="0"/>
          <w:sz w:val="28"/>
          <w:szCs w:val="28"/>
          <w:highlight w:val="none"/>
        </w:rPr>
        <w:t>绩效自评佐证材料清单</w:t>
      </w:r>
    </w:p>
    <w:tbl>
      <w:tblPr>
        <w:tblStyle w:val="21"/>
        <w:tblW w:w="9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776"/>
        <w:gridCol w:w="7962"/>
      </w:tblGrid>
      <w:tr w14:paraId="096B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blHead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B0E9">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类型</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A2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编号</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9AF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名称</w:t>
            </w:r>
          </w:p>
        </w:tc>
      </w:tr>
      <w:tr w14:paraId="2C94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80" w:type="dxa"/>
            <w:vMerge w:val="restart"/>
            <w:tcBorders>
              <w:top w:val="nil"/>
              <w:left w:val="single" w:color="000000" w:sz="4" w:space="0"/>
              <w:bottom w:val="nil"/>
              <w:right w:val="single" w:color="000000" w:sz="4" w:space="0"/>
            </w:tcBorders>
            <w:shd w:val="clear" w:color="auto" w:fill="auto"/>
            <w:vAlign w:val="center"/>
          </w:tcPr>
          <w:p w14:paraId="521F39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2.过程类</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B7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9E2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《关于加快发展保障性租赁住房的实施意见》（粤府办〔2021〕39号）</w:t>
            </w:r>
          </w:p>
        </w:tc>
      </w:tr>
      <w:tr w14:paraId="42D1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08DCAAD9">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67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BF7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《广东省住房和城乡建设厅 广东省发展和改革委员会 广东省财政厅 广东省人民政府国有资产监督管理委员会关于印发〈广东省城市危旧房摸底调查工作方案〉的通知》（粤建保〔2023〕114号）</w:t>
            </w:r>
          </w:p>
        </w:tc>
      </w:tr>
      <w:tr w14:paraId="0C23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6A20594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6C8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7962" w:type="dxa"/>
            <w:tcBorders>
              <w:top w:val="nil"/>
              <w:left w:val="nil"/>
              <w:bottom w:val="nil"/>
              <w:right w:val="nil"/>
            </w:tcBorders>
            <w:shd w:val="clear" w:color="auto" w:fill="auto"/>
            <w:vAlign w:val="center"/>
          </w:tcPr>
          <w:p w14:paraId="3583514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《广东省财政厅关于提前下达2024年省住房城乡建设厅主管专项资金的通知》（粤财建〔2023〕77号）</w:t>
            </w:r>
          </w:p>
        </w:tc>
      </w:tr>
      <w:tr w14:paraId="78E4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515DA48B">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17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6EF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广东省保障性租赁住房“十四五”及三年（2021-2023年）专项行动目标任务明细表</w:t>
            </w:r>
          </w:p>
        </w:tc>
      </w:tr>
      <w:tr w14:paraId="355D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70666257">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33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A9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《广东省财政厅关于开展2024年省级财政资金绩效自评工作的通知》</w:t>
            </w:r>
          </w:p>
        </w:tc>
      </w:tr>
      <w:tr w14:paraId="05B4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684C70D6">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FA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F0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《广东省住房和城乡建设厅关于开展2024年城镇保障性安居工程省级资金绩效评价工作的通知》</w:t>
            </w:r>
          </w:p>
        </w:tc>
      </w:tr>
      <w:tr w14:paraId="0EA4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6FC68ACA">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F7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883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（广东省12月）2024年中央及省级补助资金（住房保障、棚户区）支出进度</w:t>
            </w:r>
          </w:p>
        </w:tc>
      </w:tr>
      <w:tr w14:paraId="7E9C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38FA7740">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3E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38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《国务院关于规划建设保障性住房的指导意见》（ 国发〔2023〕14号）</w:t>
            </w:r>
          </w:p>
        </w:tc>
      </w:tr>
      <w:tr w14:paraId="7B70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1B96267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666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0F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关于完善住房租赁有关税收政策的公告</w:t>
            </w:r>
          </w:p>
        </w:tc>
      </w:tr>
      <w:tr w14:paraId="2C30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09FB09B9">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E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1-10</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DCF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广东省人民政府办公厅关于加快发展保障性租赁住房的实施意见</w:t>
            </w:r>
          </w:p>
        </w:tc>
      </w:tr>
      <w:tr w14:paraId="1618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2EC2491E">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1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78A9">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《广东省建设项目安全设施监督管理办法》（广东省人民政府令第147号）</w:t>
            </w:r>
          </w:p>
        </w:tc>
      </w:tr>
      <w:tr w14:paraId="7778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49A3494A">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D1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1-12</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927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广东省城镇住房保障办法</w:t>
            </w:r>
          </w:p>
        </w:tc>
      </w:tr>
      <w:tr w14:paraId="1078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59207E46">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C5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1-13</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96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广东省建设工程质量管理条例</w:t>
            </w:r>
          </w:p>
        </w:tc>
      </w:tr>
      <w:tr w14:paraId="4E95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780" w:type="dxa"/>
            <w:vMerge w:val="continue"/>
            <w:tcBorders>
              <w:top w:val="nil"/>
              <w:left w:val="single" w:color="000000" w:sz="4" w:space="0"/>
              <w:bottom w:val="nil"/>
              <w:right w:val="single" w:color="000000" w:sz="4" w:space="0"/>
            </w:tcBorders>
            <w:shd w:val="clear" w:color="auto" w:fill="auto"/>
            <w:vAlign w:val="center"/>
          </w:tcPr>
          <w:p w14:paraId="2771A118">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2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1-14</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EC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广东省标准《保障性住房建筑规程DBJ/T 15-80-2021》</w:t>
            </w:r>
          </w:p>
        </w:tc>
      </w:tr>
      <w:tr w14:paraId="2362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32A51C8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3.产出和效益类</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53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80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《广东省住房和城乡建设厅等关于印发2024年配售型保障性住房、配租型保障性住房（保障性租赁住房、公租房保障）和棚户区（城市危旧房）改造等计划的通知》（粤建保〔2024〕38号）</w:t>
            </w:r>
          </w:p>
        </w:tc>
      </w:tr>
      <w:tr w14:paraId="4B97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4DCB2CE5">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FD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05C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2024年重点项目绩效目标表-保障性安居工程</w:t>
            </w:r>
          </w:p>
        </w:tc>
      </w:tr>
      <w:tr w14:paraId="159C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A8D1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3.综合类（3-1至3-21省本级及各市自评材料）</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7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711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广州市自评材料（绩效自评表、绩效评价报告、佐证材料等）</w:t>
            </w:r>
          </w:p>
        </w:tc>
      </w:tr>
      <w:tr w14:paraId="2501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BF12">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B1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3-2</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5B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珠海市自评材料（绩效自评表、绩效评价报告、佐证材料等）</w:t>
            </w:r>
          </w:p>
        </w:tc>
      </w:tr>
      <w:tr w14:paraId="1C14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3EB0">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D4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3-3</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D4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汕头市自评材料（绩效自评表、绩效评价报告、佐证材料等）</w:t>
            </w:r>
          </w:p>
        </w:tc>
      </w:tr>
      <w:tr w14:paraId="7677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63FF">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3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3-4</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CEE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佛山市自评材料（绩效自评表、绩效评价报告、佐证材料等）</w:t>
            </w:r>
          </w:p>
        </w:tc>
      </w:tr>
      <w:tr w14:paraId="7BA4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CA3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D2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1FE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韶关市自评材料（绩效自评表、绩效评价报告、佐证材料等）</w:t>
            </w:r>
          </w:p>
        </w:tc>
      </w:tr>
      <w:tr w14:paraId="781F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9E7A">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67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3-6</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BBA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河源市自评材料（绩效自评表、绩效评价报告、佐证材料等）</w:t>
            </w:r>
          </w:p>
        </w:tc>
      </w:tr>
      <w:tr w14:paraId="37F9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0E1E">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2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3-7</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912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梅州市自评材料（绩效自评表、绩效评价报告、佐证材料等）</w:t>
            </w:r>
          </w:p>
        </w:tc>
      </w:tr>
      <w:tr w14:paraId="7229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6DD4">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3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3-8</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341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惠州市自评材料（绩效自评表、绩效评价报告、佐证材料等）</w:t>
            </w:r>
          </w:p>
        </w:tc>
      </w:tr>
      <w:tr w14:paraId="181F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1507">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10F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3-9</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805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汕尾市自评材料（绩效自评表、绩效评价报告、佐证材料等）</w:t>
            </w:r>
          </w:p>
        </w:tc>
      </w:tr>
      <w:tr w14:paraId="2D6A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51163">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1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3-10</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D6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东莞市自评材料（绩效自评表、绩效评价报告、佐证材料等）</w:t>
            </w:r>
          </w:p>
        </w:tc>
      </w:tr>
      <w:tr w14:paraId="2A61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0EB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A5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574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中山市自评材料（绩效自评表、绩效评价报告、佐证材料等）</w:t>
            </w:r>
          </w:p>
        </w:tc>
      </w:tr>
      <w:tr w14:paraId="1925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FE34">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4F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3-12</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6C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江门市自评材料（绩效自评表、绩效评价报告、佐证材料等）</w:t>
            </w:r>
          </w:p>
        </w:tc>
      </w:tr>
      <w:tr w14:paraId="3A8C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F03D">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3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3-13</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93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阳江市自评材料（绩效自评表、绩效评价报告、佐证材料等）</w:t>
            </w:r>
          </w:p>
        </w:tc>
      </w:tr>
      <w:tr w14:paraId="7004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8D861">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4C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3-14</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1007">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湛江市自评材料（绩效自评表、绩效评价报告、佐证材料等）</w:t>
            </w:r>
          </w:p>
        </w:tc>
      </w:tr>
      <w:tr w14:paraId="0A70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A2015">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D3A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3-15</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E60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茂名市自评材料（绩效自评表、绩效评价报告、佐证材料等）</w:t>
            </w:r>
          </w:p>
        </w:tc>
      </w:tr>
      <w:tr w14:paraId="246A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DFD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F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3-16</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336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肇庆市自评材料（绩效自评表、绩效评价报告、佐证材料等）</w:t>
            </w:r>
          </w:p>
        </w:tc>
      </w:tr>
      <w:tr w14:paraId="64D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9F20">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7F1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3-17</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E50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清远市自评材料（绩效自评表、绩效评价报告、佐证材料等）</w:t>
            </w:r>
          </w:p>
        </w:tc>
      </w:tr>
      <w:tr w14:paraId="77DA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A5EB8">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C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3-18</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2B9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潮州市自评材料（绩效自评表、绩效评价报告、佐证材料等）</w:t>
            </w:r>
          </w:p>
        </w:tc>
      </w:tr>
      <w:tr w14:paraId="2217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E770">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8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3-19</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76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揭阳市自评材料（绩效自评表、绩效评价报告、佐证材料等）</w:t>
            </w:r>
          </w:p>
        </w:tc>
      </w:tr>
      <w:tr w14:paraId="7A3E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98CC">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DC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3-20</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94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云浮市自评材料（绩效自评表、绩效评价报告、佐证材料等）</w:t>
            </w:r>
          </w:p>
        </w:tc>
      </w:tr>
      <w:tr w14:paraId="7538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18A6">
            <w:pPr>
              <w:jc w:val="center"/>
              <w:rPr>
                <w:rFonts w:hint="default" w:ascii="Times New Roman" w:hAnsi="Times New Roman" w:eastAsia="仿宋_GB2312" w:cs="Times New Roman"/>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D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3-21</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86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省本级材料</w:t>
            </w:r>
          </w:p>
        </w:tc>
      </w:tr>
    </w:tbl>
    <w:p w14:paraId="0C88A5B7">
      <w:pPr>
        <w:pStyle w:val="9"/>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kern w:val="0"/>
          <w:sz w:val="28"/>
          <w:szCs w:val="28"/>
          <w:highlight w:val="none"/>
        </w:rPr>
        <w:sectPr>
          <w:footerReference r:id="rId6" w:type="default"/>
          <w:pgSz w:w="11906" w:h="16838"/>
          <w:pgMar w:top="1134" w:right="1134" w:bottom="1531"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54B3C9C">
      <w:pPr>
        <w:pStyle w:val="9"/>
        <w:pageBreakBefore w:val="0"/>
        <w:kinsoku/>
        <w:wordWrap/>
        <w:overflowPunct/>
        <w:topLinePunct w:val="0"/>
        <w:autoSpaceDE/>
        <w:autoSpaceDN/>
        <w:bidi w:val="0"/>
        <w:adjustRightInd/>
        <w:spacing w:line="600" w:lineRule="exact"/>
        <w:ind w:left="0" w:leftChars="0" w:firstLine="0" w:firstLineChars="0"/>
        <w:jc w:val="left"/>
        <w:textAlignment w:val="auto"/>
        <w:outlineLvl w:val="0"/>
        <w:rPr>
          <w:rFonts w:hint="eastAsia" w:ascii="Times New Roman" w:hAnsi="Times New Roman" w:eastAsia="仿宋_GB2312" w:cs="Times New Roman"/>
          <w:color w:val="auto"/>
          <w:kern w:val="0"/>
          <w:sz w:val="28"/>
          <w:szCs w:val="28"/>
          <w:highlight w:val="none"/>
          <w:lang w:val="en-US" w:eastAsia="zh-CN"/>
        </w:rPr>
      </w:pPr>
      <w:bookmarkStart w:id="52" w:name="_Toc12180"/>
      <w:r>
        <w:rPr>
          <w:rFonts w:hint="eastAsia" w:ascii="Times New Roman" w:hAnsi="Times New Roman" w:eastAsia="仿宋_GB2312" w:cs="Times New Roman"/>
          <w:color w:val="auto"/>
          <w:kern w:val="0"/>
          <w:sz w:val="28"/>
          <w:szCs w:val="28"/>
          <w:highlight w:val="none"/>
          <w:lang w:val="en-US" w:eastAsia="zh-CN"/>
        </w:rPr>
        <w:t>附件</w:t>
      </w:r>
      <w:r>
        <w:rPr>
          <w:rFonts w:hint="default" w:ascii="Times New Roman" w:hAnsi="Times New Roman" w:eastAsia="仿宋_GB2312" w:cs="Times New Roman"/>
          <w:color w:val="auto"/>
          <w:kern w:val="0"/>
          <w:sz w:val="28"/>
          <w:szCs w:val="28"/>
          <w:highlight w:val="none"/>
          <w:lang w:val="en-US" w:eastAsia="zh-CN"/>
        </w:rPr>
        <w:t>3</w:t>
      </w:r>
      <w:r>
        <w:rPr>
          <w:rFonts w:hint="eastAsia"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2</w:t>
      </w:r>
      <w:bookmarkEnd w:id="52"/>
    </w:p>
    <w:p w14:paraId="4EEE6AE4">
      <w:pPr>
        <w:pStyle w:val="9"/>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kern w:val="0"/>
          <w:sz w:val="28"/>
          <w:szCs w:val="28"/>
          <w:highlight w:val="none"/>
        </w:rPr>
      </w:pPr>
      <w:r>
        <w:rPr>
          <w:rFonts w:hint="default" w:ascii="Times New Roman" w:hAnsi="Times New Roman" w:eastAsia="黑体" w:cs="Times New Roman"/>
          <w:color w:val="auto"/>
          <w:kern w:val="0"/>
          <w:sz w:val="28"/>
          <w:szCs w:val="28"/>
          <w:highlight w:val="none"/>
          <w:lang w:val="en-US" w:eastAsia="zh-CN"/>
        </w:rPr>
        <w:t>2024</w:t>
      </w:r>
      <w:r>
        <w:rPr>
          <w:rFonts w:hint="eastAsia" w:ascii="黑体" w:hAnsi="黑体" w:eastAsia="黑体" w:cs="黑体"/>
          <w:color w:val="auto"/>
          <w:kern w:val="0"/>
          <w:sz w:val="28"/>
          <w:szCs w:val="28"/>
          <w:highlight w:val="none"/>
          <w:lang w:val="en-US" w:eastAsia="zh-CN"/>
        </w:rPr>
        <w:t>年保障性安居工程专项资金（自建房安全专项资金）</w:t>
      </w:r>
      <w:r>
        <w:rPr>
          <w:rFonts w:hint="eastAsia" w:ascii="黑体" w:hAnsi="黑体" w:eastAsia="黑体" w:cs="黑体"/>
          <w:color w:val="auto"/>
          <w:kern w:val="0"/>
          <w:sz w:val="28"/>
          <w:szCs w:val="28"/>
          <w:highlight w:val="none"/>
        </w:rPr>
        <w:t>绩效自评佐证材料清单</w:t>
      </w:r>
    </w:p>
    <w:p w14:paraId="5331EE04">
      <w:pPr>
        <w:pStyle w:val="9"/>
        <w:pageBreakBefore w:val="0"/>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kern w:val="0"/>
          <w:sz w:val="28"/>
          <w:szCs w:val="28"/>
          <w:highlight w:val="none"/>
        </w:rPr>
      </w:pPr>
    </w:p>
    <w:tbl>
      <w:tblPr>
        <w:tblStyle w:val="21"/>
        <w:tblW w:w="93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4"/>
        <w:gridCol w:w="1180"/>
        <w:gridCol w:w="6925"/>
      </w:tblGrid>
      <w:tr w14:paraId="2284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B0B08">
            <w:pPr>
              <w:keepNext w:val="0"/>
              <w:keepLines w:val="0"/>
              <w:widowControl/>
              <w:suppressLineNumbers w:val="0"/>
              <w:jc w:val="center"/>
              <w:textAlignment w:val="center"/>
              <w:rPr>
                <w:rFonts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类型</w:t>
            </w: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B0D20">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编号</w:t>
            </w:r>
          </w:p>
        </w:tc>
        <w:tc>
          <w:tcPr>
            <w:tcW w:w="6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18546">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名称</w:t>
            </w:r>
          </w:p>
        </w:tc>
      </w:tr>
      <w:tr w14:paraId="193A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14"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7E951EA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1.过程管理类</w:t>
            </w: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9935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1-1</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70DCD3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《国务院办公厅关于印发全国自建房安全专项整治工作方案的通知》（国办发明电〔2022〕10号）</w:t>
            </w:r>
          </w:p>
        </w:tc>
      </w:tr>
      <w:tr w14:paraId="1C91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09F8D1A">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33F5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1-2</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437162D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《住建部等15部门关于加强经营性自建房安全管理的通知》（建村〔2023〕18号）</w:t>
            </w:r>
          </w:p>
        </w:tc>
      </w:tr>
      <w:tr w14:paraId="42C0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4819A70">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504B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1-3</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79B5EA8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下达资金及任务清单文件</w:t>
            </w:r>
          </w:p>
        </w:tc>
      </w:tr>
      <w:tr w14:paraId="0577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707BF0F">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90AA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1-4</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4236A66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绩效目标申报材料</w:t>
            </w:r>
          </w:p>
        </w:tc>
      </w:tr>
      <w:tr w14:paraId="4060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653F594">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198B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1-5</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6C6B6F9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广东省自建房安全专项整治工作领导小组办公室关于征求《广东省开展自建房结构安全性问题整治的工作指引（征求意见稿）》等四个工作指引意见的函</w:t>
            </w:r>
          </w:p>
        </w:tc>
      </w:tr>
      <w:tr w14:paraId="4F1D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060FFE1">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1491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1-6</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C53637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广东省自建房安全专项整治工作领导小组办公室关于印发《广东省开展自建房结构安全问题整治的工作指引》《广东省开展自建房经营安全问题整治的工作指引》的通知</w:t>
            </w:r>
          </w:p>
        </w:tc>
      </w:tr>
      <w:tr w14:paraId="679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916DE4E">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525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1-7</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ABD482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广东省住房和城乡建设厅及自建房安全专项整治工作领导小组办公室调研、通知、检查文件</w:t>
            </w:r>
          </w:p>
        </w:tc>
      </w:tr>
      <w:tr w14:paraId="0614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F2BF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2.产出、效益类</w:t>
            </w: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10D1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2-1</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31FA198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年度&amp;半年度工作总结材料</w:t>
            </w:r>
          </w:p>
        </w:tc>
      </w:tr>
      <w:tr w14:paraId="3098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8E2DF">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295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2-2</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47458C8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广东省自建房安全专项整治工作简报及资金拨付进度简报</w:t>
            </w:r>
          </w:p>
        </w:tc>
      </w:tr>
      <w:tr w14:paraId="04C4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14" w:type="dxa"/>
            <w:vMerge w:val="restart"/>
            <w:tcBorders>
              <w:top w:val="nil"/>
              <w:left w:val="single" w:color="000000" w:sz="4" w:space="0"/>
              <w:right w:val="single" w:color="000000" w:sz="4" w:space="0"/>
            </w:tcBorders>
            <w:shd w:val="clear" w:color="auto" w:fill="FFFFFF"/>
            <w:noWrap w:val="0"/>
            <w:vAlign w:val="center"/>
          </w:tcPr>
          <w:p w14:paraId="0ED23CE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3.市县</w:t>
            </w:r>
            <w:r>
              <w:rPr>
                <w:rFonts w:hint="eastAsia" w:ascii="仿宋_GB2312" w:hAnsi="宋体" w:eastAsia="仿宋_GB2312" w:cs="仿宋_GB2312"/>
                <w:i w:val="0"/>
                <w:iCs w:val="0"/>
                <w:color w:val="auto"/>
                <w:kern w:val="0"/>
                <w:sz w:val="22"/>
                <w:szCs w:val="22"/>
                <w:u w:val="none"/>
                <w:lang w:val="en-US" w:eastAsia="zh-CN" w:bidi="ar"/>
              </w:rPr>
              <w:t>、省本级</w:t>
            </w:r>
            <w:r>
              <w:rPr>
                <w:rFonts w:hint="default" w:ascii="仿宋_GB2312" w:hAnsi="宋体" w:eastAsia="仿宋_GB2312" w:cs="仿宋_GB2312"/>
                <w:i w:val="0"/>
                <w:iCs w:val="0"/>
                <w:color w:val="auto"/>
                <w:kern w:val="0"/>
                <w:sz w:val="22"/>
                <w:szCs w:val="22"/>
                <w:u w:val="none"/>
                <w:lang w:val="en-US" w:eastAsia="zh-CN" w:bidi="ar"/>
              </w:rPr>
              <w:t>佐证材料</w:t>
            </w: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08A2519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659C276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韶关市自评报告及佐证材料</w:t>
            </w:r>
          </w:p>
        </w:tc>
      </w:tr>
      <w:tr w14:paraId="3983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14" w:type="dxa"/>
            <w:vMerge w:val="continue"/>
            <w:tcBorders>
              <w:left w:val="single" w:color="000000" w:sz="4" w:space="0"/>
              <w:right w:val="single" w:color="000000" w:sz="4" w:space="0"/>
            </w:tcBorders>
            <w:shd w:val="clear" w:color="auto" w:fill="FFFFFF"/>
            <w:noWrap w:val="0"/>
            <w:vAlign w:val="center"/>
          </w:tcPr>
          <w:p w14:paraId="4D4C06F6">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23641F2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3-2</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6DC5934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汕头市自评报告及佐证材料</w:t>
            </w:r>
          </w:p>
        </w:tc>
      </w:tr>
      <w:tr w14:paraId="2761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14" w:type="dxa"/>
            <w:vMerge w:val="continue"/>
            <w:tcBorders>
              <w:left w:val="single" w:color="000000" w:sz="4" w:space="0"/>
              <w:right w:val="single" w:color="000000" w:sz="4" w:space="0"/>
            </w:tcBorders>
            <w:shd w:val="clear" w:color="auto" w:fill="FFFFFF"/>
            <w:noWrap w:val="0"/>
            <w:vAlign w:val="center"/>
          </w:tcPr>
          <w:p w14:paraId="6D1D1F70">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3272993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3-3</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2B8FB03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江门市自评报告及佐证材料</w:t>
            </w:r>
          </w:p>
        </w:tc>
      </w:tr>
      <w:tr w14:paraId="184C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4" w:type="dxa"/>
            <w:vMerge w:val="continue"/>
            <w:tcBorders>
              <w:left w:val="single" w:color="000000" w:sz="4" w:space="0"/>
              <w:right w:val="single" w:color="000000" w:sz="4" w:space="0"/>
            </w:tcBorders>
            <w:shd w:val="clear" w:color="auto" w:fill="FFFFFF"/>
            <w:noWrap w:val="0"/>
            <w:vAlign w:val="center"/>
          </w:tcPr>
          <w:p w14:paraId="58300B7C">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16D2DD1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3-4</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2F7B1E2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湛江市自评报告及佐证材料</w:t>
            </w:r>
          </w:p>
        </w:tc>
      </w:tr>
      <w:tr w14:paraId="2B7D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14" w:type="dxa"/>
            <w:vMerge w:val="continue"/>
            <w:tcBorders>
              <w:left w:val="single" w:color="000000" w:sz="4" w:space="0"/>
              <w:right w:val="single" w:color="000000" w:sz="4" w:space="0"/>
            </w:tcBorders>
            <w:shd w:val="clear" w:color="auto" w:fill="FFFFFF"/>
            <w:noWrap w:val="0"/>
            <w:vAlign w:val="center"/>
          </w:tcPr>
          <w:p w14:paraId="6AB7C35B">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1FBEB7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3-5</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17BE567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茂名市自评报告及佐证材料</w:t>
            </w:r>
          </w:p>
        </w:tc>
      </w:tr>
      <w:tr w14:paraId="7868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4" w:type="dxa"/>
            <w:vMerge w:val="continue"/>
            <w:tcBorders>
              <w:left w:val="single" w:color="000000" w:sz="4" w:space="0"/>
              <w:right w:val="single" w:color="000000" w:sz="4" w:space="0"/>
            </w:tcBorders>
            <w:shd w:val="clear" w:color="auto" w:fill="FFFFFF"/>
            <w:noWrap w:val="0"/>
            <w:vAlign w:val="center"/>
          </w:tcPr>
          <w:p w14:paraId="34DFEFD1">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4E72AEF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3-6</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4A01524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肇庆市自评报告及佐证材料</w:t>
            </w:r>
          </w:p>
        </w:tc>
      </w:tr>
      <w:tr w14:paraId="7084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14" w:type="dxa"/>
            <w:vMerge w:val="continue"/>
            <w:tcBorders>
              <w:left w:val="single" w:color="000000" w:sz="4" w:space="0"/>
              <w:right w:val="single" w:color="000000" w:sz="4" w:space="0"/>
            </w:tcBorders>
            <w:shd w:val="clear" w:color="auto" w:fill="FFFFFF"/>
            <w:noWrap w:val="0"/>
            <w:vAlign w:val="center"/>
          </w:tcPr>
          <w:p w14:paraId="3132A20E">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714FC8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3-7</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47E621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惠州市自评报告及佐证材料</w:t>
            </w:r>
          </w:p>
        </w:tc>
      </w:tr>
      <w:tr w14:paraId="3F72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14" w:type="dxa"/>
            <w:vMerge w:val="continue"/>
            <w:tcBorders>
              <w:left w:val="single" w:color="000000" w:sz="4" w:space="0"/>
              <w:right w:val="single" w:color="000000" w:sz="4" w:space="0"/>
            </w:tcBorders>
            <w:shd w:val="clear" w:color="auto" w:fill="FFFFFF"/>
            <w:noWrap w:val="0"/>
            <w:vAlign w:val="center"/>
          </w:tcPr>
          <w:p w14:paraId="25456E46">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7F5C06C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3-8</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7180373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梅州市自评报告及佐证材料</w:t>
            </w:r>
          </w:p>
        </w:tc>
      </w:tr>
      <w:tr w14:paraId="223A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14" w:type="dxa"/>
            <w:vMerge w:val="continue"/>
            <w:tcBorders>
              <w:left w:val="single" w:color="000000" w:sz="4" w:space="0"/>
              <w:right w:val="single" w:color="000000" w:sz="4" w:space="0"/>
            </w:tcBorders>
            <w:shd w:val="clear" w:color="auto" w:fill="FFFFFF"/>
            <w:noWrap w:val="0"/>
            <w:vAlign w:val="center"/>
          </w:tcPr>
          <w:p w14:paraId="3EA24B2B">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6F4D3A7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3-9</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6A4B3B4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汕尾市自评报告及佐证材料</w:t>
            </w:r>
          </w:p>
        </w:tc>
      </w:tr>
      <w:tr w14:paraId="09B3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14" w:type="dxa"/>
            <w:vMerge w:val="continue"/>
            <w:tcBorders>
              <w:left w:val="single" w:color="000000" w:sz="4" w:space="0"/>
              <w:right w:val="single" w:color="000000" w:sz="4" w:space="0"/>
            </w:tcBorders>
            <w:shd w:val="clear" w:color="auto" w:fill="FFFFFF"/>
            <w:noWrap w:val="0"/>
            <w:vAlign w:val="center"/>
          </w:tcPr>
          <w:p w14:paraId="2530F50A">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04F5FC3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3-10</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C69577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河源市自评报告及佐证材料</w:t>
            </w:r>
          </w:p>
        </w:tc>
      </w:tr>
      <w:tr w14:paraId="3299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14" w:type="dxa"/>
            <w:vMerge w:val="continue"/>
            <w:tcBorders>
              <w:left w:val="single" w:color="000000" w:sz="4" w:space="0"/>
              <w:right w:val="single" w:color="000000" w:sz="4" w:space="0"/>
            </w:tcBorders>
            <w:shd w:val="clear" w:color="auto" w:fill="FFFFFF"/>
            <w:noWrap w:val="0"/>
            <w:vAlign w:val="center"/>
          </w:tcPr>
          <w:p w14:paraId="53EA4677">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3851BD1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3-11</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08B5E2D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阳江市自评报告及佐证材料</w:t>
            </w:r>
          </w:p>
        </w:tc>
      </w:tr>
      <w:tr w14:paraId="4E5D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14" w:type="dxa"/>
            <w:vMerge w:val="continue"/>
            <w:tcBorders>
              <w:left w:val="single" w:color="000000" w:sz="4" w:space="0"/>
              <w:right w:val="single" w:color="000000" w:sz="4" w:space="0"/>
            </w:tcBorders>
            <w:shd w:val="clear" w:color="auto" w:fill="FFFFFF"/>
            <w:noWrap w:val="0"/>
            <w:vAlign w:val="center"/>
          </w:tcPr>
          <w:p w14:paraId="0A19D5F0">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2630621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3-12</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66BF1AB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清远市自评报告及佐证材料</w:t>
            </w:r>
          </w:p>
        </w:tc>
      </w:tr>
      <w:tr w14:paraId="1162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4" w:type="dxa"/>
            <w:vMerge w:val="continue"/>
            <w:tcBorders>
              <w:left w:val="single" w:color="000000" w:sz="4" w:space="0"/>
              <w:right w:val="single" w:color="000000" w:sz="4" w:space="0"/>
            </w:tcBorders>
            <w:shd w:val="clear" w:color="auto" w:fill="FFFFFF"/>
            <w:noWrap w:val="0"/>
            <w:vAlign w:val="center"/>
          </w:tcPr>
          <w:p w14:paraId="24F4BB41">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7EEE85D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3-13</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351B860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潮州市自评报告及佐证材料（缺）</w:t>
            </w:r>
          </w:p>
        </w:tc>
      </w:tr>
      <w:tr w14:paraId="2120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4" w:type="dxa"/>
            <w:vMerge w:val="continue"/>
            <w:tcBorders>
              <w:left w:val="single" w:color="000000" w:sz="4" w:space="0"/>
              <w:right w:val="single" w:color="000000" w:sz="4" w:space="0"/>
            </w:tcBorders>
            <w:shd w:val="clear" w:color="auto" w:fill="FFFFFF"/>
            <w:noWrap w:val="0"/>
            <w:vAlign w:val="center"/>
          </w:tcPr>
          <w:p w14:paraId="51E59C4B">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36149D7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3-14</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375BA8B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揭阳市自评报告及佐证材料</w:t>
            </w:r>
          </w:p>
        </w:tc>
      </w:tr>
      <w:tr w14:paraId="12BA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14" w:type="dxa"/>
            <w:vMerge w:val="continue"/>
            <w:tcBorders>
              <w:left w:val="single" w:color="000000" w:sz="4" w:space="0"/>
              <w:right w:val="single" w:color="000000" w:sz="4" w:space="0"/>
            </w:tcBorders>
            <w:shd w:val="clear" w:color="auto" w:fill="FFFFFF"/>
            <w:noWrap w:val="0"/>
            <w:vAlign w:val="center"/>
          </w:tcPr>
          <w:p w14:paraId="18AC8EB4">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1D9A147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3-15</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7173B1C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rPr>
            </w:pPr>
            <w:r>
              <w:rPr>
                <w:rFonts w:hint="default" w:ascii="仿宋_GB2312" w:hAnsi="宋体" w:eastAsia="仿宋_GB2312" w:cs="仿宋_GB2312"/>
                <w:i w:val="0"/>
                <w:iCs w:val="0"/>
                <w:color w:val="auto"/>
                <w:kern w:val="0"/>
                <w:sz w:val="22"/>
                <w:szCs w:val="22"/>
                <w:u w:val="none"/>
                <w:lang w:val="en-US" w:eastAsia="zh-CN" w:bidi="ar"/>
              </w:rPr>
              <w:t>云浮市自评报告及佐证材料</w:t>
            </w:r>
          </w:p>
        </w:tc>
      </w:tr>
      <w:tr w14:paraId="0B32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14" w:type="dxa"/>
            <w:vMerge w:val="continue"/>
            <w:tcBorders>
              <w:left w:val="single" w:color="000000" w:sz="4" w:space="0"/>
              <w:bottom w:val="single" w:color="000000" w:sz="4" w:space="0"/>
              <w:right w:val="single" w:color="000000" w:sz="4" w:space="0"/>
            </w:tcBorders>
            <w:shd w:val="clear" w:color="auto" w:fill="FFFFFF"/>
            <w:noWrap w:val="0"/>
            <w:vAlign w:val="center"/>
          </w:tcPr>
          <w:p w14:paraId="30035230">
            <w:pPr>
              <w:jc w:val="center"/>
              <w:rPr>
                <w:rFonts w:hint="default" w:ascii="仿宋_GB2312" w:hAnsi="宋体" w:eastAsia="仿宋_GB2312" w:cs="仿宋_GB2312"/>
                <w:i w:val="0"/>
                <w:iCs w:val="0"/>
                <w:color w:val="auto"/>
                <w:sz w:val="22"/>
                <w:szCs w:val="22"/>
                <w:u w:val="none"/>
              </w:rPr>
            </w:pPr>
          </w:p>
        </w:tc>
        <w:tc>
          <w:tcPr>
            <w:tcW w:w="1180" w:type="dxa"/>
            <w:tcBorders>
              <w:top w:val="single" w:color="000000" w:sz="4" w:space="0"/>
              <w:left w:val="nil"/>
              <w:bottom w:val="single" w:color="000000" w:sz="4" w:space="0"/>
              <w:right w:val="single" w:color="000000" w:sz="4" w:space="0"/>
            </w:tcBorders>
            <w:shd w:val="clear" w:color="auto" w:fill="FFFFFF"/>
            <w:noWrap w:val="0"/>
            <w:vAlign w:val="center"/>
          </w:tcPr>
          <w:p w14:paraId="42CCC61B">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3-16</w:t>
            </w:r>
          </w:p>
        </w:tc>
        <w:tc>
          <w:tcPr>
            <w:tcW w:w="6925" w:type="dxa"/>
            <w:tcBorders>
              <w:top w:val="single" w:color="000000" w:sz="4" w:space="0"/>
              <w:left w:val="single" w:color="000000" w:sz="4" w:space="0"/>
              <w:bottom w:val="single" w:color="000000" w:sz="4" w:space="0"/>
              <w:right w:val="single" w:color="000000" w:sz="4" w:space="0"/>
            </w:tcBorders>
            <w:noWrap w:val="0"/>
            <w:vAlign w:val="center"/>
          </w:tcPr>
          <w:p w14:paraId="4680873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省本级实施项目佐证材料清单</w:t>
            </w:r>
          </w:p>
        </w:tc>
      </w:tr>
    </w:tbl>
    <w:p w14:paraId="2B6C13AA">
      <w:pPr>
        <w:pStyle w:val="9"/>
        <w:pageBreakBefore w:val="0"/>
        <w:kinsoku/>
        <w:wordWrap/>
        <w:overflowPunct/>
        <w:topLinePunct w:val="0"/>
        <w:autoSpaceDE/>
        <w:autoSpaceDN/>
        <w:bidi w:val="0"/>
        <w:adjustRightInd/>
        <w:spacing w:line="600" w:lineRule="exact"/>
        <w:ind w:left="0" w:leftChars="0" w:firstLine="0" w:firstLineChars="0"/>
        <w:jc w:val="left"/>
        <w:textAlignment w:val="auto"/>
        <w:rPr>
          <w:rFonts w:hint="eastAsia" w:ascii="黑体" w:hAnsi="黑体" w:eastAsia="黑体" w:cs="黑体"/>
          <w:color w:val="auto"/>
          <w:kern w:val="0"/>
          <w:sz w:val="28"/>
          <w:szCs w:val="28"/>
          <w:highlight w:val="none"/>
        </w:rPr>
      </w:pPr>
    </w:p>
    <w:sectPr>
      <w:pgSz w:w="11906" w:h="16838"/>
      <w:pgMar w:top="1134" w:right="1134" w:bottom="1531" w:left="102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
    <w:altName w:val="仿宋"/>
    <w:panose1 w:val="00000000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2CA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5C3D">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8E2056">
                          <w:pPr>
                            <w:pStyle w:val="11"/>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28E2056">
                    <w:pPr>
                      <w:pStyle w:val="11"/>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005F">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DB2F7F">
                          <w:pPr>
                            <w:pStyle w:val="11"/>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DB2F7F">
                    <w:pPr>
                      <w:pStyle w:val="11"/>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E26B10A">
      <w:pPr>
        <w:pStyle w:val="15"/>
        <w:snapToGrid w:val="0"/>
      </w:pPr>
      <w:r>
        <w:rPr>
          <w:rStyle w:val="28"/>
        </w:rPr>
        <w:footnoteRef/>
      </w:r>
      <w:r>
        <w:t xml:space="preserve"> </w:t>
      </w:r>
      <w:r>
        <w:rPr>
          <w:rFonts w:hint="eastAsia" w:ascii="仿宋_GB2312" w:hAnsi="仿宋_GB2312" w:eastAsia="仿宋_GB2312" w:cs="仿宋_GB2312"/>
          <w:sz w:val="18"/>
          <w:szCs w:val="18"/>
        </w:rPr>
        <w:t>资料来源：2023年一级绩效目标表</w:t>
      </w:r>
      <w:r>
        <w:rPr>
          <w:rFonts w:hint="eastAsia" w:ascii="仿宋_GB2312" w:hAnsi="仿宋_GB2312" w:eastAsia="仿宋_GB2312" w:cs="仿宋_GB2312"/>
          <w:sz w:val="18"/>
          <w:szCs w:val="18"/>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204C3"/>
    <w:multiLevelType w:val="singleLevel"/>
    <w:tmpl w:val="915204C3"/>
    <w:lvl w:ilvl="0" w:tentative="0">
      <w:start w:val="2"/>
      <w:numFmt w:val="chineseCounting"/>
      <w:suff w:val="nothing"/>
      <w:lvlText w:val="（%1）"/>
      <w:lvlJc w:val="left"/>
      <w:rPr>
        <w:rFonts w:hint="eastAsia"/>
      </w:rPr>
    </w:lvl>
  </w:abstractNum>
  <w:abstractNum w:abstractNumId="1">
    <w:nsid w:val="A70EC6A7"/>
    <w:multiLevelType w:val="singleLevel"/>
    <w:tmpl w:val="A70EC6A7"/>
    <w:lvl w:ilvl="0" w:tentative="0">
      <w:start w:val="2"/>
      <w:numFmt w:val="chineseCounting"/>
      <w:suff w:val="nothing"/>
      <w:lvlText w:val="%1、"/>
      <w:lvlJc w:val="left"/>
      <w:rPr>
        <w:rFonts w:hint="eastAsia"/>
      </w:rPr>
    </w:lvl>
  </w:abstractNum>
  <w:abstractNum w:abstractNumId="2">
    <w:nsid w:val="06BB992A"/>
    <w:multiLevelType w:val="singleLevel"/>
    <w:tmpl w:val="06BB992A"/>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3">
    <w:nsid w:val="5195E2E5"/>
    <w:multiLevelType w:val="singleLevel"/>
    <w:tmpl w:val="5195E2E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YmMyN2VjYmMzYTQ0Mzk4MjNmNjkxZjlmZjMzZWIifQ=="/>
  </w:docVars>
  <w:rsids>
    <w:rsidRoot w:val="22B428EE"/>
    <w:rsid w:val="001502B1"/>
    <w:rsid w:val="00153F17"/>
    <w:rsid w:val="00166F35"/>
    <w:rsid w:val="001F18D0"/>
    <w:rsid w:val="002C057E"/>
    <w:rsid w:val="002E3865"/>
    <w:rsid w:val="0044426F"/>
    <w:rsid w:val="0046576B"/>
    <w:rsid w:val="00497F80"/>
    <w:rsid w:val="004D4BDB"/>
    <w:rsid w:val="006D5DB4"/>
    <w:rsid w:val="00724552"/>
    <w:rsid w:val="00842736"/>
    <w:rsid w:val="008450E0"/>
    <w:rsid w:val="00A234E8"/>
    <w:rsid w:val="00AD656A"/>
    <w:rsid w:val="00B1214C"/>
    <w:rsid w:val="00B85764"/>
    <w:rsid w:val="00B86A69"/>
    <w:rsid w:val="00CA0914"/>
    <w:rsid w:val="00CB18FA"/>
    <w:rsid w:val="00D17D43"/>
    <w:rsid w:val="00D6745C"/>
    <w:rsid w:val="013C690E"/>
    <w:rsid w:val="01880E58"/>
    <w:rsid w:val="01A30770"/>
    <w:rsid w:val="01AD392B"/>
    <w:rsid w:val="01B06207"/>
    <w:rsid w:val="01E03D46"/>
    <w:rsid w:val="01E6792B"/>
    <w:rsid w:val="021634B7"/>
    <w:rsid w:val="02175F22"/>
    <w:rsid w:val="021954FD"/>
    <w:rsid w:val="022C3913"/>
    <w:rsid w:val="025F31D8"/>
    <w:rsid w:val="02C97D12"/>
    <w:rsid w:val="02D90C51"/>
    <w:rsid w:val="02EA4E31"/>
    <w:rsid w:val="03134B19"/>
    <w:rsid w:val="03180A93"/>
    <w:rsid w:val="033E696D"/>
    <w:rsid w:val="034E3FE2"/>
    <w:rsid w:val="035F141D"/>
    <w:rsid w:val="036A079C"/>
    <w:rsid w:val="039772CD"/>
    <w:rsid w:val="03AB046B"/>
    <w:rsid w:val="040265A6"/>
    <w:rsid w:val="041D3237"/>
    <w:rsid w:val="043951A7"/>
    <w:rsid w:val="046B6500"/>
    <w:rsid w:val="04A57737"/>
    <w:rsid w:val="04CF7307"/>
    <w:rsid w:val="04FF6B55"/>
    <w:rsid w:val="050A246E"/>
    <w:rsid w:val="050E1438"/>
    <w:rsid w:val="05233248"/>
    <w:rsid w:val="054447EA"/>
    <w:rsid w:val="056E51B4"/>
    <w:rsid w:val="05940DA6"/>
    <w:rsid w:val="05B20F4D"/>
    <w:rsid w:val="05C540CB"/>
    <w:rsid w:val="05C855D7"/>
    <w:rsid w:val="060A23D1"/>
    <w:rsid w:val="06170297"/>
    <w:rsid w:val="063148F2"/>
    <w:rsid w:val="066673AC"/>
    <w:rsid w:val="06C21802"/>
    <w:rsid w:val="06C51CC1"/>
    <w:rsid w:val="06F3009D"/>
    <w:rsid w:val="06FE4433"/>
    <w:rsid w:val="07322863"/>
    <w:rsid w:val="07497E00"/>
    <w:rsid w:val="0758025E"/>
    <w:rsid w:val="075F1F22"/>
    <w:rsid w:val="076079BF"/>
    <w:rsid w:val="079B5B3A"/>
    <w:rsid w:val="07A27C00"/>
    <w:rsid w:val="07B47A8D"/>
    <w:rsid w:val="07BE3529"/>
    <w:rsid w:val="07BF7676"/>
    <w:rsid w:val="07F715E7"/>
    <w:rsid w:val="08282D07"/>
    <w:rsid w:val="086132E0"/>
    <w:rsid w:val="0867146E"/>
    <w:rsid w:val="08A0309A"/>
    <w:rsid w:val="08CA2103"/>
    <w:rsid w:val="08D57437"/>
    <w:rsid w:val="094730B4"/>
    <w:rsid w:val="094B01EF"/>
    <w:rsid w:val="096B3DBA"/>
    <w:rsid w:val="09A3652C"/>
    <w:rsid w:val="09FD0252"/>
    <w:rsid w:val="0A251C84"/>
    <w:rsid w:val="0A300921"/>
    <w:rsid w:val="0A387402"/>
    <w:rsid w:val="0AC0026B"/>
    <w:rsid w:val="0ACB4A0E"/>
    <w:rsid w:val="0B064525"/>
    <w:rsid w:val="0B8D3BC7"/>
    <w:rsid w:val="0BD0592B"/>
    <w:rsid w:val="0BDF1202"/>
    <w:rsid w:val="0BE535AA"/>
    <w:rsid w:val="0BFD70DA"/>
    <w:rsid w:val="0C772D6A"/>
    <w:rsid w:val="0C9717B0"/>
    <w:rsid w:val="0CAC2972"/>
    <w:rsid w:val="0D281F93"/>
    <w:rsid w:val="0D32553B"/>
    <w:rsid w:val="0D4D290F"/>
    <w:rsid w:val="0D893793"/>
    <w:rsid w:val="0DA223C5"/>
    <w:rsid w:val="0E2302F7"/>
    <w:rsid w:val="0E264C8E"/>
    <w:rsid w:val="0E2F3B4C"/>
    <w:rsid w:val="0E42668B"/>
    <w:rsid w:val="0E642DBB"/>
    <w:rsid w:val="0EB74C03"/>
    <w:rsid w:val="0ED96277"/>
    <w:rsid w:val="0EE37C7F"/>
    <w:rsid w:val="0F373830"/>
    <w:rsid w:val="0F524DA3"/>
    <w:rsid w:val="0F684EC2"/>
    <w:rsid w:val="0F9609D4"/>
    <w:rsid w:val="0FDA19A6"/>
    <w:rsid w:val="0FE74A02"/>
    <w:rsid w:val="100B407B"/>
    <w:rsid w:val="101243DC"/>
    <w:rsid w:val="103A2CC2"/>
    <w:rsid w:val="104224CE"/>
    <w:rsid w:val="10E93381"/>
    <w:rsid w:val="1142651D"/>
    <w:rsid w:val="114514FD"/>
    <w:rsid w:val="115044F8"/>
    <w:rsid w:val="116130B4"/>
    <w:rsid w:val="11C73D0C"/>
    <w:rsid w:val="11E343B6"/>
    <w:rsid w:val="11FA0869"/>
    <w:rsid w:val="120941B5"/>
    <w:rsid w:val="12280F14"/>
    <w:rsid w:val="123D09DC"/>
    <w:rsid w:val="123E3EFC"/>
    <w:rsid w:val="127C300E"/>
    <w:rsid w:val="12952174"/>
    <w:rsid w:val="12A32349"/>
    <w:rsid w:val="12CE04EE"/>
    <w:rsid w:val="12E9069E"/>
    <w:rsid w:val="131E0186"/>
    <w:rsid w:val="132D13BF"/>
    <w:rsid w:val="13650781"/>
    <w:rsid w:val="13B03034"/>
    <w:rsid w:val="13E851F1"/>
    <w:rsid w:val="13F278EE"/>
    <w:rsid w:val="14101C60"/>
    <w:rsid w:val="147D0F37"/>
    <w:rsid w:val="14992CD5"/>
    <w:rsid w:val="14DB0E5A"/>
    <w:rsid w:val="15550983"/>
    <w:rsid w:val="155A3CF9"/>
    <w:rsid w:val="156D105A"/>
    <w:rsid w:val="15BE2056"/>
    <w:rsid w:val="15DB6772"/>
    <w:rsid w:val="16183EDF"/>
    <w:rsid w:val="16584C58"/>
    <w:rsid w:val="16F25613"/>
    <w:rsid w:val="17087C07"/>
    <w:rsid w:val="170C1450"/>
    <w:rsid w:val="17B27B66"/>
    <w:rsid w:val="17BF6981"/>
    <w:rsid w:val="17C12F49"/>
    <w:rsid w:val="17D04058"/>
    <w:rsid w:val="18333DB0"/>
    <w:rsid w:val="18624A78"/>
    <w:rsid w:val="18802709"/>
    <w:rsid w:val="18835462"/>
    <w:rsid w:val="18941A97"/>
    <w:rsid w:val="18A91CB0"/>
    <w:rsid w:val="19553012"/>
    <w:rsid w:val="1978136A"/>
    <w:rsid w:val="19A325CF"/>
    <w:rsid w:val="19A61439"/>
    <w:rsid w:val="19DB7F94"/>
    <w:rsid w:val="19F52BC6"/>
    <w:rsid w:val="1A136F63"/>
    <w:rsid w:val="1A4A55AF"/>
    <w:rsid w:val="1A6B70F8"/>
    <w:rsid w:val="1A7A6E5A"/>
    <w:rsid w:val="1A883876"/>
    <w:rsid w:val="1AA478A7"/>
    <w:rsid w:val="1AC55A5C"/>
    <w:rsid w:val="1AE23C2A"/>
    <w:rsid w:val="1AE81694"/>
    <w:rsid w:val="1B4E6174"/>
    <w:rsid w:val="1B7B4B1F"/>
    <w:rsid w:val="1B90331C"/>
    <w:rsid w:val="1BB5667C"/>
    <w:rsid w:val="1C9B0E64"/>
    <w:rsid w:val="1CA27FD0"/>
    <w:rsid w:val="1CEA7CE5"/>
    <w:rsid w:val="1CF644A0"/>
    <w:rsid w:val="1D1218DD"/>
    <w:rsid w:val="1D134776"/>
    <w:rsid w:val="1D1964B6"/>
    <w:rsid w:val="1D1B4F19"/>
    <w:rsid w:val="1D523525"/>
    <w:rsid w:val="1DC72FB7"/>
    <w:rsid w:val="1DDB32DF"/>
    <w:rsid w:val="1DDF750E"/>
    <w:rsid w:val="1DE20EA7"/>
    <w:rsid w:val="1DF1646A"/>
    <w:rsid w:val="1E277136"/>
    <w:rsid w:val="1E420371"/>
    <w:rsid w:val="1E4944B6"/>
    <w:rsid w:val="1E4A0457"/>
    <w:rsid w:val="1E540B6E"/>
    <w:rsid w:val="1E5A3070"/>
    <w:rsid w:val="1E5A6FA3"/>
    <w:rsid w:val="1E5B7EFD"/>
    <w:rsid w:val="1ECC54B7"/>
    <w:rsid w:val="1ED1023E"/>
    <w:rsid w:val="1EDB29C7"/>
    <w:rsid w:val="1EEF36FB"/>
    <w:rsid w:val="1F2702C8"/>
    <w:rsid w:val="1F3051FC"/>
    <w:rsid w:val="1F430568"/>
    <w:rsid w:val="1F447616"/>
    <w:rsid w:val="1F4F3621"/>
    <w:rsid w:val="1FBE6D4B"/>
    <w:rsid w:val="1FD40C1A"/>
    <w:rsid w:val="1FE93153"/>
    <w:rsid w:val="20104BC8"/>
    <w:rsid w:val="20112C70"/>
    <w:rsid w:val="20202C39"/>
    <w:rsid w:val="20410489"/>
    <w:rsid w:val="204B11B4"/>
    <w:rsid w:val="204B473A"/>
    <w:rsid w:val="204D16DD"/>
    <w:rsid w:val="204F589C"/>
    <w:rsid w:val="205132A5"/>
    <w:rsid w:val="206E52B8"/>
    <w:rsid w:val="20713A86"/>
    <w:rsid w:val="207C6D7B"/>
    <w:rsid w:val="20A419F4"/>
    <w:rsid w:val="20F02865"/>
    <w:rsid w:val="20F34AA9"/>
    <w:rsid w:val="20F91794"/>
    <w:rsid w:val="212577A2"/>
    <w:rsid w:val="213A031C"/>
    <w:rsid w:val="217F367D"/>
    <w:rsid w:val="219008C9"/>
    <w:rsid w:val="21EF55AB"/>
    <w:rsid w:val="21F32DCB"/>
    <w:rsid w:val="2222219E"/>
    <w:rsid w:val="22335472"/>
    <w:rsid w:val="22B428EE"/>
    <w:rsid w:val="22BC1E84"/>
    <w:rsid w:val="231F4B91"/>
    <w:rsid w:val="23251001"/>
    <w:rsid w:val="23353BD0"/>
    <w:rsid w:val="236B62E1"/>
    <w:rsid w:val="237779EF"/>
    <w:rsid w:val="23985174"/>
    <w:rsid w:val="23986F60"/>
    <w:rsid w:val="23B80053"/>
    <w:rsid w:val="23EB5E85"/>
    <w:rsid w:val="23F7362A"/>
    <w:rsid w:val="24125AD3"/>
    <w:rsid w:val="2438689F"/>
    <w:rsid w:val="244D6DB1"/>
    <w:rsid w:val="245A6ECC"/>
    <w:rsid w:val="24A55BCA"/>
    <w:rsid w:val="24AC75F7"/>
    <w:rsid w:val="255B6259"/>
    <w:rsid w:val="255E6EA9"/>
    <w:rsid w:val="256A402F"/>
    <w:rsid w:val="25957582"/>
    <w:rsid w:val="25D92EEE"/>
    <w:rsid w:val="26050EBB"/>
    <w:rsid w:val="26281DF3"/>
    <w:rsid w:val="26343834"/>
    <w:rsid w:val="26563200"/>
    <w:rsid w:val="265C10A7"/>
    <w:rsid w:val="26977C64"/>
    <w:rsid w:val="26A26478"/>
    <w:rsid w:val="26E124E1"/>
    <w:rsid w:val="26F747E5"/>
    <w:rsid w:val="270340B5"/>
    <w:rsid w:val="27160F25"/>
    <w:rsid w:val="27853811"/>
    <w:rsid w:val="27E07F70"/>
    <w:rsid w:val="27E10D23"/>
    <w:rsid w:val="27E814F1"/>
    <w:rsid w:val="27EA7BCB"/>
    <w:rsid w:val="27EF7A05"/>
    <w:rsid w:val="2808287A"/>
    <w:rsid w:val="282A7747"/>
    <w:rsid w:val="283323DF"/>
    <w:rsid w:val="286A228A"/>
    <w:rsid w:val="287B406E"/>
    <w:rsid w:val="288E140D"/>
    <w:rsid w:val="28941337"/>
    <w:rsid w:val="28AE2CEF"/>
    <w:rsid w:val="28BB3369"/>
    <w:rsid w:val="29031C28"/>
    <w:rsid w:val="29127C2B"/>
    <w:rsid w:val="295F4176"/>
    <w:rsid w:val="29650110"/>
    <w:rsid w:val="2991607B"/>
    <w:rsid w:val="2A385D68"/>
    <w:rsid w:val="2A420778"/>
    <w:rsid w:val="2A5A5CF7"/>
    <w:rsid w:val="2A6C6696"/>
    <w:rsid w:val="2A6E1A93"/>
    <w:rsid w:val="2A750BA8"/>
    <w:rsid w:val="2A987924"/>
    <w:rsid w:val="2AA874E0"/>
    <w:rsid w:val="2AFF3EB4"/>
    <w:rsid w:val="2B157704"/>
    <w:rsid w:val="2B603BD7"/>
    <w:rsid w:val="2B6B79B1"/>
    <w:rsid w:val="2B915808"/>
    <w:rsid w:val="2C0C5CE2"/>
    <w:rsid w:val="2C3F1808"/>
    <w:rsid w:val="2C85392E"/>
    <w:rsid w:val="2CF00908"/>
    <w:rsid w:val="2CFA3C14"/>
    <w:rsid w:val="2CFE6E4D"/>
    <w:rsid w:val="2D035D1F"/>
    <w:rsid w:val="2D326C3D"/>
    <w:rsid w:val="2D3879E9"/>
    <w:rsid w:val="2DB71F47"/>
    <w:rsid w:val="2DE7182C"/>
    <w:rsid w:val="2DF854C2"/>
    <w:rsid w:val="2E075AD3"/>
    <w:rsid w:val="2E093941"/>
    <w:rsid w:val="2E8A3450"/>
    <w:rsid w:val="2E9E6BE3"/>
    <w:rsid w:val="2EA64400"/>
    <w:rsid w:val="2EA80B15"/>
    <w:rsid w:val="2ECD6933"/>
    <w:rsid w:val="2F200198"/>
    <w:rsid w:val="2F23566F"/>
    <w:rsid w:val="2F566F0D"/>
    <w:rsid w:val="2FE07DC9"/>
    <w:rsid w:val="2FF50339"/>
    <w:rsid w:val="30023312"/>
    <w:rsid w:val="300E6323"/>
    <w:rsid w:val="3026112F"/>
    <w:rsid w:val="304335C4"/>
    <w:rsid w:val="30774F3C"/>
    <w:rsid w:val="30777F0E"/>
    <w:rsid w:val="30A85ECF"/>
    <w:rsid w:val="30C10E08"/>
    <w:rsid w:val="3108552E"/>
    <w:rsid w:val="314E26A7"/>
    <w:rsid w:val="316B6A6E"/>
    <w:rsid w:val="3185039F"/>
    <w:rsid w:val="31851A4A"/>
    <w:rsid w:val="319E5A58"/>
    <w:rsid w:val="31C747C2"/>
    <w:rsid w:val="31FE687B"/>
    <w:rsid w:val="32163AB9"/>
    <w:rsid w:val="32225628"/>
    <w:rsid w:val="324C65B9"/>
    <w:rsid w:val="32B07ED2"/>
    <w:rsid w:val="32B74056"/>
    <w:rsid w:val="32D556C1"/>
    <w:rsid w:val="33445CAB"/>
    <w:rsid w:val="33663D4D"/>
    <w:rsid w:val="33F47AD8"/>
    <w:rsid w:val="33FB3E4A"/>
    <w:rsid w:val="33FC660D"/>
    <w:rsid w:val="3410544E"/>
    <w:rsid w:val="341D7D55"/>
    <w:rsid w:val="342D6F8D"/>
    <w:rsid w:val="342E5821"/>
    <w:rsid w:val="344E257E"/>
    <w:rsid w:val="345B0D40"/>
    <w:rsid w:val="347C2FF1"/>
    <w:rsid w:val="348846D8"/>
    <w:rsid w:val="34B0194F"/>
    <w:rsid w:val="34B41361"/>
    <w:rsid w:val="35760A6B"/>
    <w:rsid w:val="35896BE6"/>
    <w:rsid w:val="35BF63A5"/>
    <w:rsid w:val="362E7A13"/>
    <w:rsid w:val="36420CDA"/>
    <w:rsid w:val="36651104"/>
    <w:rsid w:val="36651A24"/>
    <w:rsid w:val="36707E5F"/>
    <w:rsid w:val="36866665"/>
    <w:rsid w:val="36E91883"/>
    <w:rsid w:val="3701788F"/>
    <w:rsid w:val="370277B6"/>
    <w:rsid w:val="370D41E5"/>
    <w:rsid w:val="371D5734"/>
    <w:rsid w:val="37427820"/>
    <w:rsid w:val="37D6396D"/>
    <w:rsid w:val="3813071E"/>
    <w:rsid w:val="384C6363"/>
    <w:rsid w:val="38516F67"/>
    <w:rsid w:val="3855077D"/>
    <w:rsid w:val="387B504A"/>
    <w:rsid w:val="38806FD1"/>
    <w:rsid w:val="3887669F"/>
    <w:rsid w:val="388C54AA"/>
    <w:rsid w:val="38A55956"/>
    <w:rsid w:val="38BE47F0"/>
    <w:rsid w:val="38DA4C7C"/>
    <w:rsid w:val="39210985"/>
    <w:rsid w:val="39237490"/>
    <w:rsid w:val="393550F5"/>
    <w:rsid w:val="39712C5B"/>
    <w:rsid w:val="39874112"/>
    <w:rsid w:val="39EE59F7"/>
    <w:rsid w:val="3A416594"/>
    <w:rsid w:val="3A7A68E5"/>
    <w:rsid w:val="3A930B9D"/>
    <w:rsid w:val="3AA11F4C"/>
    <w:rsid w:val="3ACC75E1"/>
    <w:rsid w:val="3AD2215F"/>
    <w:rsid w:val="3AE45EDB"/>
    <w:rsid w:val="3B200FA6"/>
    <w:rsid w:val="3B2327B4"/>
    <w:rsid w:val="3B2F459B"/>
    <w:rsid w:val="3B36041A"/>
    <w:rsid w:val="3B3D4755"/>
    <w:rsid w:val="3B4B5729"/>
    <w:rsid w:val="3B55589E"/>
    <w:rsid w:val="3B911029"/>
    <w:rsid w:val="3B9D4328"/>
    <w:rsid w:val="3BA245EC"/>
    <w:rsid w:val="3BE95060"/>
    <w:rsid w:val="3BFF1F44"/>
    <w:rsid w:val="3C153A08"/>
    <w:rsid w:val="3C3D70D7"/>
    <w:rsid w:val="3C5907F4"/>
    <w:rsid w:val="3C9F1CFE"/>
    <w:rsid w:val="3CD4505F"/>
    <w:rsid w:val="3D18737A"/>
    <w:rsid w:val="3D2C54B2"/>
    <w:rsid w:val="3D430BBA"/>
    <w:rsid w:val="3D5B547D"/>
    <w:rsid w:val="3D6919F4"/>
    <w:rsid w:val="3D786656"/>
    <w:rsid w:val="3D827C9B"/>
    <w:rsid w:val="3D840E20"/>
    <w:rsid w:val="3D904EBD"/>
    <w:rsid w:val="3E5D2C31"/>
    <w:rsid w:val="3E92664B"/>
    <w:rsid w:val="3EAD5395"/>
    <w:rsid w:val="3EC66741"/>
    <w:rsid w:val="3EF40A7E"/>
    <w:rsid w:val="3F24617A"/>
    <w:rsid w:val="3F3F3440"/>
    <w:rsid w:val="3F40748E"/>
    <w:rsid w:val="3F417F1C"/>
    <w:rsid w:val="3F5F706F"/>
    <w:rsid w:val="3F6BDE6E"/>
    <w:rsid w:val="3FB33DB6"/>
    <w:rsid w:val="3FBF01F2"/>
    <w:rsid w:val="3FBF03BD"/>
    <w:rsid w:val="3FF22E3C"/>
    <w:rsid w:val="40345529"/>
    <w:rsid w:val="4081675F"/>
    <w:rsid w:val="408A2B6F"/>
    <w:rsid w:val="408D2D57"/>
    <w:rsid w:val="40FD5F5F"/>
    <w:rsid w:val="41101883"/>
    <w:rsid w:val="41120516"/>
    <w:rsid w:val="411A51AC"/>
    <w:rsid w:val="411D06EF"/>
    <w:rsid w:val="41D30497"/>
    <w:rsid w:val="41FE4B63"/>
    <w:rsid w:val="422B298A"/>
    <w:rsid w:val="422C5607"/>
    <w:rsid w:val="42454094"/>
    <w:rsid w:val="425B6C52"/>
    <w:rsid w:val="42703746"/>
    <w:rsid w:val="4274524B"/>
    <w:rsid w:val="427C2F84"/>
    <w:rsid w:val="4280222A"/>
    <w:rsid w:val="42841F35"/>
    <w:rsid w:val="429268CF"/>
    <w:rsid w:val="42D32DB8"/>
    <w:rsid w:val="431326C3"/>
    <w:rsid w:val="431431D4"/>
    <w:rsid w:val="431E7600"/>
    <w:rsid w:val="43217E9C"/>
    <w:rsid w:val="43327303"/>
    <w:rsid w:val="43383EA0"/>
    <w:rsid w:val="434F35B7"/>
    <w:rsid w:val="43507313"/>
    <w:rsid w:val="43521929"/>
    <w:rsid w:val="43574986"/>
    <w:rsid w:val="435E6200"/>
    <w:rsid w:val="440B6D71"/>
    <w:rsid w:val="44160872"/>
    <w:rsid w:val="44C72117"/>
    <w:rsid w:val="44CC258C"/>
    <w:rsid w:val="44D31250"/>
    <w:rsid w:val="44D975BB"/>
    <w:rsid w:val="45225E26"/>
    <w:rsid w:val="452B429C"/>
    <w:rsid w:val="453E5D7D"/>
    <w:rsid w:val="45482B33"/>
    <w:rsid w:val="45782BD4"/>
    <w:rsid w:val="457C59D5"/>
    <w:rsid w:val="459645A6"/>
    <w:rsid w:val="45AC0FFA"/>
    <w:rsid w:val="45C42767"/>
    <w:rsid w:val="45DC4A74"/>
    <w:rsid w:val="45E9646F"/>
    <w:rsid w:val="461616EB"/>
    <w:rsid w:val="461B273A"/>
    <w:rsid w:val="461B33C5"/>
    <w:rsid w:val="4666432D"/>
    <w:rsid w:val="46C60CEA"/>
    <w:rsid w:val="46C8272C"/>
    <w:rsid w:val="46EA6015"/>
    <w:rsid w:val="47234C15"/>
    <w:rsid w:val="4727411C"/>
    <w:rsid w:val="47430DCF"/>
    <w:rsid w:val="47877FFB"/>
    <w:rsid w:val="47CC210A"/>
    <w:rsid w:val="47F94154"/>
    <w:rsid w:val="48567F73"/>
    <w:rsid w:val="485B7B58"/>
    <w:rsid w:val="487B44F6"/>
    <w:rsid w:val="48873598"/>
    <w:rsid w:val="48DD592A"/>
    <w:rsid w:val="49271A4C"/>
    <w:rsid w:val="49722646"/>
    <w:rsid w:val="497E2BEC"/>
    <w:rsid w:val="49C569E9"/>
    <w:rsid w:val="49F14B1B"/>
    <w:rsid w:val="4A195C5D"/>
    <w:rsid w:val="4A1B7AC6"/>
    <w:rsid w:val="4A220E27"/>
    <w:rsid w:val="4A7A40A1"/>
    <w:rsid w:val="4AC54EC0"/>
    <w:rsid w:val="4ADD1881"/>
    <w:rsid w:val="4AED1442"/>
    <w:rsid w:val="4B075259"/>
    <w:rsid w:val="4B240856"/>
    <w:rsid w:val="4B625723"/>
    <w:rsid w:val="4B683341"/>
    <w:rsid w:val="4B754B18"/>
    <w:rsid w:val="4BE3778A"/>
    <w:rsid w:val="4C0A3CD4"/>
    <w:rsid w:val="4C2618C2"/>
    <w:rsid w:val="4C365338"/>
    <w:rsid w:val="4C561D5D"/>
    <w:rsid w:val="4C7A6FB0"/>
    <w:rsid w:val="4D0D22CC"/>
    <w:rsid w:val="4D16380C"/>
    <w:rsid w:val="4D3328CC"/>
    <w:rsid w:val="4D545A21"/>
    <w:rsid w:val="4D645B85"/>
    <w:rsid w:val="4D7C69F1"/>
    <w:rsid w:val="4DB659ED"/>
    <w:rsid w:val="4DBD3D3E"/>
    <w:rsid w:val="4DD058AE"/>
    <w:rsid w:val="4E054B87"/>
    <w:rsid w:val="4E621CF8"/>
    <w:rsid w:val="4E717B12"/>
    <w:rsid w:val="4E9C7427"/>
    <w:rsid w:val="4EC9149A"/>
    <w:rsid w:val="4ED6317E"/>
    <w:rsid w:val="4EE73FC3"/>
    <w:rsid w:val="4EEC4B6F"/>
    <w:rsid w:val="4F0F751B"/>
    <w:rsid w:val="4F2714F8"/>
    <w:rsid w:val="4F3E50A8"/>
    <w:rsid w:val="4F4562B5"/>
    <w:rsid w:val="4F603530"/>
    <w:rsid w:val="4F627019"/>
    <w:rsid w:val="4F8E282C"/>
    <w:rsid w:val="4FC43DC4"/>
    <w:rsid w:val="501E2A33"/>
    <w:rsid w:val="50416372"/>
    <w:rsid w:val="50795EBC"/>
    <w:rsid w:val="50AE6ABE"/>
    <w:rsid w:val="50BF5FB2"/>
    <w:rsid w:val="50CC366C"/>
    <w:rsid w:val="50D106D2"/>
    <w:rsid w:val="50D81C6D"/>
    <w:rsid w:val="511B12A6"/>
    <w:rsid w:val="513941A5"/>
    <w:rsid w:val="514A5AAA"/>
    <w:rsid w:val="514E7D51"/>
    <w:rsid w:val="51546491"/>
    <w:rsid w:val="51A54DFD"/>
    <w:rsid w:val="525664B8"/>
    <w:rsid w:val="527C6D3C"/>
    <w:rsid w:val="528D316F"/>
    <w:rsid w:val="52DA5028"/>
    <w:rsid w:val="52EF0539"/>
    <w:rsid w:val="532423D6"/>
    <w:rsid w:val="53BC614D"/>
    <w:rsid w:val="53D03443"/>
    <w:rsid w:val="542163CA"/>
    <w:rsid w:val="54437FCE"/>
    <w:rsid w:val="54471A18"/>
    <w:rsid w:val="54643B32"/>
    <w:rsid w:val="5468285F"/>
    <w:rsid w:val="546D77E0"/>
    <w:rsid w:val="5486329D"/>
    <w:rsid w:val="54895C2A"/>
    <w:rsid w:val="54B10FEB"/>
    <w:rsid w:val="54BB4C07"/>
    <w:rsid w:val="54C150DF"/>
    <w:rsid w:val="54E67E67"/>
    <w:rsid w:val="552327EE"/>
    <w:rsid w:val="554B791C"/>
    <w:rsid w:val="556E4983"/>
    <w:rsid w:val="557F55A3"/>
    <w:rsid w:val="5582323D"/>
    <w:rsid w:val="55977F65"/>
    <w:rsid w:val="559A30BC"/>
    <w:rsid w:val="559E0F31"/>
    <w:rsid w:val="55AF59F9"/>
    <w:rsid w:val="55BD7D30"/>
    <w:rsid w:val="55C706D0"/>
    <w:rsid w:val="55C93C35"/>
    <w:rsid w:val="55CB6B05"/>
    <w:rsid w:val="5602139D"/>
    <w:rsid w:val="5634700C"/>
    <w:rsid w:val="5685359D"/>
    <w:rsid w:val="56DC07B3"/>
    <w:rsid w:val="573148E0"/>
    <w:rsid w:val="573643E0"/>
    <w:rsid w:val="573C752C"/>
    <w:rsid w:val="576632A3"/>
    <w:rsid w:val="57923212"/>
    <w:rsid w:val="579315C7"/>
    <w:rsid w:val="57B81D0A"/>
    <w:rsid w:val="57C540DC"/>
    <w:rsid w:val="57C87729"/>
    <w:rsid w:val="57CF3D8B"/>
    <w:rsid w:val="580D2309"/>
    <w:rsid w:val="585260C7"/>
    <w:rsid w:val="58883033"/>
    <w:rsid w:val="591365FF"/>
    <w:rsid w:val="59587EEF"/>
    <w:rsid w:val="598E4988"/>
    <w:rsid w:val="59A65AC3"/>
    <w:rsid w:val="59EC6471"/>
    <w:rsid w:val="59F4182F"/>
    <w:rsid w:val="59FF2D1D"/>
    <w:rsid w:val="5A0B1D4B"/>
    <w:rsid w:val="5A4B2826"/>
    <w:rsid w:val="5A532B5B"/>
    <w:rsid w:val="5A582698"/>
    <w:rsid w:val="5A5F0E36"/>
    <w:rsid w:val="5A765B2E"/>
    <w:rsid w:val="5A82403D"/>
    <w:rsid w:val="5AE406A1"/>
    <w:rsid w:val="5B050838"/>
    <w:rsid w:val="5B1742D4"/>
    <w:rsid w:val="5B4478D0"/>
    <w:rsid w:val="5B51290C"/>
    <w:rsid w:val="5B6D5BE2"/>
    <w:rsid w:val="5B9916BB"/>
    <w:rsid w:val="5BE7274E"/>
    <w:rsid w:val="5BF31218"/>
    <w:rsid w:val="5C073369"/>
    <w:rsid w:val="5C3100CA"/>
    <w:rsid w:val="5C382143"/>
    <w:rsid w:val="5C4A5B73"/>
    <w:rsid w:val="5C4E25C2"/>
    <w:rsid w:val="5C7F0CFE"/>
    <w:rsid w:val="5CA43431"/>
    <w:rsid w:val="5CB34546"/>
    <w:rsid w:val="5CEC2F5D"/>
    <w:rsid w:val="5D1D7B60"/>
    <w:rsid w:val="5D436F75"/>
    <w:rsid w:val="5D7052FE"/>
    <w:rsid w:val="5D83659C"/>
    <w:rsid w:val="5D98691B"/>
    <w:rsid w:val="5DC23D49"/>
    <w:rsid w:val="5DD74833"/>
    <w:rsid w:val="5DF8793F"/>
    <w:rsid w:val="5E537F72"/>
    <w:rsid w:val="5E596E1B"/>
    <w:rsid w:val="5E665C45"/>
    <w:rsid w:val="5EB15584"/>
    <w:rsid w:val="5EF80146"/>
    <w:rsid w:val="5F2F1CD4"/>
    <w:rsid w:val="5F353617"/>
    <w:rsid w:val="5F385DC0"/>
    <w:rsid w:val="5F3D1EAB"/>
    <w:rsid w:val="5F5E2B0C"/>
    <w:rsid w:val="5F816A14"/>
    <w:rsid w:val="5F886BF1"/>
    <w:rsid w:val="5F900F81"/>
    <w:rsid w:val="5FBE733D"/>
    <w:rsid w:val="5FF502A2"/>
    <w:rsid w:val="6019183C"/>
    <w:rsid w:val="60852973"/>
    <w:rsid w:val="60F74BF5"/>
    <w:rsid w:val="611D2B4B"/>
    <w:rsid w:val="612C1B6A"/>
    <w:rsid w:val="614B3B50"/>
    <w:rsid w:val="618E558D"/>
    <w:rsid w:val="61BB351A"/>
    <w:rsid w:val="61EA4E6B"/>
    <w:rsid w:val="61FA036C"/>
    <w:rsid w:val="61FE4473"/>
    <w:rsid w:val="62332E7A"/>
    <w:rsid w:val="62451DFA"/>
    <w:rsid w:val="624632C7"/>
    <w:rsid w:val="626302CA"/>
    <w:rsid w:val="62715ABE"/>
    <w:rsid w:val="627661ED"/>
    <w:rsid w:val="62D91AD8"/>
    <w:rsid w:val="62EE244C"/>
    <w:rsid w:val="631C429F"/>
    <w:rsid w:val="63340F61"/>
    <w:rsid w:val="63B3425D"/>
    <w:rsid w:val="63C24BE9"/>
    <w:rsid w:val="63DF3789"/>
    <w:rsid w:val="63F8665E"/>
    <w:rsid w:val="64304329"/>
    <w:rsid w:val="64850BEA"/>
    <w:rsid w:val="64E66091"/>
    <w:rsid w:val="65152F79"/>
    <w:rsid w:val="65601678"/>
    <w:rsid w:val="65EF2D48"/>
    <w:rsid w:val="65F84527"/>
    <w:rsid w:val="65F94546"/>
    <w:rsid w:val="66F27051"/>
    <w:rsid w:val="673A72C8"/>
    <w:rsid w:val="677D5E69"/>
    <w:rsid w:val="678A05A5"/>
    <w:rsid w:val="67C71BA3"/>
    <w:rsid w:val="67C72F8D"/>
    <w:rsid w:val="67CD16EE"/>
    <w:rsid w:val="683602EC"/>
    <w:rsid w:val="683A01CF"/>
    <w:rsid w:val="683F2E59"/>
    <w:rsid w:val="68522DE5"/>
    <w:rsid w:val="686C30E3"/>
    <w:rsid w:val="68817792"/>
    <w:rsid w:val="68BA1E05"/>
    <w:rsid w:val="68C842A8"/>
    <w:rsid w:val="68C94BDA"/>
    <w:rsid w:val="68D86BAF"/>
    <w:rsid w:val="68D973F4"/>
    <w:rsid w:val="690E0C53"/>
    <w:rsid w:val="69194288"/>
    <w:rsid w:val="69340CF6"/>
    <w:rsid w:val="693801E6"/>
    <w:rsid w:val="695A677E"/>
    <w:rsid w:val="69722E90"/>
    <w:rsid w:val="69A51491"/>
    <w:rsid w:val="69A912B3"/>
    <w:rsid w:val="69BC2AA9"/>
    <w:rsid w:val="69D45A0A"/>
    <w:rsid w:val="69EF3FA1"/>
    <w:rsid w:val="6A211437"/>
    <w:rsid w:val="6A551979"/>
    <w:rsid w:val="6A7379C8"/>
    <w:rsid w:val="6A854623"/>
    <w:rsid w:val="6AC30431"/>
    <w:rsid w:val="6ADF0B16"/>
    <w:rsid w:val="6AEC7A63"/>
    <w:rsid w:val="6B3C14AA"/>
    <w:rsid w:val="6B3F5E44"/>
    <w:rsid w:val="6B4559A7"/>
    <w:rsid w:val="6B4D55ED"/>
    <w:rsid w:val="6B53513B"/>
    <w:rsid w:val="6B5D6334"/>
    <w:rsid w:val="6B7E3E65"/>
    <w:rsid w:val="6B871ABC"/>
    <w:rsid w:val="6B957BB9"/>
    <w:rsid w:val="6BA647CD"/>
    <w:rsid w:val="6BC66EA3"/>
    <w:rsid w:val="6CA87429"/>
    <w:rsid w:val="6CB450FD"/>
    <w:rsid w:val="6CBC315F"/>
    <w:rsid w:val="6D1D50E8"/>
    <w:rsid w:val="6D3C4D14"/>
    <w:rsid w:val="6D774270"/>
    <w:rsid w:val="6DB93CBE"/>
    <w:rsid w:val="6DD15131"/>
    <w:rsid w:val="6DDD2798"/>
    <w:rsid w:val="6DFC5E62"/>
    <w:rsid w:val="6E1A73E2"/>
    <w:rsid w:val="6E8767CA"/>
    <w:rsid w:val="6EC175E4"/>
    <w:rsid w:val="6EF915DE"/>
    <w:rsid w:val="6F110126"/>
    <w:rsid w:val="6F2433C3"/>
    <w:rsid w:val="6F2F761B"/>
    <w:rsid w:val="6F570614"/>
    <w:rsid w:val="6F776151"/>
    <w:rsid w:val="6F824A9A"/>
    <w:rsid w:val="702F29DA"/>
    <w:rsid w:val="703715E4"/>
    <w:rsid w:val="706F348B"/>
    <w:rsid w:val="70813E31"/>
    <w:rsid w:val="70A16506"/>
    <w:rsid w:val="70D834FE"/>
    <w:rsid w:val="71285068"/>
    <w:rsid w:val="713301D7"/>
    <w:rsid w:val="714C1F50"/>
    <w:rsid w:val="71755B45"/>
    <w:rsid w:val="719A4B87"/>
    <w:rsid w:val="71A0798B"/>
    <w:rsid w:val="71D838EB"/>
    <w:rsid w:val="7201710A"/>
    <w:rsid w:val="721245BB"/>
    <w:rsid w:val="721640B6"/>
    <w:rsid w:val="726363D2"/>
    <w:rsid w:val="726B7AAC"/>
    <w:rsid w:val="7289399B"/>
    <w:rsid w:val="729D5913"/>
    <w:rsid w:val="72A20C37"/>
    <w:rsid w:val="72B92EB4"/>
    <w:rsid w:val="72D17EBB"/>
    <w:rsid w:val="72D413DD"/>
    <w:rsid w:val="72D82400"/>
    <w:rsid w:val="73312E2A"/>
    <w:rsid w:val="73514BC3"/>
    <w:rsid w:val="73644E7F"/>
    <w:rsid w:val="73A15B75"/>
    <w:rsid w:val="73B50B5A"/>
    <w:rsid w:val="73C846D6"/>
    <w:rsid w:val="73D72D76"/>
    <w:rsid w:val="7406783B"/>
    <w:rsid w:val="74205DF3"/>
    <w:rsid w:val="742C41C0"/>
    <w:rsid w:val="74455C41"/>
    <w:rsid w:val="744A4973"/>
    <w:rsid w:val="746C450B"/>
    <w:rsid w:val="746F0E70"/>
    <w:rsid w:val="747E66E9"/>
    <w:rsid w:val="74B005BA"/>
    <w:rsid w:val="74B85E07"/>
    <w:rsid w:val="74E122F7"/>
    <w:rsid w:val="74E162C6"/>
    <w:rsid w:val="75430A0D"/>
    <w:rsid w:val="75A54F01"/>
    <w:rsid w:val="76092BE1"/>
    <w:rsid w:val="76134A7F"/>
    <w:rsid w:val="7619259E"/>
    <w:rsid w:val="76194B60"/>
    <w:rsid w:val="764C46F5"/>
    <w:rsid w:val="76550BEF"/>
    <w:rsid w:val="76B43A38"/>
    <w:rsid w:val="76F81761"/>
    <w:rsid w:val="76FA276E"/>
    <w:rsid w:val="77093988"/>
    <w:rsid w:val="771129F1"/>
    <w:rsid w:val="777C372C"/>
    <w:rsid w:val="77840675"/>
    <w:rsid w:val="778F2B43"/>
    <w:rsid w:val="779C5E07"/>
    <w:rsid w:val="77E992F5"/>
    <w:rsid w:val="77FC67B9"/>
    <w:rsid w:val="780F0B33"/>
    <w:rsid w:val="783052B3"/>
    <w:rsid w:val="783629F5"/>
    <w:rsid w:val="7865614F"/>
    <w:rsid w:val="78673DEA"/>
    <w:rsid w:val="78AA0BE3"/>
    <w:rsid w:val="78DF13CD"/>
    <w:rsid w:val="79420AE6"/>
    <w:rsid w:val="794627BC"/>
    <w:rsid w:val="79492D38"/>
    <w:rsid w:val="795453E1"/>
    <w:rsid w:val="79DA48DD"/>
    <w:rsid w:val="7A040D49"/>
    <w:rsid w:val="7A205F95"/>
    <w:rsid w:val="7A3031E0"/>
    <w:rsid w:val="7A3B20A5"/>
    <w:rsid w:val="7A41252F"/>
    <w:rsid w:val="7A4615FD"/>
    <w:rsid w:val="7A594F26"/>
    <w:rsid w:val="7A763B8C"/>
    <w:rsid w:val="7ACC5069"/>
    <w:rsid w:val="7AD410D3"/>
    <w:rsid w:val="7AFB7886"/>
    <w:rsid w:val="7B1D4F2A"/>
    <w:rsid w:val="7B2C10FC"/>
    <w:rsid w:val="7B5D34E7"/>
    <w:rsid w:val="7B691222"/>
    <w:rsid w:val="7B6E328D"/>
    <w:rsid w:val="7B7F3192"/>
    <w:rsid w:val="7B85302B"/>
    <w:rsid w:val="7BA30236"/>
    <w:rsid w:val="7BC03AF0"/>
    <w:rsid w:val="7BC1622C"/>
    <w:rsid w:val="7BD45938"/>
    <w:rsid w:val="7BEE07DF"/>
    <w:rsid w:val="7CBA580B"/>
    <w:rsid w:val="7CBF7B63"/>
    <w:rsid w:val="7CC25786"/>
    <w:rsid w:val="7CC57D7F"/>
    <w:rsid w:val="7CD62DD9"/>
    <w:rsid w:val="7D177394"/>
    <w:rsid w:val="7D32498B"/>
    <w:rsid w:val="7D4827DF"/>
    <w:rsid w:val="7D7B2DBF"/>
    <w:rsid w:val="7D985324"/>
    <w:rsid w:val="7E1D6F4A"/>
    <w:rsid w:val="7E260644"/>
    <w:rsid w:val="7E626E47"/>
    <w:rsid w:val="7E632A2D"/>
    <w:rsid w:val="7E85323F"/>
    <w:rsid w:val="7ED86A6B"/>
    <w:rsid w:val="7EDC636B"/>
    <w:rsid w:val="7EE32F8B"/>
    <w:rsid w:val="7EFC18E2"/>
    <w:rsid w:val="7F0319CC"/>
    <w:rsid w:val="7F2C4199"/>
    <w:rsid w:val="7F6A5034"/>
    <w:rsid w:val="7F971492"/>
    <w:rsid w:val="7F9D1381"/>
    <w:rsid w:val="7FB33AF1"/>
    <w:rsid w:val="7FC33907"/>
    <w:rsid w:val="7FF63F2C"/>
    <w:rsid w:val="7FF828C1"/>
    <w:rsid w:val="8DFA001A"/>
    <w:rsid w:val="AA6DF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cs="黑体"/>
    </w:rPr>
  </w:style>
  <w:style w:type="paragraph" w:styleId="6">
    <w:name w:val="annotation text"/>
    <w:basedOn w:val="1"/>
    <w:qFormat/>
    <w:uiPriority w:val="0"/>
    <w:pPr>
      <w:jc w:val="left"/>
    </w:pPr>
  </w:style>
  <w:style w:type="paragraph" w:styleId="7">
    <w:name w:val="Body Text Indent"/>
    <w:basedOn w:val="1"/>
    <w:next w:val="5"/>
    <w:unhideWhenUsed/>
    <w:qFormat/>
    <w:uiPriority w:val="99"/>
    <w:pPr>
      <w:ind w:firstLine="570"/>
    </w:pPr>
    <w:rPr>
      <w:rFonts w:eastAsia="黑体"/>
      <w:sz w:val="28"/>
    </w:rPr>
  </w:style>
  <w:style w:type="paragraph" w:styleId="8">
    <w:name w:val="toc 3"/>
    <w:basedOn w:val="1"/>
    <w:next w:val="1"/>
    <w:qFormat/>
    <w:uiPriority w:val="0"/>
    <w:pPr>
      <w:ind w:left="840" w:leftChars="400"/>
    </w:pPr>
  </w:style>
  <w:style w:type="paragraph" w:styleId="9">
    <w:name w:val="Body Text Indent 2"/>
    <w:basedOn w:val="1"/>
    <w:qFormat/>
    <w:uiPriority w:val="0"/>
    <w:pPr>
      <w:spacing w:line="480" w:lineRule="auto"/>
      <w:ind w:left="420" w:leftChars="200"/>
    </w:pPr>
  </w:style>
  <w:style w:type="paragraph" w:styleId="10">
    <w:name w:val="Balloon Text"/>
    <w:basedOn w:val="1"/>
    <w:link w:val="4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Subtitle"/>
    <w:basedOn w:val="1"/>
    <w:next w:val="1"/>
    <w:qFormat/>
    <w:uiPriority w:val="11"/>
    <w:pPr>
      <w:spacing w:before="240" w:after="60" w:line="312" w:lineRule="auto"/>
      <w:jc w:val="center"/>
      <w:outlineLvl w:val="1"/>
    </w:pPr>
    <w:rPr>
      <w:rFonts w:ascii="等线 Light" w:hAnsi="等线 Light" w:cs="Times New Roman"/>
      <w:b/>
      <w:bCs/>
      <w:kern w:val="28"/>
      <w:sz w:val="32"/>
    </w:rPr>
  </w:style>
  <w:style w:type="paragraph" w:styleId="15">
    <w:name w:val="footnote text"/>
    <w:basedOn w:val="1"/>
    <w:qFormat/>
    <w:uiPriority w:val="0"/>
    <w:pPr>
      <w:snapToGrid w:val="0"/>
      <w:jc w:val="left"/>
    </w:pPr>
    <w:rPr>
      <w:sz w:val="18"/>
    </w:rPr>
  </w:style>
  <w:style w:type="paragraph" w:styleId="16">
    <w:name w:val="toc 2"/>
    <w:basedOn w:val="1"/>
    <w:next w:val="1"/>
    <w:unhideWhenUsed/>
    <w:qFormat/>
    <w:uiPriority w:val="39"/>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afterAutospacing="1"/>
      <w:jc w:val="left"/>
    </w:pPr>
    <w:rPr>
      <w:rFonts w:cs="Times New Roman"/>
      <w:kern w:val="0"/>
      <w:sz w:val="24"/>
    </w:rPr>
  </w:style>
  <w:style w:type="paragraph" w:styleId="19">
    <w:name w:val="Title"/>
    <w:basedOn w:val="1"/>
    <w:next w:val="1"/>
    <w:qFormat/>
    <w:uiPriority w:val="10"/>
    <w:pPr>
      <w:spacing w:before="240" w:after="60"/>
      <w:jc w:val="center"/>
      <w:outlineLvl w:val="0"/>
    </w:pPr>
    <w:rPr>
      <w:rFonts w:ascii="等线 Light" w:hAnsi="等线 Light" w:cs="Times New Roman"/>
      <w:sz w:val="32"/>
    </w:rPr>
  </w:style>
  <w:style w:type="paragraph" w:styleId="20">
    <w:name w:val="Body Text First Indent 2"/>
    <w:basedOn w:val="7"/>
    <w:next w:val="1"/>
    <w:qFormat/>
    <w:uiPriority w:val="99"/>
    <w:pPr>
      <w:widowControl w:val="0"/>
      <w:spacing w:line="560" w:lineRule="exact"/>
      <w:ind w:firstLine="420" w:firstLineChars="200"/>
      <w:jc w:val="both"/>
    </w:pPr>
    <w:rPr>
      <w:rFonts w:ascii="Times New Roman" w:hAnsi="Times New Roman" w:eastAsia="方正仿宋" w:cs="Times New Roman"/>
      <w:kern w:val="2"/>
      <w:sz w:val="32"/>
      <w:szCs w:val="32"/>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161616"/>
      <w:u w:val="none"/>
    </w:rPr>
  </w:style>
  <w:style w:type="character" w:styleId="26">
    <w:name w:val="Hyperlink"/>
    <w:basedOn w:val="23"/>
    <w:qFormat/>
    <w:uiPriority w:val="0"/>
    <w:rPr>
      <w:color w:val="161616"/>
      <w:u w:val="none"/>
    </w:rPr>
  </w:style>
  <w:style w:type="character" w:styleId="27">
    <w:name w:val="HTML Code"/>
    <w:basedOn w:val="23"/>
    <w:qFormat/>
    <w:uiPriority w:val="0"/>
    <w:rPr>
      <w:rFonts w:hint="default" w:ascii="Consolas" w:hAnsi="Consolas" w:eastAsia="Consolas" w:cs="Consolas"/>
      <w:color w:val="E83E8C"/>
      <w:sz w:val="21"/>
      <w:szCs w:val="21"/>
    </w:rPr>
  </w:style>
  <w:style w:type="character" w:styleId="28">
    <w:name w:val="footnote reference"/>
    <w:basedOn w:val="23"/>
    <w:qFormat/>
    <w:uiPriority w:val="0"/>
    <w:rPr>
      <w:vertAlign w:val="superscript"/>
    </w:rPr>
  </w:style>
  <w:style w:type="character" w:styleId="29">
    <w:name w:val="HTML Keyboard"/>
    <w:basedOn w:val="23"/>
    <w:qFormat/>
    <w:uiPriority w:val="0"/>
    <w:rPr>
      <w:rFonts w:ascii="Consolas" w:hAnsi="Consolas" w:eastAsia="Consolas" w:cs="Consolas"/>
      <w:color w:val="FFFFFF"/>
      <w:sz w:val="21"/>
      <w:szCs w:val="21"/>
      <w:shd w:val="clear" w:color="auto" w:fill="212529"/>
    </w:rPr>
  </w:style>
  <w:style w:type="character" w:styleId="30">
    <w:name w:val="HTML Sample"/>
    <w:basedOn w:val="23"/>
    <w:qFormat/>
    <w:uiPriority w:val="0"/>
    <w:rPr>
      <w:rFonts w:hint="default" w:ascii="Consolas" w:hAnsi="Consolas" w:eastAsia="Consolas" w:cs="Consolas"/>
      <w:sz w:val="21"/>
      <w:szCs w:val="21"/>
    </w:rPr>
  </w:style>
  <w:style w:type="character" w:customStyle="1" w:styleId="31">
    <w:name w:val="disabled"/>
    <w:basedOn w:val="23"/>
    <w:qFormat/>
    <w:uiPriority w:val="0"/>
    <w:rPr>
      <w:color w:val="BFBFBF"/>
    </w:rPr>
  </w:style>
  <w:style w:type="character" w:customStyle="1" w:styleId="32">
    <w:name w:val="current"/>
    <w:basedOn w:val="23"/>
    <w:qFormat/>
    <w:uiPriority w:val="0"/>
    <w:rPr>
      <w:color w:val="FFFFFF"/>
      <w:shd w:val="clear" w:color="auto" w:fill="428BCA"/>
    </w:rPr>
  </w:style>
  <w:style w:type="character" w:customStyle="1" w:styleId="33">
    <w:name w:val="hover39"/>
    <w:basedOn w:val="23"/>
    <w:qFormat/>
    <w:uiPriority w:val="0"/>
    <w:rPr>
      <w:color w:val="111111"/>
      <w:shd w:val="clear" w:color="auto" w:fill="E9ECEF"/>
    </w:rPr>
  </w:style>
  <w:style w:type="character" w:customStyle="1" w:styleId="34">
    <w:name w:val="hover41"/>
    <w:basedOn w:val="23"/>
    <w:qFormat/>
    <w:uiPriority w:val="0"/>
    <w:rPr>
      <w:color w:val="111111"/>
      <w:shd w:val="clear" w:color="auto" w:fill="E9ECEF"/>
    </w:rPr>
  </w:style>
  <w:style w:type="character" w:customStyle="1" w:styleId="35">
    <w:name w:val="current5"/>
    <w:basedOn w:val="23"/>
    <w:qFormat/>
    <w:uiPriority w:val="0"/>
    <w:rPr>
      <w:color w:val="FFFFFF"/>
      <w:shd w:val="clear" w:color="auto" w:fill="428BCA"/>
    </w:rPr>
  </w:style>
  <w:style w:type="character" w:customStyle="1" w:styleId="36">
    <w:name w:val="disabled2"/>
    <w:basedOn w:val="23"/>
    <w:qFormat/>
    <w:uiPriority w:val="0"/>
    <w:rPr>
      <w:color w:val="BFBFBF"/>
    </w:rPr>
  </w:style>
  <w:style w:type="character" w:customStyle="1" w:styleId="37">
    <w:name w:val="current6"/>
    <w:basedOn w:val="23"/>
    <w:qFormat/>
    <w:uiPriority w:val="0"/>
    <w:rPr>
      <w:color w:val="FFFFFF"/>
      <w:shd w:val="clear" w:color="auto" w:fill="428BCA"/>
    </w:rPr>
  </w:style>
  <w:style w:type="paragraph" w:customStyle="1" w:styleId="38">
    <w:name w:val="p0"/>
    <w:basedOn w:val="1"/>
    <w:qFormat/>
    <w:uiPriority w:val="0"/>
    <w:pPr>
      <w:widowControl/>
    </w:pPr>
    <w:rPr>
      <w:rFonts w:ascii="Calibri" w:hAnsi="Calibri" w:eastAsia="宋体" w:cs="宋体"/>
      <w:kern w:val="0"/>
      <w:szCs w:val="21"/>
    </w:rPr>
  </w:style>
  <w:style w:type="character" w:customStyle="1" w:styleId="39">
    <w:name w:val="font01"/>
    <w:basedOn w:val="23"/>
    <w:qFormat/>
    <w:uiPriority w:val="0"/>
    <w:rPr>
      <w:rFonts w:hint="default" w:ascii="仿宋_GB2312" w:eastAsia="仿宋_GB2312" w:cs="仿宋_GB2312"/>
      <w:color w:val="FF0000"/>
      <w:sz w:val="24"/>
      <w:szCs w:val="24"/>
      <w:u w:val="none"/>
    </w:rPr>
  </w:style>
  <w:style w:type="character" w:customStyle="1" w:styleId="40">
    <w:name w:val="font11"/>
    <w:basedOn w:val="23"/>
    <w:qFormat/>
    <w:uiPriority w:val="0"/>
    <w:rPr>
      <w:rFonts w:hint="default" w:ascii="仿宋_GB2312" w:eastAsia="仿宋_GB2312" w:cs="仿宋_GB2312"/>
      <w:color w:val="000000"/>
      <w:sz w:val="24"/>
      <w:szCs w:val="24"/>
      <w:u w:val="none"/>
    </w:rPr>
  </w:style>
  <w:style w:type="character" w:customStyle="1" w:styleId="41">
    <w:name w:val="font21"/>
    <w:basedOn w:val="23"/>
    <w:qFormat/>
    <w:uiPriority w:val="0"/>
    <w:rPr>
      <w:rFonts w:hint="default" w:ascii="仿宋_GB2312" w:eastAsia="仿宋_GB2312" w:cs="仿宋_GB2312"/>
      <w:color w:val="000000"/>
      <w:sz w:val="24"/>
      <w:szCs w:val="24"/>
      <w:u w:val="none"/>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NormalCharacter"/>
    <w:qFormat/>
    <w:uiPriority w:val="0"/>
  </w:style>
  <w:style w:type="character" w:customStyle="1" w:styleId="44">
    <w:name w:val="批注框文本 Char"/>
    <w:basedOn w:val="23"/>
    <w:link w:val="10"/>
    <w:qFormat/>
    <w:uiPriority w:val="0"/>
    <w:rPr>
      <w:rFonts w:asciiTheme="minorHAnsi" w:hAnsiTheme="minorHAnsi" w:eastAsiaTheme="minorEastAsia" w:cstheme="minorBidi"/>
      <w:kern w:val="2"/>
      <w:sz w:val="18"/>
      <w:szCs w:val="18"/>
    </w:rPr>
  </w:style>
  <w:style w:type="paragraph" w:customStyle="1" w:styleId="45">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customStyle="1" w:styleId="46">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47">
    <w:name w:val="_Style 1"/>
    <w:basedOn w:val="1"/>
    <w:next w:val="1"/>
    <w:qFormat/>
    <w:uiPriority w:val="99"/>
    <w:pPr>
      <w:spacing w:line="580" w:lineRule="exact"/>
      <w:ind w:firstLine="420" w:firstLineChars="200"/>
    </w:pPr>
    <w:rPr>
      <w:rFonts w:cs="Times New Roman"/>
      <w:sz w:val="32"/>
    </w:rPr>
  </w:style>
  <w:style w:type="character" w:customStyle="1" w:styleId="48">
    <w:name w:val="font91"/>
    <w:basedOn w:val="2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1625</Words>
  <Characters>2293</Characters>
  <Lines>62</Lines>
  <Paragraphs>17</Paragraphs>
  <TotalTime>4</TotalTime>
  <ScaleCrop>false</ScaleCrop>
  <LinksUpToDate>false</LinksUpToDate>
  <CharactersWithSpaces>2610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2021-02-08T08:24:00Z</dcterms:created>
  <dc:creator>蓝风樱花</dc:creator>
  <cp:lastModifiedBy>陌</cp:lastModifiedBy>
  <dcterms:modified xsi:type="dcterms:W3CDTF">2025-06-11T02:37:03Z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9BE944AA1867473CBCD10B20B7EA9097_13</vt:lpwstr>
  </property>
  <property fmtid="{D5CDD505-2E9C-101B-9397-08002B2CF9AE}" pid="4" name="KSOTemplateDocerSaveRecord">
    <vt:lpwstr>eyJoZGlkIjoiYmNhZDU5Nzc0MWRjZjgzYTk5MjI0N2JhZjg4OWRhMWIiLCJ1c2VySWQiOiIxMjA5OTQ0MDAwIn0=</vt:lpwstr>
  </property>
</Properties>
</file>