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42778">
      <w:pPr>
        <w:spacing w:line="560" w:lineRule="exact"/>
        <w:rPr>
          <w:rFonts w:ascii="仿宋_GB2312" w:eastAsia="仿宋_GB2312"/>
          <w:sz w:val="32"/>
          <w:szCs w:val="32"/>
        </w:rPr>
      </w:pPr>
      <w:bookmarkStart w:id="10" w:name="_GoBack"/>
      <w:r>
        <w:rPr>
          <w:rFonts w:hint="eastAsia" w:ascii="仿宋_GB2312" w:eastAsia="仿宋_GB2312"/>
          <w:sz w:val="32"/>
          <w:szCs w:val="32"/>
        </w:rPr>
        <w:t xml:space="preserve">    </w:t>
      </w:r>
    </w:p>
    <w:p w14:paraId="7466A8AC">
      <w:pPr>
        <w:pStyle w:val="8"/>
        <w:spacing w:line="560" w:lineRule="exact"/>
      </w:pPr>
    </w:p>
    <w:p w14:paraId="04BA3CA3">
      <w:pPr>
        <w:spacing w:line="760" w:lineRule="exact"/>
        <w:jc w:val="center"/>
        <w:rPr>
          <w:rFonts w:ascii="方正小标宋简体" w:hAnsi="Calibri" w:eastAsia="方正小标宋简体" w:cs="Times New Roman"/>
          <w:kern w:val="0"/>
          <w:sz w:val="44"/>
          <w:szCs w:val="44"/>
        </w:rPr>
      </w:pPr>
      <w:r>
        <w:rPr>
          <w:rFonts w:hint="eastAsia" w:ascii="方正小标宋简体" w:hAnsi="Calibri" w:eastAsia="方正小标宋简体" w:cs="Times New Roman"/>
          <w:kern w:val="0"/>
          <w:sz w:val="44"/>
          <w:szCs w:val="44"/>
        </w:rPr>
        <w:t>2024年中央财政城镇保障性安居工程补助资金（棚户区（城市危旧房）改造）</w:t>
      </w:r>
    </w:p>
    <w:p w14:paraId="6AEC93E1">
      <w:pPr>
        <w:spacing w:line="760" w:lineRule="exact"/>
        <w:jc w:val="center"/>
        <w:rPr>
          <w:rFonts w:ascii="仿宋_GB2312" w:eastAsia="仿宋_GB2312"/>
          <w:sz w:val="30"/>
          <w:szCs w:val="30"/>
        </w:rPr>
      </w:pPr>
      <w:r>
        <w:rPr>
          <w:rFonts w:hint="eastAsia" w:ascii="方正小标宋简体" w:hAnsi="Calibri" w:eastAsia="方正小标宋简体" w:cs="Times New Roman"/>
          <w:kern w:val="0"/>
          <w:sz w:val="44"/>
          <w:szCs w:val="44"/>
        </w:rPr>
        <w:t>绩效自评报告</w:t>
      </w:r>
    </w:p>
    <w:p w14:paraId="64B3F00B">
      <w:pPr>
        <w:pStyle w:val="8"/>
        <w:spacing w:line="560" w:lineRule="exact"/>
        <w:rPr>
          <w:rFonts w:ascii="仿宋_GB2312" w:eastAsia="仿宋_GB2312"/>
          <w:sz w:val="30"/>
          <w:szCs w:val="30"/>
        </w:rPr>
      </w:pPr>
    </w:p>
    <w:p w14:paraId="40BB279B">
      <w:pPr>
        <w:pStyle w:val="8"/>
        <w:spacing w:line="560" w:lineRule="exact"/>
        <w:rPr>
          <w:rFonts w:ascii="仿宋_GB2312" w:eastAsia="仿宋_GB2312"/>
          <w:sz w:val="30"/>
          <w:szCs w:val="30"/>
        </w:rPr>
      </w:pPr>
    </w:p>
    <w:p w14:paraId="5E4B0466">
      <w:pPr>
        <w:pStyle w:val="8"/>
        <w:spacing w:line="560" w:lineRule="exact"/>
        <w:rPr>
          <w:rFonts w:ascii="仿宋_GB2312" w:eastAsia="仿宋_GB2312"/>
          <w:sz w:val="30"/>
          <w:szCs w:val="30"/>
        </w:rPr>
      </w:pPr>
    </w:p>
    <w:p w14:paraId="28A79046">
      <w:pPr>
        <w:pStyle w:val="8"/>
        <w:spacing w:line="560" w:lineRule="exact"/>
        <w:rPr>
          <w:rFonts w:ascii="仿宋_GB2312" w:eastAsia="仿宋_GB2312"/>
          <w:sz w:val="30"/>
          <w:szCs w:val="30"/>
        </w:rPr>
      </w:pPr>
    </w:p>
    <w:p w14:paraId="44FCE022">
      <w:pPr>
        <w:pStyle w:val="8"/>
        <w:spacing w:line="560" w:lineRule="exact"/>
        <w:rPr>
          <w:rFonts w:ascii="仿宋_GB2312" w:eastAsia="仿宋_GB2312"/>
          <w:sz w:val="30"/>
          <w:szCs w:val="30"/>
        </w:rPr>
      </w:pPr>
    </w:p>
    <w:p w14:paraId="509673CF">
      <w:pPr>
        <w:snapToGrid w:val="0"/>
        <w:spacing w:line="560" w:lineRule="exact"/>
        <w:ind w:left="2878" w:leftChars="304" w:hanging="2240" w:hangingChars="700"/>
        <w:rPr>
          <w:rFonts w:ascii="仿宋_GB2312" w:eastAsia="仿宋_GB2312"/>
          <w:sz w:val="32"/>
          <w:szCs w:val="32"/>
        </w:rPr>
      </w:pPr>
    </w:p>
    <w:p w14:paraId="58678247">
      <w:pPr>
        <w:snapToGrid w:val="0"/>
        <w:spacing w:line="560" w:lineRule="exact"/>
        <w:ind w:left="2878" w:leftChars="304" w:hanging="2240" w:hangingChars="700"/>
        <w:rPr>
          <w:rFonts w:ascii="仿宋_GB2312" w:eastAsia="仿宋_GB2312"/>
          <w:sz w:val="32"/>
          <w:szCs w:val="32"/>
        </w:rPr>
      </w:pPr>
    </w:p>
    <w:p w14:paraId="1568AC3D">
      <w:pPr>
        <w:snapToGrid w:val="0"/>
        <w:spacing w:line="560" w:lineRule="exact"/>
        <w:ind w:left="2878" w:leftChars="304" w:hanging="2240" w:hangingChars="700"/>
        <w:rPr>
          <w:rFonts w:ascii="仿宋_GB2312" w:eastAsia="仿宋_GB2312"/>
          <w:sz w:val="32"/>
          <w:szCs w:val="32"/>
        </w:rPr>
      </w:pPr>
      <w:r>
        <w:rPr>
          <w:rFonts w:hint="eastAsia" w:ascii="仿宋_GB2312" w:eastAsia="仿宋_GB2312"/>
          <w:sz w:val="32"/>
          <w:szCs w:val="32"/>
        </w:rPr>
        <w:t>专项资金名称：2024年中央财政城镇保障性安居工程补助资金（棚户区（城市危旧房）改造）</w:t>
      </w:r>
    </w:p>
    <w:p w14:paraId="1B5A78CA">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省级预算部门：广东省财政厅</w:t>
      </w:r>
    </w:p>
    <w:p w14:paraId="5E75825A">
      <w:pPr>
        <w:snapToGrid w:val="0"/>
        <w:spacing w:line="560" w:lineRule="exact"/>
        <w:ind w:firstLine="2880" w:firstLineChars="900"/>
        <w:rPr>
          <w:rFonts w:ascii="仿宋_GB2312" w:eastAsia="仿宋_GB2312"/>
          <w:sz w:val="32"/>
          <w:szCs w:val="32"/>
        </w:rPr>
      </w:pPr>
      <w:r>
        <w:rPr>
          <w:rFonts w:hint="eastAsia" w:ascii="仿宋_GB2312" w:hAnsi="等线" w:eastAsia="仿宋_GB2312"/>
          <w:sz w:val="32"/>
        </w:rPr>
        <w:t>广东省住房和城乡建设厅</w:t>
      </w:r>
    </w:p>
    <w:p w14:paraId="1FFC8271">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填报人姓名：黄詠怡</w:t>
      </w:r>
    </w:p>
    <w:p w14:paraId="5119FC1E">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联系电话：020-83133509</w:t>
      </w:r>
    </w:p>
    <w:p w14:paraId="0F54BD15">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填报日期：2024年2月11日</w:t>
      </w:r>
    </w:p>
    <w:p w14:paraId="65829E7B">
      <w:pPr>
        <w:pStyle w:val="38"/>
        <w:tabs>
          <w:tab w:val="right" w:leader="dot" w:pos="8306"/>
        </w:tabs>
        <w:spacing w:line="560" w:lineRule="exact"/>
        <w:rPr>
          <w:rFonts w:ascii="仿宋_GB2312" w:hAnsi="等线" w:eastAsia="仿宋_GB2312"/>
          <w:sz w:val="32"/>
        </w:rPr>
      </w:pPr>
    </w:p>
    <w:p w14:paraId="6E4DE677">
      <w:pPr>
        <w:pStyle w:val="38"/>
        <w:tabs>
          <w:tab w:val="right" w:leader="dot" w:pos="8306"/>
        </w:tabs>
        <w:spacing w:line="560" w:lineRule="exact"/>
        <w:rPr>
          <w:rFonts w:ascii="仿宋_GB2312" w:hAnsi="等线" w:eastAsia="仿宋_GB2312"/>
          <w:sz w:val="32"/>
        </w:rPr>
      </w:pPr>
    </w:p>
    <w:p w14:paraId="10DE4AEA">
      <w:pPr>
        <w:spacing w:line="560" w:lineRule="exact"/>
        <w:outlineLvl w:val="0"/>
        <w:rPr>
          <w:rFonts w:ascii="黑体" w:hAnsi="黑体" w:eastAsia="黑体" w:cs="黑体"/>
          <w:sz w:val="32"/>
          <w:szCs w:val="32"/>
        </w:rPr>
      </w:pPr>
      <w:bookmarkStart w:id="0" w:name="_Toc1319"/>
      <w:bookmarkStart w:id="1" w:name="_Toc29218"/>
      <w:bookmarkStart w:id="2" w:name="_Toc3596"/>
    </w:p>
    <w:p w14:paraId="6DB2247D">
      <w:pPr>
        <w:spacing w:line="560" w:lineRule="exact"/>
        <w:ind w:firstLine="640" w:firstLineChars="200"/>
        <w:outlineLvl w:val="0"/>
        <w:rPr>
          <w:rFonts w:ascii="黑体" w:hAnsi="黑体" w:eastAsia="黑体" w:cs="黑体"/>
          <w:sz w:val="32"/>
          <w:szCs w:val="32"/>
        </w:rPr>
        <w:sectPr>
          <w:footerReference r:id="rId3" w:type="default"/>
          <w:pgSz w:w="11906" w:h="16838"/>
          <w:pgMar w:top="2041" w:right="1417" w:bottom="1417" w:left="1531" w:header="851" w:footer="992" w:gutter="0"/>
          <w:pgNumType w:fmt="numberInDash" w:start="1"/>
          <w:cols w:space="0" w:num="1"/>
          <w:docGrid w:type="lines" w:linePitch="312" w:charSpace="0"/>
        </w:sectPr>
      </w:pPr>
    </w:p>
    <w:p w14:paraId="35276B34">
      <w:pPr>
        <w:spacing w:line="560" w:lineRule="exact"/>
        <w:ind w:firstLine="640" w:firstLineChars="200"/>
        <w:outlineLvl w:val="0"/>
        <w:rPr>
          <w:rFonts w:eastAsia="楷体_GB2312"/>
          <w:b/>
          <w:bCs/>
          <w:sz w:val="32"/>
        </w:rPr>
      </w:pPr>
      <w:r>
        <w:rPr>
          <w:rFonts w:hint="eastAsia" w:ascii="黑体" w:hAnsi="黑体" w:eastAsia="黑体" w:cs="黑体"/>
          <w:sz w:val="32"/>
          <w:szCs w:val="32"/>
        </w:rPr>
        <w:t>一、基本情况</w:t>
      </w:r>
      <w:bookmarkEnd w:id="0"/>
      <w:bookmarkEnd w:id="1"/>
      <w:bookmarkEnd w:id="2"/>
      <w:bookmarkStart w:id="3" w:name="_Toc62248802"/>
    </w:p>
    <w:p w14:paraId="6B0F5390">
      <w:pPr>
        <w:widowControl/>
        <w:numPr>
          <w:ilvl w:val="255"/>
          <w:numId w:val="0"/>
        </w:numPr>
        <w:spacing w:line="560" w:lineRule="exact"/>
        <w:ind w:firstLine="640" w:firstLineChars="200"/>
        <w:rPr>
          <w:rFonts w:ascii="仿宋_GB2312" w:hAnsi="Times New Roman" w:eastAsia="仿宋_GB2312"/>
          <w:sz w:val="32"/>
        </w:rPr>
      </w:pPr>
      <w:bookmarkStart w:id="4" w:name="_Toc11032"/>
      <w:r>
        <w:rPr>
          <w:rFonts w:hint="eastAsia" w:ascii="仿宋_GB2312" w:hAnsi="Times New Roman" w:eastAsia="仿宋_GB2312"/>
          <w:sz w:val="32"/>
        </w:rPr>
        <w:t>我省积极响应国家和省关于棚户区（城市危旧房）改造的决策部署，高度重视困难群众住房问题，多地积极推进棚户区（城市危旧房）改造。城市危旧房的安全隐患得以消除，居住空间得到优化，配套设施逐步完善。这些改变不仅显著提高了居民的生活质量，还增强了群众的获得感、幸福感和安全感，为提升城市整体形象和居民生活品质奠定了坚实基础，切实解决了民生问题。</w:t>
      </w:r>
    </w:p>
    <w:p w14:paraId="725E6D6B">
      <w:pPr>
        <w:widowControl/>
        <w:ind w:firstLine="640" w:firstLineChars="200"/>
      </w:pPr>
      <w:r>
        <w:rPr>
          <w:rFonts w:hint="eastAsia" w:ascii="仿宋_GB2312" w:hAnsi="Times New Roman" w:eastAsia="仿宋_GB2312"/>
          <w:sz w:val="32"/>
        </w:rPr>
        <w:t>按照《财政部关于提前下达2024年部分中央财政城镇保障性安居工程补助资金预算的通知》（财综〔2023〕48号）、《财政部 住房城乡建设部关于下达2024年中央财政城镇保障性安居工程补助资金预算的通知》（财综〔2024〕16号）等文件，2024年财政部、住房城乡建设部共下达给我省中央财政城镇保障性安居工程补助资金（棚户区（城市危旧房）改造）541.60万元。</w:t>
      </w:r>
    </w:p>
    <w:p w14:paraId="1B0F6E02">
      <w:pPr>
        <w:widowControl/>
        <w:ind w:firstLine="640" w:firstLineChars="200"/>
        <w:rPr>
          <w:rFonts w:ascii="仿宋_GB2312" w:hAnsi="Times New Roman" w:eastAsia="仿宋_GB2312"/>
          <w:sz w:val="32"/>
        </w:rPr>
      </w:pPr>
      <w:r>
        <w:rPr>
          <w:rFonts w:hint="eastAsia" w:ascii="仿宋_GB2312" w:hAnsi="等线" w:eastAsia="仿宋_GB2312"/>
          <w:sz w:val="32"/>
        </w:rPr>
        <w:t>我省根据城市</w:t>
      </w:r>
      <w:r>
        <w:rPr>
          <w:rFonts w:hint="eastAsia" w:ascii="仿宋_GB2312" w:hAnsi="Times New Roman" w:eastAsia="仿宋_GB2312"/>
          <w:sz w:val="32"/>
        </w:rPr>
        <w:t>棚户区（城市危旧房）</w:t>
      </w:r>
      <w:r>
        <w:rPr>
          <w:rFonts w:hint="eastAsia" w:ascii="仿宋_GB2312" w:hAnsi="等线" w:eastAsia="仿宋_GB2312"/>
          <w:sz w:val="32"/>
        </w:rPr>
        <w:t>改造计划套数等因素，结合财力情况按因素法分配</w:t>
      </w:r>
      <w:r>
        <w:rPr>
          <w:rFonts w:hint="eastAsia" w:ascii="仿宋_GB2312" w:hAnsi="Times New Roman" w:eastAsia="仿宋_GB2312"/>
          <w:sz w:val="32"/>
        </w:rPr>
        <w:t>补助资金</w:t>
      </w:r>
      <w:r>
        <w:rPr>
          <w:rFonts w:hint="eastAsia" w:ascii="仿宋_GB2312" w:hAnsi="等线" w:eastAsia="仿宋_GB2312"/>
          <w:sz w:val="32"/>
        </w:rPr>
        <w:t>，印发</w:t>
      </w:r>
      <w:r>
        <w:rPr>
          <w:rFonts w:hint="eastAsia" w:ascii="仿宋_GB2312" w:hAnsi="Times New Roman" w:eastAsia="仿宋_GB2312"/>
          <w:sz w:val="32"/>
        </w:rPr>
        <w:t>《广东省财政厅关于提前下达2024年部分中央财政城镇保障性安居工程补助资金的通知》（粤财建〔2023〕71号）、《广东省财政厅关于下达2024年中央财政城镇保障性安居工程补助资金的通知》（粤财建〔2024〕34号），及时将中央财政补助资金分配下达给相关市县。</w:t>
      </w:r>
      <w:bookmarkEnd w:id="3"/>
      <w:bookmarkEnd w:id="4"/>
      <w:bookmarkStart w:id="5" w:name="_Toc62248803"/>
      <w:r>
        <w:rPr>
          <w:rFonts w:hint="eastAsia" w:ascii="仿宋_GB2312" w:hAnsi="Times New Roman" w:eastAsia="仿宋_GB2312"/>
          <w:sz w:val="32"/>
        </w:rPr>
        <w:t>中央财政补助资金补助范围是棚户区（城市危旧房）改造方面，主要用于支持城市（含县城）建成区范围内国有土地上C、D级危险住房，国有企事业单位破产改制、“三供一业”</w:t>
      </w:r>
      <w:r>
        <w:rPr>
          <w:rFonts w:ascii="仿宋_GB2312" w:hAnsi="Times New Roman" w:eastAsia="仿宋_GB2312"/>
          <w:sz w:val="32"/>
        </w:rPr>
        <w:t>分离移交等遗留的非成套住房的征收补偿、安置住房建设（购买），上述住房的改建（扩建、翻建）、原址重建和抗震加固等支出</w:t>
      </w:r>
      <w:r>
        <w:rPr>
          <w:rFonts w:hint="eastAsia" w:ascii="仿宋_GB2312" w:hAnsi="Times New Roman" w:eastAsia="仿宋_GB2312"/>
          <w:sz w:val="32"/>
        </w:rPr>
        <w:t>。</w:t>
      </w:r>
    </w:p>
    <w:bookmarkEnd w:id="5"/>
    <w:p w14:paraId="5534F657">
      <w:pPr>
        <w:widowControl/>
        <w:ind w:firstLine="640" w:firstLineChars="200"/>
        <w:jc w:val="left"/>
        <w:rPr>
          <w:rFonts w:ascii="仿宋_GB2312" w:hAnsi="Times New Roman" w:eastAsia="仿宋_GB2312"/>
          <w:sz w:val="32"/>
        </w:rPr>
      </w:pPr>
      <w:r>
        <w:rPr>
          <w:rFonts w:hint="eastAsia" w:ascii="仿宋_GB2312" w:hAnsi="仿宋_GB2312" w:eastAsia="仿宋_GB2312" w:cs="仿宋_GB2312"/>
          <w:kern w:val="0"/>
          <w:sz w:val="32"/>
          <w:szCs w:val="32"/>
        </w:rPr>
        <w:t>我省</w:t>
      </w:r>
      <w:r>
        <w:rPr>
          <w:rFonts w:hint="eastAsia" w:ascii="仿宋_GB2312" w:hAnsi="Times New Roman" w:eastAsia="仿宋_GB2312"/>
          <w:sz w:val="32"/>
        </w:rPr>
        <w:t>2024年中央财政城镇保障性安居工程补助资金（棚户区（城市危旧房）改造）的总体绩效目标：确保完成保障性安居工程年度计划目标，充分发挥中</w:t>
      </w:r>
      <w:r>
        <w:rPr>
          <w:rFonts w:ascii="仿宋_GB2312" w:hAnsi="Times New Roman" w:eastAsia="仿宋_GB2312"/>
          <w:sz w:val="32"/>
        </w:rPr>
        <w:t>央财政城镇保障性安居工程补助资金效益。</w:t>
      </w:r>
    </w:p>
    <w:p w14:paraId="3896559F">
      <w:pPr>
        <w:widowControl/>
        <w:numPr>
          <w:ilvl w:val="255"/>
          <w:numId w:val="0"/>
        </w:numPr>
        <w:spacing w:line="560" w:lineRule="exact"/>
        <w:ind w:firstLine="616" w:firstLineChars="200"/>
        <w:rPr>
          <w:rFonts w:ascii="仿宋_GB2312" w:hAnsi="仿宋" w:eastAsia="仿宋_GB2312" w:cs="仿宋"/>
          <w:spacing w:val="-6"/>
          <w:sz w:val="32"/>
        </w:rPr>
      </w:pPr>
      <w:r>
        <w:rPr>
          <w:rFonts w:hint="eastAsia" w:ascii="仿宋_GB2312" w:hAnsi="仿宋" w:eastAsia="仿宋_GB2312" w:cs="仿宋"/>
          <w:spacing w:val="-6"/>
          <w:sz w:val="32"/>
        </w:rPr>
        <w:t>本次评价基准日为2024年12月31日。</w:t>
      </w:r>
    </w:p>
    <w:p w14:paraId="1F55FFAB">
      <w:pPr>
        <w:pStyle w:val="15"/>
        <w:spacing w:before="0" w:after="0" w:line="560" w:lineRule="exact"/>
        <w:ind w:firstLine="640" w:firstLineChars="200"/>
        <w:jc w:val="both"/>
        <w:rPr>
          <w:rFonts w:ascii="黑体" w:hAnsi="黑体" w:eastAsia="黑体"/>
          <w:b w:val="0"/>
        </w:rPr>
      </w:pPr>
      <w:bookmarkStart w:id="6" w:name="_Toc27259"/>
      <w:bookmarkStart w:id="7" w:name="_Toc13955"/>
      <w:bookmarkStart w:id="8" w:name="_Toc13813"/>
      <w:bookmarkStart w:id="9" w:name="_Toc62248809"/>
      <w:r>
        <w:rPr>
          <w:rFonts w:hint="eastAsia" w:ascii="黑体" w:hAnsi="黑体" w:eastAsia="黑体"/>
          <w:b w:val="0"/>
        </w:rPr>
        <w:t>二、自评情况</w:t>
      </w:r>
    </w:p>
    <w:bookmarkEnd w:id="6"/>
    <w:bookmarkEnd w:id="7"/>
    <w:bookmarkEnd w:id="8"/>
    <w:bookmarkEnd w:id="9"/>
    <w:p w14:paraId="136945C4">
      <w:pPr>
        <w:spacing w:line="560" w:lineRule="exact"/>
        <w:ind w:firstLine="643" w:firstLineChars="200"/>
        <w:rPr>
          <w:rFonts w:hAnsi="宋体" w:eastAsia="楷体_GB2312"/>
          <w:b/>
          <w:bCs/>
          <w:sz w:val="32"/>
        </w:rPr>
      </w:pPr>
      <w:r>
        <w:rPr>
          <w:rFonts w:hint="eastAsia" w:hAnsi="宋体" w:eastAsia="楷体_GB2312"/>
          <w:b/>
          <w:bCs/>
          <w:sz w:val="32"/>
        </w:rPr>
        <w:t>（一）自评等级和分数。</w:t>
      </w:r>
    </w:p>
    <w:p w14:paraId="74268927">
      <w:pPr>
        <w:spacing w:line="560" w:lineRule="exact"/>
        <w:ind w:firstLine="640" w:firstLineChars="200"/>
        <w:rPr>
          <w:rFonts w:ascii="仿宋_GB2312" w:hAnsi="仿宋" w:eastAsia="仿宋_GB2312"/>
          <w:sz w:val="32"/>
        </w:rPr>
      </w:pPr>
      <w:r>
        <w:rPr>
          <w:rFonts w:hint="eastAsia" w:ascii="仿宋_GB2312" w:hAnsi="仿宋" w:eastAsia="仿宋_GB2312"/>
          <w:sz w:val="32"/>
        </w:rPr>
        <w:t>依据《财政部 住房城乡建设部关于印发</w:t>
      </w:r>
      <w:r>
        <w:rPr>
          <w:rFonts w:hint="eastAsia" w:ascii="仿宋_GB2312" w:hAnsi="仿宋_GB2312" w:eastAsia="仿宋_GB2312" w:cs="仿宋_GB2312"/>
          <w:sz w:val="32"/>
        </w:rPr>
        <w:t>〈</w:t>
      </w:r>
      <w:r>
        <w:rPr>
          <w:rFonts w:hint="eastAsia" w:ascii="仿宋_GB2312" w:hAnsi="仿宋" w:eastAsia="仿宋_GB2312"/>
          <w:sz w:val="32"/>
        </w:rPr>
        <w:t>中央财政城镇保障性安居工程补助资金管理办法</w:t>
      </w:r>
      <w:r>
        <w:rPr>
          <w:rFonts w:hint="eastAsia" w:ascii="仿宋_GB2312" w:hAnsi="仿宋_GB2312" w:eastAsia="仿宋_GB2312" w:cs="仿宋_GB2312"/>
          <w:sz w:val="32"/>
        </w:rPr>
        <w:t>〉</w:t>
      </w:r>
      <w:r>
        <w:rPr>
          <w:rFonts w:hint="eastAsia" w:ascii="仿宋_GB2312" w:hAnsi="仿宋" w:eastAsia="仿宋_GB2312"/>
          <w:sz w:val="32"/>
        </w:rPr>
        <w:t>的通知》（财综〔2024〕15号）规定的绩效评价指标体系和评分</w:t>
      </w:r>
      <w:r>
        <w:rPr>
          <w:rFonts w:hint="eastAsia" w:ascii="仿宋_GB2312" w:eastAsia="仿宋_GB2312"/>
          <w:sz w:val="32"/>
        </w:rPr>
        <w:t>标准，我省</w:t>
      </w:r>
      <w:r>
        <w:rPr>
          <w:rFonts w:hint="eastAsia" w:ascii="仿宋_GB2312" w:hAnsi="Times New Roman" w:eastAsia="仿宋_GB2312"/>
          <w:sz w:val="32"/>
        </w:rPr>
        <w:t>2024年中央财政城镇保障性安居工程补助资金（棚户区（城市危旧房）改造）项目</w:t>
      </w:r>
      <w:r>
        <w:rPr>
          <w:rFonts w:hint="eastAsia" w:ascii="仿宋_GB2312" w:hAnsi="仿宋_GB2312" w:eastAsia="仿宋_GB2312" w:cs="仿宋_GB2312"/>
          <w:sz w:val="32"/>
        </w:rPr>
        <w:t>绩</w:t>
      </w:r>
      <w:r>
        <w:rPr>
          <w:rFonts w:hint="eastAsia" w:ascii="仿宋_GB2312" w:hAnsi="仿宋_GB2312" w:eastAsia="仿宋_GB2312" w:cs="Calibri"/>
          <w:sz w:val="32"/>
        </w:rPr>
        <w:t>效自评得分为</w:t>
      </w:r>
      <w:r>
        <w:rPr>
          <w:rFonts w:ascii="仿宋_GB2312" w:hAnsi="仿宋_GB2312" w:eastAsia="仿宋_GB2312" w:cs="Calibri"/>
          <w:sz w:val="32"/>
        </w:rPr>
        <w:t>91</w:t>
      </w:r>
      <w:r>
        <w:rPr>
          <w:rFonts w:hint="eastAsia" w:ascii="仿宋_GB2312" w:hAnsi="仿宋" w:eastAsia="仿宋_GB2312"/>
          <w:sz w:val="32"/>
        </w:rPr>
        <w:t>分。</w:t>
      </w:r>
    </w:p>
    <w:p w14:paraId="1D6E3508">
      <w:pPr>
        <w:spacing w:line="560" w:lineRule="exact"/>
        <w:ind w:firstLine="643" w:firstLineChars="200"/>
        <w:rPr>
          <w:rFonts w:hAnsi="宋体" w:eastAsia="楷体_GB2312"/>
          <w:b/>
          <w:bCs/>
          <w:sz w:val="32"/>
        </w:rPr>
      </w:pPr>
      <w:r>
        <w:rPr>
          <w:rFonts w:hint="eastAsia" w:hAnsi="宋体" w:eastAsia="楷体_GB2312"/>
          <w:b/>
          <w:bCs/>
          <w:sz w:val="32"/>
        </w:rPr>
        <w:t>（二）补助资金使用绩效。</w:t>
      </w:r>
    </w:p>
    <w:p w14:paraId="30F3CC75">
      <w:pPr>
        <w:spacing w:line="560" w:lineRule="exact"/>
        <w:ind w:firstLine="643" w:firstLineChars="200"/>
        <w:rPr>
          <w:rFonts w:ascii="仿宋_GB2312" w:hAnsi="仿宋_GB2312" w:eastAsia="仿宋_GB2312" w:cs="仿宋_GB2312"/>
          <w:b/>
          <w:bCs/>
          <w:sz w:val="32"/>
        </w:rPr>
      </w:pPr>
      <w:r>
        <w:rPr>
          <w:rFonts w:ascii="仿宋_GB2312" w:hAnsi="仿宋_GB2312" w:eastAsia="仿宋_GB2312" w:cs="仿宋_GB2312"/>
          <w:b/>
          <w:bCs/>
          <w:sz w:val="32"/>
        </w:rPr>
        <w:t>1.</w:t>
      </w:r>
      <w:r>
        <w:rPr>
          <w:rFonts w:hint="eastAsia" w:ascii="仿宋_GB2312" w:hAnsi="仿宋_GB2312" w:eastAsia="仿宋_GB2312" w:cs="仿宋_GB2312"/>
          <w:b/>
          <w:bCs/>
          <w:sz w:val="32"/>
        </w:rPr>
        <w:t>支出情况。</w:t>
      </w:r>
    </w:p>
    <w:p w14:paraId="4EED8B7A">
      <w:pPr>
        <w:pStyle w:val="8"/>
        <w:spacing w:line="560" w:lineRule="exact"/>
        <w:ind w:left="0" w:leftChars="0" w:firstLine="640" w:firstLineChars="200"/>
        <w:rPr>
          <w:rFonts w:ascii="仿宋_GB2312" w:hAnsi="仿宋_GB2312" w:eastAsia="仿宋_GB2312"/>
          <w:sz w:val="32"/>
        </w:rPr>
      </w:pPr>
      <w:r>
        <w:rPr>
          <w:rFonts w:hint="eastAsia" w:ascii="仿宋_GB2312" w:hAnsi="仿宋_GB2312" w:eastAsia="仿宋_GB2312"/>
          <w:sz w:val="32"/>
        </w:rPr>
        <w:t>中央财政补助资金预算指标共计</w:t>
      </w:r>
      <w:r>
        <w:rPr>
          <w:rFonts w:hint="eastAsia" w:ascii="仿宋_GB2312" w:hAnsi="Times New Roman" w:eastAsia="仿宋_GB2312"/>
          <w:sz w:val="32"/>
        </w:rPr>
        <w:t>541.60万元，已全部按时落实到位。</w:t>
      </w:r>
      <w:r>
        <w:rPr>
          <w:rFonts w:hint="eastAsia" w:ascii="仿宋_GB2312" w:hAnsi="仿宋_GB2312" w:eastAsia="仿宋_GB2312"/>
          <w:sz w:val="32"/>
        </w:rPr>
        <w:t>截至2024年12月31日，已支付资金</w:t>
      </w:r>
      <w:r>
        <w:rPr>
          <w:rFonts w:hint="eastAsia" w:ascii="仿宋_GB2312" w:hAnsi="Times New Roman" w:eastAsia="仿宋_GB2312"/>
          <w:sz w:val="32"/>
        </w:rPr>
        <w:t>242.23万元</w:t>
      </w:r>
      <w:r>
        <w:rPr>
          <w:rFonts w:hint="eastAsia" w:ascii="仿宋_GB2312" w:hAnsi="仿宋_GB2312" w:eastAsia="仿宋_GB2312"/>
          <w:sz w:val="32"/>
        </w:rPr>
        <w:t>，资金支出率为44.72%，补助资金已按工程进度进行支付。</w:t>
      </w:r>
    </w:p>
    <w:p w14:paraId="06FFF9A7">
      <w:pPr>
        <w:spacing w:line="560" w:lineRule="exact"/>
        <w:ind w:firstLine="643" w:firstLineChars="200"/>
        <w:rPr>
          <w:rFonts w:ascii="仿宋_GB2312" w:hAnsi="Times New Roman" w:eastAsia="仿宋_GB2312"/>
          <w:b/>
          <w:bCs/>
          <w:sz w:val="32"/>
        </w:rPr>
      </w:pPr>
      <w:r>
        <w:rPr>
          <w:rFonts w:hint="eastAsia" w:ascii="仿宋_GB2312" w:hAnsi="Times New Roman" w:eastAsia="仿宋_GB2312"/>
          <w:b/>
          <w:bCs/>
          <w:sz w:val="32"/>
        </w:rPr>
        <w:t>2.绩效目标（指标）完成情况。</w:t>
      </w:r>
    </w:p>
    <w:p w14:paraId="2B1762BD">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2024年中央财政补助资金项目的总体绩效目标全部实现，全面完成了棚户区（城市危旧房）改造314套（间）的计划。</w:t>
      </w:r>
    </w:p>
    <w:p w14:paraId="0471F074">
      <w:pPr>
        <w:widowControl/>
        <w:ind w:firstLine="640" w:firstLineChars="200"/>
        <w:jc w:val="left"/>
        <w:rPr>
          <w:rFonts w:ascii="仿宋_GB2312" w:hAnsi="仿宋" w:eastAsia="仿宋_GB2312"/>
          <w:sz w:val="32"/>
        </w:rPr>
      </w:pPr>
      <w:r>
        <w:rPr>
          <w:rFonts w:hint="eastAsia" w:ascii="仿宋_GB2312" w:hAnsi="Times New Roman" w:eastAsia="仿宋_GB2312"/>
          <w:sz w:val="32"/>
        </w:rPr>
        <w:t>2024年各项绩效指标基本已完成，其中：完成棚户区（城市危旧房）改</w:t>
      </w:r>
      <w:r>
        <w:rPr>
          <w:rFonts w:ascii="仿宋_GB2312" w:hAnsi="Times New Roman" w:eastAsia="仿宋_GB2312"/>
          <w:sz w:val="32"/>
        </w:rPr>
        <w:t>造</w:t>
      </w:r>
      <w:r>
        <w:rPr>
          <w:rFonts w:hint="eastAsia" w:ascii="仿宋_GB2312" w:hAnsi="Times New Roman" w:eastAsia="仿宋_GB2312"/>
          <w:sz w:val="32"/>
        </w:rPr>
        <w:t>355套（间），工程质量符合标准率100%、棚户区（城市危旧房）改</w:t>
      </w:r>
      <w:r>
        <w:rPr>
          <w:rFonts w:ascii="仿宋_GB2312" w:hAnsi="Times New Roman" w:eastAsia="仿宋_GB2312"/>
          <w:sz w:val="32"/>
        </w:rPr>
        <w:t>造计划完成率</w:t>
      </w:r>
      <w:r>
        <w:rPr>
          <w:rFonts w:hint="eastAsia" w:ascii="仿宋_GB2312" w:hAnsi="Times New Roman" w:eastAsia="仿宋_GB2312"/>
          <w:sz w:val="32"/>
        </w:rPr>
        <w:t>100%、居民或承租人满意度97%。（</w:t>
      </w:r>
      <w:r>
        <w:rPr>
          <w:rFonts w:hint="eastAsia" w:ascii="仿宋_GB2312" w:hAnsi="仿宋" w:eastAsia="仿宋_GB2312"/>
          <w:sz w:val="32"/>
        </w:rPr>
        <w:t>详见表1）。</w:t>
      </w:r>
    </w:p>
    <w:p w14:paraId="32C4AA3E">
      <w:pPr>
        <w:widowControl/>
        <w:numPr>
          <w:ilvl w:val="255"/>
          <w:numId w:val="0"/>
        </w:numPr>
        <w:adjustRightInd w:val="0"/>
        <w:snapToGrid w:val="0"/>
        <w:spacing w:line="400" w:lineRule="exact"/>
        <w:jc w:val="center"/>
        <w:rPr>
          <w:rFonts w:ascii="黑体" w:hAnsi="黑体" w:eastAsia="黑体" w:cs="黑体"/>
          <w:sz w:val="28"/>
          <w:szCs w:val="28"/>
        </w:rPr>
      </w:pPr>
      <w:r>
        <w:rPr>
          <w:rFonts w:hint="eastAsia" w:ascii="黑体" w:hAnsi="黑体" w:eastAsia="黑体" w:cs="黑体"/>
          <w:sz w:val="28"/>
          <w:szCs w:val="28"/>
        </w:rPr>
        <w:t>表1 中央财政城镇保障性安居工程补助资金（棚户区（城市危旧房））</w:t>
      </w:r>
    </w:p>
    <w:p w14:paraId="2DC798F3">
      <w:pPr>
        <w:widowControl/>
        <w:numPr>
          <w:ilvl w:val="255"/>
          <w:numId w:val="0"/>
        </w:numPr>
        <w:adjustRightInd w:val="0"/>
        <w:snapToGrid w:val="0"/>
        <w:spacing w:line="400" w:lineRule="exact"/>
        <w:jc w:val="center"/>
        <w:rPr>
          <w:rFonts w:ascii="黑体" w:hAnsi="黑体" w:eastAsia="黑体" w:cs="黑体"/>
          <w:sz w:val="28"/>
          <w:szCs w:val="28"/>
        </w:rPr>
      </w:pPr>
      <w:r>
        <w:rPr>
          <w:rFonts w:hint="eastAsia" w:ascii="黑体" w:hAnsi="黑体" w:eastAsia="黑体" w:cs="黑体"/>
          <w:sz w:val="28"/>
          <w:szCs w:val="28"/>
        </w:rPr>
        <w:t>绩效目标表</w:t>
      </w:r>
    </w:p>
    <w:tbl>
      <w:tblPr>
        <w:tblStyle w:val="18"/>
        <w:tblW w:w="9606"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1443"/>
        <w:gridCol w:w="3868"/>
        <w:gridCol w:w="1625"/>
        <w:gridCol w:w="1650"/>
      </w:tblGrid>
      <w:tr w14:paraId="7D2A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blHeader/>
        </w:trPr>
        <w:tc>
          <w:tcPr>
            <w:tcW w:w="1020" w:type="dxa"/>
            <w:vAlign w:val="center"/>
          </w:tcPr>
          <w:p w14:paraId="19F94215">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一级 指标</w:t>
            </w:r>
          </w:p>
        </w:tc>
        <w:tc>
          <w:tcPr>
            <w:tcW w:w="1443" w:type="dxa"/>
            <w:vAlign w:val="center"/>
          </w:tcPr>
          <w:p w14:paraId="0FB71F32">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二级指标</w:t>
            </w:r>
          </w:p>
        </w:tc>
        <w:tc>
          <w:tcPr>
            <w:tcW w:w="3868" w:type="dxa"/>
            <w:vAlign w:val="center"/>
          </w:tcPr>
          <w:p w14:paraId="194A0483">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三级指标</w:t>
            </w:r>
          </w:p>
        </w:tc>
        <w:tc>
          <w:tcPr>
            <w:tcW w:w="1625" w:type="dxa"/>
            <w:vAlign w:val="center"/>
          </w:tcPr>
          <w:p w14:paraId="777691DE">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指标值</w:t>
            </w:r>
          </w:p>
        </w:tc>
        <w:tc>
          <w:tcPr>
            <w:tcW w:w="1650" w:type="dxa"/>
          </w:tcPr>
          <w:p w14:paraId="6FFDE105">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绩效指标完成情况</w:t>
            </w:r>
          </w:p>
        </w:tc>
      </w:tr>
      <w:tr w14:paraId="51540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20" w:type="dxa"/>
            <w:vMerge w:val="restart"/>
            <w:vAlign w:val="center"/>
          </w:tcPr>
          <w:p w14:paraId="24D25D0F">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产出 指标</w:t>
            </w:r>
          </w:p>
        </w:tc>
        <w:tc>
          <w:tcPr>
            <w:tcW w:w="1443" w:type="dxa"/>
            <w:vAlign w:val="center"/>
          </w:tcPr>
          <w:p w14:paraId="0B3F7084">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数量指标</w:t>
            </w:r>
          </w:p>
        </w:tc>
        <w:tc>
          <w:tcPr>
            <w:tcW w:w="3868" w:type="dxa"/>
            <w:vAlign w:val="center"/>
          </w:tcPr>
          <w:p w14:paraId="5CE7A1D8">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棚户区（城市危旧房）改造数量</w:t>
            </w:r>
          </w:p>
        </w:tc>
        <w:tc>
          <w:tcPr>
            <w:tcW w:w="1625" w:type="dxa"/>
            <w:vAlign w:val="center"/>
          </w:tcPr>
          <w:p w14:paraId="1928F15C">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314套</w:t>
            </w:r>
          </w:p>
        </w:tc>
        <w:tc>
          <w:tcPr>
            <w:tcW w:w="1650" w:type="dxa"/>
            <w:vAlign w:val="center"/>
          </w:tcPr>
          <w:p w14:paraId="29309627">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355套</w:t>
            </w:r>
          </w:p>
        </w:tc>
      </w:tr>
      <w:tr w14:paraId="7FFC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20" w:type="dxa"/>
            <w:vMerge w:val="continue"/>
            <w:vAlign w:val="center"/>
          </w:tcPr>
          <w:p w14:paraId="53E7D036">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Align w:val="center"/>
          </w:tcPr>
          <w:p w14:paraId="09519B43">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质量指标</w:t>
            </w:r>
          </w:p>
        </w:tc>
        <w:tc>
          <w:tcPr>
            <w:tcW w:w="3868" w:type="dxa"/>
            <w:vAlign w:val="center"/>
          </w:tcPr>
          <w:p w14:paraId="7387B9D6">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工程质量符合标准率</w:t>
            </w:r>
          </w:p>
        </w:tc>
        <w:tc>
          <w:tcPr>
            <w:tcW w:w="1625" w:type="dxa"/>
            <w:vAlign w:val="center"/>
          </w:tcPr>
          <w:p w14:paraId="791CB437">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c>
          <w:tcPr>
            <w:tcW w:w="1650" w:type="dxa"/>
            <w:vAlign w:val="center"/>
          </w:tcPr>
          <w:p w14:paraId="0D7E7074">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r>
      <w:tr w14:paraId="6A92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20" w:type="dxa"/>
            <w:vMerge w:val="continue"/>
            <w:vAlign w:val="center"/>
          </w:tcPr>
          <w:p w14:paraId="3ED66031">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Align w:val="center"/>
          </w:tcPr>
          <w:p w14:paraId="68A7EC4E">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时效指标</w:t>
            </w:r>
          </w:p>
        </w:tc>
        <w:tc>
          <w:tcPr>
            <w:tcW w:w="3868" w:type="dxa"/>
            <w:vAlign w:val="center"/>
          </w:tcPr>
          <w:p w14:paraId="09746377">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棚户区（城市危旧房）改造计划完成率</w:t>
            </w:r>
          </w:p>
        </w:tc>
        <w:tc>
          <w:tcPr>
            <w:tcW w:w="1625" w:type="dxa"/>
            <w:vAlign w:val="center"/>
          </w:tcPr>
          <w:p w14:paraId="6D956EAC">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c>
          <w:tcPr>
            <w:tcW w:w="1650" w:type="dxa"/>
            <w:vAlign w:val="center"/>
          </w:tcPr>
          <w:p w14:paraId="40F95554">
            <w:pPr>
              <w:widowControl/>
              <w:adjustRightInd w:val="0"/>
              <w:snapToGrid w:val="0"/>
              <w:spacing w:line="400" w:lineRule="exact"/>
              <w:jc w:val="center"/>
              <w:rPr>
                <w:rFonts w:ascii="仿宋_GB2312" w:hAnsi="Times New Roman" w:eastAsia="仿宋_GB2312"/>
                <w:sz w:val="24"/>
              </w:rPr>
            </w:pPr>
            <w:r>
              <w:rPr>
                <w:rFonts w:ascii="仿宋_GB2312" w:hAnsi="Times New Roman" w:eastAsia="仿宋_GB2312"/>
                <w:sz w:val="24"/>
              </w:rPr>
              <w:t>113.06%</w:t>
            </w:r>
          </w:p>
        </w:tc>
      </w:tr>
      <w:tr w14:paraId="20494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20" w:type="dxa"/>
            <w:vMerge w:val="restart"/>
            <w:vAlign w:val="center"/>
          </w:tcPr>
          <w:p w14:paraId="7A52C358">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效益 指标</w:t>
            </w:r>
          </w:p>
        </w:tc>
        <w:tc>
          <w:tcPr>
            <w:tcW w:w="1443" w:type="dxa"/>
            <w:vAlign w:val="center"/>
          </w:tcPr>
          <w:p w14:paraId="0AF6FB3E">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社会效益 指标</w:t>
            </w:r>
          </w:p>
        </w:tc>
        <w:tc>
          <w:tcPr>
            <w:tcW w:w="3868" w:type="dxa"/>
            <w:vAlign w:val="center"/>
          </w:tcPr>
          <w:p w14:paraId="28F99DFD">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群众居住条件是否改善</w:t>
            </w:r>
          </w:p>
        </w:tc>
        <w:tc>
          <w:tcPr>
            <w:tcW w:w="1625" w:type="dxa"/>
            <w:vAlign w:val="center"/>
          </w:tcPr>
          <w:p w14:paraId="52705ADE">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c>
          <w:tcPr>
            <w:tcW w:w="1650" w:type="dxa"/>
            <w:vAlign w:val="center"/>
          </w:tcPr>
          <w:p w14:paraId="3E148D89">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r>
      <w:tr w14:paraId="0BC75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1020" w:type="dxa"/>
            <w:vMerge w:val="continue"/>
            <w:vAlign w:val="center"/>
          </w:tcPr>
          <w:p w14:paraId="3885C6E1">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Align w:val="center"/>
          </w:tcPr>
          <w:p w14:paraId="07954C32">
            <w:pPr>
              <w:widowControl/>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可持续影响指标</w:t>
            </w:r>
          </w:p>
        </w:tc>
        <w:tc>
          <w:tcPr>
            <w:tcW w:w="3868" w:type="dxa"/>
            <w:vAlign w:val="center"/>
          </w:tcPr>
          <w:p w14:paraId="0F7197DB">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确定棚户区（城市危旧</w:t>
            </w:r>
            <w:r>
              <w:rPr>
                <w:rFonts w:ascii="仿宋_GB2312" w:hAnsi="Times New Roman" w:eastAsia="仿宋_GB2312"/>
                <w:sz w:val="24"/>
              </w:rPr>
              <w:t>房）改造目标</w:t>
            </w:r>
          </w:p>
        </w:tc>
        <w:tc>
          <w:tcPr>
            <w:tcW w:w="1625" w:type="dxa"/>
            <w:vAlign w:val="center"/>
          </w:tcPr>
          <w:p w14:paraId="5A7D713C">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c>
          <w:tcPr>
            <w:tcW w:w="1650" w:type="dxa"/>
            <w:vAlign w:val="center"/>
          </w:tcPr>
          <w:p w14:paraId="25E754DA">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r>
      <w:tr w14:paraId="468A5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1020" w:type="dxa"/>
            <w:vAlign w:val="center"/>
          </w:tcPr>
          <w:p w14:paraId="0D5F3B92">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满意度指标</w:t>
            </w:r>
          </w:p>
        </w:tc>
        <w:tc>
          <w:tcPr>
            <w:tcW w:w="1443" w:type="dxa"/>
            <w:vAlign w:val="center"/>
          </w:tcPr>
          <w:p w14:paraId="76D614B0">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服务对象满意度指标</w:t>
            </w:r>
          </w:p>
        </w:tc>
        <w:tc>
          <w:tcPr>
            <w:tcW w:w="3868" w:type="dxa"/>
            <w:vAlign w:val="center"/>
          </w:tcPr>
          <w:p w14:paraId="3355774F">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居民或承租人满意度</w:t>
            </w:r>
          </w:p>
        </w:tc>
        <w:tc>
          <w:tcPr>
            <w:tcW w:w="1625" w:type="dxa"/>
            <w:vAlign w:val="center"/>
          </w:tcPr>
          <w:p w14:paraId="2194DCC8">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≥90%</w:t>
            </w:r>
          </w:p>
        </w:tc>
        <w:tc>
          <w:tcPr>
            <w:tcW w:w="1650" w:type="dxa"/>
            <w:vAlign w:val="center"/>
          </w:tcPr>
          <w:p w14:paraId="3B5BF2D8">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97.83%</w:t>
            </w:r>
          </w:p>
        </w:tc>
      </w:tr>
    </w:tbl>
    <w:p w14:paraId="574E0516">
      <w:pPr>
        <w:widowControl/>
        <w:ind w:firstLine="643" w:firstLineChars="200"/>
        <w:jc w:val="left"/>
        <w:rPr>
          <w:rFonts w:ascii="仿宋_GB2312" w:hAnsi="仿宋" w:eastAsia="仿宋_GB2312"/>
          <w:b/>
          <w:bCs/>
          <w:sz w:val="32"/>
        </w:rPr>
      </w:pPr>
      <w:r>
        <w:rPr>
          <w:rFonts w:hint="eastAsia" w:ascii="仿宋_GB2312" w:hAnsi="仿宋" w:eastAsia="仿宋_GB2312" w:cs="Times New Roman"/>
          <w:b/>
          <w:bCs/>
          <w:kern w:val="28"/>
          <w:sz w:val="32"/>
        </w:rPr>
        <w:t>（</w:t>
      </w:r>
      <w:r>
        <w:rPr>
          <w:rFonts w:ascii="仿宋_GB2312" w:hAnsi="仿宋" w:eastAsia="仿宋_GB2312" w:cs="Times New Roman"/>
          <w:b/>
          <w:bCs/>
          <w:kern w:val="28"/>
          <w:sz w:val="32"/>
        </w:rPr>
        <w:t>1）</w:t>
      </w:r>
      <w:r>
        <w:rPr>
          <w:rFonts w:hint="eastAsia" w:ascii="仿宋_GB2312" w:hAnsi="仿宋" w:eastAsia="仿宋_GB2312" w:cs="Times New Roman"/>
          <w:b/>
          <w:bCs/>
          <w:kern w:val="28"/>
          <w:sz w:val="32"/>
        </w:rPr>
        <w:t>资金管理。</w:t>
      </w:r>
    </w:p>
    <w:p w14:paraId="159338C8">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资金筹集。</w:t>
      </w:r>
      <w:r>
        <w:rPr>
          <w:rFonts w:hint="eastAsia" w:ascii="仿宋_GB2312" w:hAnsi="仿宋" w:eastAsia="仿宋_GB2312"/>
          <w:b w:val="0"/>
          <w:bCs w:val="0"/>
        </w:rPr>
        <w:t>2024年，我省棚户区（城市危旧房）改造中央财政补助资金541.60万元已落实到位，省级财政安排853万元专项用于棚户区（城市危旧房）改造工作，地方政府也积极筹措专项债券资金443.25万元，上述资金均已100%落实到位，有力推动了棚户区（城市危旧房）改造项目的顺利实施（3分）。所有属于政府投资的棚户区（城市危旧房）改造项目，均严格按照相关规定和流程，开展了全面、细致的财政承受能力评估，确保项目推进与财政实力相匹配，保障改造工作的可持续性（2分）。</w:t>
      </w:r>
    </w:p>
    <w:p w14:paraId="354C35CC">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资金分配。</w:t>
      </w:r>
      <w:r>
        <w:rPr>
          <w:rFonts w:hint="eastAsia" w:ascii="仿宋_GB2312" w:hAnsi="仿宋" w:eastAsia="仿宋_GB2312"/>
          <w:b w:val="0"/>
          <w:bCs w:val="0"/>
        </w:rPr>
        <w:t>在棚户区（城市危旧房）改造资金管理上，我省积极落实国家政策，结合本省实际，采取了一系列举措，保障保障性住房建设的资金支持。</w:t>
      </w:r>
      <w:r>
        <w:rPr>
          <w:rFonts w:hint="eastAsia" w:ascii="仿宋_GB2312" w:hAnsi="仿宋" w:eastAsia="仿宋_GB2312"/>
        </w:rPr>
        <w:t>一是</w:t>
      </w:r>
      <w:r>
        <w:rPr>
          <w:rFonts w:hint="eastAsia" w:ascii="仿宋_GB2312" w:hAnsi="仿宋" w:eastAsia="仿宋_GB2312"/>
          <w:b w:val="0"/>
          <w:bCs w:val="0"/>
        </w:rPr>
        <w:t>完善政策体系。我省严格执行财政部、住房城乡建设部的中央财政城镇保障性安居工程专项资金管理办法，同时，结合自身需求，制定了一系列政策文件。如《中共广东省委 广东省人民政府关于全面实施预算绩效管理的若干意见》，明确预算绩效管理框架，指引资金科学分配；《广东省财政厅 广东省住房和城乡建设厅关于印发广东省住房城乡建设领域专项资金管理办法（2024年修订）的通知》，细化资金各环节规定；《广东省财政厅关于印发〈广东省省级财政资金“双监控”管理暂行办法〉的通知》，对资金流向和效益双重监控。在省级政策推动下，各城市也制定了相应实施细则，形成了完整的棚户区（城市危旧房）改造资金管理政策制度体系（2分）。</w:t>
      </w:r>
      <w:r>
        <w:rPr>
          <w:rFonts w:hint="eastAsia" w:ascii="仿宋_GB2312" w:hAnsi="仿宋" w:eastAsia="仿宋_GB2312"/>
        </w:rPr>
        <w:t>二是</w:t>
      </w:r>
      <w:r>
        <w:rPr>
          <w:rFonts w:hint="eastAsia" w:ascii="仿宋_GB2312" w:hAnsi="仿宋" w:eastAsia="仿宋_GB2312"/>
          <w:b w:val="0"/>
          <w:bCs w:val="0"/>
        </w:rPr>
        <w:t>高效分配资金。接到财政部下达的资金指标后，省财政厅会同省住房城乡建设厅，在规定时间内，运用因素法，综合考虑建设任务量、财政困难程度、项目进度等因素拟定资金分配方案，将资金全额转分配到市县。市县财政部门也在规定时间内，将资金全额转分配到相关县区，确保资金快速、准确到达项目地，推动保障性住房项目建设，保障住房困难群众的利益（2分）。</w:t>
      </w:r>
    </w:p>
    <w:p w14:paraId="6C0E6022">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预算执行。</w:t>
      </w:r>
      <w:r>
        <w:rPr>
          <w:rFonts w:hint="eastAsia" w:ascii="仿宋_GB2312" w:hAnsi="仿宋" w:eastAsia="仿宋_GB2312"/>
          <w:b w:val="0"/>
          <w:bCs w:val="0"/>
        </w:rPr>
        <w:t>在严格遵循财政资金管理规范方面，我省执行《广东省省级财政资金“双监控”管理暂行办法》（粤财监〔2020〕33号）、《关于印发〈广东省住房和城乡建设厅预算绩效管理办法〉的通知》（粤建计〔2019〕228号）等文件，构建了全面且高效的预算执行与绩效监控机制（1分）。在资金使用与监管工作中，截至2024年底，中央财政补助资金已支付使用242.23万元，支付进度为44.72%</w:t>
      </w:r>
      <w:r>
        <w:rPr>
          <w:rFonts w:hint="eastAsia" w:ascii="仿宋_GB2312" w:hAnsi="Times New Roman" w:eastAsia="仿宋_GB2312"/>
          <w:b w:val="0"/>
          <w:bCs w:val="0"/>
        </w:rPr>
        <w:t>（0分）</w:t>
      </w:r>
      <w:r>
        <w:rPr>
          <w:rFonts w:hint="eastAsia" w:ascii="仿宋_GB2312" w:hAnsi="Times New Roman" w:eastAsia="仿宋_GB2312"/>
        </w:rPr>
        <w:t>。</w:t>
      </w:r>
      <w:r>
        <w:rPr>
          <w:rFonts w:hint="eastAsia" w:ascii="仿宋_GB2312" w:hAnsi="Times New Roman" w:eastAsia="仿宋_GB2312"/>
          <w:b w:val="0"/>
          <w:bCs w:val="0"/>
        </w:rPr>
        <w:t>支付进度未达预期，主要原因是部分危旧房产权复杂，业主搬离、产权单位破产清算或房屋弃置多年导致产权人或单位难以集中；部分产权人改造补偿要求过高，补偿方案难以达成一致；财政资金困难，部分改造方案资金需求过高，产权人无力支付，地方政府受房源产权和财政压力限制，资金来源不足。以上因素致使改造工作前期进度缓慢，</w:t>
      </w:r>
      <w:r>
        <w:rPr>
          <w:rFonts w:hint="eastAsia" w:ascii="仿宋_GB2312" w:hAnsi="仿宋" w:eastAsia="仿宋_GB2312"/>
          <w:b w:val="0"/>
          <w:bCs w:val="0"/>
        </w:rPr>
        <w:t>但项目有序推进，按计划稳步开展</w:t>
      </w:r>
      <w:r>
        <w:rPr>
          <w:rFonts w:hint="eastAsia" w:ascii="仿宋_GB2312" w:hAnsi="Times New Roman" w:eastAsia="仿宋_GB2312"/>
          <w:b w:val="0"/>
          <w:bCs w:val="0"/>
        </w:rPr>
        <w:t>。</w:t>
      </w:r>
      <w:r>
        <w:rPr>
          <w:rFonts w:hint="eastAsia" w:ascii="仿宋_GB2312" w:hAnsi="仿宋" w:eastAsia="仿宋_GB2312"/>
          <w:b w:val="0"/>
          <w:bCs w:val="0"/>
        </w:rPr>
        <w:t>同时，在审计以及财会监督等多维度监管举措下，未发现任何资金截留、违规拨付等违纪违规现象，有力保障了资金使用的安全性与合规性，切实维护了财政资金的规范使用秩序（3分）。</w:t>
      </w:r>
    </w:p>
    <w:p w14:paraId="783E7BAB">
      <w:pPr>
        <w:spacing w:line="560" w:lineRule="exact"/>
        <w:ind w:firstLine="643" w:firstLineChars="200"/>
        <w:outlineLvl w:val="2"/>
        <w:rPr>
          <w:rFonts w:ascii="仿宋_GB2312" w:hAnsi="仿宋" w:eastAsia="仿宋_GB2312"/>
          <w:b/>
          <w:bCs/>
          <w:sz w:val="32"/>
        </w:rPr>
      </w:pPr>
      <w:r>
        <w:rPr>
          <w:rFonts w:hint="eastAsia" w:ascii="仿宋_GB2312" w:hAnsi="仿宋" w:eastAsia="仿宋_GB2312"/>
          <w:b/>
          <w:bCs/>
          <w:sz w:val="32"/>
        </w:rPr>
        <w:t>（</w:t>
      </w:r>
      <w:r>
        <w:rPr>
          <w:rFonts w:ascii="仿宋_GB2312" w:hAnsi="仿宋" w:eastAsia="仿宋_GB2312"/>
          <w:b/>
          <w:bCs/>
          <w:sz w:val="32"/>
        </w:rPr>
        <w:t>2）</w:t>
      </w:r>
      <w:r>
        <w:rPr>
          <w:rFonts w:hint="eastAsia" w:ascii="仿宋_GB2312" w:hAnsi="仿宋" w:eastAsia="仿宋_GB2312"/>
          <w:b/>
          <w:bCs/>
          <w:sz w:val="32"/>
        </w:rPr>
        <w:t>项目管理。</w:t>
      </w:r>
    </w:p>
    <w:p w14:paraId="41F983B0">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项目储备库。</w:t>
      </w:r>
      <w:r>
        <w:rPr>
          <w:rFonts w:hint="eastAsia" w:ascii="仿宋_GB2312" w:hAnsi="仿宋" w:eastAsia="仿宋_GB2312"/>
          <w:b w:val="0"/>
          <w:bCs w:val="0"/>
        </w:rPr>
        <w:t>在城市危旧房管理工作中，我省始终秉持着保障居民住房安全、提升城市居住品质的理念，积极主动开展一系列扎实有效的工作。</w:t>
      </w:r>
      <w:r>
        <w:rPr>
          <w:rFonts w:hint="eastAsia" w:ascii="仿宋_GB2312" w:hAnsi="仿宋" w:eastAsia="仿宋_GB2312"/>
        </w:rPr>
        <w:t>一是</w:t>
      </w:r>
      <w:r>
        <w:rPr>
          <w:rFonts w:hint="eastAsia" w:ascii="仿宋_GB2312" w:hAnsi="仿宋" w:eastAsia="仿宋_GB2312"/>
          <w:b w:val="0"/>
          <w:bCs w:val="0"/>
        </w:rPr>
        <w:t>全面摸底调查，广东省住房和城乡建设厅联合广东省发展和改革委员会、广东省财政厅、广东省人民政府国有资产监督管理委员会出台《关于印发广东省城市危旧房摸底调查工作方案的通知》（粤建保〔2023〕114号），组织专业力量，针对城市（含县城）建成区范围内国有土地上的C、D级危险住房，以及国有企事业单位破产改制、“三供一业”分离移交等历史遗留的非成套住房，开展了摸底调查工作。通过深入细致的实地勘查和资料收集，全面掌握危旧房的分布位置、建筑结构、居住状况等关键信息，为后续工作奠定坚实基础（3分）。</w:t>
      </w:r>
      <w:r>
        <w:rPr>
          <w:rFonts w:hint="eastAsia" w:ascii="仿宋_GB2312" w:hAnsi="仿宋" w:eastAsia="仿宋_GB2312"/>
        </w:rPr>
        <w:t>二是</w:t>
      </w:r>
      <w:r>
        <w:rPr>
          <w:rFonts w:hint="eastAsia" w:ascii="仿宋_GB2312" w:hAnsi="仿宋" w:eastAsia="仿宋_GB2312"/>
          <w:b w:val="0"/>
          <w:bCs w:val="0"/>
        </w:rPr>
        <w:t>信息系统录入与建档立卡，为实现对城市危旧房的信息化、动态化管理，我省在摸底调查过程中，同步将发现的城市危旧房相关信息及时录入城市危旧房摸底调查系统。按照统一标准和规范，完成了建档立卡工作，确保每一处危旧房都有详细的电子档案和纸质档案，做到底数清、情况明，方便随时查询和管理（3分）。</w:t>
      </w:r>
      <w:r>
        <w:rPr>
          <w:rFonts w:hint="eastAsia" w:ascii="仿宋_GB2312" w:hAnsi="仿宋" w:eastAsia="仿宋_GB2312"/>
        </w:rPr>
        <w:t>三是</w:t>
      </w:r>
      <w:r>
        <w:rPr>
          <w:rFonts w:hint="eastAsia" w:ascii="仿宋_GB2312" w:hAnsi="仿宋" w:eastAsia="仿宋_GB2312"/>
          <w:b w:val="0"/>
          <w:bCs w:val="0"/>
        </w:rPr>
        <w:t>规范危房鉴定（认定），对于在调查中发现的疑似危险住房，严格按照相关程序和技术标准，组织专业鉴定机构和人员开展危房鉴定（认定）工作。鉴定过程严谨科学，依据国家和地方的危房鉴定标准，对房屋的安全性进行全面评估，出具准确的CD级危房鉴定报告，为后续的改造决策提供科学依据（3分）。</w:t>
      </w:r>
      <w:r>
        <w:rPr>
          <w:rFonts w:hint="eastAsia" w:ascii="仿宋_GB2312" w:hAnsi="仿宋" w:eastAsia="仿宋_GB2312"/>
        </w:rPr>
        <w:t>四是</w:t>
      </w:r>
      <w:r>
        <w:rPr>
          <w:rFonts w:hint="eastAsia" w:ascii="仿宋_GB2312" w:hAnsi="仿宋" w:eastAsia="仿宋_GB2312"/>
          <w:b w:val="0"/>
          <w:bCs w:val="0"/>
        </w:rPr>
        <w:t>建立项目储备库与量化排序，为有序推进城市危旧房改造工作，我省建立了完善的城市危旧房改造项目储备库。对储备库中的项目，根据项目的前期手续完备程度、资金落实情况、改造技术难度等成熟度指标进行量化打分排序，明确纳入改造计划的优先顺序，确保改造工作高效、有序开展（3分）。</w:t>
      </w:r>
      <w:r>
        <w:rPr>
          <w:rFonts w:hint="eastAsia" w:ascii="仿宋_GB2312" w:hAnsi="仿宋" w:eastAsia="仿宋_GB2312"/>
        </w:rPr>
        <w:t>五是</w:t>
      </w:r>
      <w:r>
        <w:rPr>
          <w:rFonts w:hint="eastAsia" w:ascii="仿宋_GB2312" w:hAnsi="仿宋" w:eastAsia="仿宋_GB2312"/>
          <w:b w:val="0"/>
          <w:bCs w:val="0"/>
        </w:rPr>
        <w:t>年度计划标识，对于纳入年度改造计划的城市危旧房，在城市危旧房摸底调查系统中进行专门标识。通过系统标识，实现对改造项目的精准跟踪和动态管理，实时掌握项目进展情况，及时协调解决改造过程中出现的问题，确保年度改造任务顺利完成（3分）。</w:t>
      </w:r>
    </w:p>
    <w:p w14:paraId="498FE874">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项目执行监控。</w:t>
      </w:r>
      <w:r>
        <w:rPr>
          <w:rFonts w:hint="eastAsia" w:ascii="仿宋_GB2312" w:hAnsi="仿宋" w:eastAsia="仿宋_GB2312"/>
          <w:b w:val="0"/>
          <w:bCs w:val="0"/>
        </w:rPr>
        <w:t>我省构建了项目建设监督机制，常态化开展项目进展调度工作，及时向各地市通报项目建设进度，督促项目推进中遇到的各类问题。广州等市制订并印发城镇危旧房改造实施办法，为监督工作提供细化规范。针对进展滞后的项目，迅速组建专业团队研究，拟定针对性处理方案；对经评估无法继续推进的项目，果断调整优化，保证资源精准投入到更具效益的项目（4分)。项目竣工后，各地市严格依照相关规章制度，迅速组织竣工验收，全力保障项目高质量交付（1分）。</w:t>
      </w:r>
    </w:p>
    <w:p w14:paraId="1EAFACA2">
      <w:pPr>
        <w:pStyle w:val="12"/>
        <w:spacing w:before="0" w:after="0" w:line="560" w:lineRule="exact"/>
        <w:ind w:firstLine="643" w:firstLineChars="200"/>
        <w:jc w:val="both"/>
        <w:outlineLvl w:val="2"/>
        <w:rPr>
          <w:rFonts w:ascii="仿宋_GB2312" w:hAnsi="仿宋" w:eastAsia="仿宋_GB2312"/>
          <w:b w:val="0"/>
          <w:bCs w:val="0"/>
        </w:rPr>
      </w:pPr>
      <w:r>
        <w:rPr>
          <w:rFonts w:hint="eastAsia" w:ascii="仿宋_GB2312" w:hAnsi="仿宋" w:eastAsia="仿宋_GB2312"/>
        </w:rPr>
        <w:t>绩效管理。</w:t>
      </w:r>
      <w:r>
        <w:rPr>
          <w:rFonts w:hint="eastAsia" w:ascii="仿宋_GB2312" w:hAnsi="仿宋" w:eastAsia="仿宋_GB2312"/>
          <w:b w:val="0"/>
          <w:bCs w:val="0"/>
        </w:rPr>
        <w:t>我省认真落实《财政部 住房城乡建设部关于印发〈中央财政城镇保障的通知性安居工程补助资金管理办法〉的通知》（财综〔2024〕15号）有关绩效管理的规定，对2024年全部中央财政城镇保障性安居工程补助资金（棚户区（城市危旧房）改造）设置了完整、科学、合理、可衡量的绩效目标，为项目实施明确了清晰方向。同时，广东省财政厅联合广东省住房和城乡建设厅迅速且有序地开展绩效评价工作，按时呈交内容翔实、全面完整的绩效评价报告及自评表（3分）。为进一步强化项目实施过程管控，我省建立了完善的绩效监控机制，实时跟踪项目动态，及时发现并解决潜在问题，制定《广东省财政厅 广东省住房和城乡建设厅关于印发〈中央财政城镇保障性安居工程补助资金广东省管理实施办法〉的通知》（粤财建〔2024〕40号）、《关于印发〈广东省住房和城乡建设厅预算绩效管理办法〉的通知》（粤建计〔2019〕228号）等，从制度层面规范预算绩效管理工作（1分）。</w:t>
      </w:r>
    </w:p>
    <w:p w14:paraId="39EAE043">
      <w:pPr>
        <w:spacing w:line="560" w:lineRule="exact"/>
        <w:ind w:firstLine="643" w:firstLineChars="200"/>
        <w:outlineLvl w:val="2"/>
        <w:rPr>
          <w:rFonts w:ascii="仿宋_GB2312" w:hAnsi="仿宋" w:eastAsia="仿宋_GB2312"/>
          <w:b/>
          <w:bCs/>
          <w:sz w:val="32"/>
        </w:rPr>
      </w:pPr>
      <w:r>
        <w:rPr>
          <w:rFonts w:hint="eastAsia" w:ascii="仿宋_GB2312" w:hAnsi="仿宋" w:eastAsia="仿宋_GB2312"/>
          <w:b/>
          <w:bCs/>
          <w:sz w:val="32"/>
        </w:rPr>
        <w:t>（</w:t>
      </w:r>
      <w:r>
        <w:rPr>
          <w:rFonts w:ascii="仿宋_GB2312" w:hAnsi="仿宋" w:eastAsia="仿宋_GB2312"/>
          <w:b/>
          <w:bCs/>
          <w:sz w:val="32"/>
        </w:rPr>
        <w:t>3）</w:t>
      </w:r>
      <w:r>
        <w:rPr>
          <w:rFonts w:hint="eastAsia" w:ascii="仿宋_GB2312" w:hAnsi="仿宋" w:eastAsia="仿宋_GB2312"/>
          <w:b/>
          <w:bCs/>
          <w:sz w:val="32"/>
        </w:rPr>
        <w:t>产出效益。</w:t>
      </w:r>
    </w:p>
    <w:p w14:paraId="03C0ADE2">
      <w:pPr>
        <w:pStyle w:val="8"/>
        <w:spacing w:line="560" w:lineRule="exact"/>
        <w:ind w:left="0" w:leftChars="0" w:firstLine="643" w:firstLineChars="200"/>
        <w:rPr>
          <w:rFonts w:ascii="仿宋_GB2312" w:hAnsi="Times New Roman" w:eastAsia="仿宋_GB2312"/>
          <w:sz w:val="32"/>
        </w:rPr>
      </w:pPr>
      <w:r>
        <w:rPr>
          <w:rFonts w:hint="eastAsia" w:ascii="仿宋_GB2312" w:hAnsi="Times New Roman" w:eastAsia="仿宋_GB2312"/>
          <w:b/>
          <w:bCs/>
          <w:sz w:val="32"/>
        </w:rPr>
        <w:t>年度计划完成率。</w:t>
      </w:r>
      <w:r>
        <w:rPr>
          <w:rFonts w:hint="eastAsia" w:ascii="仿宋_GB2312" w:hAnsi="Times New Roman" w:eastAsia="仿宋_GB2312"/>
          <w:sz w:val="32"/>
        </w:rPr>
        <w:t>2024年，中央下达我省城镇保障性安居工程补助资金（棚户区（城市危旧房）改造）任务为城市危旧房改造计划314套（间）。我省全力推进改造工作，截至2024年12月31日，实际完成城市危旧房改造355套（间），实际完成比例达113.06%，超额完成年度计划，充分展现了我省在城市危旧房改造工作中的执行力（10分）。</w:t>
      </w:r>
    </w:p>
    <w:p w14:paraId="2FB1F6C7">
      <w:pPr>
        <w:snapToGrid w:val="0"/>
        <w:spacing w:line="560" w:lineRule="exact"/>
        <w:ind w:firstLine="642"/>
        <w:rPr>
          <w:rFonts w:ascii="仿宋_GB2312" w:hAnsi="Times New Roman" w:eastAsia="仿宋_GB2312"/>
          <w:sz w:val="32"/>
        </w:rPr>
      </w:pPr>
      <w:r>
        <w:rPr>
          <w:rFonts w:hint="eastAsia" w:ascii="仿宋_GB2312" w:hAnsi="Times New Roman" w:eastAsia="仿宋_GB2312"/>
          <w:b/>
          <w:bCs/>
          <w:sz w:val="32"/>
        </w:rPr>
        <w:t>棚户区（城市危旧房）改造目标。</w:t>
      </w:r>
      <w:r>
        <w:rPr>
          <w:rFonts w:hint="eastAsia" w:ascii="仿宋_GB2312" w:hAnsi="Times New Roman" w:eastAsia="仿宋_GB2312"/>
          <w:sz w:val="32"/>
        </w:rPr>
        <w:t>我省依据前期全面且深入的摸底调查结果，相关城市均已制定城市危旧房改造五年规划，如广州市制定《广州市住房和城乡建设局 广州市规划和自然资源局关于印发广州市城镇危旧房改造实施办法（试行）的通知》（穗建规字〔2024〕15号），明确改造目标与实施步骤，旨在系统性、持续性地加快城市危旧房改造进程。2024年度城市危旧房实际开工改造数量为355套（间），城市危旧房摸底调查总量为2072套（间），开工改造套数占摸底调查总量比例为</w:t>
      </w:r>
      <w:r>
        <w:rPr>
          <w:rFonts w:ascii="仿宋_GB2312" w:hAnsi="Times New Roman" w:eastAsia="仿宋_GB2312"/>
          <w:sz w:val="32"/>
        </w:rPr>
        <w:t>17.</w:t>
      </w:r>
      <w:r>
        <w:rPr>
          <w:rFonts w:hint="eastAsia" w:ascii="仿宋_GB2312" w:hAnsi="Times New Roman" w:eastAsia="仿宋_GB2312"/>
          <w:sz w:val="32"/>
        </w:rPr>
        <w:t>13%，为后续年度的改造任务奠定了良好基础，朝着五年规划目标稳步迈进（10分）。</w:t>
      </w:r>
    </w:p>
    <w:p w14:paraId="33207BF8">
      <w:pPr>
        <w:pStyle w:val="8"/>
        <w:spacing w:line="560" w:lineRule="exact"/>
        <w:ind w:left="0" w:leftChars="0" w:firstLine="643" w:firstLineChars="200"/>
        <w:rPr>
          <w:rFonts w:ascii="仿宋_GB2312" w:hAnsi="Times New Roman" w:eastAsia="仿宋_GB2312"/>
          <w:sz w:val="32"/>
        </w:rPr>
      </w:pPr>
      <w:r>
        <w:rPr>
          <w:rFonts w:hint="eastAsia" w:ascii="仿宋_GB2312" w:hAnsi="Times New Roman" w:eastAsia="仿宋_GB2312"/>
          <w:b/>
          <w:bCs/>
          <w:sz w:val="32"/>
        </w:rPr>
        <w:t>资金使用管理。</w:t>
      </w:r>
      <w:r>
        <w:rPr>
          <w:rFonts w:hint="eastAsia" w:ascii="仿宋_GB2312" w:hAnsi="Times New Roman" w:eastAsia="仿宋_GB2312"/>
          <w:sz w:val="32"/>
        </w:rPr>
        <w:t>在资金管理方面，我省没有违规违纪情况（5分）。经各级审计、监督、检查，未发现任何挤占挪用、虚报冒领套（骗）取资金、扩大支出范围等违规违纪行为，也无群众举报、新闻媒体曝光此类问题。同时，我省在资金使用效率上严格把控，不存在超过一年的闲置资金沉淀情况（2分）。对于因项目无法实施而闲置沉淀超过一年的资金以及结余资金，均能及时按照相关规定处理，确保资金合理高效利用，为棚户区（城市危旧房）改造项目的顺利推进提供坚实的资金保障。</w:t>
      </w:r>
    </w:p>
    <w:p w14:paraId="539E9651">
      <w:pPr>
        <w:pStyle w:val="8"/>
        <w:spacing w:line="560" w:lineRule="exact"/>
        <w:ind w:left="0" w:leftChars="0" w:firstLine="643" w:firstLineChars="200"/>
        <w:rPr>
          <w:rFonts w:ascii="仿宋_GB2312" w:hAnsi="Times New Roman" w:eastAsia="仿宋_GB2312"/>
          <w:sz w:val="32"/>
        </w:rPr>
      </w:pPr>
      <w:r>
        <w:rPr>
          <w:rFonts w:hint="eastAsia" w:ascii="仿宋_GB2312" w:hAnsi="Times New Roman" w:eastAsia="仿宋_GB2312"/>
          <w:b/>
          <w:bCs/>
          <w:sz w:val="32"/>
        </w:rPr>
        <w:t>完善工作机制。</w:t>
      </w:r>
      <w:r>
        <w:rPr>
          <w:rFonts w:hint="eastAsia" w:ascii="仿宋_GB2312" w:hAnsi="Times New Roman" w:eastAsia="仿宋_GB2312"/>
          <w:sz w:val="32"/>
        </w:rPr>
        <w:t>在广东省城市危旧房改造工作中，各市积极响应，采取了一系列有效措施：</w:t>
      </w:r>
      <w:r>
        <w:rPr>
          <w:rFonts w:hint="eastAsia" w:ascii="仿宋_GB2312" w:hAnsi="Times New Roman" w:eastAsia="仿宋_GB2312"/>
          <w:b/>
          <w:bCs/>
          <w:sz w:val="32"/>
        </w:rPr>
        <w:t>一是</w:t>
      </w:r>
      <w:r>
        <w:rPr>
          <w:rFonts w:hint="eastAsia" w:ascii="仿宋_GB2312" w:hAnsi="Times New Roman" w:eastAsia="仿宋_GB2312"/>
          <w:sz w:val="32"/>
        </w:rPr>
        <w:t>确定实施计划。我省印发《广东省住房和城乡建设厅等关于印发2024年配售型保障性住房、配租型保障性住房（保障性租赁住房、公租房保障）和棚户区（城市危旧房）改造等计划的通知》（粤建保〔2024〕38号）制定城市危旧房改造年度实施计划，各市也高度重视年度计划的组织落实，起草出台城市危旧房改造年度实施方案。以广州市为例，制定了《广州市住房和城乡建设局 广州市规划和自然资源局关于印发广州市城镇危旧房改造实施办法（试行）的通知》，明确了改造工作的方向与标准，为危旧房改造工作提供了坚实的政策保障（1分）。这些政策文件涵盖改造范围、审批流程、建设标准等关键内容，确保改造工作有章可循。</w:t>
      </w:r>
      <w:r>
        <w:rPr>
          <w:rFonts w:hint="eastAsia" w:ascii="仿宋_GB2312" w:hAnsi="Times New Roman" w:eastAsia="仿宋_GB2312"/>
          <w:b/>
          <w:bCs/>
          <w:sz w:val="32"/>
        </w:rPr>
        <w:t>二是</w:t>
      </w:r>
      <w:r>
        <w:rPr>
          <w:rFonts w:hint="eastAsia" w:ascii="仿宋_GB2312" w:hAnsi="Times New Roman" w:eastAsia="仿宋_GB2312"/>
          <w:sz w:val="32"/>
        </w:rPr>
        <w:t>多元筹资，共担改造成本。在改造资金筹集方面，各市积极探索多渠道筹措资金的模式，努力建立地方政府与产权单位、产权人资金共担机制。例如，部分城市通过政府财政补贴、专项债券发行、产权人自筹、引入社会资本等方式，为危旧房改造提供充足的资金支持，有效解决了改造过程中的资金难题（1分）。这种资金共担机制既减轻了政府的财政压力，又充分调动了各方参与改造的积极性。</w:t>
      </w:r>
      <w:r>
        <w:rPr>
          <w:rFonts w:hint="eastAsia" w:ascii="仿宋_GB2312" w:hAnsi="Times New Roman" w:eastAsia="仿宋_GB2312"/>
          <w:b/>
          <w:bCs/>
          <w:sz w:val="32"/>
        </w:rPr>
        <w:t>三是</w:t>
      </w:r>
      <w:r>
        <w:rPr>
          <w:rFonts w:hint="eastAsia" w:ascii="仿宋_GB2312" w:hAnsi="Times New Roman" w:eastAsia="仿宋_GB2312"/>
          <w:sz w:val="32"/>
        </w:rPr>
        <w:t>留存改造成果。当城市危旧房改造完成后，各市严格按照要求，及时在城市危旧房摸底调查系统中上传完成改造的照片等佐证资料，为后续的验收、评估以及经验总结提供了重要依据，有助于提升改造工作的透明度和管理效率（1分）。</w:t>
      </w:r>
      <w:r>
        <w:rPr>
          <w:rFonts w:hint="eastAsia" w:ascii="仿宋_GB2312" w:hAnsi="Times New Roman" w:eastAsia="仿宋_GB2312"/>
          <w:b/>
          <w:bCs/>
          <w:sz w:val="32"/>
        </w:rPr>
        <w:t>四是</w:t>
      </w:r>
      <w:r>
        <w:rPr>
          <w:rFonts w:hint="eastAsia" w:ascii="仿宋_GB2312" w:hAnsi="Times New Roman" w:eastAsia="仿宋_GB2312"/>
          <w:sz w:val="32"/>
        </w:rPr>
        <w:t>安全至上，迅速消除隐患。在摸底调查过程中，一旦发现存在严重安全隐患、已不具备居住使用条件的城市危旧房，各市立即采取措施停止使用。通过设置警示标识、疏散居民等方式，确保居民生命财产安全，同时迅速组织力量对危房进行评估和改造，及时消除安全隐患，体现了对人民群众生命安全高度负责的态度（2分）。</w:t>
      </w:r>
    </w:p>
    <w:p w14:paraId="4A3159D5">
      <w:pPr>
        <w:pStyle w:val="8"/>
        <w:spacing w:line="560" w:lineRule="exact"/>
        <w:ind w:left="0" w:leftChars="0" w:firstLine="643" w:firstLineChars="200"/>
        <w:rPr>
          <w:rFonts w:ascii="仿宋_GB2312" w:hAnsi="Times New Roman" w:eastAsia="仿宋_GB2312"/>
          <w:sz w:val="32"/>
        </w:rPr>
      </w:pPr>
      <w:r>
        <w:rPr>
          <w:rFonts w:hint="eastAsia" w:ascii="仿宋_GB2312" w:hAnsi="Times New Roman" w:eastAsia="仿宋_GB2312"/>
          <w:b/>
          <w:bCs/>
          <w:sz w:val="32"/>
        </w:rPr>
        <w:t>工程质量。</w:t>
      </w:r>
      <w:r>
        <w:rPr>
          <w:rFonts w:hint="eastAsia" w:ascii="仿宋_GB2312" w:hAnsi="Times New Roman" w:eastAsia="仿宋_GB2312"/>
          <w:sz w:val="32"/>
        </w:rPr>
        <w:t>在城市危旧房改造进程中，我省高度重视工程质量与安全管理。一方面，有关市县严格执行《广东省建设工程质量管理条例》《广东省建设项目安全设施监督管理办法》等法规制度要求，结合项目实际，制定并落实有针对性的规章制度，完善工程质量安全事中事后监管机制，压实建设单位、设计单位、施工单位、监理单位等参建单位质量安全责任，工程质量符合标准（8分）。经住房和城乡建设等部门的检查与审计，以及群众监督、媒体监督，均未发现工程质量问题，切实维护了群众利益，树立了良好的政府形象。</w:t>
      </w:r>
    </w:p>
    <w:p w14:paraId="5325902F">
      <w:pPr>
        <w:pStyle w:val="8"/>
        <w:spacing w:line="560" w:lineRule="exact"/>
        <w:ind w:left="0" w:leftChars="0" w:firstLine="643" w:firstLineChars="200"/>
        <w:outlineLvl w:val="2"/>
        <w:rPr>
          <w:rFonts w:ascii="仿宋_GB2312" w:hAnsi="Times New Roman" w:eastAsia="仿宋_GB2312"/>
          <w:sz w:val="32"/>
        </w:rPr>
      </w:pPr>
      <w:r>
        <w:rPr>
          <w:rFonts w:hint="eastAsia" w:ascii="仿宋_GB2312" w:hAnsi="Times New Roman" w:eastAsia="仿宋_GB2312"/>
          <w:b/>
          <w:bCs/>
          <w:sz w:val="32"/>
        </w:rPr>
        <w:t>进度管理。</w:t>
      </w:r>
      <w:r>
        <w:rPr>
          <w:rFonts w:hint="eastAsia" w:ascii="仿宋_GB2312" w:hAnsi="Times New Roman" w:eastAsia="仿宋_GB2312"/>
          <w:sz w:val="32"/>
        </w:rPr>
        <w:t>在城市危旧房改造以及以前年度开工建设的棚户区改造安置住房项目中，各市严格把控工程进度，确保项目在合理工期内竣工。通过科学规划施工方案、加强施工管理、定期调度工程进展等措施，有效避免了项目逾期未建成的情况发生。在整个改造过程中，始终将群众按时回迁安置作为工作重点，切实保障了群众的居住权益。2023年财政部广东监管局在绩效审核中指出我省存在3个棚户区改造项目逾期未分配的问题，2024年省住房城乡建设厅主要负责同志和分管负责同志多次召开专题会议并赴现场督导调研，经过持续整改，目前已完成2个棚改项目，剩余梅州市五华县黄井安置区棚改项目因资金短缺仍未完成整改。按照评分标准，扣除1分，该指标得4分。</w:t>
      </w:r>
    </w:p>
    <w:p w14:paraId="112329BE">
      <w:pPr>
        <w:pStyle w:val="8"/>
        <w:spacing w:line="560" w:lineRule="exact"/>
        <w:ind w:left="0" w:leftChars="0" w:firstLine="640" w:firstLineChars="200"/>
        <w:outlineLvl w:val="2"/>
        <w:rPr>
          <w:rFonts w:ascii="仿宋_GB2312" w:hAnsi="Times New Roman" w:eastAsia="仿宋_GB2312"/>
          <w:sz w:val="32"/>
        </w:rPr>
      </w:pPr>
      <w:r>
        <w:rPr>
          <w:rFonts w:hint="eastAsia" w:ascii="仿宋_GB2312" w:hAnsi="Times New Roman" w:eastAsia="仿宋_GB2312"/>
          <w:sz w:val="32"/>
        </w:rPr>
        <w:t>城市危旧房改造工作平稳有序推进，未引发任何舆情或造成社会不良影响，充分展现了我省在城市危旧房改造工作中的高效执行力和对民生问题的高度重视。</w:t>
      </w:r>
    </w:p>
    <w:p w14:paraId="34B3DCA0">
      <w:pPr>
        <w:pStyle w:val="8"/>
        <w:spacing w:line="560" w:lineRule="exact"/>
        <w:ind w:left="0" w:leftChars="0" w:firstLine="643" w:firstLineChars="200"/>
        <w:outlineLvl w:val="2"/>
        <w:rPr>
          <w:rFonts w:ascii="仿宋_GB2312" w:hAnsi="Times New Roman" w:eastAsia="仿宋_GB2312"/>
          <w:sz w:val="32"/>
        </w:rPr>
      </w:pPr>
      <w:r>
        <w:rPr>
          <w:rFonts w:hint="eastAsia" w:ascii="仿宋_GB2312" w:hAnsi="Times New Roman" w:eastAsia="仿宋_GB2312"/>
          <w:b/>
          <w:bCs/>
          <w:sz w:val="32"/>
        </w:rPr>
        <w:t>经验推广。</w:t>
      </w:r>
      <w:r>
        <w:rPr>
          <w:rFonts w:hint="eastAsia" w:ascii="仿宋_GB2312" w:hAnsi="Times New Roman" w:eastAsia="仿宋_GB2312"/>
          <w:sz w:val="32"/>
        </w:rPr>
        <w:t>广州市花都区集群街2号危旧房改造项目，采用业主“自主更新、自筹资金、原拆原建”模式，9个月完成改造并交付房产证，解决安全隐患、提升居住品质，典型案例及时总结经验做法，多次被住房城乡建设部作经验推广以及中央级新闻媒体广泛报道，成为全国危旧房改造的标杆（2分）。</w:t>
      </w:r>
    </w:p>
    <w:p w14:paraId="084B0E89">
      <w:pPr>
        <w:pStyle w:val="8"/>
        <w:spacing w:line="560" w:lineRule="exact"/>
        <w:ind w:left="0" w:leftChars="0" w:firstLine="643" w:firstLineChars="200"/>
        <w:outlineLvl w:val="2"/>
        <w:rPr>
          <w:rFonts w:ascii="仿宋_GB2312" w:hAnsi="仿宋" w:eastAsia="仿宋_GB2312"/>
          <w:sz w:val="32"/>
        </w:rPr>
      </w:pPr>
      <w:r>
        <w:rPr>
          <w:rFonts w:hint="eastAsia" w:ascii="仿宋_GB2312" w:hAnsi="Times New Roman" w:eastAsia="仿宋_GB2312"/>
          <w:b/>
          <w:bCs/>
          <w:sz w:val="32"/>
        </w:rPr>
        <w:t>城市危旧房改造居民满意度。</w:t>
      </w:r>
      <w:r>
        <w:rPr>
          <w:rFonts w:hint="eastAsia" w:ascii="仿宋_GB2312" w:hAnsi="仿宋" w:eastAsia="仿宋_GB2312"/>
          <w:sz w:val="32"/>
        </w:rPr>
        <w:t>在城市危旧房改造相关工作中，我省各地市积极开展满意度测评工作（2分）。通过各市统计，以及住房城乡建设主管部门、项目实施部门深入调查的数据显示，全省城市危旧房改造居民满意度平均值为</w:t>
      </w:r>
      <w:r>
        <w:rPr>
          <w:rFonts w:ascii="仿宋_GB2312" w:hAnsi="仿宋" w:eastAsia="仿宋_GB2312"/>
          <w:sz w:val="32"/>
        </w:rPr>
        <w:t>97.83%，</w:t>
      </w:r>
      <w:r>
        <w:rPr>
          <w:rFonts w:hint="eastAsia" w:ascii="仿宋_GB2312" w:hAnsi="仿宋" w:eastAsia="仿宋_GB2312"/>
          <w:sz w:val="32"/>
        </w:rPr>
        <w:t>超过绩效指标值（90%以上），充分彰显了我省在城市危旧房改造工作上的卓越成效，切实满足了群众需求，提升了群众的获得感与幸福感（6分）。</w:t>
      </w:r>
    </w:p>
    <w:p w14:paraId="20430A5E">
      <w:pPr>
        <w:pStyle w:val="8"/>
        <w:spacing w:line="560" w:lineRule="exact"/>
        <w:ind w:left="0" w:leftChars="0" w:firstLine="640" w:firstLineChars="200"/>
        <w:outlineLvl w:val="2"/>
        <w:rPr>
          <w:rFonts w:ascii="仿宋_GB2312" w:hAnsi="仿宋" w:eastAsia="仿宋_GB2312"/>
          <w:sz w:val="32"/>
        </w:rPr>
      </w:pPr>
      <w:r>
        <w:rPr>
          <w:rFonts w:hint="eastAsia" w:ascii="仿宋_GB2312" w:hAnsi="仿宋" w:eastAsia="仿宋_GB2312"/>
          <w:sz w:val="32"/>
        </w:rPr>
        <w:t>同时，我省高度重视群众关于城市危旧房改造的信访事宜。各级政府及主管部门始终秉持为民服务理念，积极主动接待群众来访，迅速响应并及时处置相关问题。在处理过程中，充分倾听群众诉求，深入调查核实，依法依规妥善解决问题，确保每一位群众都能得到满意答复，有效维护了社会和谐稳定。</w:t>
      </w:r>
    </w:p>
    <w:p w14:paraId="6A2BF0A9">
      <w:pPr>
        <w:spacing w:line="560" w:lineRule="exact"/>
        <w:ind w:firstLine="643" w:firstLineChars="200"/>
        <w:outlineLvl w:val="2"/>
        <w:rPr>
          <w:rFonts w:ascii="仿宋_GB2312" w:hAnsi="仿宋" w:eastAsia="仿宋_GB2312"/>
          <w:b/>
          <w:bCs/>
          <w:sz w:val="32"/>
        </w:rPr>
      </w:pPr>
      <w:r>
        <w:rPr>
          <w:rFonts w:hint="eastAsia" w:ascii="仿宋_GB2312" w:hAnsi="仿宋" w:eastAsia="仿宋_GB2312"/>
          <w:b/>
          <w:bCs/>
          <w:sz w:val="32"/>
        </w:rPr>
        <w:t>3.主要绩效。</w:t>
      </w:r>
    </w:p>
    <w:p w14:paraId="7DF39566">
      <w:pPr>
        <w:numPr>
          <w:ilvl w:val="255"/>
          <w:numId w:val="0"/>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达成全省2024年棚户区（城市危旧房）改造项目的绩效目标，</w:t>
      </w:r>
      <w:r>
        <w:rPr>
          <w:rFonts w:hint="eastAsia" w:ascii="仿宋_GB2312" w:hAnsi="Times New Roman" w:eastAsia="仿宋_GB2312"/>
          <w:sz w:val="32"/>
        </w:rPr>
        <w:t>实际启动改造</w:t>
      </w:r>
      <w:r>
        <w:rPr>
          <w:rFonts w:hint="eastAsia" w:ascii="仿宋_GB2312" w:hAnsi="仿宋_GB2312" w:eastAsia="仿宋_GB2312" w:cs="仿宋_GB2312"/>
          <w:sz w:val="32"/>
          <w:szCs w:val="32"/>
        </w:rPr>
        <w:t>城市危旧房</w:t>
      </w:r>
      <w:r>
        <w:rPr>
          <w:rFonts w:hint="eastAsia" w:ascii="仿宋_GB2312" w:hAnsi="Times New Roman" w:eastAsia="仿宋_GB2312"/>
          <w:sz w:val="32"/>
        </w:rPr>
        <w:t>改造数量为355套（间），超额</w:t>
      </w:r>
      <w:r>
        <w:rPr>
          <w:rFonts w:hint="eastAsia" w:ascii="仿宋_GB2312" w:hAnsi="仿宋_GB2312" w:eastAsia="仿宋_GB2312" w:cs="仿宋_GB2312"/>
          <w:sz w:val="32"/>
          <w:szCs w:val="32"/>
        </w:rPr>
        <w:t>完成了计划任务，逐步消除了</w:t>
      </w:r>
      <w:r>
        <w:rPr>
          <w:rFonts w:hint="eastAsia" w:ascii="仿宋_GB2312" w:hAnsi="Times New Roman" w:eastAsia="仿宋_GB2312"/>
          <w:sz w:val="32"/>
        </w:rPr>
        <w:t>城市危旧房</w:t>
      </w:r>
      <w:r>
        <w:rPr>
          <w:rFonts w:hint="eastAsia" w:ascii="仿宋_GB2312" w:hAnsi="仿宋_GB2312" w:eastAsia="仿宋_GB2312" w:cs="仿宋_GB2312"/>
          <w:sz w:val="32"/>
          <w:szCs w:val="32"/>
        </w:rPr>
        <w:t>安全隐患，</w:t>
      </w:r>
      <w:r>
        <w:rPr>
          <w:rFonts w:hint="eastAsia" w:ascii="仿宋_GB2312" w:hAnsi="Times New Roman" w:eastAsia="仿宋_GB2312"/>
          <w:sz w:val="32"/>
        </w:rPr>
        <w:t>城市危旧房改造朝着五年规划目标稳步迈进，</w:t>
      </w:r>
      <w:r>
        <w:rPr>
          <w:rFonts w:hint="eastAsia" w:ascii="仿宋_GB2312" w:hAnsi="仿宋_GB2312" w:eastAsia="仿宋_GB2312" w:cs="仿宋_GB2312"/>
          <w:sz w:val="32"/>
          <w:szCs w:val="32"/>
        </w:rPr>
        <w:t>改善了城市危旧房群众的居住条件。</w:t>
      </w:r>
    </w:p>
    <w:p w14:paraId="3557361C">
      <w:pPr>
        <w:numPr>
          <w:ilvl w:val="255"/>
          <w:numId w:val="0"/>
        </w:numPr>
        <w:spacing w:line="560" w:lineRule="exact"/>
        <w:ind w:firstLine="640" w:firstLineChars="200"/>
        <w:rPr>
          <w:rFonts w:ascii="黑体" w:hAnsi="黑体" w:eastAsia="黑体" w:cs="黑体"/>
          <w:sz w:val="32"/>
        </w:rPr>
      </w:pPr>
      <w:r>
        <w:rPr>
          <w:rFonts w:hint="eastAsia" w:ascii="黑体" w:hAnsi="黑体" w:eastAsia="黑体" w:cs="黑体"/>
          <w:sz w:val="32"/>
        </w:rPr>
        <w:t>三、存在问题</w:t>
      </w:r>
    </w:p>
    <w:p w14:paraId="7699C2D6">
      <w:pPr>
        <w:numPr>
          <w:ilvl w:val="255"/>
          <w:numId w:val="0"/>
        </w:num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（一）资金筹集困难。</w:t>
      </w:r>
    </w:p>
    <w:p w14:paraId="2E537D5B">
      <w:pPr>
        <w:numPr>
          <w:ilvl w:val="255"/>
          <w:numId w:val="0"/>
        </w:num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省多地在危旧房改造上面临资金缺口大的困境。以肇庆市为例，C、D级危旧房改造主要依赖上级财政资金，社会资本难以参与，财政投入有限致使资金渠道单一，缺口巨大，严重阻碍改造工作推进。韶关市在城市危旧房改造建设中也存在同样问题，资金不足制约了项目的顺利开展。</w:t>
      </w:r>
    </w:p>
    <w:p w14:paraId="43AA9D05">
      <w:pPr>
        <w:numPr>
          <w:ilvl w:val="0"/>
          <w:numId w:val="1"/>
        </w:numPr>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改造推进较为缓慢。</w:t>
      </w:r>
    </w:p>
    <w:p w14:paraId="65C9484B">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改造前期工作进展较为缓慢。肇庆市部分危旧房由于业主搬离、产权单位破产清算等原因，产权人难以集中，这对鉴定和设计勘查工作造成了极大影响。江门市部分危旧房则因找不到产权人，或是改造方案资金过高，又或是补偿方案难以达成一致，导致改造工作停滞不前。</w:t>
      </w:r>
    </w:p>
    <w:p w14:paraId="1A657E3E">
      <w:pPr>
        <w:numPr>
          <w:ilvl w:val="0"/>
          <w:numId w:val="1"/>
        </w:num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管理服务不健全。</w:t>
      </w:r>
    </w:p>
    <w:p w14:paraId="031BBE09">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部分城市存在管理服务不够健全的问题。肇庆市的危旧房多为独栋建筑，缺乏物业管理，居民自身维护意识也不足，给房屋的后续管理带来困难。</w:t>
      </w:r>
    </w:p>
    <w:p w14:paraId="2145DCC4">
      <w:pPr>
        <w:numPr>
          <w:ilvl w:val="0"/>
          <w:numId w:val="1"/>
        </w:num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权属与安置情况复杂。</w:t>
      </w:r>
    </w:p>
    <w:p w14:paraId="35D09717">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危旧房及保障性住房相关权属、安置情况复杂。东莞市危旧房权属复杂，房屋所有权人改造意愿和出资意向较低。韶关市危旧房住户对安置房房源要求高，匹配转移安置房源难度大，私房住户安置要求超出政策范围，协调工作困难重重。</w:t>
      </w:r>
    </w:p>
    <w:p w14:paraId="256318B6">
      <w:pPr>
        <w:pStyle w:val="13"/>
        <w:adjustRightInd w:val="0"/>
        <w:snapToGrid w:val="0"/>
        <w:spacing w:line="360" w:lineRule="auto"/>
        <w:ind w:left="0" w:leftChars="0" w:firstLine="640" w:firstLineChars="200"/>
        <w:outlineLvl w:val="0"/>
        <w:rPr>
          <w:rFonts w:ascii="黑体" w:hAnsi="黑体" w:eastAsia="黑体" w:cs="黑体"/>
          <w:sz w:val="32"/>
          <w:szCs w:val="32"/>
        </w:rPr>
      </w:pPr>
      <w:r>
        <w:rPr>
          <w:rFonts w:hint="eastAsia" w:ascii="黑体" w:hAnsi="黑体" w:eastAsia="黑体" w:cs="黑体"/>
          <w:sz w:val="32"/>
          <w:szCs w:val="32"/>
        </w:rPr>
        <w:t>四、下一步工作计划</w:t>
      </w:r>
    </w:p>
    <w:p w14:paraId="243830E5">
      <w:pPr>
        <w:numPr>
          <w:ilvl w:val="255"/>
          <w:numId w:val="0"/>
        </w:numPr>
        <w:adjustRightInd w:val="0"/>
        <w:snapToGrid w:val="0"/>
        <w:spacing w:line="360" w:lineRule="auto"/>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（一）完善管理机制。</w:t>
      </w:r>
    </w:p>
    <w:p w14:paraId="64799503">
      <w:pPr>
        <w:numPr>
          <w:ilvl w:val="255"/>
          <w:numId w:val="0"/>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针对危旧房无物业维修管理的情况，各级财政提供一定的启动资金和政策支持，引导专业维修管理公司入驻，同时开展居民房屋维护知识培训，增强居民维护意识。</w:t>
      </w:r>
    </w:p>
    <w:p w14:paraId="164F0DA8">
      <w:pPr>
        <w:numPr>
          <w:ilvl w:val="255"/>
          <w:numId w:val="0"/>
        </w:numPr>
        <w:adjustRightInd w:val="0"/>
        <w:snapToGrid w:val="0"/>
        <w:spacing w:line="360" w:lineRule="auto"/>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（二）安置协调梳理。</w:t>
      </w:r>
    </w:p>
    <w:p w14:paraId="1A86A719">
      <w:pPr>
        <w:numPr>
          <w:ilvl w:val="255"/>
          <w:numId w:val="0"/>
        </w:num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对于改造意愿低的所有权人，通过政策宣讲、经济补偿引导等方式，提高其参与改造的积极性。</w:t>
      </w:r>
    </w:p>
    <w:p w14:paraId="2B651F94">
      <w:pPr>
        <w:spacing w:line="560" w:lineRule="exact"/>
        <w:ind w:left="1918" w:leftChars="304" w:hanging="1280" w:hangingChars="400"/>
        <w:rPr>
          <w:rFonts w:ascii="仿宋_GB2312" w:hAnsi="仿宋_GB2312" w:eastAsia="仿宋_GB2312" w:cs="仿宋_GB2312"/>
          <w:sz w:val="32"/>
          <w:szCs w:val="32"/>
        </w:rPr>
      </w:pPr>
    </w:p>
    <w:p w14:paraId="175C40AB">
      <w:pPr>
        <w:spacing w:line="560" w:lineRule="exact"/>
        <w:ind w:left="1918" w:leftChars="304" w:hanging="1280" w:hangingChars="400"/>
        <w:rPr>
          <w:rFonts w:ascii="仿宋_GB2312" w:hAnsi="仿宋_GB2312" w:eastAsia="仿宋_GB2312" w:cs="仿宋_GB2312"/>
          <w:sz w:val="32"/>
          <w:szCs w:val="32"/>
        </w:rPr>
      </w:pPr>
      <w:r>
        <w:rPr>
          <w:rFonts w:hint="eastAsia" w:ascii="仿宋_GB2312" w:hAnsi="仿宋_GB2312" w:eastAsia="仿宋_GB2312" w:cs="仿宋_GB2312"/>
          <w:sz w:val="32"/>
          <w:szCs w:val="32"/>
        </w:rPr>
        <w:t>附件：1.2024年中央财政城镇保障性安居工程补助资金（棚户区（城市危旧房）改造）绩效评价指标表</w:t>
      </w:r>
    </w:p>
    <w:p w14:paraId="02A7991F">
      <w:pPr>
        <w:spacing w:line="560" w:lineRule="exact"/>
        <w:ind w:left="1916" w:leftChars="760"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2.2024年中央财政城镇保障性安居工程补助资金（棚户区（城市危旧房）改造）计划项目资金情况汇总表</w:t>
      </w:r>
    </w:p>
    <w:p w14:paraId="4E1CD7C9">
      <w:pPr>
        <w:spacing w:line="560" w:lineRule="exact"/>
        <w:ind w:left="1916" w:leftChars="760"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3.2024年中央财政城镇保障性安居工程补助资金（棚户区（城市危旧房）改造）计划项目完成情况汇总表</w:t>
      </w:r>
    </w:p>
    <w:p w14:paraId="19F0E508">
      <w:pPr>
        <w:spacing w:line="560" w:lineRule="exact"/>
        <w:ind w:left="1916" w:leftChars="760"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4.2024年中央财政城镇保障性安居工程补助资金（棚户区（城市危旧房）改造）绩效评价佐证材料清单</w:t>
      </w:r>
    </w:p>
    <w:p w14:paraId="5F6FA98D">
      <w:pPr>
        <w:pStyle w:val="2"/>
        <w:sectPr>
          <w:footerReference r:id="rId4" w:type="default"/>
          <w:pgSz w:w="11906" w:h="16838"/>
          <w:pgMar w:top="2041" w:right="1417" w:bottom="1417" w:left="1531" w:header="851" w:footer="992" w:gutter="0"/>
          <w:pgNumType w:fmt="numberInDash" w:start="1"/>
          <w:cols w:space="0" w:num="1"/>
          <w:docGrid w:type="lines" w:linePitch="312" w:charSpace="0"/>
        </w:sectPr>
      </w:pPr>
    </w:p>
    <w:p w14:paraId="29ACB749">
      <w:pPr>
        <w:rPr>
          <w:rFonts w:ascii="仿宋_GB2312" w:hAnsi="仿宋_GB2312" w:eastAsia="仿宋_GB2312" w:cs="仿宋_GB2312"/>
        </w:rPr>
      </w:pPr>
      <w:r>
        <w:rPr>
          <w:rFonts w:hint="eastAsia" w:ascii="仿宋_GB2312" w:hAnsi="仿宋_GB2312" w:eastAsia="仿宋_GB2312" w:cs="仿宋_GB2312"/>
        </w:rPr>
        <w:t>附件1</w:t>
      </w:r>
    </w:p>
    <w:p w14:paraId="7CCB1BE7">
      <w:pPr>
        <w:pStyle w:val="2"/>
        <w:jc w:val="center"/>
        <w:rPr>
          <w:rFonts w:ascii="黑体" w:hAnsi="黑体" w:eastAsia="黑体" w:cs="黑体"/>
          <w:sz w:val="28"/>
          <w:szCs w:val="28"/>
        </w:rPr>
      </w:pPr>
      <w:r>
        <w:rPr>
          <w:rFonts w:hint="eastAsia" w:ascii="黑体" w:hAnsi="黑体" w:eastAsia="黑体" w:cs="黑体"/>
          <w:sz w:val="28"/>
          <w:szCs w:val="28"/>
        </w:rPr>
        <w:t>2024年中央财政城镇保障性安居工程补助资金（棚户区（城市危旧房改造））绩效评价指标表</w:t>
      </w:r>
    </w:p>
    <w:tbl>
      <w:tblPr>
        <w:tblStyle w:val="17"/>
        <w:tblW w:w="13218" w:type="dxa"/>
        <w:tblInd w:w="91" w:type="dxa"/>
        <w:tblLayout w:type="autofit"/>
        <w:tblCellMar>
          <w:top w:w="0" w:type="dxa"/>
          <w:left w:w="108" w:type="dxa"/>
          <w:bottom w:w="0" w:type="dxa"/>
          <w:right w:w="108" w:type="dxa"/>
        </w:tblCellMar>
      </w:tblPr>
      <w:tblGrid>
        <w:gridCol w:w="1091"/>
        <w:gridCol w:w="840"/>
        <w:gridCol w:w="1200"/>
        <w:gridCol w:w="788"/>
        <w:gridCol w:w="8262"/>
        <w:gridCol w:w="1037"/>
      </w:tblGrid>
      <w:tr w14:paraId="13D6BE1D">
        <w:tblPrEx>
          <w:tblCellMar>
            <w:top w:w="0" w:type="dxa"/>
            <w:left w:w="108" w:type="dxa"/>
            <w:bottom w:w="0" w:type="dxa"/>
            <w:right w:w="108" w:type="dxa"/>
          </w:tblCellMar>
        </w:tblPrEx>
        <w:trPr>
          <w:trHeight w:val="181" w:hRule="atLeast"/>
          <w:tblHeader/>
        </w:trPr>
        <w:tc>
          <w:tcPr>
            <w:tcW w:w="39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1E5358">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评价指标</w:t>
            </w:r>
          </w:p>
        </w:tc>
        <w:tc>
          <w:tcPr>
            <w:tcW w:w="82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AB1ACE">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评分标准</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3BD932">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评价得分</w:t>
            </w:r>
          </w:p>
        </w:tc>
      </w:tr>
      <w:tr w14:paraId="7F6D60E4">
        <w:tblPrEx>
          <w:tblCellMar>
            <w:top w:w="0" w:type="dxa"/>
            <w:left w:w="108" w:type="dxa"/>
            <w:bottom w:w="0" w:type="dxa"/>
            <w:right w:w="108" w:type="dxa"/>
          </w:tblCellMar>
        </w:tblPrEx>
        <w:trPr>
          <w:trHeight w:val="181" w:hRule="atLeast"/>
          <w:tblHeader/>
        </w:trPr>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6AE9">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一级指标</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5F12">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分值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983F">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二级指标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BED1C">
            <w:pPr>
              <w:widowControl/>
              <w:jc w:val="center"/>
              <w:textAlignment w:val="center"/>
              <w:rPr>
                <w:rFonts w:ascii="仿宋_GB2312" w:hAnsi="仿宋_GB2312" w:eastAsia="仿宋_GB2312" w:cs="仿宋_GB2312"/>
                <w:b/>
                <w:bCs/>
                <w:szCs w:val="21"/>
              </w:rPr>
            </w:pPr>
            <w:r>
              <w:rPr>
                <w:rFonts w:hint="eastAsia" w:ascii="仿宋_GB2312" w:hAnsi="仿宋_GB2312" w:eastAsia="仿宋_GB2312" w:cs="仿宋_GB2312"/>
                <w:b/>
                <w:bCs/>
                <w:kern w:val="0"/>
                <w:szCs w:val="21"/>
              </w:rPr>
              <w:t>分值</w:t>
            </w:r>
          </w:p>
        </w:tc>
        <w:tc>
          <w:tcPr>
            <w:tcW w:w="82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AE541">
            <w:pPr>
              <w:jc w:val="center"/>
              <w:rPr>
                <w:rFonts w:ascii="仿宋_GB2312" w:hAnsi="仿宋_GB2312" w:eastAsia="仿宋_GB2312" w:cs="仿宋_GB2312"/>
                <w:b/>
                <w:bCs/>
                <w:szCs w:val="21"/>
              </w:rPr>
            </w:pP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AD54C">
            <w:pPr>
              <w:jc w:val="center"/>
              <w:rPr>
                <w:rFonts w:ascii="仿宋_GB2312" w:hAnsi="仿宋_GB2312" w:eastAsia="仿宋_GB2312" w:cs="仿宋_GB2312"/>
                <w:b/>
                <w:bCs/>
                <w:szCs w:val="21"/>
              </w:rPr>
            </w:pPr>
          </w:p>
        </w:tc>
      </w:tr>
      <w:tr w14:paraId="44E77A11">
        <w:tblPrEx>
          <w:tblCellMar>
            <w:top w:w="0" w:type="dxa"/>
            <w:left w:w="108" w:type="dxa"/>
            <w:bottom w:w="0" w:type="dxa"/>
            <w:right w:w="108" w:type="dxa"/>
          </w:tblCellMar>
        </w:tblPrEx>
        <w:trPr>
          <w:trHeight w:val="450" w:hRule="atLeast"/>
        </w:trPr>
        <w:tc>
          <w:tcPr>
            <w:tcW w:w="10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D6D1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资金管理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EE57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21</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BF49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资金筹集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E9D6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5</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E76CA">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地方财政安排资金用于棚户区（城市危旧房）改造（3分），属于政府投资的棚户区（城市危旧房）改造项目，进行了财政承受能力评估（2分）。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36926">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5</w:t>
            </w:r>
          </w:p>
        </w:tc>
      </w:tr>
      <w:tr w14:paraId="126787E0">
        <w:tblPrEx>
          <w:tblCellMar>
            <w:top w:w="0" w:type="dxa"/>
            <w:left w:w="108" w:type="dxa"/>
            <w:bottom w:w="0" w:type="dxa"/>
            <w:right w:w="108" w:type="dxa"/>
          </w:tblCellMar>
        </w:tblPrEx>
        <w:trPr>
          <w:trHeight w:val="1010" w:hRule="atLeast"/>
        </w:trPr>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A8CC6">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02B35">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75AE">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资金分配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1644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4</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2784">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资金管理办法健全规范（2分）；资金按规定时间分配下达到市（县）财政部门或项目单位（2分），否则不得分。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26FE">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4</w:t>
            </w:r>
          </w:p>
        </w:tc>
      </w:tr>
      <w:tr w14:paraId="71EE46C4">
        <w:tblPrEx>
          <w:tblCellMar>
            <w:top w:w="0" w:type="dxa"/>
            <w:left w:w="108" w:type="dxa"/>
            <w:bottom w:w="0" w:type="dxa"/>
            <w:right w:w="108" w:type="dxa"/>
          </w:tblCellMar>
        </w:tblPrEx>
        <w:trPr>
          <w:trHeight w:val="891" w:hRule="atLeast"/>
        </w:trPr>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37770">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A57C5">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AC2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预算执行</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E1D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12</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7DE0A">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结合项目进度建立了规范的预算执行机制（1分）；预算执行（8分），年度预算执行率低于90%的，每低10个百分点扣1分（不足10个百分点的按比例扣分），低于70%的，在指标得分6分的基础上，每低10个百分点扣3分，最多扣8分；没有违规拨付资金情况（4分），通过审计、财会监督等发现存在资金截留等违规拨付资金行为的，每发现1项扣1分，最多扣3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9E28">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4</w:t>
            </w:r>
          </w:p>
        </w:tc>
      </w:tr>
      <w:tr w14:paraId="57D60C97">
        <w:tblPrEx>
          <w:tblCellMar>
            <w:top w:w="0" w:type="dxa"/>
            <w:left w:w="108" w:type="dxa"/>
            <w:bottom w:w="0" w:type="dxa"/>
            <w:right w:w="108" w:type="dxa"/>
          </w:tblCellMar>
        </w:tblPrEx>
        <w:trPr>
          <w:trHeight w:val="1571" w:hRule="atLeast"/>
        </w:trPr>
        <w:tc>
          <w:tcPr>
            <w:tcW w:w="10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21B9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项目管理</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AD40A2">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24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F36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项目库储备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66E4">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15</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CACB">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对城市（含县城）建成区范围内国有土地上C、D级危险住房，以及国有企事业单位破产改制、“三供一业”分离移交等遗留的非成套住房开展摸底调查（3分）；及时将发现的城市危旧房录入信息系统，完成</w:t>
            </w:r>
            <w:r>
              <w:rPr>
                <w:rStyle w:val="41"/>
                <w:rFonts w:hint="default" w:hAnsi="仿宋_GB2312"/>
                <w:color w:val="auto"/>
                <w:sz w:val="21"/>
                <w:szCs w:val="21"/>
              </w:rPr>
              <w:t>建档立卡工作</w:t>
            </w:r>
            <w:r>
              <w:rPr>
                <w:rStyle w:val="42"/>
                <w:rFonts w:hint="default" w:hAnsi="仿宋_GB2312"/>
                <w:color w:val="auto"/>
                <w:sz w:val="21"/>
                <w:szCs w:val="21"/>
              </w:rPr>
              <w:t>（3分）；对疑似危险住房按程序开展</w:t>
            </w:r>
            <w:r>
              <w:rPr>
                <w:rStyle w:val="41"/>
                <w:rFonts w:hint="default" w:hAnsi="仿宋_GB2312"/>
                <w:color w:val="auto"/>
                <w:sz w:val="21"/>
                <w:szCs w:val="21"/>
              </w:rPr>
              <w:t>危房鉴定</w:t>
            </w:r>
            <w:r>
              <w:rPr>
                <w:rStyle w:val="42"/>
                <w:rFonts w:hint="default" w:hAnsi="仿宋_GB2312"/>
                <w:color w:val="auto"/>
                <w:sz w:val="21"/>
                <w:szCs w:val="21"/>
              </w:rPr>
              <w:t>（认定）（3分）；建立城市危旧房改造</w:t>
            </w:r>
            <w:r>
              <w:rPr>
                <w:rStyle w:val="41"/>
                <w:rFonts w:hint="default" w:hAnsi="仿宋_GB2312"/>
                <w:color w:val="auto"/>
                <w:sz w:val="21"/>
                <w:szCs w:val="21"/>
              </w:rPr>
              <w:t>项目储备库</w:t>
            </w:r>
            <w:r>
              <w:rPr>
                <w:rStyle w:val="42"/>
                <w:rFonts w:hint="default" w:hAnsi="仿宋_GB2312"/>
                <w:color w:val="auto"/>
                <w:sz w:val="21"/>
                <w:szCs w:val="21"/>
              </w:rPr>
              <w:t>，根据项目成熟度进行</w:t>
            </w:r>
            <w:r>
              <w:rPr>
                <w:rStyle w:val="41"/>
                <w:rFonts w:hint="default" w:hAnsi="仿宋_GB2312"/>
                <w:color w:val="auto"/>
                <w:sz w:val="21"/>
                <w:szCs w:val="21"/>
              </w:rPr>
              <w:t>量化排序</w:t>
            </w:r>
            <w:r>
              <w:rPr>
                <w:rStyle w:val="42"/>
                <w:rFonts w:hint="default" w:hAnsi="仿宋_GB2312"/>
                <w:color w:val="auto"/>
                <w:sz w:val="21"/>
                <w:szCs w:val="21"/>
              </w:rPr>
              <w:t>，明确纳入计划的优先顺序（3分）；对纳入年度计划的城市危旧房，在城市危旧房摸底调查系统中完成标识（3分）。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F2B62">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15</w:t>
            </w:r>
          </w:p>
        </w:tc>
      </w:tr>
      <w:tr w14:paraId="7FBF37F7">
        <w:tblPrEx>
          <w:tblCellMar>
            <w:top w:w="0" w:type="dxa"/>
            <w:left w:w="108" w:type="dxa"/>
            <w:bottom w:w="0" w:type="dxa"/>
            <w:right w:w="108" w:type="dxa"/>
          </w:tblCellMar>
        </w:tblPrEx>
        <w:trPr>
          <w:trHeight w:val="537" w:hRule="atLeast"/>
        </w:trPr>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CB7FE">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C1A7A">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676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项目执行监控</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AEE1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5</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57388">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建立项目建设监督机制，定期调度项目进展，通报项目建设进度和存在问题，对进展缓慢的项目及时研究提出处理意见，无法继续实施的项目及时调整（4分）；完工项目及时按规定组织竣工验收（1分）。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8DBE0">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5</w:t>
            </w:r>
          </w:p>
        </w:tc>
      </w:tr>
      <w:tr w14:paraId="1B785866">
        <w:tblPrEx>
          <w:tblCellMar>
            <w:top w:w="0" w:type="dxa"/>
            <w:left w:w="108" w:type="dxa"/>
            <w:bottom w:w="0" w:type="dxa"/>
            <w:right w:w="108" w:type="dxa"/>
          </w:tblCellMar>
        </w:tblPrEx>
        <w:trPr>
          <w:trHeight w:val="776" w:hRule="atLeast"/>
        </w:trPr>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6B361">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6E9EF">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A2A0">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绩效管理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8A3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4</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34042">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编制了绩效目标、及时开展绩效评价工作，按时报送绩效评价报告且内容完整的（3分)，绩效目标编制内容不完整的扣2分，绩效评价报告内容不完整的扣1分。无故不按时提交绩效评价报告、绩效评价自评表及相关证明材料，以及存在弄虚作假等情形的，绩效评价得分按零分认定。建立绩效监控机制（1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73D3">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4</w:t>
            </w:r>
          </w:p>
        </w:tc>
      </w:tr>
      <w:tr w14:paraId="07683DD8">
        <w:tblPrEx>
          <w:tblCellMar>
            <w:top w:w="0" w:type="dxa"/>
            <w:left w:w="108" w:type="dxa"/>
            <w:bottom w:w="0" w:type="dxa"/>
            <w:right w:w="108" w:type="dxa"/>
          </w:tblCellMar>
        </w:tblPrEx>
        <w:trPr>
          <w:trHeight w:val="360" w:hRule="atLeast"/>
        </w:trPr>
        <w:tc>
          <w:tcPr>
            <w:tcW w:w="1091" w:type="dxa"/>
            <w:vMerge w:val="restart"/>
            <w:tcBorders>
              <w:top w:val="single" w:color="000000" w:sz="4" w:space="0"/>
              <w:left w:val="single" w:color="000000" w:sz="4" w:space="0"/>
              <w:bottom w:val="nil"/>
              <w:right w:val="single" w:color="000000" w:sz="4" w:space="0"/>
            </w:tcBorders>
            <w:shd w:val="clear" w:color="auto" w:fill="auto"/>
            <w:vAlign w:val="center"/>
          </w:tcPr>
          <w:p w14:paraId="5CD93C9F">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产出效益</w:t>
            </w:r>
          </w:p>
        </w:tc>
        <w:tc>
          <w:tcPr>
            <w:tcW w:w="840" w:type="dxa"/>
            <w:vMerge w:val="restart"/>
            <w:tcBorders>
              <w:top w:val="single" w:color="000000" w:sz="4" w:space="0"/>
              <w:left w:val="single" w:color="000000" w:sz="4" w:space="0"/>
              <w:bottom w:val="nil"/>
              <w:right w:val="single" w:color="000000" w:sz="4" w:space="0"/>
            </w:tcBorders>
            <w:shd w:val="clear" w:color="auto" w:fill="auto"/>
            <w:vAlign w:val="center"/>
          </w:tcPr>
          <w:p w14:paraId="289395C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55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3E2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年度计划完成率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C847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10</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3A25">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城市危旧房实际开工改造套数大于或等于年度计划的，得10分；未达到年度计划的，每低一个百分点扣1分，最多扣10分。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F653">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10</w:t>
            </w:r>
          </w:p>
        </w:tc>
      </w:tr>
      <w:tr w14:paraId="5163AA53">
        <w:tblPrEx>
          <w:tblCellMar>
            <w:top w:w="0" w:type="dxa"/>
            <w:left w:w="108" w:type="dxa"/>
            <w:bottom w:w="0" w:type="dxa"/>
            <w:right w:w="108" w:type="dxa"/>
          </w:tblCellMar>
        </w:tblPrEx>
        <w:trPr>
          <w:trHeight w:val="1599"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1A88F9BA">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1C9DED45">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481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棚户区（城市危旧房）改造目标</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7B1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10</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C8DAB">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结合摸底调查结果，制定城市危旧房改造五年规划，加快推进城市危旧房改造。2024年度开工改造套数占摸底调查总量比例达到15%及以上得10分，5%—15%（不含）得5分，低于5%（不含）不得分。至2025年两年累计开工改造套数占比达到40%及以上得10分，30%—40%得5分（不含），低于30%（不含）不得分。至2026年三年累计开工改造套数占比达到60%及以上得10分，50%—60%（不含）得5分，低于50%（不含）不得分。至2027年四年累计开工改造套数占比达到80%及以上得10分，70%—80%（不含）得5分，低于70%（不含）不得分。至2028年五年累计开工改造套数占比达到90%及以上得10分，80%—90%（不含）得5分，低于80%（不含）不得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66E07">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10</w:t>
            </w:r>
          </w:p>
        </w:tc>
      </w:tr>
      <w:tr w14:paraId="382FA00F">
        <w:tblPrEx>
          <w:tblCellMar>
            <w:top w:w="0" w:type="dxa"/>
            <w:left w:w="108" w:type="dxa"/>
            <w:bottom w:w="0" w:type="dxa"/>
            <w:right w:w="108" w:type="dxa"/>
          </w:tblCellMar>
        </w:tblPrEx>
        <w:trPr>
          <w:trHeight w:val="1082"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2A89D25C">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10AA9F87">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2B0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资金使用管理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B61C">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7</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5EFE">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没有违规违纪情况（5分），通过审计、财政等部门监督存在资金截留、挤占挪用、虚报冒领套（骗）取资金、扩大支出范围等违规违纪行为，或经群众举报、新闻媒体曝光，经查实存在违规违纪行为的，每发现1项扣1分，最多扣5分；对性质恶劣、有重大不良影响的违规违纪项目一次性扣除5分。无超过一年闲置资金沉淀，对项目无法实施超过一年闲置沉淀资金以及结余资金等及时按规定处理的（2分），未按规定处理的，每发现1项扣0.5分，最多扣2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C8F8">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7</w:t>
            </w:r>
          </w:p>
        </w:tc>
      </w:tr>
      <w:tr w14:paraId="1370D0E6">
        <w:tblPrEx>
          <w:tblCellMar>
            <w:top w:w="0" w:type="dxa"/>
            <w:left w:w="108" w:type="dxa"/>
            <w:bottom w:w="0" w:type="dxa"/>
            <w:right w:w="108" w:type="dxa"/>
          </w:tblCellMar>
        </w:tblPrEx>
        <w:trPr>
          <w:trHeight w:val="1322"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6E26928F">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6F273313">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D586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完善工作机制</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92BA">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5</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ACF6">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制定城市危旧房改造年度实施方案（1分）；多渠道筹措改造资金，探索建立地方政府与产权单位、产权人资金共担机制（1分）；城市危旧房改造完成的，及时在城市危旧房摸底调查系统中上传完成改造的照片等佐证资料（1分）；否则不得分。对摸底调查中发现的存在严重安全隐患、已不具备居住使用条件的城市危旧房，及时采取措施停止使用（2分），否则一次性扣除5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2F7D8">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5</w:t>
            </w:r>
          </w:p>
        </w:tc>
      </w:tr>
      <w:tr w14:paraId="303E56BB">
        <w:tblPrEx>
          <w:tblCellMar>
            <w:top w:w="0" w:type="dxa"/>
            <w:left w:w="108" w:type="dxa"/>
            <w:bottom w:w="0" w:type="dxa"/>
            <w:right w:w="108" w:type="dxa"/>
          </w:tblCellMar>
        </w:tblPrEx>
        <w:trPr>
          <w:trHeight w:val="537"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611C4163">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45ADFC1F">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F7AD">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工程质量</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2D53">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8</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C424">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工程质量符合标准的（8分）。审计、督查检查等工作中发现存在工程质量问题的，每发现一个项目扣1分，最多扣8分，相关问题引发舆情或造成社会不良影响的，本项不得分。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E292">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8</w:t>
            </w:r>
          </w:p>
        </w:tc>
      </w:tr>
      <w:tr w14:paraId="658A512F">
        <w:tblPrEx>
          <w:tblCellMar>
            <w:top w:w="0" w:type="dxa"/>
            <w:left w:w="108" w:type="dxa"/>
            <w:bottom w:w="0" w:type="dxa"/>
            <w:right w:w="108" w:type="dxa"/>
          </w:tblCellMar>
        </w:tblPrEx>
        <w:trPr>
          <w:trHeight w:val="830"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104537DB">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0F2DDD65">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E155">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进度管理</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04C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5</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8980F">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城市危旧房改造及以前年度开工建设的棚户区改造安置住房在合理工期内竣工的得5分；审计、督查检查等工作中发现有项目逾期未建成、群众未按时回迁安置的，每发现一个项目扣1分，最多扣5分；相关问题引发舆情或造成社会不良影响的，本项不得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5E61A">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4</w:t>
            </w:r>
          </w:p>
        </w:tc>
      </w:tr>
      <w:tr w14:paraId="1A46E8D6">
        <w:tblPrEx>
          <w:tblCellMar>
            <w:top w:w="0" w:type="dxa"/>
            <w:left w:w="108" w:type="dxa"/>
            <w:bottom w:w="0" w:type="dxa"/>
            <w:right w:w="108" w:type="dxa"/>
          </w:tblCellMar>
        </w:tblPrEx>
        <w:trPr>
          <w:trHeight w:val="948"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6E3D51BB">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305AD189">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A12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经验推广</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C75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2</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E79D">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受到党中央、国务院领导同志批示表扬的得2分；在全国工作会议上交流典型经验的，交流一次得1分，最多得2分；加强宣传和舆论引导，及时总结可复制可推广经验，积极推广棚户区（城市危旧房）改造项目、典型案例，相关经验做法被国务院相关部门推广或在中央级新闻媒体上报道的，每条得0.5分。本项最高得2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42FD">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2</w:t>
            </w:r>
          </w:p>
        </w:tc>
      </w:tr>
      <w:tr w14:paraId="6B0D78F9">
        <w:tblPrEx>
          <w:tblCellMar>
            <w:top w:w="0" w:type="dxa"/>
            <w:left w:w="108" w:type="dxa"/>
            <w:bottom w:w="0" w:type="dxa"/>
            <w:right w:w="108" w:type="dxa"/>
          </w:tblCellMar>
        </w:tblPrEx>
        <w:trPr>
          <w:trHeight w:val="830" w:hRule="atLeast"/>
        </w:trPr>
        <w:tc>
          <w:tcPr>
            <w:tcW w:w="1091" w:type="dxa"/>
            <w:vMerge w:val="continue"/>
            <w:tcBorders>
              <w:top w:val="single" w:color="000000" w:sz="4" w:space="0"/>
              <w:left w:val="single" w:color="000000" w:sz="4" w:space="0"/>
              <w:bottom w:val="nil"/>
              <w:right w:val="single" w:color="000000" w:sz="4" w:space="0"/>
            </w:tcBorders>
            <w:shd w:val="clear" w:color="auto" w:fill="auto"/>
            <w:vAlign w:val="center"/>
          </w:tcPr>
          <w:p w14:paraId="0CBF59D4">
            <w:pPr>
              <w:jc w:val="center"/>
              <w:rPr>
                <w:rFonts w:ascii="仿宋_GB2312" w:hAnsi="仿宋_GB2312" w:eastAsia="仿宋_GB2312" w:cs="仿宋_GB2312"/>
                <w:szCs w:val="21"/>
              </w:rPr>
            </w:pPr>
          </w:p>
        </w:tc>
        <w:tc>
          <w:tcPr>
            <w:tcW w:w="840" w:type="dxa"/>
            <w:vMerge w:val="continue"/>
            <w:tcBorders>
              <w:top w:val="single" w:color="000000" w:sz="4" w:space="0"/>
              <w:left w:val="single" w:color="000000" w:sz="4" w:space="0"/>
              <w:bottom w:val="nil"/>
              <w:right w:val="single" w:color="000000" w:sz="4" w:space="0"/>
            </w:tcBorders>
            <w:shd w:val="clear" w:color="auto" w:fill="auto"/>
            <w:vAlign w:val="center"/>
          </w:tcPr>
          <w:p w14:paraId="75FB80FC">
            <w:pPr>
              <w:jc w:val="center"/>
              <w:rPr>
                <w:rFonts w:ascii="仿宋_GB2312" w:hAnsi="仿宋_GB2312" w:eastAsia="仿宋_GB2312" w:cs="仿宋_GB2312"/>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26E8B">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城市危旧房改造居民满意度</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35B8">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8</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C6D09">
            <w:pPr>
              <w:widowControl/>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是否开展满意度测评（2分）；满意度指标达到90%以上（6分），低于90%的，每低一个百分点扣1分，对于群众信访问题没有及时处置或处置不到位的，每一次扣1分，最多扣6分。相关问题引发舆情或造成社会不良影响的，本项不得分。</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4A6D">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8</w:t>
            </w:r>
          </w:p>
        </w:tc>
      </w:tr>
      <w:tr w14:paraId="3D1397CA">
        <w:tblPrEx>
          <w:tblCellMar>
            <w:top w:w="0" w:type="dxa"/>
            <w:left w:w="108" w:type="dxa"/>
            <w:bottom w:w="0" w:type="dxa"/>
            <w:right w:w="108" w:type="dxa"/>
          </w:tblCellMar>
        </w:tblPrEx>
        <w:trPr>
          <w:trHeight w:val="189" w:hRule="atLeast"/>
        </w:trPr>
        <w:tc>
          <w:tcPr>
            <w:tcW w:w="31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A42207">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合计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DAA56">
            <w:pPr>
              <w:widowControl/>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rPr>
              <w:t>100</w:t>
            </w:r>
          </w:p>
        </w:tc>
        <w:tc>
          <w:tcPr>
            <w:tcW w:w="82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FF67">
            <w:pPr>
              <w:jc w:val="center"/>
              <w:rPr>
                <w:rFonts w:ascii="仿宋_GB2312" w:hAnsi="仿宋_GB2312" w:eastAsia="仿宋_GB2312" w:cs="仿宋_GB2312"/>
                <w:szCs w:val="21"/>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1DD2D">
            <w:pPr>
              <w:widowControl/>
              <w:jc w:val="center"/>
              <w:textAlignment w:val="center"/>
              <w:rPr>
                <w:rFonts w:ascii="仿宋_GB2312" w:hAnsi="仿宋_GB2312" w:eastAsia="仿宋_GB2312" w:cs="仿宋_GB2312"/>
                <w:szCs w:val="21"/>
              </w:rPr>
            </w:pPr>
            <w:r>
              <w:rPr>
                <w:rFonts w:hint="eastAsia" w:ascii="仿宋_GB2312" w:hAnsi="宋体" w:eastAsia="仿宋_GB2312" w:cs="仿宋_GB2312"/>
                <w:color w:val="000000"/>
                <w:kern w:val="0"/>
                <w:sz w:val="22"/>
                <w:szCs w:val="22"/>
              </w:rPr>
              <w:t>91</w:t>
            </w:r>
          </w:p>
        </w:tc>
      </w:tr>
    </w:tbl>
    <w:p w14:paraId="4F682BEC">
      <w:pPr>
        <w:sectPr>
          <w:pgSz w:w="16838" w:h="11906" w:orient="landscape"/>
          <w:pgMar w:top="1531" w:right="2041" w:bottom="1417" w:left="1417" w:header="851" w:footer="992" w:gutter="0"/>
          <w:pgNumType w:fmt="numberInDash"/>
          <w:cols w:space="0" w:num="1"/>
          <w:docGrid w:type="lines" w:linePitch="312" w:charSpace="0"/>
        </w:sectPr>
      </w:pPr>
    </w:p>
    <w:p w14:paraId="515CD28C">
      <w:pPr>
        <w:pStyle w:val="2"/>
        <w:adjustRightInd w:val="0"/>
        <w:snapToGrid w:val="0"/>
        <w:spacing w:line="360" w:lineRule="auto"/>
        <w:rPr>
          <w:rFonts w:ascii="仿宋_GB2312" w:hAnsi="仿宋_GB2312" w:eastAsia="仿宋_GB2312" w:cs="仿宋_GB2312"/>
        </w:rPr>
      </w:pPr>
      <w:r>
        <w:rPr>
          <w:rFonts w:hint="eastAsia" w:ascii="仿宋_GB2312" w:hAnsi="仿宋_GB2312" w:eastAsia="仿宋_GB2312" w:cs="仿宋_GB2312"/>
        </w:rPr>
        <w:t>附件2</w:t>
      </w:r>
    </w:p>
    <w:p w14:paraId="365695DC">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2024年中央财政城镇保障性安居工程补助资金（棚户区（城市危旧房改造））项目资金情况表</w:t>
      </w:r>
    </w:p>
    <w:p w14:paraId="452F5287">
      <w:pPr>
        <w:pStyle w:val="2"/>
        <w:adjustRightInd w:val="0"/>
        <w:snapToGrid w:val="0"/>
        <w:spacing w:line="360" w:lineRule="auto"/>
        <w:jc w:val="center"/>
        <w:rPr>
          <w:rFonts w:ascii="仿宋_GB2312" w:hAnsi="仿宋_GB2312" w:eastAsia="仿宋_GB2312" w:cs="仿宋_GB2312"/>
        </w:rPr>
      </w:pPr>
      <w:r>
        <w:rPr>
          <w:rFonts w:hint="eastAsia" w:ascii="仿宋_GB2312" w:hAnsi="仿宋_GB2312" w:eastAsia="仿宋_GB2312" w:cs="仿宋_GB2312"/>
        </w:rPr>
        <w:t xml:space="preserve">                                                                                                            金额单位：万元  </w:t>
      </w:r>
    </w:p>
    <w:tbl>
      <w:tblPr>
        <w:tblStyle w:val="17"/>
        <w:tblW w:w="13596" w:type="dxa"/>
        <w:tblInd w:w="93" w:type="dxa"/>
        <w:tblLayout w:type="fixed"/>
        <w:tblCellMar>
          <w:top w:w="0" w:type="dxa"/>
          <w:left w:w="108" w:type="dxa"/>
          <w:bottom w:w="0" w:type="dxa"/>
          <w:right w:w="108" w:type="dxa"/>
        </w:tblCellMar>
      </w:tblPr>
      <w:tblGrid>
        <w:gridCol w:w="440"/>
        <w:gridCol w:w="866"/>
        <w:gridCol w:w="989"/>
        <w:gridCol w:w="1138"/>
        <w:gridCol w:w="924"/>
        <w:gridCol w:w="883"/>
        <w:gridCol w:w="998"/>
        <w:gridCol w:w="821"/>
        <w:gridCol w:w="907"/>
        <w:gridCol w:w="844"/>
        <w:gridCol w:w="853"/>
        <w:gridCol w:w="711"/>
        <w:gridCol w:w="711"/>
        <w:gridCol w:w="716"/>
        <w:gridCol w:w="896"/>
        <w:gridCol w:w="899"/>
      </w:tblGrid>
      <w:tr w14:paraId="1E94613F">
        <w:tblPrEx>
          <w:tblCellMar>
            <w:top w:w="0" w:type="dxa"/>
            <w:left w:w="108" w:type="dxa"/>
            <w:bottom w:w="0" w:type="dxa"/>
            <w:right w:w="108" w:type="dxa"/>
          </w:tblCellMar>
        </w:tblPrEx>
        <w:trPr>
          <w:trHeight w:val="90" w:hRule="atLeast"/>
        </w:trPr>
        <w:tc>
          <w:tcPr>
            <w:tcW w:w="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97260F">
            <w:pPr>
              <w:pStyle w:val="2"/>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序号</w:t>
            </w:r>
          </w:p>
        </w:tc>
        <w:tc>
          <w:tcPr>
            <w:tcW w:w="8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07EDF8">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地级以上市</w:t>
            </w:r>
          </w:p>
        </w:tc>
        <w:tc>
          <w:tcPr>
            <w:tcW w:w="30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8089A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合计</w:t>
            </w:r>
          </w:p>
        </w:tc>
        <w:tc>
          <w:tcPr>
            <w:tcW w:w="27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5B32EA">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中央补助资金</w:t>
            </w:r>
          </w:p>
        </w:tc>
        <w:tc>
          <w:tcPr>
            <w:tcW w:w="26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8A6F0B">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省级财政资金</w:t>
            </w:r>
          </w:p>
        </w:tc>
        <w:tc>
          <w:tcPr>
            <w:tcW w:w="21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4F8D34">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市县级财政资金</w:t>
            </w:r>
          </w:p>
        </w:tc>
        <w:tc>
          <w:tcPr>
            <w:tcW w:w="17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9A920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各类自筹资金</w:t>
            </w:r>
          </w:p>
        </w:tc>
      </w:tr>
      <w:tr w14:paraId="426E247E">
        <w:tblPrEx>
          <w:tblCellMar>
            <w:top w:w="0" w:type="dxa"/>
            <w:left w:w="108" w:type="dxa"/>
            <w:bottom w:w="0" w:type="dxa"/>
            <w:right w:w="108" w:type="dxa"/>
          </w:tblCellMar>
        </w:tblPrEx>
        <w:trPr>
          <w:trHeight w:val="96"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66939">
            <w:pPr>
              <w:jc w:val="center"/>
              <w:rPr>
                <w:rFonts w:ascii="仿宋_GB2312" w:hAnsi="仿宋_GB2312" w:eastAsia="仿宋_GB2312" w:cs="仿宋_GB2312"/>
                <w:b/>
                <w:bCs/>
                <w:sz w:val="18"/>
                <w:szCs w:val="18"/>
              </w:rPr>
            </w:pPr>
          </w:p>
        </w:tc>
        <w:tc>
          <w:tcPr>
            <w:tcW w:w="8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379CB">
            <w:pPr>
              <w:jc w:val="center"/>
              <w:rPr>
                <w:rFonts w:ascii="仿宋_GB2312" w:hAnsi="仿宋_GB2312" w:eastAsia="仿宋_GB2312" w:cs="仿宋_GB2312"/>
                <w:b/>
                <w:bCs/>
                <w:sz w:val="18"/>
                <w:szCs w:val="18"/>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8B5F">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财政资金预算指标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2156">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到位资金</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281A">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实际支出</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F4D4">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预算指标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F73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到位资金</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2C4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实际支出</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EDD0E">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预算指标</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75F23">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到位资金</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A8BF">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实际支出</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3896C">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预算指标</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B5E9E">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到位资金</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7BD6">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实际支出</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F5D1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到位资金</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29DB2">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实际支出</w:t>
            </w:r>
          </w:p>
        </w:tc>
      </w:tr>
      <w:tr w14:paraId="030A00DA">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A68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9E2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CDE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A5B0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715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8306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96A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D04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8</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DE2D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0F9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B7D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CF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12</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2A5A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6D1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14</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DEE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42A6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16</w:t>
            </w:r>
          </w:p>
        </w:tc>
      </w:tr>
      <w:tr w14:paraId="49A003B0">
        <w:tblPrEx>
          <w:tblCellMar>
            <w:top w:w="0" w:type="dxa"/>
            <w:left w:w="108" w:type="dxa"/>
            <w:bottom w:w="0" w:type="dxa"/>
            <w:right w:w="108" w:type="dxa"/>
          </w:tblCellMar>
        </w:tblPrEx>
        <w:trPr>
          <w:trHeight w:val="90" w:hRule="atLeast"/>
        </w:trPr>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295C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合  计</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0AF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876.59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622E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1,319.84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674C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639.84 </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8DB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541.60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8A6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541.60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4B48">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242.23 </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FE0F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853.00 </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BE9E">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853.00 </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8D46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409.04 </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7206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57DF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DFD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22E6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443.25 </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4E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150.35 </w:t>
            </w:r>
          </w:p>
        </w:tc>
      </w:tr>
      <w:tr w14:paraId="2D90739E">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550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3CBE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广州市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ACD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658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F5A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75C7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B021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BBF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14.40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DCD2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AC05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5AE2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F8E2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5A24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9FC9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4D0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8C4A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79A6FB82">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CDEA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1B8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韶关市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F692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363.11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64D0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363.11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515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187.22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E9F05">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232.60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FC6FE">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232.60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6B0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109.96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52ED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130.51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4D3A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130.51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751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77.26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3A6C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C24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E3AD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937A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4D7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4226CE33">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AC6F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ABB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东莞市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7CA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104.10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4029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541.90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94BD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313.00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6D409">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104.10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D7229">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104.10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859E">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104.10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D2FD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807D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8E6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64.00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CA21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BC01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3896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5EC8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437.80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4180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144.90 </w:t>
            </w:r>
          </w:p>
        </w:tc>
      </w:tr>
      <w:tr w14:paraId="09829F85">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01F6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DAC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江门市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5C90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170.14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FC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175.59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D0AF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72.85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AB5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35.20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D262">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35.20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CF52">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2.56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59B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134.94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A33A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134.94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AD93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64.85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8716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EFA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1C3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474B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5.45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19D1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5.45 </w:t>
            </w:r>
          </w:p>
        </w:tc>
      </w:tr>
      <w:tr w14:paraId="75DB3D26">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9FA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A905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汕尾市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605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32.49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149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32.49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B9CE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9.16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AD560">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5.80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85A71">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5.80 </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E3EC4">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5ADA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26.69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0243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26.69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D23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9.16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C116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A4BF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B85E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0010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1D94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10F8A642">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0D08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42F6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肇庆市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05F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155.42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21D4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155.42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969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30.10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08455">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132.20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C4D59">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132.20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AD35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6.37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26F0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23.22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331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23.22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625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23.73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468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927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4EE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02A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7075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230B0092">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9FB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54C6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潮州市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44F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36.93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316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36.93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F07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13.11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ED1F9">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17.30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E83F">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17.30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8BB5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4.84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1F0A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19.63 </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3ADD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19.63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867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8.27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A640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EF8A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AA6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6F91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B742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262F19A6">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534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8</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9BC6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汕头市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C7D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106.19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EBF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106.19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C376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3.00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D1F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0017">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67E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954E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106.19</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A1779">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106.19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E8B1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3.00</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392D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CA6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084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C59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5C44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54E63E67">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354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FD84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湛江市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179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113.80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766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113.80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A864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63.60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F508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A6FE">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407E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6D79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113.8</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6055B">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113.80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E564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63.6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5173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6F5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A7A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DE5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6D27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1463F341">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440E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0039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茂名市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9EBE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22.55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6F7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22.55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899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9.76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E85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7BBE4">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02A5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B19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22.55</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303D">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22.55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8EF1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9.76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2497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8B97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9F3A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15D0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C51B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1F9364E2">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C9D2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6DE9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惠州市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620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29.76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855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29.76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E1E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32.56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928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7033C">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CEB4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D66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29.76</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097B0">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29.76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2F6A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32.56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0D9F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C00A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EB99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FDBA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9117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61B25460">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BAC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12</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5DD1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梅州市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8578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45.58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D6B1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45.58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0F6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41.62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9108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2231">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F527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412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45.58</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B32C2">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45.58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D454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41.62</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F56B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5DCD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8F8F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2163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03EE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6DBDDA75">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A11F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1E49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河源市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443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55.73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2B8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55.73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4FF4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340A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5B398">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F35F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C04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55.73</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CADD">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55.73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E95F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8502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A42A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E9A0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883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EAB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75E69D5F">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7E53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14</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EC3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阳江市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6BC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44.16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A93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44.16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A67D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9.16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FC1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1C84">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306C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ED16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44.16</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7C7F">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44.16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3952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9.16</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7F73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BD5B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647D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9EE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705B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2C1627B5">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CC9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EA2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清远市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3B9D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57.72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451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57.72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3FF7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D86B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012C">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92F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DA87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57.72</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443E">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57.72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03D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656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B627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9978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176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E7B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6548DAD2">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70C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16</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3380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揭阳市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9A02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37.04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08D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37.04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DC98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2.08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D20B">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F5F44">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1F2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721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37.04</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E7DA2">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37.04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55BE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2.08</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0CA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2BB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FBC6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76AC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5DAB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4650D39E">
        <w:tblPrEx>
          <w:tblCellMar>
            <w:top w:w="0" w:type="dxa"/>
            <w:left w:w="108" w:type="dxa"/>
            <w:bottom w:w="0" w:type="dxa"/>
            <w:right w:w="108" w:type="dxa"/>
          </w:tblCellMar>
        </w:tblPrEx>
        <w:trPr>
          <w:trHeight w:val="90" w:hRule="atLeast"/>
        </w:trPr>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682C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17</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9F44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云浮市</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ED9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5.48 </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9D1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5.48 </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E28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9308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AF550">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746D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D517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5.48</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F77ED">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5.48 </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FEBC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69C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F1B7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EA1B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316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CF25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bl>
    <w:p w14:paraId="05CE8B75">
      <w:pPr>
        <w:pStyle w:val="2"/>
        <w:sectPr>
          <w:pgSz w:w="16838" w:h="11906" w:orient="landscape"/>
          <w:pgMar w:top="1417" w:right="1417" w:bottom="1417" w:left="1417" w:header="851" w:footer="992" w:gutter="0"/>
          <w:pgNumType w:fmt="numberInDash"/>
          <w:cols w:space="0" w:num="1"/>
          <w:docGrid w:type="lines" w:linePitch="312" w:charSpace="0"/>
        </w:sectPr>
      </w:pPr>
    </w:p>
    <w:p w14:paraId="5A0EE397">
      <w:r>
        <w:rPr>
          <w:rFonts w:hint="eastAsia"/>
        </w:rPr>
        <w:t>附件3</w:t>
      </w:r>
    </w:p>
    <w:p w14:paraId="15705AE6">
      <w:pPr>
        <w:pStyle w:val="2"/>
        <w:jc w:val="center"/>
        <w:rPr>
          <w:rFonts w:ascii="黑体" w:hAnsi="黑体" w:eastAsia="黑体" w:cs="黑体"/>
          <w:sz w:val="28"/>
          <w:szCs w:val="36"/>
        </w:rPr>
      </w:pPr>
      <w:r>
        <w:rPr>
          <w:rFonts w:hint="eastAsia" w:ascii="黑体" w:hAnsi="黑体" w:eastAsia="黑体" w:cs="黑体"/>
          <w:sz w:val="28"/>
          <w:szCs w:val="36"/>
        </w:rPr>
        <w:t>2024年中央财政城镇保障性安居工程补助资金（棚户区（城市危旧房改造））项目绩效指标完成情况表</w:t>
      </w:r>
    </w:p>
    <w:tbl>
      <w:tblPr>
        <w:tblStyle w:val="17"/>
        <w:tblW w:w="13516" w:type="dxa"/>
        <w:tblInd w:w="93" w:type="dxa"/>
        <w:tblLayout w:type="autofit"/>
        <w:tblCellMar>
          <w:top w:w="0" w:type="dxa"/>
          <w:left w:w="108" w:type="dxa"/>
          <w:bottom w:w="0" w:type="dxa"/>
          <w:right w:w="108" w:type="dxa"/>
        </w:tblCellMar>
      </w:tblPr>
      <w:tblGrid>
        <w:gridCol w:w="778"/>
        <w:gridCol w:w="1752"/>
        <w:gridCol w:w="1831"/>
        <w:gridCol w:w="1831"/>
        <w:gridCol w:w="1831"/>
        <w:gridCol w:w="1831"/>
        <w:gridCol w:w="1831"/>
        <w:gridCol w:w="1831"/>
      </w:tblGrid>
      <w:tr w14:paraId="54649845">
        <w:tblPrEx>
          <w:tblCellMar>
            <w:top w:w="0" w:type="dxa"/>
            <w:left w:w="108" w:type="dxa"/>
            <w:bottom w:w="0" w:type="dxa"/>
            <w:right w:w="108" w:type="dxa"/>
          </w:tblCellMar>
        </w:tblPrEx>
        <w:trPr>
          <w:trHeight w:val="824" w:hRule="atLeast"/>
        </w:trPr>
        <w:tc>
          <w:tcPr>
            <w:tcW w:w="778" w:type="dxa"/>
            <w:tcBorders>
              <w:top w:val="single" w:color="000000" w:sz="4" w:space="0"/>
              <w:left w:val="single" w:color="000000" w:sz="4" w:space="0"/>
              <w:bottom w:val="nil"/>
              <w:right w:val="single" w:color="000000" w:sz="4" w:space="0"/>
            </w:tcBorders>
            <w:shd w:val="clear" w:color="auto" w:fill="auto"/>
            <w:noWrap/>
            <w:vAlign w:val="center"/>
          </w:tcPr>
          <w:p w14:paraId="42DEEEBC">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序号</w:t>
            </w:r>
          </w:p>
        </w:tc>
        <w:tc>
          <w:tcPr>
            <w:tcW w:w="1752" w:type="dxa"/>
            <w:tcBorders>
              <w:top w:val="single" w:color="000000" w:sz="4" w:space="0"/>
              <w:left w:val="single" w:color="000000" w:sz="4" w:space="0"/>
              <w:bottom w:val="nil"/>
              <w:right w:val="single" w:color="000000" w:sz="4" w:space="0"/>
            </w:tcBorders>
            <w:shd w:val="clear" w:color="auto" w:fill="auto"/>
            <w:vAlign w:val="center"/>
          </w:tcPr>
          <w:p w14:paraId="34DE0752">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地级以上市</w:t>
            </w:r>
          </w:p>
        </w:tc>
        <w:tc>
          <w:tcPr>
            <w:tcW w:w="1831" w:type="dxa"/>
            <w:tcBorders>
              <w:top w:val="single" w:color="000000" w:sz="4" w:space="0"/>
              <w:left w:val="single" w:color="000000" w:sz="4" w:space="0"/>
              <w:bottom w:val="nil"/>
              <w:right w:val="single" w:color="000000" w:sz="4" w:space="0"/>
            </w:tcBorders>
            <w:shd w:val="clear" w:color="auto" w:fill="auto"/>
            <w:vAlign w:val="center"/>
          </w:tcPr>
          <w:p w14:paraId="05BCB255">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城市危旧房改造年度计划数量（套)</w:t>
            </w:r>
          </w:p>
        </w:tc>
        <w:tc>
          <w:tcPr>
            <w:tcW w:w="1831" w:type="dxa"/>
            <w:tcBorders>
              <w:top w:val="single" w:color="000000" w:sz="4" w:space="0"/>
              <w:left w:val="single" w:color="000000" w:sz="4" w:space="0"/>
              <w:bottom w:val="nil"/>
              <w:right w:val="single" w:color="000000" w:sz="4" w:space="0"/>
            </w:tcBorders>
            <w:shd w:val="clear" w:color="auto" w:fill="auto"/>
            <w:vAlign w:val="center"/>
          </w:tcPr>
          <w:p w14:paraId="5ED33E3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城市危旧房实际开工改造数量（套)</w:t>
            </w:r>
          </w:p>
        </w:tc>
        <w:tc>
          <w:tcPr>
            <w:tcW w:w="1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6F695">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城市危旧房摸底调查总量（套)</w:t>
            </w:r>
          </w:p>
        </w:tc>
        <w:tc>
          <w:tcPr>
            <w:tcW w:w="1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A9241">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工程质量符合标准率100%</w:t>
            </w:r>
          </w:p>
        </w:tc>
        <w:tc>
          <w:tcPr>
            <w:tcW w:w="1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EA65">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年度计划完成率100%</w:t>
            </w:r>
          </w:p>
        </w:tc>
        <w:tc>
          <w:tcPr>
            <w:tcW w:w="1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11C0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城市危旧房改造居民满意度90%</w:t>
            </w:r>
          </w:p>
        </w:tc>
      </w:tr>
      <w:tr w14:paraId="4836E50D">
        <w:tblPrEx>
          <w:tblCellMar>
            <w:top w:w="0" w:type="dxa"/>
            <w:left w:w="108" w:type="dxa"/>
            <w:bottom w:w="0" w:type="dxa"/>
            <w:right w:w="108" w:type="dxa"/>
          </w:tblCellMar>
        </w:tblPrEx>
        <w:trPr>
          <w:trHeight w:val="583"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F108B">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3673">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5E4D">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355</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DB3C">
            <w:pPr>
              <w:widowControl/>
              <w:jc w:val="center"/>
              <w:textAlignment w:val="center"/>
              <w:rPr>
                <w:rFonts w:ascii="仿宋_GB2312" w:hAnsi="仿宋_GB2312" w:eastAsia="仿宋_GB2312" w:cs="仿宋_GB2312"/>
                <w:b/>
                <w:bCs/>
                <w:sz w:val="18"/>
                <w:szCs w:val="18"/>
              </w:rPr>
            </w:pPr>
            <w:r>
              <w:rPr>
                <w:rFonts w:hint="eastAsia" w:ascii="仿宋_GB2312" w:hAnsi="宋体" w:eastAsia="仿宋_GB2312" w:cs="仿宋_GB2312"/>
                <w:b/>
                <w:bCs/>
                <w:color w:val="000000"/>
                <w:kern w:val="0"/>
                <w:sz w:val="22"/>
                <w:szCs w:val="22"/>
              </w:rPr>
              <w:t>2072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74F13">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 85.71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7BCA0">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 85.00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6ADFC">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 97.83</w:t>
            </w:r>
          </w:p>
        </w:tc>
      </w:tr>
      <w:tr w14:paraId="2D7F3776">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6DBB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BE08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广州市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291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057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63EB">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7C20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7B45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AD4C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r>
      <w:tr w14:paraId="4F2CE6C3">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514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66CC">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韶关市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2802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839F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176</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DFC3">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1062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CBB3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54E1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4239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99.00 </w:t>
            </w:r>
          </w:p>
        </w:tc>
      </w:tr>
      <w:tr w14:paraId="3B79B232">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529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FDD7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东莞市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35C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16E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64</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93771">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9186">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67B5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3BA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r>
      <w:tr w14:paraId="35417CA8">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377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E9F2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江门市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68F79">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2F7F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B316">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0CA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40CF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6333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95.00 </w:t>
            </w:r>
          </w:p>
        </w:tc>
      </w:tr>
      <w:tr w14:paraId="23C5F472">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FB03">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D949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汕尾市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FFD0D">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057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33C68">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835F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0041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FC528">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 - </w:t>
            </w:r>
          </w:p>
        </w:tc>
      </w:tr>
      <w:tr w14:paraId="70800D00">
        <w:tblPrEx>
          <w:tblCellMar>
            <w:top w:w="0" w:type="dxa"/>
            <w:left w:w="108" w:type="dxa"/>
            <w:bottom w:w="0" w:type="dxa"/>
            <w:right w:w="108" w:type="dxa"/>
          </w:tblCellMar>
        </w:tblPrEx>
        <w:trPr>
          <w:trHeight w:val="68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E150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926E1">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肇庆市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64E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9A650">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75</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AAF7">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177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ACF2E">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FFC4">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2DAA">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93</w:t>
            </w:r>
          </w:p>
        </w:tc>
      </w:tr>
      <w:tr w14:paraId="540F46B4">
        <w:tblPrEx>
          <w:tblCellMar>
            <w:top w:w="0" w:type="dxa"/>
            <w:left w:w="108" w:type="dxa"/>
            <w:bottom w:w="0" w:type="dxa"/>
            <w:right w:w="108" w:type="dxa"/>
          </w:tblCellMar>
        </w:tblPrEx>
        <w:trPr>
          <w:trHeight w:val="7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073F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C858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潮州市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6F60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DF0B2">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1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C45D2">
            <w:pPr>
              <w:widowControl/>
              <w:jc w:val="center"/>
              <w:textAlignment w:val="center"/>
              <w:rPr>
                <w:rFonts w:ascii="仿宋_GB2312" w:hAnsi="仿宋_GB2312" w:eastAsia="仿宋_GB2312" w:cs="仿宋_GB2312"/>
                <w:sz w:val="18"/>
                <w:szCs w:val="18"/>
              </w:rPr>
            </w:pPr>
            <w:r>
              <w:rPr>
                <w:rFonts w:hint="eastAsia" w:ascii="仿宋_GB2312" w:hAnsi="宋体" w:eastAsia="仿宋_GB2312" w:cs="仿宋_GB2312"/>
                <w:color w:val="000000"/>
                <w:kern w:val="0"/>
                <w:sz w:val="22"/>
                <w:szCs w:val="22"/>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8A0E5">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EAB17">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04FF">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w:t>
            </w:r>
          </w:p>
        </w:tc>
      </w:tr>
    </w:tbl>
    <w:p w14:paraId="71B413A1"/>
    <w:p w14:paraId="5F742344">
      <w:pPr>
        <w:pStyle w:val="2"/>
      </w:pPr>
    </w:p>
    <w:p w14:paraId="4A8ECCBB">
      <w:pPr>
        <w:sectPr>
          <w:pgSz w:w="16838" w:h="11906" w:orient="landscape"/>
          <w:pgMar w:top="1417" w:right="1417" w:bottom="1417" w:left="1417" w:header="851" w:footer="992" w:gutter="0"/>
          <w:pgNumType w:fmt="numberInDash"/>
          <w:cols w:space="0" w:num="1"/>
          <w:docGrid w:type="lines" w:linePitch="312" w:charSpace="0"/>
        </w:sectPr>
      </w:pPr>
    </w:p>
    <w:p w14:paraId="31C7E760">
      <w:r>
        <w:rPr>
          <w:rFonts w:hint="eastAsia"/>
        </w:rPr>
        <w:t>附件4</w:t>
      </w:r>
    </w:p>
    <w:p w14:paraId="1A1CC8EC">
      <w:pPr>
        <w:pStyle w:val="2"/>
        <w:jc w:val="center"/>
        <w:rPr>
          <w:rFonts w:ascii="黑体" w:hAnsi="黑体" w:eastAsia="黑体" w:cs="黑体"/>
          <w:sz w:val="28"/>
          <w:szCs w:val="28"/>
        </w:rPr>
      </w:pPr>
      <w:r>
        <w:rPr>
          <w:rFonts w:hint="eastAsia" w:ascii="黑体" w:hAnsi="黑体" w:eastAsia="黑体" w:cs="黑体"/>
          <w:sz w:val="28"/>
          <w:szCs w:val="28"/>
        </w:rPr>
        <w:t>2024年中央财政城镇保障性安居工程补助资金（棚户区（城市危旧房）改造）佐证材料清单</w:t>
      </w:r>
    </w:p>
    <w:tbl>
      <w:tblPr>
        <w:tblStyle w:val="17"/>
        <w:tblW w:w="8959" w:type="dxa"/>
        <w:tblInd w:w="93" w:type="dxa"/>
        <w:tblLayout w:type="autofit"/>
        <w:tblCellMar>
          <w:top w:w="0" w:type="dxa"/>
          <w:left w:w="108" w:type="dxa"/>
          <w:bottom w:w="0" w:type="dxa"/>
          <w:right w:w="108" w:type="dxa"/>
        </w:tblCellMar>
      </w:tblPr>
      <w:tblGrid>
        <w:gridCol w:w="735"/>
        <w:gridCol w:w="707"/>
        <w:gridCol w:w="7517"/>
      </w:tblGrid>
      <w:tr w14:paraId="0FDB285D">
        <w:tblPrEx>
          <w:tblCellMar>
            <w:top w:w="0" w:type="dxa"/>
            <w:left w:w="108" w:type="dxa"/>
            <w:bottom w:w="0" w:type="dxa"/>
            <w:right w:w="108" w:type="dxa"/>
          </w:tblCellMar>
        </w:tblPrEx>
        <w:trPr>
          <w:trHeight w:val="552"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5988">
            <w:pPr>
              <w:widowControl/>
              <w:jc w:val="center"/>
              <w:textAlignment w:val="center"/>
              <w:rPr>
                <w:rFonts w:ascii="仿宋_GB2312" w:hAnsi="仿宋_GB2312" w:eastAsia="仿宋_GB2312" w:cs="仿宋_GB2312"/>
                <w:b/>
                <w:bCs/>
                <w:sz w:val="24"/>
              </w:rPr>
            </w:pPr>
            <w:r>
              <w:rPr>
                <w:rFonts w:hint="eastAsia" w:ascii="仿宋_GB2312" w:hAnsi="仿宋_GB2312" w:eastAsia="仿宋_GB2312" w:cs="仿宋_GB2312"/>
                <w:b/>
                <w:bCs/>
                <w:kern w:val="0"/>
                <w:sz w:val="24"/>
              </w:rPr>
              <w:t>类型</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B81B6">
            <w:pPr>
              <w:widowControl/>
              <w:jc w:val="center"/>
              <w:textAlignment w:val="center"/>
              <w:rPr>
                <w:rFonts w:ascii="仿宋_GB2312" w:hAnsi="仿宋_GB2312" w:eastAsia="仿宋_GB2312" w:cs="仿宋_GB2312"/>
                <w:b/>
                <w:bCs/>
                <w:sz w:val="24"/>
              </w:rPr>
            </w:pPr>
            <w:r>
              <w:rPr>
                <w:rFonts w:hint="eastAsia" w:ascii="仿宋_GB2312" w:hAnsi="仿宋_GB2312" w:eastAsia="仿宋_GB2312" w:cs="仿宋_GB2312"/>
                <w:b/>
                <w:bCs/>
                <w:kern w:val="0"/>
                <w:sz w:val="24"/>
              </w:rPr>
              <w:t>编号</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E3824">
            <w:pPr>
              <w:widowControl/>
              <w:textAlignment w:val="center"/>
              <w:rPr>
                <w:rFonts w:ascii="仿宋_GB2312" w:hAnsi="仿宋_GB2312" w:eastAsia="仿宋_GB2312" w:cs="仿宋_GB2312"/>
                <w:b/>
                <w:bCs/>
                <w:sz w:val="24"/>
              </w:rPr>
            </w:pPr>
            <w:r>
              <w:rPr>
                <w:rFonts w:hint="eastAsia" w:ascii="仿宋_GB2312" w:hAnsi="仿宋_GB2312" w:eastAsia="仿宋_GB2312" w:cs="仿宋_GB2312"/>
                <w:b/>
                <w:bCs/>
                <w:kern w:val="0"/>
                <w:sz w:val="24"/>
              </w:rPr>
              <w:t>名称</w:t>
            </w:r>
          </w:p>
        </w:tc>
      </w:tr>
      <w:tr w14:paraId="6471673F">
        <w:tblPrEx>
          <w:tblCellMar>
            <w:top w:w="0" w:type="dxa"/>
            <w:left w:w="108" w:type="dxa"/>
            <w:bottom w:w="0" w:type="dxa"/>
            <w:right w:w="108" w:type="dxa"/>
          </w:tblCellMar>
        </w:tblPrEx>
        <w:trPr>
          <w:trHeight w:val="575" w:hRule="atLeast"/>
        </w:trPr>
        <w:tc>
          <w:tcPr>
            <w:tcW w:w="735" w:type="dxa"/>
            <w:vMerge w:val="restart"/>
            <w:tcBorders>
              <w:top w:val="single" w:color="000000" w:sz="4" w:space="0"/>
              <w:left w:val="single" w:color="000000" w:sz="4" w:space="0"/>
              <w:bottom w:val="nil"/>
              <w:right w:val="single" w:color="000000" w:sz="4" w:space="0"/>
            </w:tcBorders>
            <w:shd w:val="clear" w:color="auto" w:fill="auto"/>
            <w:vAlign w:val="center"/>
          </w:tcPr>
          <w:p w14:paraId="38E9DBA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1.资金管理类</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ADA3">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1-1</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BE84A">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《广东省财政厅关于提前下达2024年部分中央财政城镇保障性安居工程补助资金的通知》（粤财建〔2023〕71号）</w:t>
            </w:r>
          </w:p>
        </w:tc>
      </w:tr>
      <w:tr w14:paraId="1A5C934D">
        <w:tblPrEx>
          <w:tblCellMar>
            <w:top w:w="0" w:type="dxa"/>
            <w:left w:w="108" w:type="dxa"/>
            <w:bottom w:w="0" w:type="dxa"/>
            <w:right w:w="108" w:type="dxa"/>
          </w:tblCellMar>
        </w:tblPrEx>
        <w:trPr>
          <w:trHeight w:val="575"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41BA9630">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4D63">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1-2</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0B0B3">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《广东省财政厅关于下达2024年中央财政城镇保障性安居工程补助资金的通知》（粤财建〔2024〕34号）</w:t>
            </w:r>
          </w:p>
        </w:tc>
      </w:tr>
      <w:tr w14:paraId="4A9603A7">
        <w:tblPrEx>
          <w:tblCellMar>
            <w:top w:w="0" w:type="dxa"/>
            <w:left w:w="108" w:type="dxa"/>
            <w:bottom w:w="0" w:type="dxa"/>
            <w:right w:w="108" w:type="dxa"/>
          </w:tblCellMar>
        </w:tblPrEx>
        <w:trPr>
          <w:trHeight w:val="575"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175B2D75">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79E8F">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1-3</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6326">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《广东省财政厅关于提前下达2024年省住房城乡建设厅主管专项资金的通知》（粤财建〔2023〕77号）</w:t>
            </w:r>
          </w:p>
        </w:tc>
      </w:tr>
      <w:tr w14:paraId="2ED06A1D">
        <w:tblPrEx>
          <w:tblCellMar>
            <w:top w:w="0" w:type="dxa"/>
            <w:left w:w="108" w:type="dxa"/>
            <w:bottom w:w="0" w:type="dxa"/>
            <w:right w:w="108" w:type="dxa"/>
          </w:tblCellMar>
        </w:tblPrEx>
        <w:trPr>
          <w:trHeight w:val="464"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604EB591">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EED9">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1-4</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6431">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（22财力系数）2024年中央补助资金提前下达</w:t>
            </w:r>
          </w:p>
        </w:tc>
      </w:tr>
      <w:tr w14:paraId="4CBA01D6">
        <w:tblPrEx>
          <w:tblCellMar>
            <w:top w:w="0" w:type="dxa"/>
            <w:left w:w="108" w:type="dxa"/>
            <w:bottom w:w="0" w:type="dxa"/>
            <w:right w:w="108" w:type="dxa"/>
          </w:tblCellMar>
        </w:tblPrEx>
        <w:trPr>
          <w:trHeight w:val="517"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356AB11B">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0FF7">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1-5</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C4E3C">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2024年中央补助资金第二次下达分配表</w:t>
            </w:r>
          </w:p>
        </w:tc>
      </w:tr>
      <w:tr w14:paraId="0430AE2C">
        <w:tblPrEx>
          <w:tblCellMar>
            <w:top w:w="0" w:type="dxa"/>
            <w:left w:w="108" w:type="dxa"/>
            <w:bottom w:w="0" w:type="dxa"/>
            <w:right w:w="108" w:type="dxa"/>
          </w:tblCellMar>
        </w:tblPrEx>
        <w:trPr>
          <w:trHeight w:val="517"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0D9498FB">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35D8F">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1-6</w:t>
            </w:r>
          </w:p>
        </w:tc>
        <w:tc>
          <w:tcPr>
            <w:tcW w:w="7517" w:type="dxa"/>
            <w:tcBorders>
              <w:top w:val="nil"/>
              <w:left w:val="nil"/>
              <w:bottom w:val="nil"/>
              <w:right w:val="nil"/>
            </w:tcBorders>
            <w:shd w:val="clear" w:color="auto" w:fill="auto"/>
            <w:vAlign w:val="center"/>
          </w:tcPr>
          <w:p w14:paraId="0809DD52">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2024年保障性安居工程补助资金初步分配计划</w:t>
            </w:r>
          </w:p>
        </w:tc>
      </w:tr>
      <w:tr w14:paraId="432BEE6F">
        <w:tblPrEx>
          <w:tblCellMar>
            <w:top w:w="0" w:type="dxa"/>
            <w:left w:w="108" w:type="dxa"/>
            <w:bottom w:w="0" w:type="dxa"/>
            <w:right w:w="108" w:type="dxa"/>
          </w:tblCellMar>
        </w:tblPrEx>
        <w:trPr>
          <w:trHeight w:val="823"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0FF8E609">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C479D">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1-7</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74CE">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《广东省财政厅广东省住房和城乡建设厅关于印发广东省住房城乡建设领域专项资金管理办法（2024年修订)的通知》（粤财建〔2024〕5号）</w:t>
            </w:r>
          </w:p>
        </w:tc>
      </w:tr>
      <w:tr w14:paraId="19826267">
        <w:tblPrEx>
          <w:tblCellMar>
            <w:top w:w="0" w:type="dxa"/>
            <w:left w:w="108" w:type="dxa"/>
            <w:bottom w:w="0" w:type="dxa"/>
            <w:right w:w="108" w:type="dxa"/>
          </w:tblCellMar>
        </w:tblPrEx>
        <w:trPr>
          <w:trHeight w:val="575"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7198788F">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AACC3">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1-8</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9B46A">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《广东省财政厅关于印发〈广东省省级财政资金“双监控”管理暂行办法〉的通知》（粤财监〔2020〕33号）</w:t>
            </w:r>
          </w:p>
        </w:tc>
      </w:tr>
      <w:tr w14:paraId="0B7AD53A">
        <w:tblPrEx>
          <w:tblCellMar>
            <w:top w:w="0" w:type="dxa"/>
            <w:left w:w="108" w:type="dxa"/>
            <w:bottom w:w="0" w:type="dxa"/>
            <w:right w:w="108" w:type="dxa"/>
          </w:tblCellMar>
        </w:tblPrEx>
        <w:trPr>
          <w:trHeight w:val="823"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73FD2D4E">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742FA">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1-9</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28FC">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 广东省住房和城乡建设厅关于印发〈中央财政城镇保障性安居工程补助资金广东省管理实施办法〉的通知》（粤财建〔2024〕40号）</w:t>
            </w:r>
          </w:p>
        </w:tc>
      </w:tr>
      <w:tr w14:paraId="304C311D">
        <w:tblPrEx>
          <w:tblCellMar>
            <w:top w:w="0" w:type="dxa"/>
            <w:left w:w="108" w:type="dxa"/>
            <w:bottom w:w="0" w:type="dxa"/>
            <w:right w:w="108" w:type="dxa"/>
          </w:tblCellMar>
        </w:tblPrEx>
        <w:trPr>
          <w:trHeight w:val="517"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39C62F48">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FB21D">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1-10</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93D1B">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（广东省12月）2024年中央及省级补助资金支出进度</w:t>
            </w:r>
          </w:p>
        </w:tc>
      </w:tr>
      <w:tr w14:paraId="36EEFD87">
        <w:tblPrEx>
          <w:tblCellMar>
            <w:top w:w="0" w:type="dxa"/>
            <w:left w:w="108" w:type="dxa"/>
            <w:bottom w:w="0" w:type="dxa"/>
            <w:right w:w="108" w:type="dxa"/>
          </w:tblCellMar>
        </w:tblPrEx>
        <w:trPr>
          <w:trHeight w:val="517" w:hRule="atLeast"/>
        </w:trPr>
        <w:tc>
          <w:tcPr>
            <w:tcW w:w="735" w:type="dxa"/>
            <w:vMerge w:val="restart"/>
            <w:tcBorders>
              <w:top w:val="single" w:color="000000" w:sz="4" w:space="0"/>
              <w:left w:val="single" w:color="000000" w:sz="4" w:space="0"/>
              <w:bottom w:val="nil"/>
              <w:right w:val="single" w:color="000000" w:sz="4" w:space="0"/>
            </w:tcBorders>
            <w:shd w:val="clear" w:color="auto" w:fill="auto"/>
            <w:vAlign w:val="center"/>
          </w:tcPr>
          <w:p w14:paraId="33F0CC6C">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2.项目管理类</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CBB4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2-1</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3812">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广东省住房保障动态监管平台（截图）</w:t>
            </w:r>
          </w:p>
        </w:tc>
      </w:tr>
      <w:tr w14:paraId="210A68D7">
        <w:tblPrEx>
          <w:tblCellMar>
            <w:top w:w="0" w:type="dxa"/>
            <w:left w:w="108" w:type="dxa"/>
            <w:bottom w:w="0" w:type="dxa"/>
            <w:right w:w="108" w:type="dxa"/>
          </w:tblCellMar>
        </w:tblPrEx>
        <w:trPr>
          <w:trHeight w:val="517"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13C6F3BF">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7F4E1">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2-2</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9CFD">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广东省人民政府关于加快棚户区改造工作的实施意见</w:t>
            </w:r>
          </w:p>
        </w:tc>
      </w:tr>
      <w:tr w14:paraId="7B931909">
        <w:tblPrEx>
          <w:tblCellMar>
            <w:top w:w="0" w:type="dxa"/>
            <w:left w:w="108" w:type="dxa"/>
            <w:bottom w:w="0" w:type="dxa"/>
            <w:right w:w="108" w:type="dxa"/>
          </w:tblCellMar>
        </w:tblPrEx>
        <w:trPr>
          <w:trHeight w:val="575"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3F168813">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08BC">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2-3</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D9960">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广东省财政厅 广东省住房和城乡建设厅关于开展2024年度中央保障性安居工程资金绩效评价的通知</w:t>
            </w:r>
          </w:p>
        </w:tc>
      </w:tr>
      <w:tr w14:paraId="734B528B">
        <w:tblPrEx>
          <w:tblCellMar>
            <w:top w:w="0" w:type="dxa"/>
            <w:left w:w="108" w:type="dxa"/>
            <w:bottom w:w="0" w:type="dxa"/>
            <w:right w:w="108" w:type="dxa"/>
          </w:tblCellMar>
        </w:tblPrEx>
        <w:trPr>
          <w:trHeight w:val="517" w:hRule="atLeast"/>
        </w:trPr>
        <w:tc>
          <w:tcPr>
            <w:tcW w:w="735" w:type="dxa"/>
            <w:vMerge w:val="continue"/>
            <w:tcBorders>
              <w:top w:val="single" w:color="000000" w:sz="4" w:space="0"/>
              <w:left w:val="single" w:color="000000" w:sz="4" w:space="0"/>
              <w:bottom w:val="nil"/>
              <w:right w:val="single" w:color="000000" w:sz="4" w:space="0"/>
            </w:tcBorders>
            <w:shd w:val="clear" w:color="auto" w:fill="auto"/>
            <w:vAlign w:val="center"/>
          </w:tcPr>
          <w:p w14:paraId="4294ECA6">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2FE13">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2-4</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97A1">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广东省绩效自评材料（绩效自评报告、表格、佐证材料等）</w:t>
            </w:r>
          </w:p>
        </w:tc>
      </w:tr>
      <w:tr w14:paraId="46DA4F92">
        <w:tblPrEx>
          <w:tblCellMar>
            <w:top w:w="0" w:type="dxa"/>
            <w:left w:w="108" w:type="dxa"/>
            <w:bottom w:w="0" w:type="dxa"/>
            <w:right w:w="108" w:type="dxa"/>
          </w:tblCellMar>
        </w:tblPrEx>
        <w:trPr>
          <w:trHeight w:val="575" w:hRule="atLeast"/>
        </w:trPr>
        <w:tc>
          <w:tcPr>
            <w:tcW w:w="735" w:type="dxa"/>
            <w:vMerge w:val="restart"/>
            <w:tcBorders>
              <w:top w:val="single" w:color="000000" w:sz="4" w:space="0"/>
              <w:left w:val="single" w:color="000000" w:sz="4" w:space="0"/>
              <w:right w:val="single" w:color="000000" w:sz="4" w:space="0"/>
            </w:tcBorders>
            <w:shd w:val="clear" w:color="auto" w:fill="auto"/>
            <w:vAlign w:val="center"/>
          </w:tcPr>
          <w:p w14:paraId="2A873386">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3.产出效益类</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3AC50">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3-1</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1645">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《广东省住房和城乡建设厅关于2024年度保障性安居工程完成情况的通报》（穗建规字〔2024〕15号）</w:t>
            </w:r>
          </w:p>
        </w:tc>
      </w:tr>
      <w:tr w14:paraId="242714C6">
        <w:tblPrEx>
          <w:tblCellMar>
            <w:top w:w="0" w:type="dxa"/>
            <w:left w:w="108" w:type="dxa"/>
            <w:bottom w:w="0" w:type="dxa"/>
            <w:right w:w="108" w:type="dxa"/>
          </w:tblCellMar>
        </w:tblPrEx>
        <w:trPr>
          <w:trHeight w:val="823" w:hRule="atLeast"/>
        </w:trPr>
        <w:tc>
          <w:tcPr>
            <w:tcW w:w="735" w:type="dxa"/>
            <w:vMerge w:val="continue"/>
            <w:tcBorders>
              <w:left w:val="single" w:color="000000" w:sz="4" w:space="0"/>
              <w:right w:val="single" w:color="000000" w:sz="4" w:space="0"/>
            </w:tcBorders>
            <w:shd w:val="clear" w:color="auto" w:fill="auto"/>
            <w:vAlign w:val="center"/>
          </w:tcPr>
          <w:p w14:paraId="59DEAEAD">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7C30">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3-2</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04D7">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《广州市住房和城乡建设局 广州市规划和自然资源局关于印发广州市城镇危旧房改造实施办法（试行）的通知》（穗建规字〔2024〕15号）</w:t>
            </w:r>
          </w:p>
        </w:tc>
      </w:tr>
      <w:tr w14:paraId="662AFDF2">
        <w:tblPrEx>
          <w:tblCellMar>
            <w:top w:w="0" w:type="dxa"/>
            <w:left w:w="108" w:type="dxa"/>
            <w:bottom w:w="0" w:type="dxa"/>
            <w:right w:w="108" w:type="dxa"/>
          </w:tblCellMar>
        </w:tblPrEx>
        <w:trPr>
          <w:trHeight w:val="517" w:hRule="atLeast"/>
        </w:trPr>
        <w:tc>
          <w:tcPr>
            <w:tcW w:w="735" w:type="dxa"/>
            <w:vMerge w:val="continue"/>
            <w:tcBorders>
              <w:left w:val="single" w:color="000000" w:sz="4" w:space="0"/>
              <w:right w:val="single" w:color="000000" w:sz="4" w:space="0"/>
            </w:tcBorders>
            <w:shd w:val="clear" w:color="auto" w:fill="auto"/>
            <w:vAlign w:val="center"/>
          </w:tcPr>
          <w:p w14:paraId="70208EDB">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611A">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3-3</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1AD58">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广东省建设工程质量管理条例</w:t>
            </w:r>
          </w:p>
        </w:tc>
      </w:tr>
      <w:tr w14:paraId="4613CEC1">
        <w:tblPrEx>
          <w:tblCellMar>
            <w:top w:w="0" w:type="dxa"/>
            <w:left w:w="108" w:type="dxa"/>
            <w:bottom w:w="0" w:type="dxa"/>
            <w:right w:w="108" w:type="dxa"/>
          </w:tblCellMar>
        </w:tblPrEx>
        <w:trPr>
          <w:trHeight w:val="552" w:hRule="atLeast"/>
        </w:trPr>
        <w:tc>
          <w:tcPr>
            <w:tcW w:w="735" w:type="dxa"/>
            <w:vMerge w:val="continue"/>
            <w:tcBorders>
              <w:left w:val="single" w:color="000000" w:sz="4" w:space="0"/>
              <w:right w:val="single" w:color="000000" w:sz="4" w:space="0"/>
            </w:tcBorders>
            <w:shd w:val="clear" w:color="auto" w:fill="auto"/>
            <w:vAlign w:val="center"/>
          </w:tcPr>
          <w:p w14:paraId="0919B2B3">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04B3F">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3-4</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10B1">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《广东省建设项目安全设施监督管理办法》（广东省人民政府令第147号）</w:t>
            </w:r>
          </w:p>
        </w:tc>
      </w:tr>
      <w:tr w14:paraId="535CA1A8">
        <w:tblPrEx>
          <w:tblCellMar>
            <w:top w:w="0" w:type="dxa"/>
            <w:left w:w="108" w:type="dxa"/>
            <w:bottom w:w="0" w:type="dxa"/>
            <w:right w:w="108" w:type="dxa"/>
          </w:tblCellMar>
        </w:tblPrEx>
        <w:trPr>
          <w:trHeight w:val="624" w:hRule="atLeast"/>
        </w:trPr>
        <w:tc>
          <w:tcPr>
            <w:tcW w:w="735" w:type="dxa"/>
            <w:vMerge w:val="continue"/>
            <w:tcBorders>
              <w:left w:val="single" w:color="000000" w:sz="4" w:space="0"/>
              <w:right w:val="single" w:color="000000" w:sz="4" w:space="0"/>
            </w:tcBorders>
            <w:shd w:val="clear" w:color="auto" w:fill="auto"/>
            <w:vAlign w:val="center"/>
          </w:tcPr>
          <w:p w14:paraId="7442E450">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E4D3">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3-5</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6714">
            <w:pPr>
              <w:widowControl/>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广东省住房和城乡建设厅关于印发保障性租赁住房“十四五”及三年（2021-2023年）专项行动目标任务的函</w:t>
            </w:r>
          </w:p>
        </w:tc>
      </w:tr>
      <w:tr w14:paraId="667FD9D5">
        <w:tblPrEx>
          <w:tblCellMar>
            <w:top w:w="0" w:type="dxa"/>
            <w:left w:w="108" w:type="dxa"/>
            <w:bottom w:w="0" w:type="dxa"/>
            <w:right w:w="108" w:type="dxa"/>
          </w:tblCellMar>
        </w:tblPrEx>
        <w:trPr>
          <w:trHeight w:val="408" w:hRule="atLeast"/>
        </w:trPr>
        <w:tc>
          <w:tcPr>
            <w:tcW w:w="735" w:type="dxa"/>
            <w:vMerge w:val="continue"/>
            <w:tcBorders>
              <w:left w:val="single" w:color="000000" w:sz="4" w:space="0"/>
              <w:bottom w:val="single" w:color="000000" w:sz="4" w:space="0"/>
              <w:right w:val="single" w:color="000000" w:sz="4" w:space="0"/>
            </w:tcBorders>
            <w:shd w:val="clear" w:color="auto" w:fill="auto"/>
            <w:vAlign w:val="center"/>
          </w:tcPr>
          <w:p w14:paraId="33FF2FC9">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1910">
            <w:pPr>
              <w:widowControl/>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3-6</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5964F">
            <w:pPr>
              <w:widowControl/>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危旧房摸底调查总量</w:t>
            </w:r>
          </w:p>
        </w:tc>
      </w:tr>
      <w:tr w14:paraId="3CC2A5DF">
        <w:tblPrEx>
          <w:tblCellMar>
            <w:top w:w="0" w:type="dxa"/>
            <w:left w:w="108" w:type="dxa"/>
            <w:bottom w:w="0" w:type="dxa"/>
            <w:right w:w="108" w:type="dxa"/>
          </w:tblCellMar>
        </w:tblPrEx>
        <w:trPr>
          <w:trHeight w:val="408" w:hRule="atLeast"/>
        </w:trPr>
        <w:tc>
          <w:tcPr>
            <w:tcW w:w="735" w:type="dxa"/>
            <w:vMerge w:val="continue"/>
            <w:tcBorders>
              <w:left w:val="single" w:color="000000" w:sz="4" w:space="0"/>
              <w:bottom w:val="single" w:color="000000" w:sz="4" w:space="0"/>
              <w:right w:val="single" w:color="000000" w:sz="4" w:space="0"/>
            </w:tcBorders>
            <w:shd w:val="clear" w:color="auto" w:fill="auto"/>
            <w:vAlign w:val="center"/>
          </w:tcPr>
          <w:p w14:paraId="7F2A1DC4">
            <w:pPr>
              <w:jc w:val="center"/>
              <w:rPr>
                <w:rFonts w:ascii="仿宋_GB2312" w:hAnsi="仿宋_GB2312" w:eastAsia="仿宋_GB2312" w:cs="仿宋_GB2312"/>
                <w:sz w:val="24"/>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A240C">
            <w:pPr>
              <w:widowControl/>
              <w:jc w:val="center"/>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3-7</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9AB8">
            <w:pPr>
              <w:widowControl/>
              <w:jc w:val="left"/>
              <w:textAlignment w:val="center"/>
              <w:rPr>
                <w:rFonts w:ascii="仿宋_GB2312" w:hAnsi="仿宋_GB2312" w:eastAsia="仿宋_GB2312" w:cs="仿宋_GB2312"/>
                <w:kern w:val="0"/>
                <w:sz w:val="24"/>
              </w:rPr>
            </w:pPr>
            <w:r>
              <w:rPr>
                <w:rFonts w:hint="eastAsia" w:ascii="仿宋_GB2312" w:hAnsi="宋体" w:eastAsia="仿宋_GB2312" w:cs="仿宋_GB2312"/>
                <w:color w:val="000000"/>
                <w:kern w:val="0"/>
                <w:sz w:val="24"/>
              </w:rPr>
              <w:t>经验推广案例</w:t>
            </w:r>
          </w:p>
        </w:tc>
      </w:tr>
      <w:tr w14:paraId="080A8E59">
        <w:tblPrEx>
          <w:tblCellMar>
            <w:top w:w="0" w:type="dxa"/>
            <w:left w:w="108" w:type="dxa"/>
            <w:bottom w:w="0" w:type="dxa"/>
            <w:right w:w="108" w:type="dxa"/>
          </w:tblCellMar>
        </w:tblPrEx>
        <w:trPr>
          <w:trHeight w:val="296" w:hRule="atLeast"/>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58AB8C">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4.综合类</w:t>
            </w:r>
          </w:p>
        </w:tc>
        <w:tc>
          <w:tcPr>
            <w:tcW w:w="707" w:type="dxa"/>
            <w:tcBorders>
              <w:top w:val="single" w:color="000000" w:sz="4" w:space="0"/>
              <w:left w:val="nil"/>
              <w:bottom w:val="single" w:color="000000" w:sz="4" w:space="0"/>
              <w:right w:val="single" w:color="000000" w:sz="4" w:space="0"/>
            </w:tcBorders>
            <w:shd w:val="clear" w:color="auto" w:fill="auto"/>
            <w:vAlign w:val="center"/>
          </w:tcPr>
          <w:p w14:paraId="58AE5BCE">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4-1</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A132">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广州市自评材料（绩效自评表、绩效评价报告、佐证材料等）</w:t>
            </w:r>
          </w:p>
        </w:tc>
      </w:tr>
      <w:tr w14:paraId="5981EEBC">
        <w:tblPrEx>
          <w:tblCellMar>
            <w:top w:w="0" w:type="dxa"/>
            <w:left w:w="108" w:type="dxa"/>
            <w:bottom w:w="0" w:type="dxa"/>
            <w:right w:w="108" w:type="dxa"/>
          </w:tblCellMar>
        </w:tblPrEx>
        <w:trPr>
          <w:trHeight w:val="296"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091FA">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1A80224A">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4-2</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47A6">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韶关市自评材料（绩效自评表、绩效评价报告、佐证材料等）</w:t>
            </w:r>
          </w:p>
        </w:tc>
      </w:tr>
      <w:tr w14:paraId="1E5290A4">
        <w:tblPrEx>
          <w:tblCellMar>
            <w:top w:w="0" w:type="dxa"/>
            <w:left w:w="108" w:type="dxa"/>
            <w:bottom w:w="0" w:type="dxa"/>
            <w:right w:w="108" w:type="dxa"/>
          </w:tblCellMar>
        </w:tblPrEx>
        <w:trPr>
          <w:trHeight w:val="296"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12910">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55B9CB0B">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4-3</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15D2F">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东莞市自评材料（绩效自评表、绩效评价报告、佐证材料等）</w:t>
            </w:r>
          </w:p>
        </w:tc>
      </w:tr>
      <w:tr w14:paraId="425A9D71">
        <w:tblPrEx>
          <w:tblCellMar>
            <w:top w:w="0" w:type="dxa"/>
            <w:left w:w="108" w:type="dxa"/>
            <w:bottom w:w="0" w:type="dxa"/>
            <w:right w:w="108" w:type="dxa"/>
          </w:tblCellMar>
        </w:tblPrEx>
        <w:trPr>
          <w:trHeight w:val="296"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399E9">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3AE30321">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4-4</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20BD">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江门市自评材料（绩效自评表、绩效评价报告、佐证材料等）</w:t>
            </w:r>
          </w:p>
        </w:tc>
      </w:tr>
      <w:tr w14:paraId="5332015D">
        <w:tblPrEx>
          <w:tblCellMar>
            <w:top w:w="0" w:type="dxa"/>
            <w:left w:w="108" w:type="dxa"/>
            <w:bottom w:w="0" w:type="dxa"/>
            <w:right w:w="108" w:type="dxa"/>
          </w:tblCellMar>
        </w:tblPrEx>
        <w:trPr>
          <w:trHeight w:val="296"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487D0">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5588870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4-5</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D7ED">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汕尾市自评材料（绩效自评表、绩效评价报告、佐证材料等）</w:t>
            </w:r>
          </w:p>
        </w:tc>
      </w:tr>
      <w:tr w14:paraId="55CCA915">
        <w:tblPrEx>
          <w:tblCellMar>
            <w:top w:w="0" w:type="dxa"/>
            <w:left w:w="108" w:type="dxa"/>
            <w:bottom w:w="0" w:type="dxa"/>
            <w:right w:w="108" w:type="dxa"/>
          </w:tblCellMar>
        </w:tblPrEx>
        <w:trPr>
          <w:trHeight w:val="296"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0DD90">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3A639732">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4-6</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2194">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肇庆市自评材料（绩效自评表、绩效评价报告、佐证材料等）</w:t>
            </w:r>
          </w:p>
        </w:tc>
      </w:tr>
      <w:tr w14:paraId="1889B434">
        <w:tblPrEx>
          <w:tblCellMar>
            <w:top w:w="0" w:type="dxa"/>
            <w:left w:w="108" w:type="dxa"/>
            <w:bottom w:w="0" w:type="dxa"/>
            <w:right w:w="108" w:type="dxa"/>
          </w:tblCellMar>
        </w:tblPrEx>
        <w:trPr>
          <w:trHeight w:val="314" w:hRule="atLeast"/>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EAAF2">
            <w:pPr>
              <w:jc w:val="center"/>
              <w:rPr>
                <w:rFonts w:ascii="仿宋_GB2312" w:hAnsi="仿宋_GB2312" w:eastAsia="仿宋_GB2312" w:cs="仿宋_GB2312"/>
                <w:sz w:val="24"/>
              </w:rPr>
            </w:pPr>
          </w:p>
        </w:tc>
        <w:tc>
          <w:tcPr>
            <w:tcW w:w="707" w:type="dxa"/>
            <w:tcBorders>
              <w:top w:val="single" w:color="000000" w:sz="4" w:space="0"/>
              <w:left w:val="nil"/>
              <w:bottom w:val="single" w:color="000000" w:sz="4" w:space="0"/>
              <w:right w:val="single" w:color="000000" w:sz="4" w:space="0"/>
            </w:tcBorders>
            <w:shd w:val="clear" w:color="auto" w:fill="auto"/>
            <w:vAlign w:val="center"/>
          </w:tcPr>
          <w:p w14:paraId="525EC575">
            <w:pPr>
              <w:widowControl/>
              <w:jc w:val="center"/>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4-7</w:t>
            </w:r>
          </w:p>
        </w:tc>
        <w:tc>
          <w:tcPr>
            <w:tcW w:w="7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D357">
            <w:pPr>
              <w:widowControl/>
              <w:jc w:val="left"/>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潮州市自评材料（绩效自评表、绩效评价报告、佐证材料等）</w:t>
            </w:r>
          </w:p>
        </w:tc>
      </w:tr>
    </w:tbl>
    <w:p w14:paraId="505EE346"/>
    <w:p w14:paraId="1C1BB5E8">
      <w:pPr>
        <w:pStyle w:val="2"/>
      </w:pPr>
    </w:p>
    <w:bookmarkEnd w:id="10"/>
    <w:sectPr>
      <w:pgSz w:w="11906" w:h="16838"/>
      <w:pgMar w:top="1417" w:right="1417" w:bottom="1417" w:left="141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仿宋">
    <w:altName w:val="仿宋"/>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D20C7">
    <w:pPr>
      <w:pStyle w:val="10"/>
      <w:tabs>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78305">
    <w:pPr>
      <w:pStyle w:val="10"/>
      <w:tabs>
        <w:tab w:val="clear" w:pos="4153"/>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14:paraId="12524185">
                <w:pPr>
                  <w:pStyle w:val="10"/>
                  <w:rPr>
                    <w:rFonts w:ascii="宋体" w:hAnsi="宋体" w:eastAsia="宋体" w:cs="宋体"/>
                    <w:sz w:val="28"/>
                    <w:szCs w:val="28"/>
                  </w:rPr>
                </w:pPr>
                <w:r>
                  <w:rPr>
                    <w:rFonts w:hint="eastAsia"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- 18 -</w:t>
                </w:r>
                <w:r>
                  <w:rPr>
                    <w:rFonts w:hint="eastAsia" w:ascii="宋体" w:hAnsi="宋体" w:eastAsia="宋体" w:cs="宋体"/>
                    <w:sz w:val="28"/>
                    <w:szCs w:val="28"/>
                  </w:rPr>
                  <w:fldChar w:fldCharType="end"/>
                </w:r>
              </w:p>
            </w:txbxContent>
          </v:textbox>
        </v:shape>
      </w:pic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29C6B6"/>
    <w:multiLevelType w:val="singleLevel"/>
    <w:tmpl w:val="0C29C6B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YyZmZlM2RiNzNkODYzMmRmMzE4MjFlOTcxMTVjYTIifQ=="/>
  </w:docVars>
  <w:rsids>
    <w:rsidRoot w:val="22B428EE"/>
    <w:rsid w:val="000219F1"/>
    <w:rsid w:val="000440E7"/>
    <w:rsid w:val="0004796C"/>
    <w:rsid w:val="0009040F"/>
    <w:rsid w:val="000B13B6"/>
    <w:rsid w:val="000C2FFE"/>
    <w:rsid w:val="000C6DE1"/>
    <w:rsid w:val="000E0B99"/>
    <w:rsid w:val="001222EA"/>
    <w:rsid w:val="00131663"/>
    <w:rsid w:val="00144F71"/>
    <w:rsid w:val="00153F17"/>
    <w:rsid w:val="00166F35"/>
    <w:rsid w:val="00187807"/>
    <w:rsid w:val="00206748"/>
    <w:rsid w:val="00212DD7"/>
    <w:rsid w:val="00243CFF"/>
    <w:rsid w:val="00256142"/>
    <w:rsid w:val="00262656"/>
    <w:rsid w:val="0026585A"/>
    <w:rsid w:val="002A6479"/>
    <w:rsid w:val="002A6F56"/>
    <w:rsid w:val="002B77CC"/>
    <w:rsid w:val="002C4508"/>
    <w:rsid w:val="002D3636"/>
    <w:rsid w:val="002D703B"/>
    <w:rsid w:val="002E0B85"/>
    <w:rsid w:val="00313D59"/>
    <w:rsid w:val="00320EE7"/>
    <w:rsid w:val="00360AE8"/>
    <w:rsid w:val="00366EA5"/>
    <w:rsid w:val="00371993"/>
    <w:rsid w:val="0038745C"/>
    <w:rsid w:val="00395BB3"/>
    <w:rsid w:val="003A18F1"/>
    <w:rsid w:val="003A2851"/>
    <w:rsid w:val="003B643A"/>
    <w:rsid w:val="003C445C"/>
    <w:rsid w:val="003E5B36"/>
    <w:rsid w:val="003E5B53"/>
    <w:rsid w:val="003E7D4B"/>
    <w:rsid w:val="00414BD5"/>
    <w:rsid w:val="00440655"/>
    <w:rsid w:val="00447010"/>
    <w:rsid w:val="0046576B"/>
    <w:rsid w:val="00480570"/>
    <w:rsid w:val="004854F4"/>
    <w:rsid w:val="0049163E"/>
    <w:rsid w:val="004B1687"/>
    <w:rsid w:val="004B2ACC"/>
    <w:rsid w:val="004B5C42"/>
    <w:rsid w:val="004D4BDB"/>
    <w:rsid w:val="004D4BE4"/>
    <w:rsid w:val="004D7354"/>
    <w:rsid w:val="005168D0"/>
    <w:rsid w:val="00571A3A"/>
    <w:rsid w:val="00581F12"/>
    <w:rsid w:val="005A2414"/>
    <w:rsid w:val="005A6FDA"/>
    <w:rsid w:val="005D65C5"/>
    <w:rsid w:val="005E05EE"/>
    <w:rsid w:val="00660A35"/>
    <w:rsid w:val="006C5455"/>
    <w:rsid w:val="006D3FE7"/>
    <w:rsid w:val="006D5DB4"/>
    <w:rsid w:val="00703B8B"/>
    <w:rsid w:val="00711AC0"/>
    <w:rsid w:val="0075465E"/>
    <w:rsid w:val="007639CB"/>
    <w:rsid w:val="007A0125"/>
    <w:rsid w:val="007E0B19"/>
    <w:rsid w:val="007F1065"/>
    <w:rsid w:val="00842736"/>
    <w:rsid w:val="0088283F"/>
    <w:rsid w:val="00925BAC"/>
    <w:rsid w:val="0093428F"/>
    <w:rsid w:val="00957208"/>
    <w:rsid w:val="009918D2"/>
    <w:rsid w:val="009B2687"/>
    <w:rsid w:val="009B386B"/>
    <w:rsid w:val="00A126FF"/>
    <w:rsid w:val="00A134C2"/>
    <w:rsid w:val="00A14A8E"/>
    <w:rsid w:val="00A154D9"/>
    <w:rsid w:val="00A32996"/>
    <w:rsid w:val="00A70725"/>
    <w:rsid w:val="00AB443E"/>
    <w:rsid w:val="00AD5F8C"/>
    <w:rsid w:val="00AF0D60"/>
    <w:rsid w:val="00AF31F2"/>
    <w:rsid w:val="00B10F2F"/>
    <w:rsid w:val="00B431BC"/>
    <w:rsid w:val="00B94215"/>
    <w:rsid w:val="00B96B67"/>
    <w:rsid w:val="00BB37B0"/>
    <w:rsid w:val="00C66609"/>
    <w:rsid w:val="00C81698"/>
    <w:rsid w:val="00C86988"/>
    <w:rsid w:val="00CB7671"/>
    <w:rsid w:val="00CC6416"/>
    <w:rsid w:val="00CD39EB"/>
    <w:rsid w:val="00CE26B3"/>
    <w:rsid w:val="00D46523"/>
    <w:rsid w:val="00D66E7F"/>
    <w:rsid w:val="00D671CC"/>
    <w:rsid w:val="00D7622B"/>
    <w:rsid w:val="00D86F00"/>
    <w:rsid w:val="00D87405"/>
    <w:rsid w:val="00D90A4B"/>
    <w:rsid w:val="00DA15D0"/>
    <w:rsid w:val="00DD6BDF"/>
    <w:rsid w:val="00DF10F1"/>
    <w:rsid w:val="00E14436"/>
    <w:rsid w:val="00E406B5"/>
    <w:rsid w:val="00E5004E"/>
    <w:rsid w:val="00E52BDB"/>
    <w:rsid w:val="00E66AD7"/>
    <w:rsid w:val="00E91110"/>
    <w:rsid w:val="00EE6661"/>
    <w:rsid w:val="00F05B06"/>
    <w:rsid w:val="00F13EB5"/>
    <w:rsid w:val="00F37CDF"/>
    <w:rsid w:val="00F71D1D"/>
    <w:rsid w:val="00F72D93"/>
    <w:rsid w:val="00F84FA4"/>
    <w:rsid w:val="00F92514"/>
    <w:rsid w:val="00FF53DC"/>
    <w:rsid w:val="013E34B1"/>
    <w:rsid w:val="01942E43"/>
    <w:rsid w:val="01A30770"/>
    <w:rsid w:val="01AD392B"/>
    <w:rsid w:val="01B06207"/>
    <w:rsid w:val="01E03D46"/>
    <w:rsid w:val="01E6792B"/>
    <w:rsid w:val="02175F22"/>
    <w:rsid w:val="021954FD"/>
    <w:rsid w:val="022C3913"/>
    <w:rsid w:val="024344D9"/>
    <w:rsid w:val="025F31D8"/>
    <w:rsid w:val="02C93F8A"/>
    <w:rsid w:val="02C97D12"/>
    <w:rsid w:val="02D90C51"/>
    <w:rsid w:val="02EA4E31"/>
    <w:rsid w:val="03134B19"/>
    <w:rsid w:val="03180A93"/>
    <w:rsid w:val="033E696D"/>
    <w:rsid w:val="034E3FE2"/>
    <w:rsid w:val="035F141D"/>
    <w:rsid w:val="039772CD"/>
    <w:rsid w:val="03AB046B"/>
    <w:rsid w:val="040265A6"/>
    <w:rsid w:val="04207EF6"/>
    <w:rsid w:val="043951A7"/>
    <w:rsid w:val="04A57737"/>
    <w:rsid w:val="04CF7307"/>
    <w:rsid w:val="04FD0162"/>
    <w:rsid w:val="04FF6B55"/>
    <w:rsid w:val="05016AC2"/>
    <w:rsid w:val="050A246E"/>
    <w:rsid w:val="050E1438"/>
    <w:rsid w:val="05233248"/>
    <w:rsid w:val="054447EA"/>
    <w:rsid w:val="056E51B4"/>
    <w:rsid w:val="05940DA6"/>
    <w:rsid w:val="05B20F4D"/>
    <w:rsid w:val="05C855D7"/>
    <w:rsid w:val="060A23D1"/>
    <w:rsid w:val="06170297"/>
    <w:rsid w:val="066673AC"/>
    <w:rsid w:val="06750687"/>
    <w:rsid w:val="06C21802"/>
    <w:rsid w:val="06C51CC1"/>
    <w:rsid w:val="06F3009D"/>
    <w:rsid w:val="06FE4433"/>
    <w:rsid w:val="07322863"/>
    <w:rsid w:val="0758025E"/>
    <w:rsid w:val="075F1F22"/>
    <w:rsid w:val="076079BF"/>
    <w:rsid w:val="079B5B3A"/>
    <w:rsid w:val="07A27C00"/>
    <w:rsid w:val="07B47A8D"/>
    <w:rsid w:val="07BE3529"/>
    <w:rsid w:val="07BF7676"/>
    <w:rsid w:val="07E412A9"/>
    <w:rsid w:val="07F715E7"/>
    <w:rsid w:val="080A1514"/>
    <w:rsid w:val="08282D07"/>
    <w:rsid w:val="083F2637"/>
    <w:rsid w:val="086132E0"/>
    <w:rsid w:val="0867146E"/>
    <w:rsid w:val="08A0309A"/>
    <w:rsid w:val="08D57437"/>
    <w:rsid w:val="094B01EF"/>
    <w:rsid w:val="096B3DBA"/>
    <w:rsid w:val="09FD0252"/>
    <w:rsid w:val="0A251C84"/>
    <w:rsid w:val="0A387402"/>
    <w:rsid w:val="0AC0026B"/>
    <w:rsid w:val="0ACB4A0E"/>
    <w:rsid w:val="0B064525"/>
    <w:rsid w:val="0B8D3BC7"/>
    <w:rsid w:val="0BD0592B"/>
    <w:rsid w:val="0BDF1202"/>
    <w:rsid w:val="0BFD70DA"/>
    <w:rsid w:val="0C772D6A"/>
    <w:rsid w:val="0C9717B0"/>
    <w:rsid w:val="0CAC2972"/>
    <w:rsid w:val="0D281F93"/>
    <w:rsid w:val="0D32553B"/>
    <w:rsid w:val="0D3807AE"/>
    <w:rsid w:val="0D4D290F"/>
    <w:rsid w:val="0D7C022E"/>
    <w:rsid w:val="0D893793"/>
    <w:rsid w:val="0D9F625A"/>
    <w:rsid w:val="0DA223C5"/>
    <w:rsid w:val="0E1D0230"/>
    <w:rsid w:val="0E2302F7"/>
    <w:rsid w:val="0E2F3B4C"/>
    <w:rsid w:val="0E42668B"/>
    <w:rsid w:val="0E4B70A6"/>
    <w:rsid w:val="0E642DBB"/>
    <w:rsid w:val="0ED96277"/>
    <w:rsid w:val="0EE37C7F"/>
    <w:rsid w:val="0F684EC2"/>
    <w:rsid w:val="101243DC"/>
    <w:rsid w:val="103A2CC2"/>
    <w:rsid w:val="104224CE"/>
    <w:rsid w:val="1082242A"/>
    <w:rsid w:val="112A534B"/>
    <w:rsid w:val="1142651D"/>
    <w:rsid w:val="114514FD"/>
    <w:rsid w:val="115044F8"/>
    <w:rsid w:val="11C73D0C"/>
    <w:rsid w:val="11FA0869"/>
    <w:rsid w:val="120941B5"/>
    <w:rsid w:val="12280F14"/>
    <w:rsid w:val="123E3EFC"/>
    <w:rsid w:val="127C300E"/>
    <w:rsid w:val="12952174"/>
    <w:rsid w:val="12CE04EE"/>
    <w:rsid w:val="12E9069E"/>
    <w:rsid w:val="131E0186"/>
    <w:rsid w:val="13650781"/>
    <w:rsid w:val="13B03034"/>
    <w:rsid w:val="13E851F1"/>
    <w:rsid w:val="13F278EE"/>
    <w:rsid w:val="14101C60"/>
    <w:rsid w:val="147D0F37"/>
    <w:rsid w:val="14992CD5"/>
    <w:rsid w:val="14AB7BDB"/>
    <w:rsid w:val="14DB0E5A"/>
    <w:rsid w:val="155A3CF9"/>
    <w:rsid w:val="156D105A"/>
    <w:rsid w:val="156D73A9"/>
    <w:rsid w:val="15846D2E"/>
    <w:rsid w:val="15BE2056"/>
    <w:rsid w:val="15DB6772"/>
    <w:rsid w:val="16183EDF"/>
    <w:rsid w:val="16584C58"/>
    <w:rsid w:val="16F25613"/>
    <w:rsid w:val="17087C07"/>
    <w:rsid w:val="170C1450"/>
    <w:rsid w:val="17B27B66"/>
    <w:rsid w:val="17C12F49"/>
    <w:rsid w:val="18802709"/>
    <w:rsid w:val="18835462"/>
    <w:rsid w:val="18941A97"/>
    <w:rsid w:val="18A91CB0"/>
    <w:rsid w:val="18FE4136"/>
    <w:rsid w:val="19016730"/>
    <w:rsid w:val="19023E8D"/>
    <w:rsid w:val="192B4E46"/>
    <w:rsid w:val="199D3F96"/>
    <w:rsid w:val="19A325CF"/>
    <w:rsid w:val="19DB7F94"/>
    <w:rsid w:val="19F52BC6"/>
    <w:rsid w:val="1A136F63"/>
    <w:rsid w:val="1A6B70F8"/>
    <w:rsid w:val="1A773E83"/>
    <w:rsid w:val="1A7A6E5A"/>
    <w:rsid w:val="1A7D3221"/>
    <w:rsid w:val="1AA478A7"/>
    <w:rsid w:val="1AE81694"/>
    <w:rsid w:val="1BB5667C"/>
    <w:rsid w:val="1C7A3F9C"/>
    <w:rsid w:val="1C9B0E64"/>
    <w:rsid w:val="1CA27FD0"/>
    <w:rsid w:val="1CB4610A"/>
    <w:rsid w:val="1CF644A0"/>
    <w:rsid w:val="1D1218DD"/>
    <w:rsid w:val="1D134776"/>
    <w:rsid w:val="1D363623"/>
    <w:rsid w:val="1D523525"/>
    <w:rsid w:val="1DC72FB7"/>
    <w:rsid w:val="1DDF750E"/>
    <w:rsid w:val="1DE20EA7"/>
    <w:rsid w:val="1DF1646A"/>
    <w:rsid w:val="1E277136"/>
    <w:rsid w:val="1E420371"/>
    <w:rsid w:val="1E4944B6"/>
    <w:rsid w:val="1E4A0457"/>
    <w:rsid w:val="1E5A3070"/>
    <w:rsid w:val="1E5A6FA3"/>
    <w:rsid w:val="1E5B7EFD"/>
    <w:rsid w:val="1EBA1146"/>
    <w:rsid w:val="1ECC54B7"/>
    <w:rsid w:val="1EDB29C7"/>
    <w:rsid w:val="1F234F3D"/>
    <w:rsid w:val="1F3051FC"/>
    <w:rsid w:val="1F430568"/>
    <w:rsid w:val="1F4F3621"/>
    <w:rsid w:val="1FBB6672"/>
    <w:rsid w:val="1FD40C1A"/>
    <w:rsid w:val="1FE93153"/>
    <w:rsid w:val="20104BC8"/>
    <w:rsid w:val="20112C70"/>
    <w:rsid w:val="202A5E57"/>
    <w:rsid w:val="20410489"/>
    <w:rsid w:val="204B11B4"/>
    <w:rsid w:val="204B473A"/>
    <w:rsid w:val="204D16DD"/>
    <w:rsid w:val="206E52B8"/>
    <w:rsid w:val="207C6D7B"/>
    <w:rsid w:val="208F10F2"/>
    <w:rsid w:val="20A419F4"/>
    <w:rsid w:val="20F02865"/>
    <w:rsid w:val="20F34AA9"/>
    <w:rsid w:val="20F91794"/>
    <w:rsid w:val="212577A2"/>
    <w:rsid w:val="213A031C"/>
    <w:rsid w:val="213A68B2"/>
    <w:rsid w:val="217F367D"/>
    <w:rsid w:val="219008C9"/>
    <w:rsid w:val="21F32DCB"/>
    <w:rsid w:val="22335472"/>
    <w:rsid w:val="22B428EE"/>
    <w:rsid w:val="22BC1E84"/>
    <w:rsid w:val="231F4B91"/>
    <w:rsid w:val="23251001"/>
    <w:rsid w:val="23353BD0"/>
    <w:rsid w:val="236B62E1"/>
    <w:rsid w:val="237779EF"/>
    <w:rsid w:val="23F7362A"/>
    <w:rsid w:val="24125AD3"/>
    <w:rsid w:val="2438689F"/>
    <w:rsid w:val="244D6DB1"/>
    <w:rsid w:val="245A6ECC"/>
    <w:rsid w:val="24AC75F7"/>
    <w:rsid w:val="24DF23E0"/>
    <w:rsid w:val="24E3513A"/>
    <w:rsid w:val="255E6EA9"/>
    <w:rsid w:val="25957582"/>
    <w:rsid w:val="25D92EEE"/>
    <w:rsid w:val="26050EBB"/>
    <w:rsid w:val="26281DF3"/>
    <w:rsid w:val="26343834"/>
    <w:rsid w:val="26563200"/>
    <w:rsid w:val="26977C64"/>
    <w:rsid w:val="26FDCAD4"/>
    <w:rsid w:val="27160F25"/>
    <w:rsid w:val="27853811"/>
    <w:rsid w:val="27D80C89"/>
    <w:rsid w:val="27E10D23"/>
    <w:rsid w:val="27E814F1"/>
    <w:rsid w:val="27EA7BCB"/>
    <w:rsid w:val="27EF7A05"/>
    <w:rsid w:val="2808287A"/>
    <w:rsid w:val="282A7747"/>
    <w:rsid w:val="286A228A"/>
    <w:rsid w:val="287B406E"/>
    <w:rsid w:val="28941337"/>
    <w:rsid w:val="28AE2CEF"/>
    <w:rsid w:val="29031C28"/>
    <w:rsid w:val="295F4176"/>
    <w:rsid w:val="2A385D68"/>
    <w:rsid w:val="2A420778"/>
    <w:rsid w:val="2A5A5CF7"/>
    <w:rsid w:val="2A6C6696"/>
    <w:rsid w:val="2A6E1A93"/>
    <w:rsid w:val="2A750BA8"/>
    <w:rsid w:val="2A987924"/>
    <w:rsid w:val="2AFF3EB4"/>
    <w:rsid w:val="2B292838"/>
    <w:rsid w:val="2B603BD7"/>
    <w:rsid w:val="2B6B79B1"/>
    <w:rsid w:val="2B915808"/>
    <w:rsid w:val="2C0C5CE2"/>
    <w:rsid w:val="2C3F1808"/>
    <w:rsid w:val="2C85392E"/>
    <w:rsid w:val="2CEB2E12"/>
    <w:rsid w:val="2CF00908"/>
    <w:rsid w:val="2CFA3C14"/>
    <w:rsid w:val="2CFE6E4D"/>
    <w:rsid w:val="2D035D1F"/>
    <w:rsid w:val="2D326C3D"/>
    <w:rsid w:val="2D3879E9"/>
    <w:rsid w:val="2DB71F47"/>
    <w:rsid w:val="2DE7182C"/>
    <w:rsid w:val="2DF854C2"/>
    <w:rsid w:val="2E075AD3"/>
    <w:rsid w:val="2E093941"/>
    <w:rsid w:val="2E1C27A8"/>
    <w:rsid w:val="2E8A3450"/>
    <w:rsid w:val="2E9E6BE3"/>
    <w:rsid w:val="2EA64400"/>
    <w:rsid w:val="2EA80B15"/>
    <w:rsid w:val="2ECD6933"/>
    <w:rsid w:val="2F200198"/>
    <w:rsid w:val="2F23566F"/>
    <w:rsid w:val="2F2B1BEC"/>
    <w:rsid w:val="2F566F0D"/>
    <w:rsid w:val="2FE07DC9"/>
    <w:rsid w:val="2FF50339"/>
    <w:rsid w:val="3002386D"/>
    <w:rsid w:val="3026112F"/>
    <w:rsid w:val="304335C4"/>
    <w:rsid w:val="30774F3C"/>
    <w:rsid w:val="30777F0E"/>
    <w:rsid w:val="30A85ECF"/>
    <w:rsid w:val="30C10E08"/>
    <w:rsid w:val="314E26A7"/>
    <w:rsid w:val="3185039F"/>
    <w:rsid w:val="31A92717"/>
    <w:rsid w:val="31C747C2"/>
    <w:rsid w:val="32163AB9"/>
    <w:rsid w:val="324C65B9"/>
    <w:rsid w:val="32B07ED2"/>
    <w:rsid w:val="32D556C1"/>
    <w:rsid w:val="33445CAB"/>
    <w:rsid w:val="33663D4D"/>
    <w:rsid w:val="33F47AD8"/>
    <w:rsid w:val="33FB3E4A"/>
    <w:rsid w:val="33FC660D"/>
    <w:rsid w:val="3410544E"/>
    <w:rsid w:val="342D6F8D"/>
    <w:rsid w:val="342E5821"/>
    <w:rsid w:val="344E257E"/>
    <w:rsid w:val="345B0D40"/>
    <w:rsid w:val="347C2FF1"/>
    <w:rsid w:val="348846D8"/>
    <w:rsid w:val="34B0194F"/>
    <w:rsid w:val="34B41361"/>
    <w:rsid w:val="34D85CE0"/>
    <w:rsid w:val="35760A6B"/>
    <w:rsid w:val="358D48D1"/>
    <w:rsid w:val="362E7A13"/>
    <w:rsid w:val="36396451"/>
    <w:rsid w:val="36420CDA"/>
    <w:rsid w:val="365732C7"/>
    <w:rsid w:val="36651A24"/>
    <w:rsid w:val="36707E5F"/>
    <w:rsid w:val="36866665"/>
    <w:rsid w:val="36E91883"/>
    <w:rsid w:val="3701788F"/>
    <w:rsid w:val="370277B6"/>
    <w:rsid w:val="37427820"/>
    <w:rsid w:val="384C6363"/>
    <w:rsid w:val="38516F67"/>
    <w:rsid w:val="3855077D"/>
    <w:rsid w:val="38806FD1"/>
    <w:rsid w:val="3887669F"/>
    <w:rsid w:val="38A55956"/>
    <w:rsid w:val="38BE47F0"/>
    <w:rsid w:val="38DA4C7C"/>
    <w:rsid w:val="39210985"/>
    <w:rsid w:val="39712C5B"/>
    <w:rsid w:val="39874112"/>
    <w:rsid w:val="39EE59F7"/>
    <w:rsid w:val="3A1F310B"/>
    <w:rsid w:val="3A930B9D"/>
    <w:rsid w:val="3AD2215F"/>
    <w:rsid w:val="3B2327B4"/>
    <w:rsid w:val="3B2F459B"/>
    <w:rsid w:val="3B36041A"/>
    <w:rsid w:val="3B4B5729"/>
    <w:rsid w:val="3B7A3E8F"/>
    <w:rsid w:val="3B911029"/>
    <w:rsid w:val="3B9D4328"/>
    <w:rsid w:val="3BA245EC"/>
    <w:rsid w:val="3BE95060"/>
    <w:rsid w:val="3BFF1F44"/>
    <w:rsid w:val="3C3D70D7"/>
    <w:rsid w:val="3C502C8E"/>
    <w:rsid w:val="3C5907F4"/>
    <w:rsid w:val="3CD01214"/>
    <w:rsid w:val="3D18737A"/>
    <w:rsid w:val="3D2576A8"/>
    <w:rsid w:val="3D2C54B2"/>
    <w:rsid w:val="3D430BBA"/>
    <w:rsid w:val="3D5B547D"/>
    <w:rsid w:val="3D624A2B"/>
    <w:rsid w:val="3D6919F4"/>
    <w:rsid w:val="3D786656"/>
    <w:rsid w:val="3D904EBD"/>
    <w:rsid w:val="3E5D2C31"/>
    <w:rsid w:val="3E91538B"/>
    <w:rsid w:val="3EAD5395"/>
    <w:rsid w:val="3EC66741"/>
    <w:rsid w:val="3F24617A"/>
    <w:rsid w:val="3F3F3440"/>
    <w:rsid w:val="3F40748E"/>
    <w:rsid w:val="3F417F1C"/>
    <w:rsid w:val="3F5D68FA"/>
    <w:rsid w:val="3FBF01F2"/>
    <w:rsid w:val="3FBF03BD"/>
    <w:rsid w:val="3FF22E3C"/>
    <w:rsid w:val="40345529"/>
    <w:rsid w:val="4081675F"/>
    <w:rsid w:val="408A2B6F"/>
    <w:rsid w:val="408D2D57"/>
    <w:rsid w:val="40FD5F5F"/>
    <w:rsid w:val="41120516"/>
    <w:rsid w:val="411D06EF"/>
    <w:rsid w:val="41D30497"/>
    <w:rsid w:val="41D40344"/>
    <w:rsid w:val="41FE4B63"/>
    <w:rsid w:val="422B298A"/>
    <w:rsid w:val="422C5607"/>
    <w:rsid w:val="42454094"/>
    <w:rsid w:val="42703746"/>
    <w:rsid w:val="4274524B"/>
    <w:rsid w:val="427C2F84"/>
    <w:rsid w:val="4280222A"/>
    <w:rsid w:val="42841F35"/>
    <w:rsid w:val="429268CF"/>
    <w:rsid w:val="42D32DB8"/>
    <w:rsid w:val="431326C3"/>
    <w:rsid w:val="431431D4"/>
    <w:rsid w:val="43217E9C"/>
    <w:rsid w:val="43327303"/>
    <w:rsid w:val="43383EA0"/>
    <w:rsid w:val="43507313"/>
    <w:rsid w:val="43574986"/>
    <w:rsid w:val="435E6200"/>
    <w:rsid w:val="439C106C"/>
    <w:rsid w:val="441A1369"/>
    <w:rsid w:val="443B4FB5"/>
    <w:rsid w:val="44C72117"/>
    <w:rsid w:val="44D31250"/>
    <w:rsid w:val="44D975BB"/>
    <w:rsid w:val="45225E26"/>
    <w:rsid w:val="452B429C"/>
    <w:rsid w:val="453E5D7D"/>
    <w:rsid w:val="45482B33"/>
    <w:rsid w:val="457C59D5"/>
    <w:rsid w:val="459645A6"/>
    <w:rsid w:val="45C42767"/>
    <w:rsid w:val="45DC4A74"/>
    <w:rsid w:val="45E9646F"/>
    <w:rsid w:val="45F81B5F"/>
    <w:rsid w:val="461B273A"/>
    <w:rsid w:val="461B33C5"/>
    <w:rsid w:val="4666432D"/>
    <w:rsid w:val="46C8272C"/>
    <w:rsid w:val="46FC3B94"/>
    <w:rsid w:val="47234C15"/>
    <w:rsid w:val="4727411C"/>
    <w:rsid w:val="47430DCF"/>
    <w:rsid w:val="47BE5A4E"/>
    <w:rsid w:val="47CC210A"/>
    <w:rsid w:val="48017A24"/>
    <w:rsid w:val="485B7B58"/>
    <w:rsid w:val="48873598"/>
    <w:rsid w:val="4896635E"/>
    <w:rsid w:val="48DD592A"/>
    <w:rsid w:val="49271A4C"/>
    <w:rsid w:val="49722646"/>
    <w:rsid w:val="497E2BEC"/>
    <w:rsid w:val="49F14B1B"/>
    <w:rsid w:val="4A195C5D"/>
    <w:rsid w:val="4A1B7AC6"/>
    <w:rsid w:val="4A220E27"/>
    <w:rsid w:val="4A730277"/>
    <w:rsid w:val="4AC24611"/>
    <w:rsid w:val="4AC54EC0"/>
    <w:rsid w:val="4ADD1881"/>
    <w:rsid w:val="4AED1442"/>
    <w:rsid w:val="4B075259"/>
    <w:rsid w:val="4B240856"/>
    <w:rsid w:val="4B683341"/>
    <w:rsid w:val="4BDE3E16"/>
    <w:rsid w:val="4BE3778A"/>
    <w:rsid w:val="4C2618C2"/>
    <w:rsid w:val="4C313DB3"/>
    <w:rsid w:val="4C365338"/>
    <w:rsid w:val="4C561D5D"/>
    <w:rsid w:val="4C82117A"/>
    <w:rsid w:val="4D0D22CC"/>
    <w:rsid w:val="4D16380C"/>
    <w:rsid w:val="4D3328CC"/>
    <w:rsid w:val="4D545A21"/>
    <w:rsid w:val="4DD058AE"/>
    <w:rsid w:val="4DD557A2"/>
    <w:rsid w:val="4DE505C3"/>
    <w:rsid w:val="4E054B87"/>
    <w:rsid w:val="4E621CF8"/>
    <w:rsid w:val="4E717B12"/>
    <w:rsid w:val="4E9C7427"/>
    <w:rsid w:val="4EC9149A"/>
    <w:rsid w:val="4ED6317E"/>
    <w:rsid w:val="4EE67B0A"/>
    <w:rsid w:val="4EE73FC3"/>
    <w:rsid w:val="4EEC4B6F"/>
    <w:rsid w:val="4F0F751B"/>
    <w:rsid w:val="4F2714F8"/>
    <w:rsid w:val="4F4562B5"/>
    <w:rsid w:val="4F603530"/>
    <w:rsid w:val="4F627019"/>
    <w:rsid w:val="4FC43DC4"/>
    <w:rsid w:val="50416372"/>
    <w:rsid w:val="50476006"/>
    <w:rsid w:val="50AE6ABE"/>
    <w:rsid w:val="50BF5FB2"/>
    <w:rsid w:val="50D106D2"/>
    <w:rsid w:val="50D81C6D"/>
    <w:rsid w:val="511B12A6"/>
    <w:rsid w:val="513941A5"/>
    <w:rsid w:val="514E7D51"/>
    <w:rsid w:val="51546491"/>
    <w:rsid w:val="51874D64"/>
    <w:rsid w:val="51A54DFD"/>
    <w:rsid w:val="51C250AF"/>
    <w:rsid w:val="525664B8"/>
    <w:rsid w:val="527C6D3C"/>
    <w:rsid w:val="52DA5028"/>
    <w:rsid w:val="532423D6"/>
    <w:rsid w:val="53BC614D"/>
    <w:rsid w:val="53CD43D7"/>
    <w:rsid w:val="53D004E8"/>
    <w:rsid w:val="542163CA"/>
    <w:rsid w:val="54437FCE"/>
    <w:rsid w:val="54471A18"/>
    <w:rsid w:val="54643B32"/>
    <w:rsid w:val="5468285F"/>
    <w:rsid w:val="54B10FEB"/>
    <w:rsid w:val="54BB4C07"/>
    <w:rsid w:val="54C150DF"/>
    <w:rsid w:val="54E67E67"/>
    <w:rsid w:val="552327EE"/>
    <w:rsid w:val="55300612"/>
    <w:rsid w:val="554B791C"/>
    <w:rsid w:val="556E4983"/>
    <w:rsid w:val="557F55A3"/>
    <w:rsid w:val="559A30BC"/>
    <w:rsid w:val="559E0F31"/>
    <w:rsid w:val="55AF59F9"/>
    <w:rsid w:val="55BA7E6E"/>
    <w:rsid w:val="55BD7D30"/>
    <w:rsid w:val="55CB6B05"/>
    <w:rsid w:val="5634700C"/>
    <w:rsid w:val="5685359D"/>
    <w:rsid w:val="56DC07B3"/>
    <w:rsid w:val="56FE711B"/>
    <w:rsid w:val="571A3517"/>
    <w:rsid w:val="573148E0"/>
    <w:rsid w:val="573643E0"/>
    <w:rsid w:val="573C752C"/>
    <w:rsid w:val="57923212"/>
    <w:rsid w:val="579315C7"/>
    <w:rsid w:val="57956DB0"/>
    <w:rsid w:val="57C540DC"/>
    <w:rsid w:val="57C87729"/>
    <w:rsid w:val="57DF0020"/>
    <w:rsid w:val="57FB4D8B"/>
    <w:rsid w:val="580D2309"/>
    <w:rsid w:val="581014ED"/>
    <w:rsid w:val="585260C7"/>
    <w:rsid w:val="585F1280"/>
    <w:rsid w:val="58883033"/>
    <w:rsid w:val="591365FF"/>
    <w:rsid w:val="5958230B"/>
    <w:rsid w:val="598E4988"/>
    <w:rsid w:val="59DF1C87"/>
    <w:rsid w:val="59EC6471"/>
    <w:rsid w:val="59F4182F"/>
    <w:rsid w:val="59FF2D1D"/>
    <w:rsid w:val="5A42176F"/>
    <w:rsid w:val="5A4B2826"/>
    <w:rsid w:val="5A532B5B"/>
    <w:rsid w:val="5A582698"/>
    <w:rsid w:val="5A82403D"/>
    <w:rsid w:val="5AE406A1"/>
    <w:rsid w:val="5B1742D4"/>
    <w:rsid w:val="5B3221AA"/>
    <w:rsid w:val="5B4478D0"/>
    <w:rsid w:val="5B6D5BE2"/>
    <w:rsid w:val="5B9916BB"/>
    <w:rsid w:val="5BE7274E"/>
    <w:rsid w:val="5C073369"/>
    <w:rsid w:val="5C3100CA"/>
    <w:rsid w:val="5C382143"/>
    <w:rsid w:val="5C4A5B73"/>
    <w:rsid w:val="5C4E25C2"/>
    <w:rsid w:val="5C803776"/>
    <w:rsid w:val="5C8229C1"/>
    <w:rsid w:val="5CA43431"/>
    <w:rsid w:val="5CB34546"/>
    <w:rsid w:val="5CEC2F5D"/>
    <w:rsid w:val="5D1D7B60"/>
    <w:rsid w:val="5D436F75"/>
    <w:rsid w:val="5D7052FE"/>
    <w:rsid w:val="5D83659C"/>
    <w:rsid w:val="5DC23D49"/>
    <w:rsid w:val="5DF8793F"/>
    <w:rsid w:val="5E537F72"/>
    <w:rsid w:val="5E596E1B"/>
    <w:rsid w:val="5EA828AA"/>
    <w:rsid w:val="5EB15584"/>
    <w:rsid w:val="5EF80146"/>
    <w:rsid w:val="5F2F1CD4"/>
    <w:rsid w:val="5F353617"/>
    <w:rsid w:val="5F385DC0"/>
    <w:rsid w:val="5F3D1EAB"/>
    <w:rsid w:val="5F5E2B0C"/>
    <w:rsid w:val="5F886BF1"/>
    <w:rsid w:val="5F900F81"/>
    <w:rsid w:val="5FBE733D"/>
    <w:rsid w:val="5FF502A2"/>
    <w:rsid w:val="60F74BF5"/>
    <w:rsid w:val="611D2B4B"/>
    <w:rsid w:val="612C1B6A"/>
    <w:rsid w:val="614B3B50"/>
    <w:rsid w:val="618E558D"/>
    <w:rsid w:val="61BB351A"/>
    <w:rsid w:val="61EA4E6B"/>
    <w:rsid w:val="61FE4473"/>
    <w:rsid w:val="62332E7A"/>
    <w:rsid w:val="626302CA"/>
    <w:rsid w:val="62715ABE"/>
    <w:rsid w:val="627661ED"/>
    <w:rsid w:val="62D91AD8"/>
    <w:rsid w:val="62EE244C"/>
    <w:rsid w:val="63340F61"/>
    <w:rsid w:val="63B3425D"/>
    <w:rsid w:val="63C24BE9"/>
    <w:rsid w:val="63DF3789"/>
    <w:rsid w:val="63F8665E"/>
    <w:rsid w:val="6410224A"/>
    <w:rsid w:val="64304329"/>
    <w:rsid w:val="64850BEA"/>
    <w:rsid w:val="65152F79"/>
    <w:rsid w:val="65601678"/>
    <w:rsid w:val="65692C98"/>
    <w:rsid w:val="65D60716"/>
    <w:rsid w:val="65EF2D48"/>
    <w:rsid w:val="65F84527"/>
    <w:rsid w:val="65F94546"/>
    <w:rsid w:val="66F308D6"/>
    <w:rsid w:val="673A72C8"/>
    <w:rsid w:val="677D5E69"/>
    <w:rsid w:val="678A05A5"/>
    <w:rsid w:val="67C71BA3"/>
    <w:rsid w:val="67C72F8D"/>
    <w:rsid w:val="67CD16EE"/>
    <w:rsid w:val="683602EC"/>
    <w:rsid w:val="683A01CF"/>
    <w:rsid w:val="683F2E59"/>
    <w:rsid w:val="686C30E3"/>
    <w:rsid w:val="68817792"/>
    <w:rsid w:val="68BA1E05"/>
    <w:rsid w:val="68C842A8"/>
    <w:rsid w:val="68D86BAF"/>
    <w:rsid w:val="68D973F4"/>
    <w:rsid w:val="68F2396D"/>
    <w:rsid w:val="6909424A"/>
    <w:rsid w:val="690E0C53"/>
    <w:rsid w:val="69340CF6"/>
    <w:rsid w:val="69722E90"/>
    <w:rsid w:val="69A51491"/>
    <w:rsid w:val="69A912B3"/>
    <w:rsid w:val="69A93C6B"/>
    <w:rsid w:val="69BC2AA9"/>
    <w:rsid w:val="69D45A0A"/>
    <w:rsid w:val="69EF3FA1"/>
    <w:rsid w:val="6A0E2BD1"/>
    <w:rsid w:val="6A211437"/>
    <w:rsid w:val="6A2B41BB"/>
    <w:rsid w:val="6A551979"/>
    <w:rsid w:val="6A854623"/>
    <w:rsid w:val="6AC30431"/>
    <w:rsid w:val="6ADF0B16"/>
    <w:rsid w:val="6AEC7A63"/>
    <w:rsid w:val="6B3C14AA"/>
    <w:rsid w:val="6B3F5E44"/>
    <w:rsid w:val="6B4D55ED"/>
    <w:rsid w:val="6B53513B"/>
    <w:rsid w:val="6B7E3E65"/>
    <w:rsid w:val="6B957BB9"/>
    <w:rsid w:val="6BA647CD"/>
    <w:rsid w:val="6BC66EA3"/>
    <w:rsid w:val="6CA87429"/>
    <w:rsid w:val="6CB450FD"/>
    <w:rsid w:val="6CBC315F"/>
    <w:rsid w:val="6CF44327"/>
    <w:rsid w:val="6D1D50E8"/>
    <w:rsid w:val="6D3C4D14"/>
    <w:rsid w:val="6D57333F"/>
    <w:rsid w:val="6D77157D"/>
    <w:rsid w:val="6D774270"/>
    <w:rsid w:val="6DB93CBE"/>
    <w:rsid w:val="6DDD2798"/>
    <w:rsid w:val="6DFC5E62"/>
    <w:rsid w:val="6E1A73E2"/>
    <w:rsid w:val="6E8767CA"/>
    <w:rsid w:val="6EF915DE"/>
    <w:rsid w:val="6F2433C3"/>
    <w:rsid w:val="6F2F761B"/>
    <w:rsid w:val="6F570614"/>
    <w:rsid w:val="6F776151"/>
    <w:rsid w:val="702F29DA"/>
    <w:rsid w:val="703715E4"/>
    <w:rsid w:val="706F348B"/>
    <w:rsid w:val="70765B1C"/>
    <w:rsid w:val="70813E31"/>
    <w:rsid w:val="70D834FE"/>
    <w:rsid w:val="713301D7"/>
    <w:rsid w:val="714C1F50"/>
    <w:rsid w:val="719A4B87"/>
    <w:rsid w:val="71A0798B"/>
    <w:rsid w:val="71D838EB"/>
    <w:rsid w:val="71FB452B"/>
    <w:rsid w:val="7201710A"/>
    <w:rsid w:val="721640B6"/>
    <w:rsid w:val="726363D2"/>
    <w:rsid w:val="7289399B"/>
    <w:rsid w:val="729D5913"/>
    <w:rsid w:val="72A20C37"/>
    <w:rsid w:val="72B92EB4"/>
    <w:rsid w:val="72D059B7"/>
    <w:rsid w:val="72D17EBB"/>
    <w:rsid w:val="72D413DD"/>
    <w:rsid w:val="72D82400"/>
    <w:rsid w:val="73312E2A"/>
    <w:rsid w:val="73506AF8"/>
    <w:rsid w:val="73A15B75"/>
    <w:rsid w:val="73C846D6"/>
    <w:rsid w:val="73D72D76"/>
    <w:rsid w:val="74205DF3"/>
    <w:rsid w:val="742C41C0"/>
    <w:rsid w:val="74455C41"/>
    <w:rsid w:val="746C450B"/>
    <w:rsid w:val="747E66E9"/>
    <w:rsid w:val="74B005BA"/>
    <w:rsid w:val="74E122F7"/>
    <w:rsid w:val="753876CE"/>
    <w:rsid w:val="75430A0D"/>
    <w:rsid w:val="757D2E48"/>
    <w:rsid w:val="76092BE1"/>
    <w:rsid w:val="7619259E"/>
    <w:rsid w:val="76194B60"/>
    <w:rsid w:val="76B43A38"/>
    <w:rsid w:val="76F81761"/>
    <w:rsid w:val="76FA276E"/>
    <w:rsid w:val="77093988"/>
    <w:rsid w:val="771129F1"/>
    <w:rsid w:val="773D0A2E"/>
    <w:rsid w:val="777C372C"/>
    <w:rsid w:val="77840675"/>
    <w:rsid w:val="778F2B43"/>
    <w:rsid w:val="779C5E07"/>
    <w:rsid w:val="77FC67B9"/>
    <w:rsid w:val="780F0B33"/>
    <w:rsid w:val="783052B3"/>
    <w:rsid w:val="783629F5"/>
    <w:rsid w:val="7865614F"/>
    <w:rsid w:val="78673DEA"/>
    <w:rsid w:val="78DF13CD"/>
    <w:rsid w:val="79420AE6"/>
    <w:rsid w:val="794627BC"/>
    <w:rsid w:val="79492D38"/>
    <w:rsid w:val="795453E1"/>
    <w:rsid w:val="79A555B4"/>
    <w:rsid w:val="79DA48DD"/>
    <w:rsid w:val="79E3046C"/>
    <w:rsid w:val="7A040D49"/>
    <w:rsid w:val="7A205F95"/>
    <w:rsid w:val="7A3031E0"/>
    <w:rsid w:val="7A41252F"/>
    <w:rsid w:val="7A4615FD"/>
    <w:rsid w:val="7A594F26"/>
    <w:rsid w:val="7A763B8C"/>
    <w:rsid w:val="7ACC5069"/>
    <w:rsid w:val="7AD410D3"/>
    <w:rsid w:val="7AFB7886"/>
    <w:rsid w:val="7B0336E6"/>
    <w:rsid w:val="7B1D4F2A"/>
    <w:rsid w:val="7B2C10FC"/>
    <w:rsid w:val="7B5D34E7"/>
    <w:rsid w:val="7B6E328D"/>
    <w:rsid w:val="7B826E26"/>
    <w:rsid w:val="7B85302B"/>
    <w:rsid w:val="7BA30236"/>
    <w:rsid w:val="7BC03AF0"/>
    <w:rsid w:val="7BC1622C"/>
    <w:rsid w:val="7BD45938"/>
    <w:rsid w:val="7BEE07DF"/>
    <w:rsid w:val="7C5250F0"/>
    <w:rsid w:val="7C741AA9"/>
    <w:rsid w:val="7CBA580B"/>
    <w:rsid w:val="7CC25786"/>
    <w:rsid w:val="7CC57D7F"/>
    <w:rsid w:val="7CD62DD9"/>
    <w:rsid w:val="7D177394"/>
    <w:rsid w:val="7D32498B"/>
    <w:rsid w:val="7D7B2DBF"/>
    <w:rsid w:val="7DC77B8C"/>
    <w:rsid w:val="7E632A2D"/>
    <w:rsid w:val="7E85323F"/>
    <w:rsid w:val="7EE32F8B"/>
    <w:rsid w:val="7EFC18E2"/>
    <w:rsid w:val="7F0319CC"/>
    <w:rsid w:val="7F2C4199"/>
    <w:rsid w:val="7F4C0ABC"/>
    <w:rsid w:val="7F54410B"/>
    <w:rsid w:val="7F6A5034"/>
    <w:rsid w:val="7F971492"/>
    <w:rsid w:val="7F9D1381"/>
    <w:rsid w:val="7FC33907"/>
    <w:rsid w:val="7FF63F2C"/>
    <w:rsid w:val="7FF828C1"/>
    <w:rsid w:val="7FFD88A3"/>
    <w:rsid w:val="BF3FBB2D"/>
    <w:rsid w:val="DBFD3A78"/>
    <w:rsid w:val="F15A0B45"/>
    <w:rsid w:val="FFDD7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2">
    <w:name w:val="heading 3"/>
    <w:next w:val="1"/>
    <w:qFormat/>
    <w:uiPriority w:val="0"/>
    <w:pPr>
      <w:keepNext/>
      <w:keepLines/>
      <w:widowControl w:val="0"/>
      <w:spacing w:line="413" w:lineRule="auto"/>
      <w:jc w:val="both"/>
      <w:outlineLvl w:val="2"/>
    </w:pPr>
    <w:rPr>
      <w:rFonts w:ascii="Times New Roman" w:hAnsi="Times New Roman" w:eastAsia="宋体" w:cs="Times New Roman"/>
      <w:kern w:val="2"/>
      <w:sz w:val="21"/>
      <w:szCs w:val="24"/>
      <w:lang w:val="en-US" w:eastAsia="zh-CN" w:bidi="ar-SA"/>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cs="黑体"/>
    </w:rPr>
  </w:style>
  <w:style w:type="paragraph" w:styleId="6">
    <w:name w:val="annotation text"/>
    <w:basedOn w:val="1"/>
    <w:qFormat/>
    <w:uiPriority w:val="0"/>
    <w:pPr>
      <w:jc w:val="left"/>
    </w:pPr>
  </w:style>
  <w:style w:type="paragraph" w:styleId="7">
    <w:name w:val="Body Text Indent"/>
    <w:basedOn w:val="1"/>
    <w:next w:val="5"/>
    <w:unhideWhenUsed/>
    <w:qFormat/>
    <w:uiPriority w:val="99"/>
    <w:pPr>
      <w:ind w:firstLine="570"/>
    </w:pPr>
    <w:rPr>
      <w:rFonts w:eastAsia="黑体"/>
      <w:sz w:val="28"/>
    </w:rPr>
  </w:style>
  <w:style w:type="paragraph" w:styleId="8">
    <w:name w:val="Body Text Indent 2"/>
    <w:basedOn w:val="1"/>
    <w:qFormat/>
    <w:uiPriority w:val="0"/>
    <w:pPr>
      <w:spacing w:line="480" w:lineRule="auto"/>
      <w:ind w:left="420" w:leftChars="200"/>
    </w:pPr>
  </w:style>
  <w:style w:type="paragraph" w:styleId="9">
    <w:name w:val="Balloon Text"/>
    <w:basedOn w:val="1"/>
    <w:link w:val="40"/>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3">
    <w:name w:val="toc 2"/>
    <w:basedOn w:val="1"/>
    <w:next w:val="1"/>
    <w:unhideWhenUsed/>
    <w:qFormat/>
    <w:uiPriority w:val="39"/>
    <w:pPr>
      <w:ind w:left="420" w:leftChars="200"/>
    </w:pPr>
  </w:style>
  <w:style w:type="paragraph" w:styleId="14">
    <w:name w:val="Normal (Web)"/>
    <w:basedOn w:val="1"/>
    <w:qFormat/>
    <w:uiPriority w:val="0"/>
    <w:pPr>
      <w:spacing w:afterAutospacing="1"/>
      <w:jc w:val="left"/>
    </w:pPr>
    <w:rPr>
      <w:rFonts w:cs="Times New Roman"/>
      <w:kern w:val="0"/>
      <w:sz w:val="24"/>
    </w:rPr>
  </w:style>
  <w:style w:type="paragraph" w:styleId="15">
    <w:name w:val="Title"/>
    <w:basedOn w:val="1"/>
    <w:next w:val="1"/>
    <w:qFormat/>
    <w:uiPriority w:val="10"/>
    <w:pPr>
      <w:spacing w:before="240" w:after="60"/>
      <w:jc w:val="center"/>
      <w:outlineLvl w:val="0"/>
    </w:pPr>
    <w:rPr>
      <w:rFonts w:ascii="等线 Light" w:hAnsi="等线 Light" w:cs="Times New Roman"/>
      <w:b/>
      <w:bCs/>
      <w:sz w:val="32"/>
    </w:rPr>
  </w:style>
  <w:style w:type="paragraph" w:styleId="16">
    <w:name w:val="Body Text First Indent 2"/>
    <w:basedOn w:val="7"/>
    <w:next w:val="1"/>
    <w:qFormat/>
    <w:uiPriority w:val="99"/>
    <w:pPr>
      <w:spacing w:line="560" w:lineRule="exact"/>
      <w:ind w:firstLine="420" w:firstLineChars="200"/>
    </w:pPr>
    <w:rPr>
      <w:rFonts w:ascii="Times New Roman" w:hAnsi="Times New Roman" w:eastAsia="方正仿宋" w:cs="Times New Roman"/>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FollowedHyperlink"/>
    <w:basedOn w:val="19"/>
    <w:qFormat/>
    <w:uiPriority w:val="0"/>
    <w:rPr>
      <w:color w:val="161616"/>
      <w:u w:val="none"/>
    </w:rPr>
  </w:style>
  <w:style w:type="character" w:styleId="22">
    <w:name w:val="Hyperlink"/>
    <w:basedOn w:val="19"/>
    <w:qFormat/>
    <w:uiPriority w:val="0"/>
    <w:rPr>
      <w:color w:val="161616"/>
      <w:u w:val="none"/>
    </w:rPr>
  </w:style>
  <w:style w:type="character" w:styleId="23">
    <w:name w:val="HTML Code"/>
    <w:basedOn w:val="19"/>
    <w:qFormat/>
    <w:uiPriority w:val="0"/>
    <w:rPr>
      <w:rFonts w:hint="default" w:ascii="Consolas" w:hAnsi="Consolas" w:eastAsia="Consolas" w:cs="Consolas"/>
      <w:color w:val="E83E8C"/>
      <w:sz w:val="21"/>
      <w:szCs w:val="21"/>
    </w:rPr>
  </w:style>
  <w:style w:type="character" w:styleId="24">
    <w:name w:val="HTML Keyboard"/>
    <w:basedOn w:val="19"/>
    <w:qFormat/>
    <w:uiPriority w:val="0"/>
    <w:rPr>
      <w:rFonts w:ascii="Consolas" w:hAnsi="Consolas" w:eastAsia="Consolas" w:cs="Consolas"/>
      <w:color w:val="FFFFFF"/>
      <w:sz w:val="21"/>
      <w:szCs w:val="21"/>
      <w:shd w:val="clear" w:color="auto" w:fill="212529"/>
    </w:rPr>
  </w:style>
  <w:style w:type="character" w:styleId="25">
    <w:name w:val="HTML Sample"/>
    <w:basedOn w:val="19"/>
    <w:qFormat/>
    <w:uiPriority w:val="0"/>
    <w:rPr>
      <w:rFonts w:hint="default" w:ascii="Consolas" w:hAnsi="Consolas" w:eastAsia="Consolas" w:cs="Consolas"/>
      <w:sz w:val="21"/>
      <w:szCs w:val="21"/>
    </w:rPr>
  </w:style>
  <w:style w:type="paragraph" w:customStyle="1" w:styleId="26">
    <w:name w:val="Default"/>
    <w:basedOn w:val="1"/>
    <w:next w:val="1"/>
    <w:qFormat/>
    <w:uiPriority w:val="0"/>
    <w:pPr>
      <w:autoSpaceDE w:val="0"/>
      <w:autoSpaceDN w:val="0"/>
      <w:adjustRightInd w:val="0"/>
    </w:pPr>
    <w:rPr>
      <w:rFonts w:hint="eastAsia" w:ascii="仿宋_GB2312" w:eastAsia="仿宋_GB2312"/>
      <w:color w:val="000000"/>
      <w:sz w:val="24"/>
    </w:rPr>
  </w:style>
  <w:style w:type="character" w:customStyle="1" w:styleId="27">
    <w:name w:val="disabled"/>
    <w:basedOn w:val="19"/>
    <w:qFormat/>
    <w:uiPriority w:val="0"/>
    <w:rPr>
      <w:color w:val="BFBFBF"/>
    </w:rPr>
  </w:style>
  <w:style w:type="character" w:customStyle="1" w:styleId="28">
    <w:name w:val="current"/>
    <w:basedOn w:val="19"/>
    <w:qFormat/>
    <w:uiPriority w:val="0"/>
    <w:rPr>
      <w:color w:val="FFFFFF"/>
      <w:shd w:val="clear" w:color="auto" w:fill="428BCA"/>
    </w:rPr>
  </w:style>
  <w:style w:type="character" w:customStyle="1" w:styleId="29">
    <w:name w:val="hover39"/>
    <w:basedOn w:val="19"/>
    <w:qFormat/>
    <w:uiPriority w:val="0"/>
    <w:rPr>
      <w:color w:val="111111"/>
      <w:shd w:val="clear" w:color="auto" w:fill="E9ECEF"/>
    </w:rPr>
  </w:style>
  <w:style w:type="character" w:customStyle="1" w:styleId="30">
    <w:name w:val="hover41"/>
    <w:basedOn w:val="19"/>
    <w:qFormat/>
    <w:uiPriority w:val="0"/>
    <w:rPr>
      <w:color w:val="111111"/>
      <w:shd w:val="clear" w:color="auto" w:fill="E9ECEF"/>
    </w:rPr>
  </w:style>
  <w:style w:type="character" w:customStyle="1" w:styleId="31">
    <w:name w:val="current5"/>
    <w:basedOn w:val="19"/>
    <w:qFormat/>
    <w:uiPriority w:val="0"/>
    <w:rPr>
      <w:color w:val="FFFFFF"/>
      <w:shd w:val="clear" w:color="auto" w:fill="428BCA"/>
    </w:rPr>
  </w:style>
  <w:style w:type="character" w:customStyle="1" w:styleId="32">
    <w:name w:val="disabled2"/>
    <w:basedOn w:val="19"/>
    <w:qFormat/>
    <w:uiPriority w:val="0"/>
    <w:rPr>
      <w:color w:val="BFBFBF"/>
    </w:rPr>
  </w:style>
  <w:style w:type="character" w:customStyle="1" w:styleId="33">
    <w:name w:val="current6"/>
    <w:basedOn w:val="19"/>
    <w:qFormat/>
    <w:uiPriority w:val="0"/>
    <w:rPr>
      <w:color w:val="FFFFFF"/>
      <w:shd w:val="clear" w:color="auto" w:fill="428BCA"/>
    </w:rPr>
  </w:style>
  <w:style w:type="paragraph" w:customStyle="1" w:styleId="34">
    <w:name w:val="p0"/>
    <w:basedOn w:val="1"/>
    <w:qFormat/>
    <w:uiPriority w:val="0"/>
    <w:pPr>
      <w:widowControl/>
    </w:pPr>
    <w:rPr>
      <w:rFonts w:ascii="Calibri" w:hAnsi="Calibri" w:eastAsia="宋体" w:cs="宋体"/>
      <w:kern w:val="0"/>
      <w:szCs w:val="21"/>
    </w:rPr>
  </w:style>
  <w:style w:type="character" w:customStyle="1" w:styleId="35">
    <w:name w:val="font01"/>
    <w:basedOn w:val="19"/>
    <w:qFormat/>
    <w:uiPriority w:val="0"/>
    <w:rPr>
      <w:rFonts w:hint="default" w:ascii="仿宋_GB2312" w:eastAsia="仿宋_GB2312" w:cs="仿宋_GB2312"/>
      <w:color w:val="FF0000"/>
      <w:sz w:val="24"/>
      <w:szCs w:val="24"/>
      <w:u w:val="none"/>
    </w:rPr>
  </w:style>
  <w:style w:type="character" w:customStyle="1" w:styleId="36">
    <w:name w:val="font11"/>
    <w:basedOn w:val="19"/>
    <w:qFormat/>
    <w:uiPriority w:val="0"/>
    <w:rPr>
      <w:rFonts w:hint="default" w:ascii="仿宋_GB2312" w:eastAsia="仿宋_GB2312" w:cs="仿宋_GB2312"/>
      <w:color w:val="000000"/>
      <w:sz w:val="24"/>
      <w:szCs w:val="24"/>
      <w:u w:val="none"/>
    </w:rPr>
  </w:style>
  <w:style w:type="character" w:customStyle="1" w:styleId="37">
    <w:name w:val="font21"/>
    <w:basedOn w:val="19"/>
    <w:qFormat/>
    <w:uiPriority w:val="0"/>
    <w:rPr>
      <w:rFonts w:hint="default" w:ascii="仿宋_GB2312" w:eastAsia="仿宋_GB2312" w:cs="仿宋_GB2312"/>
      <w:color w:val="000000"/>
      <w:sz w:val="24"/>
      <w:szCs w:val="24"/>
      <w:u w:val="none"/>
    </w:rPr>
  </w:style>
  <w:style w:type="paragraph" w:customStyle="1" w:styleId="38">
    <w:name w:val="WPSOffice手动目录 1"/>
    <w:qFormat/>
    <w:uiPriority w:val="0"/>
    <w:rPr>
      <w:rFonts w:ascii="Times New Roman" w:hAnsi="Times New Roman" w:eastAsia="宋体" w:cs="Times New Roman"/>
      <w:lang w:val="en-US" w:eastAsia="zh-CN" w:bidi="ar-SA"/>
    </w:rPr>
  </w:style>
  <w:style w:type="character" w:customStyle="1" w:styleId="39">
    <w:name w:val="NormalCharacter"/>
    <w:qFormat/>
    <w:uiPriority w:val="0"/>
  </w:style>
  <w:style w:type="character" w:customStyle="1" w:styleId="40">
    <w:name w:val="批注框文本 Char"/>
    <w:basedOn w:val="19"/>
    <w:link w:val="9"/>
    <w:qFormat/>
    <w:uiPriority w:val="0"/>
    <w:rPr>
      <w:rFonts w:asciiTheme="minorHAnsi" w:hAnsiTheme="minorHAnsi" w:eastAsiaTheme="minorEastAsia" w:cstheme="minorBidi"/>
      <w:kern w:val="2"/>
      <w:sz w:val="18"/>
      <w:szCs w:val="18"/>
    </w:rPr>
  </w:style>
  <w:style w:type="character" w:customStyle="1" w:styleId="41">
    <w:name w:val="font41"/>
    <w:basedOn w:val="19"/>
    <w:qFormat/>
    <w:uiPriority w:val="0"/>
    <w:rPr>
      <w:rFonts w:hint="eastAsia" w:ascii="仿宋_GB2312" w:eastAsia="仿宋_GB2312" w:cs="仿宋_GB2312"/>
      <w:color w:val="FF0000"/>
      <w:sz w:val="22"/>
      <w:szCs w:val="22"/>
      <w:u w:val="none"/>
    </w:rPr>
  </w:style>
  <w:style w:type="character" w:customStyle="1" w:styleId="42">
    <w:name w:val="font31"/>
    <w:basedOn w:val="19"/>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7402</Words>
  <Characters>7697</Characters>
  <Lines>98</Lines>
  <Paragraphs>27</Paragraphs>
  <TotalTime>17</TotalTime>
  <ScaleCrop>false</ScaleCrop>
  <LinksUpToDate>false</LinksUpToDate>
  <CharactersWithSpaces>7714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2024-02-27T04:22:00Z</dcterms:created>
  <dc:creator>蓝风樱花</dc:creator>
  <cp:lastModifiedBy>陌</cp:lastModifiedBy>
  <dcterms:modified xsi:type="dcterms:W3CDTF">2025-05-14T02:21:55Z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00DC204065A7449E916B0CF63941531B_13</vt:lpwstr>
  </property>
  <property fmtid="{D5CDD505-2E9C-101B-9397-08002B2CF9AE}" pid="4" name="KSOTemplateDocerSaveRecord">
    <vt:lpwstr>eyJoZGlkIjoiYmNhZDU5Nzc0MWRjZjgzYTk5MjI0N2JhZjg4OWRhMWIiLCJ1c2VySWQiOiIxMjA5OTQ0MDAwIn0=</vt:lpwstr>
  </property>
</Properties>
</file>