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E75BC">
      <w:pPr>
        <w:spacing w:line="300" w:lineRule="auto"/>
        <w:rPr>
          <w:rFonts w:eastAsia="黑体"/>
          <w:sz w:val="32"/>
          <w:szCs w:val="32"/>
        </w:rPr>
      </w:pPr>
      <w:r>
        <w:rPr>
          <w:rFonts w:hint="eastAsia" w:eastAsia="黑体"/>
          <w:sz w:val="32"/>
          <w:szCs w:val="32"/>
        </w:rPr>
        <w:t xml:space="preserve">    </w:t>
      </w:r>
    </w:p>
    <w:p w14:paraId="3E273D9A">
      <w:pPr>
        <w:spacing w:line="300" w:lineRule="auto"/>
        <w:rPr>
          <w:rFonts w:eastAsia="MS Gothic"/>
          <w:b/>
          <w:sz w:val="84"/>
          <w:szCs w:val="84"/>
        </w:rPr>
      </w:pPr>
      <w:r>
        <w:rPr>
          <w:rFonts w:hint="eastAsia" w:eastAsia="黑体"/>
          <w:sz w:val="32"/>
          <w:szCs w:val="32"/>
        </w:rPr>
        <w:t xml:space="preserve">         </w:t>
      </w:r>
      <w:r>
        <w:rPr>
          <w:rFonts w:eastAsia="黑体"/>
          <w:spacing w:val="28"/>
          <w:sz w:val="48"/>
          <w:szCs w:val="48"/>
        </w:rPr>
        <w:t>广东省标准</w:t>
      </w:r>
      <w:r>
        <w:rPr>
          <w:rFonts w:eastAsia="黑体"/>
          <w:sz w:val="32"/>
          <w:szCs w:val="32"/>
        </w:rPr>
        <w:t xml:space="preserve">            </w:t>
      </w:r>
      <w:r>
        <w:rPr>
          <w:rFonts w:hint="eastAsia"/>
          <w:color w:val="000000"/>
          <w:sz w:val="52"/>
        </w:rPr>
        <w:t xml:space="preserve">   </w:t>
      </w:r>
    </w:p>
    <w:p w14:paraId="4E06F804">
      <w:pPr>
        <w:spacing w:line="300" w:lineRule="auto"/>
      </w:pPr>
      <w:r>
        <w:t xml:space="preserve">                              </w:t>
      </w:r>
      <w:bookmarkStart w:id="0" w:name="_Toc337542810"/>
      <w:r>
        <w:rPr>
          <w:rFonts w:hint="eastAsia"/>
        </w:rPr>
        <w:t xml:space="preserve">                                                        </w:t>
      </w:r>
    </w:p>
    <w:p w14:paraId="0740A013">
      <w:pPr>
        <w:spacing w:line="300" w:lineRule="auto"/>
        <w:rPr>
          <w:spacing w:val="17"/>
          <w:sz w:val="30"/>
          <w:szCs w:val="30"/>
        </w:rPr>
      </w:pPr>
      <w:r>
        <w:rPr>
          <w:rFonts w:hint="eastAsia"/>
        </w:rPr>
        <w:t xml:space="preserve">                                                       </w:t>
      </w:r>
      <w:r>
        <w:rPr>
          <w:spacing w:val="23"/>
          <w:sz w:val="30"/>
          <w:szCs w:val="30"/>
        </w:rPr>
        <w:t>DBJ</w:t>
      </w:r>
      <w:r>
        <w:rPr>
          <w:rFonts w:hint="eastAsia"/>
          <w:spacing w:val="23"/>
          <w:sz w:val="30"/>
          <w:szCs w:val="30"/>
        </w:rPr>
        <w:t xml:space="preserve">/T </w:t>
      </w:r>
      <w:r>
        <w:rPr>
          <w:rFonts w:hint="eastAsia"/>
          <w:spacing w:val="23"/>
          <w:sz w:val="30"/>
          <w:szCs w:val="30"/>
          <w:lang w:val="en-US" w:eastAsia="zh-CN"/>
        </w:rPr>
        <w:t>XX</w:t>
      </w:r>
      <w:r>
        <w:rPr>
          <w:spacing w:val="23"/>
          <w:sz w:val="30"/>
          <w:szCs w:val="30"/>
        </w:rPr>
        <w:t>-</w:t>
      </w:r>
      <w:r>
        <w:rPr>
          <w:rFonts w:hint="eastAsia" w:ascii="黑体" w:hAnsi="黑体" w:eastAsia="黑体"/>
          <w:sz w:val="28"/>
          <w:szCs w:val="28"/>
        </w:rPr>
        <w:t>XX</w:t>
      </w:r>
      <w:r>
        <w:rPr>
          <w:spacing w:val="23"/>
          <w:sz w:val="30"/>
          <w:szCs w:val="30"/>
        </w:rPr>
        <w:t>-</w:t>
      </w:r>
      <w:bookmarkEnd w:id="0"/>
      <w:r>
        <w:rPr>
          <w:sz w:val="30"/>
          <w:szCs w:val="30"/>
        </w:rPr>
        <w:t>20</w:t>
      </w:r>
      <w:r>
        <w:rPr>
          <w:rFonts w:hint="eastAsia" w:ascii="黑体" w:hAnsi="黑体" w:eastAsia="黑体"/>
          <w:sz w:val="28"/>
          <w:szCs w:val="28"/>
        </w:rPr>
        <w:t>XX</w:t>
      </w:r>
    </w:p>
    <w:p w14:paraId="76DE5BFA">
      <w:pPr>
        <w:spacing w:line="300" w:lineRule="auto"/>
        <w:rPr>
          <w:sz w:val="28"/>
          <w:szCs w:val="28"/>
        </w:rPr>
      </w:pPr>
      <w:r>
        <w:rPr>
          <w:sz w:val="28"/>
          <w:szCs w:val="28"/>
        </w:rPr>
        <mc:AlternateContent>
          <mc:Choice Requires="wps">
            <w:drawing>
              <wp:anchor distT="0" distB="0" distL="114300" distR="114300" simplePos="0" relativeHeight="251659264" behindDoc="0" locked="0" layoutInCell="1" allowOverlap="1">
                <wp:simplePos x="0" y="0"/>
                <wp:positionH relativeFrom="column">
                  <wp:posOffset>26035</wp:posOffset>
                </wp:positionH>
                <wp:positionV relativeFrom="paragraph">
                  <wp:posOffset>359410</wp:posOffset>
                </wp:positionV>
                <wp:extent cx="5486400" cy="41910"/>
                <wp:effectExtent l="0" t="4445" r="0" b="10795"/>
                <wp:wrapNone/>
                <wp:docPr id="2" name="直接连接符 2"/>
                <wp:cNvGraphicFramePr/>
                <a:graphic xmlns:a="http://schemas.openxmlformats.org/drawingml/2006/main">
                  <a:graphicData uri="http://schemas.microsoft.com/office/word/2010/wordprocessingShape">
                    <wps:wsp>
                      <wps:cNvCnPr/>
                      <wps:spPr>
                        <a:xfrm flipV="1">
                          <a:off x="0" y="0"/>
                          <a:ext cx="5486400" cy="4191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2.05pt;margin-top:28.3pt;height:3.3pt;width:432pt;z-index:251659264;mso-width-relative:page;mso-height-relative:page;" filled="f" stroked="t" coordsize="21600,21600" o:gfxdata="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2xaSdQAAAAHAQAADwAAAAAAAAABACAAAAAiAAAAZHJzL2Rvd25yZXYueG1sUEsB&#10;AhQAFAAAAAgAh07iQGESQ9L5AQAA5gMAAA4AAAAAAAAAAQAgAAAAIwEAAGRycy9lMm9Eb2MueG1s&#10;UEsFBgAAAAAGAAYAWQEAAI4FAAAAAA==&#10;">
                <v:fill on="f" focussize="0,0"/>
                <v:stroke color="#000000" joinstyle="round"/>
                <v:imagedata o:title=""/>
                <o:lock v:ext="edit" aspectratio="f"/>
              </v:line>
            </w:pict>
          </mc:Fallback>
        </mc:AlternateContent>
      </w:r>
      <w:r>
        <w:rPr>
          <w:rFonts w:hint="eastAsia"/>
          <w:sz w:val="28"/>
          <w:szCs w:val="28"/>
        </w:rPr>
        <w:t xml:space="preserve">                                        </w:t>
      </w:r>
      <w:r>
        <w:rPr>
          <w:rFonts w:hint="eastAsia" w:ascii="黑体" w:hAnsi="黑体" w:eastAsia="黑体"/>
          <w:sz w:val="28"/>
          <w:szCs w:val="28"/>
        </w:rPr>
        <w:t>备案号 J XXXXX-20XX</w:t>
      </w:r>
    </w:p>
    <w:p w14:paraId="207C808F">
      <w:pPr>
        <w:spacing w:line="300" w:lineRule="auto"/>
        <w:jc w:val="center"/>
        <w:rPr>
          <w:rFonts w:hint="eastAsia" w:ascii="宋体" w:hAnsi="宋体"/>
          <w:b/>
          <w:sz w:val="48"/>
          <w:szCs w:val="48"/>
        </w:rPr>
      </w:pPr>
    </w:p>
    <w:p w14:paraId="6C2EC9A3">
      <w:pPr>
        <w:spacing w:line="300" w:lineRule="auto"/>
        <w:jc w:val="center"/>
        <w:outlineLvl w:val="0"/>
        <w:rPr>
          <w:rFonts w:hint="eastAsia" w:ascii="宋体" w:hAnsi="宋体"/>
          <w:b/>
          <w:sz w:val="48"/>
          <w:szCs w:val="48"/>
        </w:rPr>
      </w:pPr>
      <w:bookmarkStart w:id="1" w:name="_Toc375640674"/>
    </w:p>
    <w:bookmarkEnd w:id="1"/>
    <w:p w14:paraId="2B1DA9D9">
      <w:pPr>
        <w:spacing w:line="300" w:lineRule="auto"/>
        <w:jc w:val="center"/>
        <w:outlineLvl w:val="0"/>
        <w:rPr>
          <w:rFonts w:hint="eastAsia" w:ascii="宋体" w:hAnsi="宋体"/>
          <w:b/>
          <w:sz w:val="48"/>
          <w:szCs w:val="48"/>
        </w:rPr>
      </w:pPr>
      <w:bookmarkStart w:id="2" w:name="_Toc13129"/>
      <w:bookmarkStart w:id="3" w:name="_Toc26754"/>
      <w:bookmarkStart w:id="4" w:name="_Toc14726"/>
      <w:bookmarkStart w:id="5" w:name="_Toc32721"/>
      <w:bookmarkStart w:id="6" w:name="_Toc1740"/>
      <w:bookmarkStart w:id="7" w:name="_Toc7592"/>
      <w:bookmarkStart w:id="8" w:name="_Toc3340"/>
      <w:r>
        <w:rPr>
          <w:rFonts w:hint="eastAsia" w:ascii="宋体" w:hAnsi="宋体"/>
          <w:b/>
          <w:sz w:val="48"/>
          <w:szCs w:val="48"/>
        </w:rPr>
        <w:t>建筑太阳能光伏系统技术</w:t>
      </w:r>
      <w:bookmarkEnd w:id="2"/>
      <w:bookmarkEnd w:id="3"/>
      <w:r>
        <w:rPr>
          <w:rFonts w:hint="eastAsia" w:ascii="宋体" w:hAnsi="宋体"/>
          <w:b/>
          <w:sz w:val="48"/>
          <w:szCs w:val="48"/>
        </w:rPr>
        <w:t>标准</w:t>
      </w:r>
      <w:bookmarkEnd w:id="4"/>
      <w:bookmarkEnd w:id="5"/>
      <w:bookmarkEnd w:id="6"/>
      <w:bookmarkEnd w:id="7"/>
      <w:bookmarkEnd w:id="8"/>
    </w:p>
    <w:p w14:paraId="652FCBE3">
      <w:pPr>
        <w:spacing w:line="300" w:lineRule="auto"/>
      </w:pPr>
    </w:p>
    <w:p w14:paraId="2626D615">
      <w:pPr>
        <w:spacing w:line="300" w:lineRule="auto"/>
        <w:jc w:val="center"/>
        <w:rPr>
          <w:b/>
          <w:sz w:val="28"/>
          <w:szCs w:val="28"/>
        </w:rPr>
      </w:pPr>
      <w:r>
        <w:rPr>
          <w:rFonts w:hint="eastAsia"/>
          <w:b/>
          <w:sz w:val="28"/>
          <w:szCs w:val="28"/>
        </w:rPr>
        <w:t>Technical standards for building solar photovoltaic systems</w:t>
      </w:r>
    </w:p>
    <w:p w14:paraId="379E06B2">
      <w:pPr>
        <w:spacing w:line="300" w:lineRule="auto"/>
        <w:jc w:val="center"/>
        <w:rPr>
          <w:b/>
          <w:color w:val="000000"/>
          <w:sz w:val="30"/>
          <w:szCs w:val="30"/>
        </w:rPr>
      </w:pPr>
      <w:r>
        <w:rPr>
          <w:rFonts w:hint="eastAsia"/>
          <w:b/>
          <w:color w:val="000000"/>
          <w:sz w:val="30"/>
          <w:szCs w:val="30"/>
        </w:rPr>
        <w:t>(征求意见)</w:t>
      </w:r>
    </w:p>
    <w:p w14:paraId="01FE0E4E">
      <w:pPr>
        <w:spacing w:line="300" w:lineRule="auto"/>
      </w:pPr>
    </w:p>
    <w:p w14:paraId="6A5F35D2"/>
    <w:p w14:paraId="0A2BED82"/>
    <w:p w14:paraId="530C6B06"/>
    <w:p w14:paraId="2E10BB5B"/>
    <w:p w14:paraId="04A79017"/>
    <w:p w14:paraId="6F835601"/>
    <w:p w14:paraId="11F18804"/>
    <w:p w14:paraId="4917417B"/>
    <w:p w14:paraId="24E25832"/>
    <w:p w14:paraId="4264D016"/>
    <w:p w14:paraId="6E7A8EB7"/>
    <w:p w14:paraId="44EBD8E4"/>
    <w:p w14:paraId="27FF8719"/>
    <w:p w14:paraId="16F1D2AF"/>
    <w:p w14:paraId="039B7F84">
      <w:pPr>
        <w:spacing w:line="300" w:lineRule="auto"/>
        <w:rPr>
          <w:rFonts w:eastAsia="黑体"/>
          <w:sz w:val="28"/>
          <w:szCs w:val="28"/>
        </w:rPr>
      </w:pPr>
      <w:r>
        <w:rPr>
          <w:b/>
          <w:bCs/>
          <w:sz w:val="32"/>
        </w:rPr>
        <w:t xml:space="preserve">  </w:t>
      </w:r>
      <w:r>
        <w:rPr>
          <w:rFonts w:eastAsia="黑体"/>
          <w:sz w:val="28"/>
          <w:szCs w:val="28"/>
        </w:rPr>
        <w:t>20</w:t>
      </w:r>
      <w:r>
        <w:rPr>
          <w:rFonts w:hint="eastAsia" w:eastAsia="黑体"/>
          <w:sz w:val="28"/>
          <w:szCs w:val="28"/>
        </w:rPr>
        <w:t>23</w:t>
      </w:r>
      <w:r>
        <w:rPr>
          <w:rFonts w:eastAsia="黑体"/>
          <w:sz w:val="28"/>
          <w:szCs w:val="28"/>
        </w:rPr>
        <w:t>-</w:t>
      </w:r>
      <w:r>
        <w:rPr>
          <w:rFonts w:hint="eastAsia" w:ascii="黑体" w:hAnsi="黑体" w:eastAsia="黑体"/>
          <w:sz w:val="28"/>
          <w:szCs w:val="28"/>
        </w:rPr>
        <w:t>XX</w:t>
      </w:r>
      <w:r>
        <w:rPr>
          <w:rFonts w:eastAsia="黑体"/>
          <w:sz w:val="28"/>
          <w:szCs w:val="28"/>
        </w:rPr>
        <w:t>-</w:t>
      </w:r>
      <w:r>
        <w:rPr>
          <w:rFonts w:hint="eastAsia" w:ascii="黑体" w:hAnsi="黑体" w:eastAsia="黑体"/>
          <w:sz w:val="28"/>
          <w:szCs w:val="28"/>
        </w:rPr>
        <w:t>XX</w:t>
      </w:r>
      <w:r>
        <w:rPr>
          <w:rFonts w:eastAsia="黑体"/>
          <w:sz w:val="28"/>
          <w:szCs w:val="28"/>
        </w:rPr>
        <w:t xml:space="preserve">  发布                   </w:t>
      </w:r>
      <w:r>
        <w:rPr>
          <w:rFonts w:hint="eastAsia" w:eastAsia="黑体"/>
          <w:sz w:val="28"/>
          <w:szCs w:val="28"/>
        </w:rPr>
        <w:t xml:space="preserve">         </w:t>
      </w:r>
      <w:r>
        <w:rPr>
          <w:rFonts w:eastAsia="黑体"/>
          <w:sz w:val="28"/>
          <w:szCs w:val="28"/>
        </w:rPr>
        <w:t>20</w:t>
      </w:r>
      <w:r>
        <w:rPr>
          <w:rFonts w:hint="eastAsia" w:eastAsia="黑体"/>
          <w:sz w:val="28"/>
          <w:szCs w:val="28"/>
        </w:rPr>
        <w:t>24</w:t>
      </w:r>
      <w:r>
        <w:rPr>
          <w:rFonts w:eastAsia="黑体"/>
          <w:sz w:val="28"/>
          <w:szCs w:val="28"/>
        </w:rPr>
        <w:t>-</w:t>
      </w:r>
      <w:r>
        <w:rPr>
          <w:rFonts w:hint="eastAsia" w:ascii="黑体" w:hAnsi="黑体" w:eastAsia="黑体"/>
          <w:sz w:val="28"/>
          <w:szCs w:val="28"/>
        </w:rPr>
        <w:t>XX</w:t>
      </w:r>
      <w:r>
        <w:rPr>
          <w:rFonts w:eastAsia="黑体"/>
          <w:sz w:val="28"/>
          <w:szCs w:val="28"/>
        </w:rPr>
        <w:t>-</w:t>
      </w:r>
      <w:r>
        <w:rPr>
          <w:rFonts w:hint="eastAsia" w:ascii="黑体" w:hAnsi="黑体" w:eastAsia="黑体"/>
          <w:sz w:val="28"/>
          <w:szCs w:val="28"/>
        </w:rPr>
        <w:t>XX</w:t>
      </w:r>
      <w:r>
        <w:rPr>
          <w:rFonts w:hint="eastAsia" w:eastAsia="黑体"/>
          <w:sz w:val="28"/>
          <w:szCs w:val="28"/>
        </w:rPr>
        <w:t xml:space="preserve">  </w:t>
      </w:r>
      <w:r>
        <w:rPr>
          <w:rFonts w:eastAsia="黑体"/>
          <w:sz w:val="28"/>
          <w:szCs w:val="28"/>
        </w:rPr>
        <w:t>实施</w:t>
      </w:r>
    </w:p>
    <w:p w14:paraId="097CD303">
      <w:pPr>
        <w:tabs>
          <w:tab w:val="left" w:pos="8235"/>
        </w:tabs>
        <w:spacing w:line="300" w:lineRule="auto"/>
        <w:rPr>
          <w:rFonts w:eastAsia="黑体"/>
          <w:b/>
          <w:sz w:val="28"/>
          <w:szCs w:val="28"/>
        </w:rPr>
      </w:pPr>
      <w:r>
        <w:rPr>
          <w:rFonts w:eastAsia="黑体"/>
          <w:b/>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55880</wp:posOffset>
                </wp:positionV>
                <wp:extent cx="5600700" cy="26670"/>
                <wp:effectExtent l="0" t="4445" r="0" b="6985"/>
                <wp:wrapNone/>
                <wp:docPr id="3" name="直接连接符 3"/>
                <wp:cNvGraphicFramePr/>
                <a:graphic xmlns:a="http://schemas.openxmlformats.org/drawingml/2006/main">
                  <a:graphicData uri="http://schemas.microsoft.com/office/word/2010/wordprocessingShape">
                    <wps:wsp>
                      <wps:cNvCnPr/>
                      <wps:spPr>
                        <a:xfrm>
                          <a:off x="0" y="0"/>
                          <a:ext cx="5600700" cy="2667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4.4pt;height:2.1pt;width:441pt;z-index:251660288;mso-width-relative:page;mso-height-relative:page;" filled="f" stroked="t" coordsize="21600,21600" o:gfxdata="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T&#10;Siq+0gAAAAUBAAAPAAAAAAAAAAEAIAAAACIAAABkcnMvZG93bnJldi54bWxQSwECFAAUAAAACACH&#10;TuJAuildpPEBAADcAwAADgAAAAAAAAABACAAAAAhAQAAZHJzL2Uyb0RvYy54bWxQSwUGAAAAAAYA&#10;BgBZAQAAhAUAAAAA&#10;">
                <v:fill on="f" focussize="0,0"/>
                <v:stroke color="#000000" joinstyle="round"/>
                <v:imagedata o:title=""/>
                <o:lock v:ext="edit" aspectratio="f"/>
              </v:line>
            </w:pict>
          </mc:Fallback>
        </mc:AlternateContent>
      </w:r>
      <w:r>
        <w:rPr>
          <w:rFonts w:eastAsia="黑体"/>
          <w:b/>
          <w:sz w:val="28"/>
          <w:szCs w:val="28"/>
        </w:rPr>
        <w:tab/>
      </w:r>
    </w:p>
    <w:p w14:paraId="11D1DD4F">
      <w:pPr>
        <w:adjustRightInd/>
        <w:snapToGrid/>
        <w:spacing w:before="0" w:beforeLines="-2147483648" w:after="0" w:afterLines="-2147483648" w:line="300" w:lineRule="auto"/>
        <w:jc w:val="center"/>
        <w:rPr>
          <w:rFonts w:eastAsia="黑体"/>
          <w:spacing w:val="20"/>
          <w:sz w:val="32"/>
          <w:szCs w:val="32"/>
        </w:rPr>
      </w:pPr>
      <w:r>
        <w:rPr>
          <w:rFonts w:eastAsia="黑体"/>
          <w:sz w:val="32"/>
          <w:szCs w:val="32"/>
        </w:rPr>
        <w:t>广东省住房和城乡建设厅</w:t>
      </w:r>
      <w:r>
        <w:rPr>
          <w:rFonts w:eastAsia="黑体"/>
          <w:spacing w:val="20"/>
          <w:sz w:val="28"/>
          <w:szCs w:val="28"/>
        </w:rPr>
        <w:t xml:space="preserve">  </w:t>
      </w:r>
      <w:r>
        <w:rPr>
          <w:rFonts w:eastAsia="黑体"/>
          <w:spacing w:val="20"/>
          <w:sz w:val="32"/>
          <w:szCs w:val="32"/>
        </w:rPr>
        <w:t>发布</w:t>
      </w:r>
    </w:p>
    <w:p w14:paraId="16FA9536">
      <w:pPr>
        <w:pStyle w:val="2"/>
      </w:pPr>
    </w:p>
    <w:p w14:paraId="3AFAA34B">
      <w:pPr>
        <w:adjustRightInd w:val="0"/>
        <w:snapToGrid w:val="0"/>
        <w:spacing w:before="312" w:beforeLines="100" w:after="312" w:afterLines="100" w:line="300" w:lineRule="auto"/>
        <w:jc w:val="center"/>
        <w:rPr>
          <w:rFonts w:eastAsia="黑体"/>
          <w:b/>
          <w:sz w:val="32"/>
          <w:szCs w:val="32"/>
        </w:rPr>
        <w:sectPr>
          <w:footerReference r:id="rId5" w:type="first"/>
          <w:footerReference r:id="rId3" w:type="default"/>
          <w:footerReference r:id="rId4" w:type="even"/>
          <w:pgSz w:w="11906" w:h="16838"/>
          <w:pgMar w:top="1440" w:right="1588" w:bottom="1440" w:left="1588" w:header="851" w:footer="992" w:gutter="0"/>
          <w:cols w:space="720" w:num="1"/>
          <w:titlePg/>
          <w:docGrid w:type="lines" w:linePitch="312" w:charSpace="0"/>
        </w:sectPr>
      </w:pPr>
      <w:r>
        <w:rPr>
          <w:sz w:val="21"/>
        </w:rPr>
        <mc:AlternateContent>
          <mc:Choice Requires="wps">
            <w:drawing>
              <wp:anchor distT="0" distB="0" distL="114300" distR="114300" simplePos="0" relativeHeight="251661312" behindDoc="0" locked="0" layoutInCell="1" allowOverlap="1">
                <wp:simplePos x="0" y="0"/>
                <wp:positionH relativeFrom="column">
                  <wp:posOffset>4272915</wp:posOffset>
                </wp:positionH>
                <wp:positionV relativeFrom="paragraph">
                  <wp:posOffset>-233680</wp:posOffset>
                </wp:positionV>
                <wp:extent cx="1828800" cy="1828800"/>
                <wp:effectExtent l="4445" t="4445" r="14605" b="14605"/>
                <wp:wrapSquare wrapText="bothSides"/>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33804099">
                            <w:pPr>
                              <w:shd w:val="clear"/>
                              <w:spacing w:line="460" w:lineRule="exact"/>
                              <w:jc w:val="right"/>
                              <w:rPr>
                                <w:rFonts w:hint="default" w:ascii="宋体" w:hAnsi="宋体"/>
                                <w:b w:val="0"/>
                                <w:bCs/>
                                <w:color w:val="000000" w:themeColor="text1"/>
                                <w:sz w:val="28"/>
                                <w:szCs w:val="28"/>
                                <w14:textFill>
                                  <w14:solidFill>
                                    <w14:schemeClr w14:val="tx1"/>
                                  </w14:solidFill>
                                </w14:textFill>
                              </w:rPr>
                            </w:pPr>
                            <w:r>
                              <w:rPr>
                                <w:rFonts w:ascii="宋体" w:hAnsi="宋体"/>
                                <w:b w:val="0"/>
                                <w:bCs/>
                                <w:color w:val="000000" w:themeColor="text1"/>
                                <w:sz w:val="28"/>
                                <w:szCs w:val="28"/>
                                <w14:textFill>
                                  <w14:solidFill>
                                    <w14:schemeClr w14:val="tx1"/>
                                  </w14:solidFill>
                                </w14:textFill>
                              </w:rPr>
                              <w:t>本标准不涉及专利</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336.45pt;margin-top:-18.4pt;height:144pt;width:144pt;mso-wrap-distance-bottom:0pt;mso-wrap-distance-left:9pt;mso-wrap-distance-right:9pt;mso-wrap-distance-top:0pt;mso-wrap-style:none;z-index:251661312;mso-width-relative:page;mso-height-relative:page;" fillcolor="#FFFFFF [3201]" filled="t" stroked="t" coordsize="21600,21600" o:gfxdata="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IsePLTZAAAACwEAAA8A&#10;AAAAAAAAAQAgAAAAIgAAAGRycy9kb3ducmV2LnhtbFBLAQIUABQAAAAIAIdO4kAJXldwTwIAALcE&#10;AAAOAAAAAAAAAAEAIAAAACgBAABkcnMvZTJvRG9jLnhtbFBLBQYAAAAABgAGAFkBAADpBQAAAAA=&#10;">
                <v:fill on="t" focussize="0,0"/>
                <v:stroke weight="0.5pt" color="#000000 [3213]" joinstyle="round"/>
                <v:imagedata o:title=""/>
                <o:lock v:ext="edit" aspectratio="f"/>
                <v:textbox style="mso-fit-shape-to-text:t;">
                  <w:txbxContent>
                    <w:p w14:paraId="33804099">
                      <w:pPr>
                        <w:shd w:val="clear"/>
                        <w:spacing w:line="460" w:lineRule="exact"/>
                        <w:jc w:val="right"/>
                        <w:rPr>
                          <w:rFonts w:hint="default" w:ascii="宋体" w:hAnsi="宋体"/>
                          <w:b w:val="0"/>
                          <w:bCs/>
                          <w:color w:val="000000" w:themeColor="text1"/>
                          <w:sz w:val="28"/>
                          <w:szCs w:val="28"/>
                          <w14:textFill>
                            <w14:solidFill>
                              <w14:schemeClr w14:val="tx1"/>
                            </w14:solidFill>
                          </w14:textFill>
                        </w:rPr>
                      </w:pPr>
                      <w:r>
                        <w:rPr>
                          <w:rFonts w:ascii="宋体" w:hAnsi="宋体"/>
                          <w:b w:val="0"/>
                          <w:bCs/>
                          <w:color w:val="000000" w:themeColor="text1"/>
                          <w:sz w:val="28"/>
                          <w:szCs w:val="28"/>
                          <w14:textFill>
                            <w14:solidFill>
                              <w14:schemeClr w14:val="tx1"/>
                            </w14:solidFill>
                          </w14:textFill>
                        </w:rPr>
                        <w:t>本标准不涉及专利</w:t>
                      </w:r>
                    </w:p>
                  </w:txbxContent>
                </v:textbox>
                <w10:wrap type="square"/>
              </v:shape>
            </w:pict>
          </mc:Fallback>
        </mc:AlternateContent>
      </w:r>
    </w:p>
    <w:p w14:paraId="285231A3">
      <w:pPr>
        <w:pStyle w:val="2"/>
        <w:spacing w:line="300" w:lineRule="auto"/>
      </w:pPr>
    </w:p>
    <w:p w14:paraId="40A9732D">
      <w:pPr>
        <w:adjustRightInd w:val="0"/>
        <w:snapToGrid w:val="0"/>
        <w:spacing w:before="312" w:beforeLines="100" w:after="312" w:afterLines="100" w:line="300" w:lineRule="auto"/>
        <w:jc w:val="center"/>
        <w:rPr>
          <w:rFonts w:eastAsia="黑体"/>
          <w:b/>
          <w:sz w:val="32"/>
          <w:szCs w:val="32"/>
        </w:rPr>
      </w:pPr>
    </w:p>
    <w:p w14:paraId="07C56677">
      <w:pPr>
        <w:adjustRightInd w:val="0"/>
        <w:snapToGrid w:val="0"/>
        <w:spacing w:before="312" w:beforeLines="100" w:after="312" w:afterLines="100" w:line="300" w:lineRule="auto"/>
        <w:jc w:val="center"/>
        <w:rPr>
          <w:rFonts w:eastAsia="黑体"/>
          <w:b/>
          <w:sz w:val="32"/>
          <w:szCs w:val="32"/>
        </w:rPr>
      </w:pPr>
      <w:r>
        <w:rPr>
          <w:rFonts w:hint="eastAsia" w:eastAsia="黑体"/>
          <w:b/>
          <w:sz w:val="32"/>
          <w:szCs w:val="32"/>
        </w:rPr>
        <w:t>广东省</w:t>
      </w:r>
      <w:r>
        <w:rPr>
          <w:rFonts w:eastAsia="黑体"/>
          <w:b/>
          <w:sz w:val="32"/>
          <w:szCs w:val="32"/>
        </w:rPr>
        <w:t>标准</w:t>
      </w:r>
    </w:p>
    <w:p w14:paraId="1A6DEB32">
      <w:pPr>
        <w:adjustRightInd w:val="0"/>
        <w:snapToGrid w:val="0"/>
        <w:spacing w:before="312" w:beforeLines="100" w:after="312" w:afterLines="100" w:line="300" w:lineRule="auto"/>
        <w:jc w:val="center"/>
        <w:rPr>
          <w:rFonts w:eastAsia="黑体"/>
          <w:sz w:val="32"/>
          <w:szCs w:val="32"/>
        </w:rPr>
      </w:pPr>
    </w:p>
    <w:p w14:paraId="7C946C02">
      <w:pPr>
        <w:adjustRightInd w:val="0"/>
        <w:snapToGrid w:val="0"/>
        <w:spacing w:before="312" w:beforeLines="100" w:after="312" w:afterLines="100" w:line="300" w:lineRule="auto"/>
        <w:jc w:val="center"/>
        <w:rPr>
          <w:rFonts w:eastAsia="黑体"/>
          <w:sz w:val="32"/>
          <w:szCs w:val="32"/>
        </w:rPr>
      </w:pPr>
    </w:p>
    <w:p w14:paraId="51BB1D6C">
      <w:pPr>
        <w:adjustRightInd w:val="0"/>
        <w:snapToGrid w:val="0"/>
        <w:spacing w:before="312" w:beforeLines="100" w:after="312" w:afterLines="100" w:line="300" w:lineRule="auto"/>
        <w:ind w:left="-531" w:leftChars="-253"/>
        <w:jc w:val="center"/>
        <w:rPr>
          <w:rFonts w:eastAsia="黑体"/>
          <w:sz w:val="36"/>
          <w:szCs w:val="36"/>
          <w:lang w:eastAsia="zh-TW"/>
        </w:rPr>
      </w:pPr>
      <w:r>
        <w:rPr>
          <w:rFonts w:hint="eastAsia" w:eastAsia="黑体"/>
          <w:sz w:val="36"/>
          <w:szCs w:val="36"/>
          <w:lang w:eastAsia="zh-TW"/>
        </w:rPr>
        <w:t>建筑太阳能光伏系统技术标准</w:t>
      </w:r>
    </w:p>
    <w:p w14:paraId="746B254A">
      <w:pPr>
        <w:adjustRightInd w:val="0"/>
        <w:snapToGrid w:val="0"/>
        <w:spacing w:before="312" w:beforeLines="100" w:after="312" w:afterLines="100" w:line="300" w:lineRule="auto"/>
        <w:ind w:left="-531" w:leftChars="-253"/>
        <w:jc w:val="center"/>
        <w:rPr>
          <w:sz w:val="36"/>
          <w:szCs w:val="36"/>
        </w:rPr>
      </w:pPr>
      <w:r>
        <w:rPr>
          <w:rFonts w:hint="eastAsia"/>
          <w:sz w:val="36"/>
          <w:szCs w:val="36"/>
        </w:rPr>
        <w:t>Technical standards for building solar photovoltaic systems</w:t>
      </w:r>
    </w:p>
    <w:p w14:paraId="2B85887F">
      <w:pPr>
        <w:adjustRightInd w:val="0"/>
        <w:snapToGrid w:val="0"/>
        <w:spacing w:before="312" w:beforeLines="100" w:after="312" w:afterLines="100" w:line="300" w:lineRule="auto"/>
        <w:jc w:val="center"/>
        <w:rPr>
          <w:sz w:val="32"/>
          <w:szCs w:val="32"/>
        </w:rPr>
      </w:pPr>
    </w:p>
    <w:p w14:paraId="3148C0E1">
      <w:pPr>
        <w:adjustRightInd w:val="0"/>
        <w:snapToGrid w:val="0"/>
        <w:spacing w:before="312" w:beforeLines="100" w:after="312" w:afterLines="100" w:line="300" w:lineRule="auto"/>
        <w:jc w:val="center"/>
        <w:rPr>
          <w:sz w:val="32"/>
          <w:szCs w:val="32"/>
        </w:rPr>
      </w:pPr>
    </w:p>
    <w:p w14:paraId="1911D916">
      <w:pPr>
        <w:spacing w:line="300" w:lineRule="auto"/>
        <w:jc w:val="center"/>
        <w:rPr>
          <w:rFonts w:hint="eastAsia" w:ascii="黑体" w:hAnsi="黑体" w:eastAsia="黑体"/>
          <w:b/>
          <w:sz w:val="32"/>
          <w:szCs w:val="32"/>
        </w:rPr>
      </w:pPr>
      <w:r>
        <w:rPr>
          <w:rFonts w:ascii="黑体" w:hAnsi="黑体" w:eastAsia="黑体"/>
          <w:b/>
          <w:sz w:val="32"/>
          <w:szCs w:val="32"/>
        </w:rPr>
        <w:t>DB</w:t>
      </w:r>
      <w:r>
        <w:rPr>
          <w:rFonts w:hint="eastAsia" w:ascii="黑体" w:hAnsi="黑体" w:eastAsia="黑体"/>
          <w:b/>
          <w:sz w:val="32"/>
          <w:szCs w:val="32"/>
        </w:rPr>
        <w:t>J XX-XXXX-XXXX</w:t>
      </w:r>
    </w:p>
    <w:p w14:paraId="2BF5AA70">
      <w:pPr>
        <w:adjustRightInd w:val="0"/>
        <w:snapToGrid w:val="0"/>
        <w:spacing w:before="312" w:beforeLines="100" w:after="312" w:afterLines="100" w:line="300" w:lineRule="auto"/>
        <w:ind w:firstLine="1440" w:firstLineChars="450"/>
        <w:rPr>
          <w:sz w:val="32"/>
          <w:szCs w:val="32"/>
        </w:rPr>
      </w:pPr>
      <w:r>
        <w:rPr>
          <w:rFonts w:hint="eastAsia" w:ascii="宋体" w:hAnsi="宋体" w:cs="宋体"/>
          <w:sz w:val="32"/>
          <w:szCs w:val="32"/>
        </w:rPr>
        <w:t>住房和城乡建设部备案号：</w:t>
      </w:r>
    </w:p>
    <w:p w14:paraId="7793AB15">
      <w:pPr>
        <w:adjustRightInd w:val="0"/>
        <w:snapToGrid w:val="0"/>
        <w:spacing w:before="312" w:beforeLines="100" w:after="312" w:afterLines="100" w:line="300" w:lineRule="auto"/>
        <w:ind w:firstLine="1440" w:firstLineChars="450"/>
        <w:rPr>
          <w:sz w:val="32"/>
          <w:szCs w:val="32"/>
        </w:rPr>
      </w:pPr>
      <w:r>
        <w:rPr>
          <w:rFonts w:hint="eastAsia" w:ascii="宋体" w:hAnsi="宋体" w:cs="宋体"/>
          <w:sz w:val="32"/>
          <w:szCs w:val="32"/>
        </w:rPr>
        <w:t>批准部门：</w:t>
      </w:r>
    </w:p>
    <w:p w14:paraId="419DE586">
      <w:pPr>
        <w:adjustRightInd w:val="0"/>
        <w:snapToGrid w:val="0"/>
        <w:spacing w:before="312" w:beforeLines="100" w:after="312" w:afterLines="100" w:line="300" w:lineRule="auto"/>
        <w:ind w:firstLine="1440" w:firstLineChars="450"/>
        <w:rPr>
          <w:sz w:val="32"/>
          <w:szCs w:val="32"/>
        </w:rPr>
      </w:pPr>
      <w:r>
        <w:rPr>
          <w:rFonts w:hint="eastAsia" w:ascii="宋体" w:hAnsi="宋体" w:cs="宋体"/>
          <w:sz w:val="32"/>
          <w:szCs w:val="32"/>
        </w:rPr>
        <w:t>施行日期：</w:t>
      </w:r>
    </w:p>
    <w:p w14:paraId="57E8ABB8">
      <w:pPr>
        <w:adjustRightInd w:val="0"/>
        <w:snapToGrid w:val="0"/>
        <w:spacing w:before="312" w:beforeLines="100" w:after="312" w:afterLines="100" w:line="300" w:lineRule="auto"/>
        <w:jc w:val="left"/>
        <w:rPr>
          <w:rFonts w:eastAsiaTheme="minorEastAsia"/>
          <w:sz w:val="32"/>
          <w:szCs w:val="32"/>
        </w:rPr>
      </w:pPr>
    </w:p>
    <w:p w14:paraId="55F74A42">
      <w:pPr>
        <w:adjustRightInd w:val="0"/>
        <w:snapToGrid w:val="0"/>
        <w:spacing w:before="312" w:beforeLines="100" w:after="312" w:afterLines="100" w:line="300" w:lineRule="auto"/>
        <w:rPr>
          <w:sz w:val="32"/>
          <w:szCs w:val="32"/>
        </w:rPr>
      </w:pPr>
    </w:p>
    <w:p w14:paraId="0AEB9454">
      <w:pPr>
        <w:adjustRightInd w:val="0"/>
        <w:snapToGrid w:val="0"/>
        <w:spacing w:before="312" w:beforeLines="100" w:after="312" w:afterLines="100" w:line="300" w:lineRule="auto"/>
        <w:rPr>
          <w:sz w:val="32"/>
          <w:szCs w:val="32"/>
          <w:shd w:val="pct10" w:color="auto" w:fill="FFFFFF"/>
        </w:rPr>
      </w:pPr>
    </w:p>
    <w:p w14:paraId="03700ADB">
      <w:pPr>
        <w:widowControl/>
        <w:adjustRightInd w:val="0"/>
        <w:snapToGrid w:val="0"/>
        <w:spacing w:before="312" w:beforeLines="100" w:after="312" w:afterLines="100" w:line="300" w:lineRule="auto"/>
        <w:jc w:val="center"/>
      </w:pPr>
      <w:r>
        <w:rPr>
          <w:rFonts w:hint="eastAsia"/>
          <w:sz w:val="32"/>
          <w:szCs w:val="32"/>
        </w:rPr>
        <w:t>XXXX</w:t>
      </w:r>
      <w:r>
        <w:rPr>
          <w:rFonts w:hint="eastAsia" w:ascii="宋体" w:hAnsi="宋体" w:cs="宋体"/>
          <w:sz w:val="32"/>
          <w:szCs w:val="32"/>
        </w:rPr>
        <w:t>出版社</w:t>
      </w:r>
    </w:p>
    <w:p w14:paraId="135502A3">
      <w:pPr>
        <w:spacing w:line="300" w:lineRule="auto"/>
        <w:rPr>
          <w:rFonts w:hint="eastAsia" w:ascii="仿宋_GB2312" w:hAnsi="宋体" w:eastAsia="仿宋_GB2312"/>
          <w:sz w:val="28"/>
          <w:szCs w:val="28"/>
        </w:rPr>
        <w:sectPr>
          <w:footerReference r:id="rId7" w:type="first"/>
          <w:footerReference r:id="rId6" w:type="default"/>
          <w:pgSz w:w="11906" w:h="16838"/>
          <w:pgMar w:top="1440" w:right="1588" w:bottom="1440" w:left="1588" w:header="851" w:footer="992" w:gutter="0"/>
          <w:cols w:space="720" w:num="1"/>
          <w:titlePg/>
          <w:docGrid w:type="lines" w:linePitch="312" w:charSpace="0"/>
        </w:sectPr>
      </w:pPr>
    </w:p>
    <w:p w14:paraId="113989B6">
      <w:pPr>
        <w:pStyle w:val="2"/>
        <w:spacing w:line="300" w:lineRule="auto"/>
      </w:pPr>
    </w:p>
    <w:p w14:paraId="770ED911">
      <w:pPr>
        <w:pStyle w:val="29"/>
        <w:widowControl w:val="0"/>
        <w:numPr>
          <w:ilvl w:val="0"/>
          <w:numId w:val="0"/>
        </w:numPr>
        <w:tabs>
          <w:tab w:val="left" w:pos="360"/>
        </w:tabs>
        <w:spacing w:before="156" w:after="156" w:line="300" w:lineRule="auto"/>
        <w:outlineLvl w:val="9"/>
        <w:rPr>
          <w:rFonts w:hint="eastAsia" w:ascii="宋体" w:hAnsi="宋体" w:eastAsia="宋体" w:cs="宋体"/>
          <w:b/>
          <w:bCs/>
          <w:kern w:val="2"/>
          <w:sz w:val="36"/>
          <w:szCs w:val="48"/>
        </w:rPr>
      </w:pPr>
      <w:bookmarkStart w:id="9" w:name="_Toc9526"/>
      <w:bookmarkStart w:id="10" w:name="_Toc29645"/>
      <w:bookmarkStart w:id="11" w:name="_Toc5965"/>
      <w:bookmarkStart w:id="12" w:name="_Toc599"/>
      <w:bookmarkStart w:id="13" w:name="_Toc22939"/>
      <w:bookmarkStart w:id="14" w:name="_Toc21854"/>
      <w:bookmarkStart w:id="15" w:name="_Toc21625"/>
      <w:r>
        <w:rPr>
          <w:rFonts w:hint="eastAsia" w:ascii="宋体" w:hAnsi="宋体" w:eastAsia="宋体" w:cs="宋体"/>
          <w:b/>
          <w:bCs/>
          <w:kern w:val="2"/>
          <w:sz w:val="36"/>
          <w:szCs w:val="48"/>
        </w:rPr>
        <w:t>广东省住房和城乡建设厅关于发布广东省标准</w:t>
      </w:r>
      <w:bookmarkEnd w:id="9"/>
      <w:bookmarkEnd w:id="10"/>
      <w:bookmarkEnd w:id="11"/>
      <w:bookmarkEnd w:id="12"/>
      <w:bookmarkEnd w:id="13"/>
      <w:bookmarkEnd w:id="14"/>
      <w:bookmarkEnd w:id="15"/>
    </w:p>
    <w:p w14:paraId="04DE00D6">
      <w:pPr>
        <w:pStyle w:val="29"/>
        <w:widowControl w:val="0"/>
        <w:numPr>
          <w:ilvl w:val="0"/>
          <w:numId w:val="0"/>
        </w:numPr>
        <w:tabs>
          <w:tab w:val="left" w:pos="360"/>
        </w:tabs>
        <w:spacing w:before="156" w:after="156" w:line="300" w:lineRule="auto"/>
        <w:outlineLvl w:val="9"/>
        <w:rPr>
          <w:rFonts w:hint="eastAsia" w:ascii="宋体" w:hAnsi="宋体" w:eastAsia="宋体" w:cs="宋体"/>
          <w:b/>
          <w:bCs/>
          <w:kern w:val="2"/>
          <w:sz w:val="36"/>
          <w:szCs w:val="48"/>
        </w:rPr>
      </w:pPr>
      <w:bookmarkStart w:id="16" w:name="_Toc10833"/>
      <w:bookmarkStart w:id="17" w:name="_Toc9183"/>
      <w:bookmarkStart w:id="18" w:name="_Toc20837"/>
      <w:bookmarkStart w:id="19" w:name="_Toc17031"/>
      <w:bookmarkStart w:id="20" w:name="_Toc19663"/>
      <w:bookmarkStart w:id="21" w:name="_Toc2135"/>
      <w:bookmarkStart w:id="22" w:name="_Toc23336"/>
      <w:r>
        <w:rPr>
          <w:rFonts w:hint="eastAsia" w:ascii="宋体" w:hAnsi="宋体" w:eastAsia="宋体" w:cs="宋体"/>
          <w:b/>
          <w:bCs/>
          <w:kern w:val="2"/>
          <w:sz w:val="36"/>
          <w:szCs w:val="48"/>
        </w:rPr>
        <w:t>《</w:t>
      </w:r>
      <w:r>
        <w:rPr>
          <w:rFonts w:hint="eastAsia" w:ascii="宋体" w:hAnsi="宋体" w:eastAsia="宋体" w:cs="宋体"/>
          <w:b/>
          <w:bCs/>
          <w:kern w:val="2"/>
          <w:sz w:val="36"/>
          <w:szCs w:val="48"/>
          <w:lang w:eastAsia="zh-TW"/>
        </w:rPr>
        <w:t>建筑太阳能光伏系统技术标准</w:t>
      </w:r>
      <w:r>
        <w:rPr>
          <w:rFonts w:hint="eastAsia" w:ascii="宋体" w:hAnsi="宋体" w:eastAsia="宋体" w:cs="宋体"/>
          <w:b/>
          <w:bCs/>
          <w:kern w:val="2"/>
          <w:sz w:val="36"/>
          <w:szCs w:val="48"/>
        </w:rPr>
        <w:t>》的公告</w:t>
      </w:r>
      <w:bookmarkEnd w:id="16"/>
      <w:bookmarkEnd w:id="17"/>
      <w:bookmarkEnd w:id="18"/>
      <w:bookmarkEnd w:id="19"/>
      <w:bookmarkEnd w:id="20"/>
      <w:bookmarkEnd w:id="21"/>
      <w:bookmarkEnd w:id="22"/>
    </w:p>
    <w:p w14:paraId="47E827FD">
      <w:pPr>
        <w:pStyle w:val="29"/>
        <w:widowControl w:val="0"/>
        <w:numPr>
          <w:ilvl w:val="0"/>
          <w:numId w:val="0"/>
        </w:numPr>
        <w:tabs>
          <w:tab w:val="left" w:pos="360"/>
        </w:tabs>
        <w:spacing w:before="156" w:after="156" w:line="300" w:lineRule="auto"/>
        <w:outlineLvl w:val="9"/>
        <w:rPr>
          <w:rFonts w:hint="eastAsia" w:ascii="宋体" w:hAnsi="宋体" w:eastAsia="宋体" w:cs="宋体"/>
          <w:b/>
          <w:bCs/>
          <w:kern w:val="2"/>
          <w:sz w:val="36"/>
          <w:szCs w:val="48"/>
        </w:rPr>
      </w:pPr>
      <w:bookmarkStart w:id="23" w:name="_Toc21404"/>
      <w:bookmarkStart w:id="24" w:name="_Toc15102"/>
      <w:bookmarkStart w:id="25" w:name="_Toc16730"/>
      <w:bookmarkStart w:id="26" w:name="_Toc7373"/>
      <w:bookmarkStart w:id="27" w:name="_Toc31944"/>
      <w:bookmarkStart w:id="28" w:name="_Toc16192"/>
      <w:bookmarkStart w:id="29" w:name="_Toc5610"/>
      <w:r>
        <w:rPr>
          <w:rFonts w:hint="eastAsia" w:ascii="宋体" w:hAnsi="宋体" w:eastAsia="宋体" w:cs="宋体"/>
          <w:szCs w:val="32"/>
        </w:rPr>
        <w:t>粤建公告〔202X〕XX号</w:t>
      </w:r>
      <w:bookmarkEnd w:id="23"/>
      <w:bookmarkEnd w:id="24"/>
      <w:bookmarkEnd w:id="25"/>
      <w:bookmarkEnd w:id="26"/>
      <w:bookmarkEnd w:id="27"/>
      <w:bookmarkEnd w:id="28"/>
      <w:bookmarkEnd w:id="29"/>
    </w:p>
    <w:p w14:paraId="79EC22F6">
      <w:pPr>
        <w:spacing w:line="300" w:lineRule="auto"/>
        <w:ind w:firstLine="640" w:firstLineChars="200"/>
        <w:rPr>
          <w:rFonts w:hint="eastAsia" w:ascii="宋体" w:hAnsi="宋体" w:cs="宋体"/>
          <w:sz w:val="32"/>
          <w:szCs w:val="32"/>
        </w:rPr>
      </w:pPr>
      <w:r>
        <w:rPr>
          <w:rFonts w:ascii="宋体" w:hAnsi="宋体" w:cs="宋体"/>
          <w:sz w:val="32"/>
          <w:szCs w:val="32"/>
        </w:rPr>
        <w:t>经组织专家委员会审查，现批准《</w:t>
      </w:r>
      <w:r>
        <w:rPr>
          <w:rFonts w:hint="eastAsia" w:ascii="宋体" w:hAnsi="宋体" w:cs="宋体"/>
          <w:sz w:val="32"/>
          <w:szCs w:val="32"/>
        </w:rPr>
        <w:t>建筑太阳能光伏系统技术标准</w:t>
      </w:r>
      <w:r>
        <w:rPr>
          <w:rFonts w:ascii="宋体" w:hAnsi="宋体" w:cs="宋体"/>
          <w:sz w:val="32"/>
          <w:szCs w:val="32"/>
        </w:rPr>
        <w:t xml:space="preserve">》为广东省地方标准，编号为DBJ/T </w:t>
      </w:r>
      <w:r>
        <w:rPr>
          <w:rFonts w:hint="eastAsia" w:ascii="宋体" w:hAnsi="宋体" w:cs="宋体"/>
          <w:sz w:val="32"/>
          <w:szCs w:val="32"/>
        </w:rPr>
        <w:t>XX</w:t>
      </w:r>
      <w:r>
        <w:rPr>
          <w:rFonts w:ascii="宋体" w:hAnsi="宋体" w:cs="宋体"/>
          <w:sz w:val="32"/>
          <w:szCs w:val="32"/>
        </w:rPr>
        <w:t>-</w:t>
      </w:r>
      <w:r>
        <w:rPr>
          <w:rFonts w:hint="eastAsia" w:ascii="宋体" w:hAnsi="宋体" w:cs="宋体"/>
          <w:sz w:val="32"/>
          <w:szCs w:val="32"/>
        </w:rPr>
        <w:t>XXX</w:t>
      </w:r>
      <w:r>
        <w:rPr>
          <w:rFonts w:ascii="宋体" w:hAnsi="宋体" w:cs="宋体"/>
          <w:sz w:val="32"/>
          <w:szCs w:val="32"/>
        </w:rPr>
        <w:t>-</w:t>
      </w:r>
      <w:r>
        <w:rPr>
          <w:rFonts w:hint="eastAsia" w:ascii="宋体" w:hAnsi="宋体" w:cs="宋体"/>
          <w:sz w:val="32"/>
          <w:szCs w:val="32"/>
        </w:rPr>
        <w:t>XXXX</w:t>
      </w:r>
      <w:r>
        <w:rPr>
          <w:rFonts w:ascii="宋体" w:hAnsi="宋体" w:cs="宋体"/>
          <w:sz w:val="32"/>
          <w:szCs w:val="32"/>
        </w:rPr>
        <w:t>。本标准自202</w:t>
      </w:r>
      <w:r>
        <w:rPr>
          <w:rFonts w:hint="eastAsia" w:ascii="宋体" w:hAnsi="宋体" w:cs="宋体"/>
          <w:sz w:val="32"/>
          <w:szCs w:val="32"/>
        </w:rPr>
        <w:t>X</w:t>
      </w:r>
      <w:r>
        <w:rPr>
          <w:rFonts w:ascii="宋体" w:hAnsi="宋体" w:cs="宋体"/>
          <w:sz w:val="32"/>
          <w:szCs w:val="32"/>
        </w:rPr>
        <w:t>年</w:t>
      </w:r>
      <w:r>
        <w:rPr>
          <w:rFonts w:hint="eastAsia" w:ascii="宋体" w:hAnsi="宋体" w:cs="宋体"/>
          <w:sz w:val="32"/>
          <w:szCs w:val="32"/>
        </w:rPr>
        <w:t>XX</w:t>
      </w:r>
      <w:r>
        <w:rPr>
          <w:rFonts w:ascii="宋体" w:hAnsi="宋体" w:cs="宋体"/>
          <w:sz w:val="32"/>
          <w:szCs w:val="32"/>
        </w:rPr>
        <w:t>月</w:t>
      </w:r>
      <w:r>
        <w:rPr>
          <w:rFonts w:hint="eastAsia" w:ascii="宋体" w:hAnsi="宋体" w:cs="宋体"/>
          <w:sz w:val="32"/>
          <w:szCs w:val="32"/>
        </w:rPr>
        <w:t>XX</w:t>
      </w:r>
      <w:r>
        <w:rPr>
          <w:rFonts w:ascii="宋体" w:hAnsi="宋体" w:cs="宋体"/>
          <w:sz w:val="32"/>
          <w:szCs w:val="32"/>
        </w:rPr>
        <w:t>日起实施。</w:t>
      </w:r>
    </w:p>
    <w:p w14:paraId="1AEA4C18">
      <w:pPr>
        <w:spacing w:line="300" w:lineRule="auto"/>
        <w:ind w:firstLine="640" w:firstLineChars="200"/>
        <w:rPr>
          <w:rFonts w:hint="eastAsia" w:ascii="宋体" w:hAnsi="宋体" w:cs="宋体"/>
          <w:sz w:val="32"/>
          <w:szCs w:val="32"/>
        </w:rPr>
      </w:pPr>
      <w:r>
        <w:rPr>
          <w:rFonts w:ascii="宋体" w:hAnsi="宋体" w:cs="宋体"/>
          <w:sz w:val="32"/>
          <w:szCs w:val="32"/>
        </w:rPr>
        <w:t>本标准由广东省住房和城乡建设厅负责管理，由主编单位广东省建筑科学研究院集团股份有限公司</w:t>
      </w:r>
      <w:r>
        <w:rPr>
          <w:rFonts w:hint="eastAsia" w:ascii="宋体" w:hAnsi="宋体" w:cs="宋体"/>
          <w:sz w:val="32"/>
          <w:szCs w:val="32"/>
        </w:rPr>
        <w:t>和广东建科创新技术研究院有限公司</w:t>
      </w:r>
      <w:r>
        <w:rPr>
          <w:rFonts w:ascii="宋体" w:hAnsi="宋体" w:cs="宋体"/>
          <w:sz w:val="32"/>
          <w:szCs w:val="32"/>
        </w:rPr>
        <w:t>负责具体技术内容的解释，</w:t>
      </w:r>
      <w:r>
        <w:rPr>
          <w:rFonts w:hint="eastAsia" w:ascii="宋体" w:hAnsi="宋体" w:cs="宋体"/>
          <w:sz w:val="32"/>
          <w:szCs w:val="32"/>
        </w:rPr>
        <w:t>于出版后在广东省住房和城乡建设厅门户网站（https://zfcxjst.gd.gov.cn/）公开标准全文</w:t>
      </w:r>
      <w:r>
        <w:rPr>
          <w:rFonts w:ascii="宋体" w:hAnsi="宋体" w:cs="宋体"/>
          <w:sz w:val="32"/>
          <w:szCs w:val="32"/>
        </w:rPr>
        <w:t>。</w:t>
      </w:r>
    </w:p>
    <w:p w14:paraId="03CE633D">
      <w:pPr>
        <w:adjustRightInd w:val="0"/>
        <w:snapToGrid w:val="0"/>
        <w:spacing w:before="93" w:beforeLines="30" w:after="93" w:afterLines="30" w:line="300" w:lineRule="auto"/>
        <w:ind w:firstLine="420" w:firstLineChars="200"/>
        <w:rPr>
          <w:szCs w:val="21"/>
        </w:rPr>
      </w:pPr>
    </w:p>
    <w:p w14:paraId="460C22DF">
      <w:pPr>
        <w:adjustRightInd w:val="0"/>
        <w:snapToGrid w:val="0"/>
        <w:spacing w:before="93" w:beforeLines="30" w:after="93" w:afterLines="30" w:line="300" w:lineRule="auto"/>
        <w:ind w:firstLine="420" w:firstLineChars="200"/>
        <w:rPr>
          <w:szCs w:val="21"/>
        </w:rPr>
      </w:pPr>
    </w:p>
    <w:p w14:paraId="4B43A93B">
      <w:pPr>
        <w:adjustRightInd w:val="0"/>
        <w:snapToGrid w:val="0"/>
        <w:spacing w:before="93" w:beforeLines="30" w:after="93" w:afterLines="30" w:line="300" w:lineRule="auto"/>
        <w:ind w:firstLine="420" w:firstLineChars="200"/>
        <w:rPr>
          <w:szCs w:val="21"/>
        </w:rPr>
      </w:pPr>
    </w:p>
    <w:p w14:paraId="1C49D315">
      <w:pPr>
        <w:autoSpaceDE w:val="0"/>
        <w:autoSpaceDN w:val="0"/>
        <w:adjustRightInd w:val="0"/>
        <w:spacing w:line="300" w:lineRule="auto"/>
        <w:jc w:val="right"/>
        <w:rPr>
          <w:rFonts w:hint="eastAsia" w:ascii="宋体" w:hAnsi="宋体" w:cs="宋体"/>
          <w:kern w:val="0"/>
          <w:sz w:val="32"/>
          <w:szCs w:val="32"/>
        </w:rPr>
      </w:pPr>
      <w:r>
        <w:rPr>
          <w:rFonts w:ascii="宋体" w:hAnsi="宋体" w:cs="宋体"/>
          <w:kern w:val="0"/>
          <w:sz w:val="32"/>
          <w:szCs w:val="32"/>
        </w:rPr>
        <w:t>广东省住房和城乡建设厅</w:t>
      </w:r>
    </w:p>
    <w:p w14:paraId="2A26D2B4">
      <w:pPr>
        <w:autoSpaceDE w:val="0"/>
        <w:autoSpaceDN w:val="0"/>
        <w:adjustRightInd w:val="0"/>
        <w:spacing w:line="300" w:lineRule="auto"/>
        <w:jc w:val="right"/>
        <w:rPr>
          <w:rFonts w:hint="eastAsia" w:ascii="宋体" w:hAnsi="宋体" w:cs="宋体"/>
          <w:kern w:val="0"/>
          <w:sz w:val="32"/>
          <w:szCs w:val="32"/>
        </w:rPr>
      </w:pPr>
      <w:r>
        <w:rPr>
          <w:rFonts w:ascii="宋体" w:hAnsi="宋体" w:cs="宋体"/>
          <w:kern w:val="0"/>
          <w:sz w:val="32"/>
          <w:szCs w:val="32"/>
        </w:rPr>
        <w:t xml:space="preserve">                                    202</w:t>
      </w:r>
      <w:r>
        <w:rPr>
          <w:rFonts w:hint="eastAsia" w:ascii="宋体" w:hAnsi="宋体" w:cs="宋体"/>
          <w:kern w:val="0"/>
          <w:sz w:val="32"/>
          <w:szCs w:val="32"/>
        </w:rPr>
        <w:t>X</w:t>
      </w:r>
      <w:r>
        <w:rPr>
          <w:rFonts w:ascii="宋体" w:hAnsi="宋体" w:cs="宋体"/>
          <w:kern w:val="0"/>
          <w:sz w:val="32"/>
          <w:szCs w:val="32"/>
        </w:rPr>
        <w:t>年</w:t>
      </w:r>
      <w:r>
        <w:rPr>
          <w:rFonts w:hint="eastAsia" w:ascii="宋体" w:hAnsi="宋体" w:cs="宋体"/>
          <w:kern w:val="0"/>
          <w:sz w:val="32"/>
          <w:szCs w:val="32"/>
        </w:rPr>
        <w:t>XX</w:t>
      </w:r>
      <w:r>
        <w:rPr>
          <w:rFonts w:ascii="宋体" w:hAnsi="宋体" w:cs="宋体"/>
          <w:kern w:val="0"/>
          <w:sz w:val="32"/>
          <w:szCs w:val="32"/>
        </w:rPr>
        <w:t>月</w:t>
      </w:r>
      <w:r>
        <w:rPr>
          <w:rFonts w:hint="eastAsia" w:ascii="宋体" w:hAnsi="宋体" w:cs="宋体"/>
          <w:kern w:val="0"/>
          <w:sz w:val="32"/>
          <w:szCs w:val="32"/>
        </w:rPr>
        <w:t>XX</w:t>
      </w:r>
      <w:r>
        <w:rPr>
          <w:rFonts w:ascii="宋体" w:hAnsi="宋体" w:cs="宋体"/>
          <w:kern w:val="0"/>
          <w:sz w:val="32"/>
          <w:szCs w:val="32"/>
        </w:rPr>
        <w:t>日</w:t>
      </w:r>
    </w:p>
    <w:p w14:paraId="48ABAFAB">
      <w:pPr>
        <w:spacing w:line="300" w:lineRule="auto"/>
        <w:jc w:val="right"/>
        <w:rPr>
          <w:rFonts w:hint="eastAsia" w:ascii="新宋体" w:hAnsi="新宋体" w:eastAsia="新宋体"/>
          <w:szCs w:val="21"/>
        </w:rPr>
      </w:pPr>
    </w:p>
    <w:p w14:paraId="35D257EE">
      <w:pPr>
        <w:adjustRightInd w:val="0"/>
        <w:snapToGrid w:val="0"/>
        <w:spacing w:before="93" w:beforeLines="30" w:after="93" w:afterLines="30" w:line="300" w:lineRule="auto"/>
        <w:jc w:val="center"/>
        <w:rPr>
          <w:rFonts w:eastAsia="黑体"/>
          <w:b/>
          <w:sz w:val="36"/>
          <w:szCs w:val="36"/>
        </w:rPr>
      </w:pPr>
      <w:r>
        <w:rPr>
          <w:rFonts w:ascii="仿宋_GB2312" w:hAnsi="宋体" w:eastAsia="仿宋_GB2312"/>
          <w:sz w:val="28"/>
          <w:szCs w:val="28"/>
        </w:rPr>
        <w:br w:type="page"/>
      </w:r>
    </w:p>
    <w:p w14:paraId="0AC089C6">
      <w:pPr>
        <w:adjustRightInd w:val="0"/>
        <w:snapToGrid w:val="0"/>
        <w:spacing w:before="93" w:beforeLines="30" w:after="93" w:afterLines="30" w:line="300" w:lineRule="auto"/>
        <w:jc w:val="center"/>
        <w:rPr>
          <w:rFonts w:eastAsia="黑体"/>
          <w:b/>
          <w:sz w:val="36"/>
          <w:szCs w:val="36"/>
        </w:rPr>
      </w:pPr>
      <w:r>
        <w:rPr>
          <w:rFonts w:eastAsia="黑体"/>
          <w:b/>
          <w:sz w:val="36"/>
          <w:szCs w:val="36"/>
        </w:rPr>
        <w:t>前  言</w:t>
      </w:r>
    </w:p>
    <w:p w14:paraId="458AF13F">
      <w:pPr>
        <w:adjustRightInd w:val="0"/>
        <w:snapToGrid w:val="0"/>
        <w:spacing w:before="93" w:beforeLines="30" w:after="93" w:afterLines="30" w:line="300" w:lineRule="auto"/>
        <w:jc w:val="center"/>
        <w:rPr>
          <w:b/>
          <w:sz w:val="28"/>
          <w:szCs w:val="36"/>
        </w:rPr>
      </w:pPr>
    </w:p>
    <w:p w14:paraId="39AED384">
      <w:pPr>
        <w:adjustRightInd w:val="0"/>
        <w:snapToGrid w:val="0"/>
        <w:spacing w:before="0" w:beforeLines="0" w:after="0" w:afterLines="0" w:line="300" w:lineRule="auto"/>
        <w:ind w:firstLine="420" w:firstLineChars="200"/>
        <w:jc w:val="left"/>
        <w:rPr>
          <w:rFonts w:hint="eastAsia" w:ascii="宋体" w:hAnsi="宋体" w:cs="宋体"/>
          <w:szCs w:val="21"/>
          <w:highlight w:val="none"/>
        </w:rPr>
      </w:pPr>
      <w:r>
        <w:rPr>
          <w:rFonts w:hint="eastAsia" w:ascii="宋体" w:hAnsi="宋体" w:cs="宋体"/>
          <w:szCs w:val="21"/>
          <w:highlight w:val="none"/>
        </w:rPr>
        <w:t>根据</w:t>
      </w:r>
      <w:r>
        <w:rPr>
          <w:rFonts w:hint="eastAsia" w:ascii="宋体" w:hAnsi="宋体" w:cs="宋体"/>
          <w:szCs w:val="21"/>
          <w:highlight w:val="none"/>
          <w:lang w:eastAsia="zh-CN"/>
        </w:rPr>
        <w:t>《</w:t>
      </w:r>
      <w:r>
        <w:rPr>
          <w:rFonts w:hint="eastAsia" w:ascii="宋体" w:hAnsi="宋体" w:cs="宋体"/>
          <w:szCs w:val="21"/>
          <w:highlight w:val="none"/>
        </w:rPr>
        <w:t>广东省市场监督管理局关于批准下达2023年第二批广东省地方标准制修订计划的通知</w:t>
      </w:r>
      <w:r>
        <w:rPr>
          <w:rFonts w:hint="eastAsia" w:ascii="宋体" w:hAnsi="宋体" w:cs="宋体"/>
          <w:szCs w:val="21"/>
          <w:highlight w:val="none"/>
          <w:lang w:eastAsia="zh-CN"/>
        </w:rPr>
        <w:t>》</w:t>
      </w:r>
      <w:r>
        <w:rPr>
          <w:rFonts w:hint="eastAsia" w:ascii="宋体" w:hAnsi="宋体" w:cs="宋体"/>
          <w:szCs w:val="21"/>
          <w:highlight w:val="none"/>
        </w:rPr>
        <w:t>（粤市监标准〔2023〕591号）的要求，</w:t>
      </w:r>
      <w:r>
        <w:rPr>
          <w:rFonts w:hint="eastAsia" w:ascii="宋体" w:hAnsi="宋体" w:cs="宋体"/>
          <w:szCs w:val="21"/>
          <w:highlight w:val="none"/>
          <w:lang w:val="en-US" w:eastAsia="zh-CN"/>
        </w:rPr>
        <w:t>编制组经广泛调查研究，</w:t>
      </w:r>
      <w:r>
        <w:rPr>
          <w:rFonts w:hint="eastAsia" w:ascii="宋体" w:hAnsi="宋体" w:cs="宋体"/>
          <w:szCs w:val="21"/>
          <w:highlight w:val="none"/>
        </w:rPr>
        <w:t>认真总结</w:t>
      </w:r>
      <w:r>
        <w:rPr>
          <w:rFonts w:hint="eastAsia" w:ascii="宋体" w:hAnsi="宋体" w:cs="宋体"/>
          <w:szCs w:val="21"/>
          <w:highlight w:val="none"/>
          <w:lang w:val="en-US" w:eastAsia="zh-CN"/>
        </w:rPr>
        <w:t>实践经验，参考有关</w:t>
      </w:r>
      <w:r>
        <w:rPr>
          <w:rFonts w:hint="eastAsia" w:ascii="宋体" w:hAnsi="宋体" w:cs="宋体"/>
          <w:szCs w:val="21"/>
          <w:highlight w:val="none"/>
        </w:rPr>
        <w:t>国内</w:t>
      </w:r>
      <w:r>
        <w:rPr>
          <w:rFonts w:hint="eastAsia" w:ascii="宋体" w:hAnsi="宋体" w:cs="宋体"/>
          <w:szCs w:val="21"/>
          <w:highlight w:val="none"/>
          <w:lang w:val="en-US" w:eastAsia="zh-CN"/>
        </w:rPr>
        <w:t>标准和</w:t>
      </w:r>
      <w:r>
        <w:rPr>
          <w:rFonts w:hint="eastAsia" w:ascii="宋体" w:hAnsi="宋体" w:cs="宋体"/>
          <w:szCs w:val="21"/>
          <w:highlight w:val="none"/>
        </w:rPr>
        <w:t>国</w:t>
      </w:r>
      <w:r>
        <w:rPr>
          <w:rFonts w:hint="eastAsia" w:ascii="宋体" w:hAnsi="宋体" w:cs="宋体"/>
          <w:szCs w:val="21"/>
          <w:highlight w:val="none"/>
          <w:lang w:val="en-US" w:eastAsia="zh-CN"/>
        </w:rPr>
        <w:t>外</w:t>
      </w:r>
      <w:r>
        <w:rPr>
          <w:rFonts w:hint="eastAsia" w:ascii="宋体" w:hAnsi="宋体" w:cs="宋体"/>
          <w:szCs w:val="21"/>
          <w:highlight w:val="none"/>
        </w:rPr>
        <w:t>先进</w:t>
      </w:r>
      <w:r>
        <w:rPr>
          <w:rFonts w:hint="eastAsia" w:ascii="宋体" w:hAnsi="宋体" w:cs="宋体"/>
          <w:szCs w:val="21"/>
          <w:highlight w:val="none"/>
          <w:lang w:val="en-US" w:eastAsia="zh-CN"/>
        </w:rPr>
        <w:t>标准</w:t>
      </w:r>
      <w:r>
        <w:rPr>
          <w:rFonts w:hint="eastAsia" w:ascii="宋体" w:hAnsi="宋体" w:cs="宋体"/>
          <w:szCs w:val="21"/>
          <w:highlight w:val="none"/>
        </w:rPr>
        <w:t>，并在广泛征求意见的基础上</w:t>
      </w:r>
      <w:r>
        <w:rPr>
          <w:rFonts w:hint="eastAsia" w:ascii="宋体" w:hAnsi="宋体" w:cs="宋体"/>
          <w:szCs w:val="21"/>
          <w:highlight w:val="none"/>
          <w:lang w:eastAsia="zh-CN"/>
        </w:rPr>
        <w:t>，</w:t>
      </w:r>
      <w:r>
        <w:rPr>
          <w:rFonts w:hint="eastAsia" w:ascii="宋体" w:hAnsi="宋体" w:cs="宋体"/>
          <w:szCs w:val="21"/>
          <w:highlight w:val="none"/>
          <w:lang w:val="en-US" w:eastAsia="zh-CN"/>
        </w:rPr>
        <w:t>形成了本标准。</w:t>
      </w:r>
    </w:p>
    <w:p w14:paraId="0780A88A">
      <w:pPr>
        <w:adjustRightInd w:val="0"/>
        <w:snapToGrid w:val="0"/>
        <w:spacing w:before="0" w:beforeLines="0" w:after="0" w:afterLines="0" w:line="300" w:lineRule="auto"/>
        <w:ind w:left="0" w:firstLine="420" w:firstLineChars="200"/>
        <w:jc w:val="left"/>
        <w:rPr>
          <w:rFonts w:hint="eastAsia" w:ascii="宋体" w:hAnsi="宋体" w:cs="宋体"/>
          <w:szCs w:val="21"/>
          <w:highlight w:val="none"/>
          <w:lang w:val="en-US" w:eastAsia="zh-CN"/>
        </w:rPr>
      </w:pPr>
      <w:r>
        <w:rPr>
          <w:rFonts w:hint="eastAsia" w:ascii="宋体" w:hAnsi="宋体" w:cs="宋体"/>
          <w:szCs w:val="21"/>
          <w:highlight w:val="none"/>
        </w:rPr>
        <w:t>本标准的主要技术内容是：</w:t>
      </w:r>
      <w:r>
        <w:rPr>
          <w:rFonts w:hint="eastAsia" w:ascii="宋体" w:hAnsi="宋体" w:cs="宋体"/>
          <w:szCs w:val="21"/>
          <w:highlight w:val="none"/>
          <w:lang w:eastAsia="zh-CN"/>
        </w:rPr>
        <w:t>总则、术语、基本规定、设备和材料、设计、结构设计、光伏发电系统设计、</w:t>
      </w:r>
      <w:r>
        <w:rPr>
          <w:rFonts w:hint="eastAsia" w:ascii="宋体" w:hAnsi="宋体" w:cs="宋体"/>
          <w:szCs w:val="21"/>
          <w:highlight w:val="none"/>
          <w:lang w:val="en-US" w:eastAsia="zh-CN"/>
        </w:rPr>
        <w:t>光伏发电系统接入</w:t>
      </w:r>
      <w:r>
        <w:rPr>
          <w:rFonts w:hint="eastAsia" w:ascii="宋体" w:hAnsi="宋体" w:cs="宋体"/>
          <w:szCs w:val="21"/>
          <w:highlight w:val="none"/>
          <w:lang w:eastAsia="zh-CN"/>
        </w:rPr>
        <w:t>、给排水设计、工程施工、环境保护与安全防护、消防、验收、运行与维护。</w:t>
      </w:r>
      <w:r>
        <w:rPr>
          <w:rFonts w:hint="eastAsia" w:ascii="宋体" w:hAnsi="宋体" w:cs="宋体"/>
          <w:szCs w:val="21"/>
          <w:highlight w:val="none"/>
          <w:lang w:val="en-US" w:eastAsia="zh-CN"/>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lang w:val="en-US" w:eastAsia="zh-CN"/>
        </w:rPr>
        <w:t xml:space="preserve">                                           </w:t>
      </w:r>
    </w:p>
    <w:p w14:paraId="743FF50F">
      <w:pPr>
        <w:adjustRightInd w:val="0"/>
        <w:snapToGrid w:val="0"/>
        <w:spacing w:before="0" w:beforeLines="0" w:after="0" w:afterLines="0" w:line="300" w:lineRule="auto"/>
        <w:ind w:left="0" w:firstLine="420" w:firstLineChars="200"/>
        <w:jc w:val="left"/>
        <w:rPr>
          <w:rFonts w:hint="eastAsia" w:ascii="宋体" w:hAnsi="宋体" w:cs="宋体"/>
          <w:szCs w:val="21"/>
          <w:highlight w:val="none"/>
        </w:rPr>
      </w:pPr>
      <w:r>
        <w:rPr>
          <w:rFonts w:hint="eastAsia" w:ascii="宋体" w:hAnsi="宋体" w:cs="宋体"/>
          <w:szCs w:val="21"/>
          <w:highlight w:val="none"/>
        </w:rPr>
        <w:t>本</w:t>
      </w:r>
      <w:r>
        <w:rPr>
          <w:rFonts w:hint="eastAsia" w:ascii="宋体" w:hAnsi="宋体" w:cs="宋体"/>
          <w:szCs w:val="21"/>
          <w:highlight w:val="none"/>
          <w:lang w:val="en-US" w:eastAsia="zh-CN"/>
        </w:rPr>
        <w:t>标准</w:t>
      </w:r>
      <w:r>
        <w:rPr>
          <w:rFonts w:hint="eastAsia" w:ascii="宋体" w:hAnsi="宋体" w:cs="宋体"/>
          <w:szCs w:val="21"/>
          <w:highlight w:val="none"/>
        </w:rPr>
        <w:t>由广东省住房和城乡建设厅负责管理，由主编单位负责具体技术内容的解释。执行过程中如有意见或建议，请寄送广东省建筑科学研究院集团股份有限公司（地址：广州市先烈东路121号；邮政编码：510500）。</w:t>
      </w:r>
    </w:p>
    <w:p w14:paraId="27FD00D9">
      <w:pPr>
        <w:adjustRightInd w:val="0"/>
        <w:snapToGrid w:val="0"/>
        <w:spacing w:before="93" w:beforeLines="30" w:after="93" w:afterLines="30" w:line="300" w:lineRule="auto"/>
        <w:ind w:firstLine="420" w:firstLineChars="200"/>
        <w:rPr>
          <w:rFonts w:hint="eastAsia" w:ascii="宋体" w:hAnsi="宋体" w:cs="宋体"/>
          <w:szCs w:val="21"/>
        </w:rPr>
      </w:pPr>
      <w:r>
        <w:rPr>
          <w:rFonts w:ascii="宋体" w:hAnsi="宋体" w:cs="宋体"/>
          <w:szCs w:val="21"/>
        </w:rPr>
        <w:t>本</w:t>
      </w:r>
      <w:r>
        <w:rPr>
          <w:rFonts w:hint="eastAsia" w:ascii="宋体" w:hAnsi="宋体" w:cs="宋体"/>
          <w:szCs w:val="21"/>
          <w:lang w:val="en-US" w:eastAsia="zh-CN"/>
        </w:rPr>
        <w:t>标准</w:t>
      </w:r>
      <w:r>
        <w:rPr>
          <w:rFonts w:ascii="宋体" w:hAnsi="宋体" w:cs="宋体"/>
          <w:szCs w:val="21"/>
        </w:rPr>
        <w:t>主编单位：广东省建筑科学研究院集团股份有限公司</w:t>
      </w:r>
    </w:p>
    <w:p w14:paraId="7CD356BE">
      <w:pPr>
        <w:adjustRightInd w:val="0"/>
        <w:snapToGrid w:val="0"/>
        <w:spacing w:before="93" w:beforeLines="30" w:after="93" w:afterLines="30" w:line="300" w:lineRule="auto"/>
        <w:ind w:firstLine="2100" w:firstLineChars="1000"/>
        <w:rPr>
          <w:rFonts w:hint="eastAsia" w:ascii="宋体" w:hAnsi="宋体" w:cs="宋体"/>
          <w:szCs w:val="21"/>
        </w:rPr>
      </w:pPr>
      <w:r>
        <w:rPr>
          <w:rFonts w:hint="eastAsia" w:ascii="宋体" w:hAnsi="宋体" w:cs="宋体"/>
          <w:szCs w:val="21"/>
        </w:rPr>
        <w:t>广东建科创新技术研究院有限公司</w:t>
      </w:r>
    </w:p>
    <w:p w14:paraId="7B9F0D97">
      <w:pPr>
        <w:adjustRightInd w:val="0"/>
        <w:snapToGrid w:val="0"/>
        <w:spacing w:before="93" w:beforeLines="30" w:after="93" w:afterLines="30" w:line="300" w:lineRule="auto"/>
        <w:ind w:firstLine="420" w:firstLineChars="200"/>
        <w:rPr>
          <w:rFonts w:hint="eastAsia" w:ascii="宋体" w:hAnsi="宋体" w:cs="宋体"/>
          <w:szCs w:val="21"/>
        </w:rPr>
      </w:pPr>
      <w:r>
        <w:rPr>
          <w:rFonts w:ascii="宋体" w:hAnsi="宋体" w:cs="宋体"/>
          <w:szCs w:val="21"/>
        </w:rPr>
        <w:t>本</w:t>
      </w:r>
      <w:r>
        <w:rPr>
          <w:rFonts w:hint="eastAsia" w:ascii="宋体" w:hAnsi="宋体" w:cs="宋体"/>
          <w:szCs w:val="21"/>
          <w:lang w:val="en-US" w:eastAsia="zh-CN"/>
        </w:rPr>
        <w:t>标准</w:t>
      </w:r>
      <w:r>
        <w:rPr>
          <w:rFonts w:ascii="宋体" w:hAnsi="宋体" w:cs="宋体"/>
          <w:szCs w:val="21"/>
        </w:rPr>
        <w:t>参编单位：</w:t>
      </w:r>
      <w:r>
        <w:rPr>
          <w:rFonts w:hint="eastAsia" w:ascii="宋体" w:hAnsi="宋体" w:cs="宋体"/>
          <w:szCs w:val="21"/>
        </w:rPr>
        <w:t>中国科学院广州能源研究所</w:t>
      </w:r>
    </w:p>
    <w:p w14:paraId="68C90FC8">
      <w:pPr>
        <w:adjustRightInd w:val="0"/>
        <w:snapToGrid w:val="0"/>
        <w:spacing w:before="93" w:beforeLines="30" w:after="93" w:afterLines="30" w:line="300" w:lineRule="auto"/>
        <w:ind w:firstLine="2100" w:firstLineChars="1000"/>
        <w:rPr>
          <w:rFonts w:hint="eastAsia" w:ascii="宋体" w:hAnsi="宋体" w:cs="宋体"/>
          <w:szCs w:val="21"/>
        </w:rPr>
      </w:pPr>
      <w:r>
        <w:rPr>
          <w:rFonts w:hint="eastAsia" w:ascii="宋体" w:hAnsi="宋体" w:cs="宋体"/>
          <w:szCs w:val="21"/>
        </w:rPr>
        <w:t>广州电力设计院有限公司</w:t>
      </w:r>
    </w:p>
    <w:p w14:paraId="384FBF3B">
      <w:pPr>
        <w:adjustRightInd w:val="0"/>
        <w:snapToGrid w:val="0"/>
        <w:spacing w:before="93" w:beforeLines="30" w:after="93" w:afterLines="30" w:line="300" w:lineRule="auto"/>
        <w:ind w:firstLine="2100" w:firstLineChars="1000"/>
        <w:rPr>
          <w:rFonts w:hint="eastAsia" w:ascii="宋体" w:hAnsi="宋体" w:cs="宋体"/>
          <w:szCs w:val="21"/>
        </w:rPr>
      </w:pPr>
      <w:r>
        <w:rPr>
          <w:rFonts w:hint="eastAsia" w:ascii="宋体" w:hAnsi="宋体" w:cs="宋体"/>
          <w:szCs w:val="21"/>
        </w:rPr>
        <w:t>广东电网有限责任公司电力科学研究院</w:t>
      </w:r>
    </w:p>
    <w:p w14:paraId="261A2288">
      <w:pPr>
        <w:adjustRightInd w:val="0"/>
        <w:snapToGrid w:val="0"/>
        <w:spacing w:before="93" w:beforeLines="30" w:after="93" w:afterLines="30" w:line="300" w:lineRule="auto"/>
        <w:ind w:firstLine="2100" w:firstLineChars="1000"/>
        <w:rPr>
          <w:rFonts w:hint="eastAsia" w:ascii="宋体" w:hAnsi="宋体" w:cs="宋体"/>
          <w:szCs w:val="21"/>
        </w:rPr>
      </w:pPr>
      <w:r>
        <w:rPr>
          <w:rFonts w:hint="eastAsia" w:ascii="宋体" w:hAnsi="宋体" w:cs="宋体"/>
          <w:szCs w:val="21"/>
        </w:rPr>
        <w:t>中新广州知识城财政投资建设项目管理中心</w:t>
      </w:r>
    </w:p>
    <w:p w14:paraId="6B67F9AD">
      <w:pPr>
        <w:adjustRightInd w:val="0"/>
        <w:snapToGrid w:val="0"/>
        <w:spacing w:before="93" w:beforeLines="30" w:after="93" w:afterLines="30" w:line="300" w:lineRule="auto"/>
        <w:ind w:firstLine="2100" w:firstLineChars="1000"/>
        <w:rPr>
          <w:rFonts w:hint="eastAsia" w:ascii="宋体" w:hAnsi="宋体" w:cs="宋体"/>
          <w:szCs w:val="21"/>
        </w:rPr>
      </w:pPr>
      <w:r>
        <w:rPr>
          <w:rFonts w:hint="eastAsia" w:ascii="宋体" w:hAnsi="宋体" w:cs="宋体"/>
          <w:szCs w:val="21"/>
        </w:rPr>
        <w:t>广东省建筑工程集团</w:t>
      </w:r>
      <w:r>
        <w:rPr>
          <w:rFonts w:hint="eastAsia" w:ascii="宋体" w:hAnsi="宋体" w:cs="宋体"/>
          <w:szCs w:val="21"/>
          <w:lang w:val="en-US" w:eastAsia="zh-CN"/>
        </w:rPr>
        <w:t>控股</w:t>
      </w:r>
      <w:r>
        <w:rPr>
          <w:rFonts w:hint="eastAsia" w:ascii="宋体" w:hAnsi="宋体" w:cs="宋体"/>
          <w:szCs w:val="21"/>
        </w:rPr>
        <w:t>有限公司</w:t>
      </w:r>
    </w:p>
    <w:p w14:paraId="490F5EEC">
      <w:pPr>
        <w:adjustRightInd w:val="0"/>
        <w:snapToGrid w:val="0"/>
        <w:spacing w:before="93" w:beforeLines="30" w:after="93" w:afterLines="30" w:line="300" w:lineRule="auto"/>
        <w:ind w:firstLine="2100" w:firstLineChars="1000"/>
        <w:rPr>
          <w:rFonts w:hint="eastAsia" w:ascii="宋体" w:hAnsi="宋体" w:cs="宋体"/>
          <w:szCs w:val="21"/>
        </w:rPr>
      </w:pPr>
      <w:r>
        <w:rPr>
          <w:rFonts w:hint="eastAsia" w:ascii="宋体" w:hAnsi="宋体" w:cs="宋体"/>
          <w:szCs w:val="21"/>
        </w:rPr>
        <w:t>广东省建设工程质量安全检测总站有限公司</w:t>
      </w:r>
    </w:p>
    <w:p w14:paraId="071C6114">
      <w:pPr>
        <w:adjustRightInd w:val="0"/>
        <w:snapToGrid w:val="0"/>
        <w:spacing w:before="93" w:beforeLines="30" w:after="93" w:afterLines="30" w:line="300" w:lineRule="auto"/>
        <w:ind w:firstLine="2100" w:firstLineChars="1000"/>
        <w:rPr>
          <w:rFonts w:hint="eastAsia" w:ascii="宋体" w:hAnsi="宋体" w:cs="宋体"/>
          <w:szCs w:val="21"/>
        </w:rPr>
      </w:pPr>
      <w:r>
        <w:rPr>
          <w:rFonts w:hint="eastAsia" w:ascii="宋体" w:hAnsi="宋体" w:cs="宋体"/>
          <w:szCs w:val="21"/>
        </w:rPr>
        <w:t>广州建设工程质量安全检测中心有限公司</w:t>
      </w:r>
    </w:p>
    <w:p w14:paraId="7274B2DC">
      <w:pPr>
        <w:adjustRightInd w:val="0"/>
        <w:snapToGrid w:val="0"/>
        <w:spacing w:before="93" w:beforeLines="30" w:after="93" w:afterLines="30" w:line="300" w:lineRule="auto"/>
        <w:ind w:firstLine="2100" w:firstLineChars="1000"/>
        <w:rPr>
          <w:rFonts w:hint="eastAsia" w:ascii="宋体" w:hAnsi="宋体" w:cs="宋体"/>
          <w:szCs w:val="21"/>
        </w:rPr>
      </w:pPr>
      <w:r>
        <w:rPr>
          <w:rFonts w:hint="eastAsia" w:ascii="宋体" w:hAnsi="宋体" w:cs="宋体"/>
          <w:szCs w:val="21"/>
        </w:rPr>
        <w:t>中山翠亨新区工程项目建设事务中心</w:t>
      </w:r>
    </w:p>
    <w:p w14:paraId="4D1AB957">
      <w:pPr>
        <w:adjustRightInd w:val="0"/>
        <w:snapToGrid w:val="0"/>
        <w:spacing w:before="93" w:beforeLines="30" w:after="93" w:afterLines="30" w:line="300" w:lineRule="auto"/>
        <w:ind w:firstLine="2100" w:firstLineChars="1000"/>
        <w:rPr>
          <w:rFonts w:hint="eastAsia" w:ascii="宋体" w:hAnsi="宋体" w:cs="宋体"/>
          <w:szCs w:val="21"/>
        </w:rPr>
      </w:pPr>
      <w:r>
        <w:rPr>
          <w:rFonts w:hint="eastAsia" w:ascii="宋体" w:hAnsi="宋体" w:cs="宋体"/>
          <w:szCs w:val="21"/>
        </w:rPr>
        <w:t>深圳凯盛科技工程有限公司</w:t>
      </w:r>
    </w:p>
    <w:p w14:paraId="1A2A3492">
      <w:pPr>
        <w:adjustRightInd w:val="0"/>
        <w:snapToGrid w:val="0"/>
        <w:spacing w:before="93" w:beforeLines="30" w:after="93" w:afterLines="30" w:line="300" w:lineRule="auto"/>
        <w:ind w:firstLine="2100" w:firstLineChars="1000"/>
        <w:rPr>
          <w:rFonts w:hint="eastAsia" w:ascii="宋体" w:hAnsi="宋体" w:cs="宋体"/>
          <w:szCs w:val="21"/>
          <w:lang w:val="en-US" w:eastAsia="zh-CN"/>
        </w:rPr>
      </w:pPr>
      <w:r>
        <w:rPr>
          <w:rFonts w:hint="eastAsia" w:ascii="宋体" w:hAnsi="宋体" w:cs="宋体"/>
          <w:szCs w:val="21"/>
          <w:lang w:val="en-US" w:eastAsia="zh-CN"/>
        </w:rPr>
        <w:t>江西龙正科技发展有限公司</w:t>
      </w:r>
    </w:p>
    <w:p w14:paraId="16941593">
      <w:pPr>
        <w:pStyle w:val="2"/>
        <w:ind w:firstLine="2100" w:firstLineChars="1000"/>
        <w:rPr>
          <w:rFonts w:hint="eastAsia"/>
          <w:lang w:val="en-US" w:eastAsia="zh-CN"/>
        </w:rPr>
      </w:pPr>
      <w:r>
        <w:rPr>
          <w:rFonts w:hint="eastAsia"/>
          <w:lang w:val="en-US" w:eastAsia="zh-CN"/>
        </w:rPr>
        <w:t>天合绿建（上海）光伏科技有限公司</w:t>
      </w:r>
    </w:p>
    <w:p w14:paraId="519B81BC">
      <w:pPr>
        <w:adjustRightInd w:val="0"/>
        <w:snapToGrid w:val="0"/>
        <w:spacing w:before="93" w:beforeLines="30" w:after="93" w:afterLines="30" w:line="300" w:lineRule="auto"/>
        <w:ind w:firstLine="2100" w:firstLineChars="1000"/>
        <w:rPr>
          <w:rFonts w:hint="eastAsia" w:ascii="宋体" w:hAnsi="宋体" w:cs="宋体"/>
          <w:szCs w:val="21"/>
        </w:rPr>
      </w:pPr>
      <w:r>
        <w:rPr>
          <w:rFonts w:hint="eastAsia" w:ascii="宋体" w:hAnsi="宋体" w:cs="宋体"/>
          <w:szCs w:val="21"/>
        </w:rPr>
        <w:t>香港特区政府机电工程署</w:t>
      </w:r>
    </w:p>
    <w:p w14:paraId="2B44BEB7">
      <w:pPr>
        <w:adjustRightInd w:val="0"/>
        <w:snapToGrid w:val="0"/>
        <w:spacing w:before="93" w:beforeLines="30" w:after="93" w:afterLines="30" w:line="300" w:lineRule="auto"/>
        <w:ind w:firstLine="2100" w:firstLineChars="1000"/>
        <w:rPr>
          <w:rFonts w:hint="eastAsia" w:ascii="宋体" w:hAnsi="宋体" w:cs="宋体"/>
          <w:szCs w:val="21"/>
        </w:rPr>
      </w:pPr>
      <w:r>
        <w:rPr>
          <w:rFonts w:hint="eastAsia" w:ascii="宋体" w:hAnsi="宋体" w:cs="宋体"/>
          <w:szCs w:val="21"/>
        </w:rPr>
        <w:t>澳门大学</w:t>
      </w:r>
    </w:p>
    <w:p w14:paraId="450D9EB0">
      <w:pPr>
        <w:adjustRightInd w:val="0"/>
        <w:snapToGrid w:val="0"/>
        <w:spacing w:before="93" w:beforeLines="30" w:after="93" w:afterLines="30" w:line="300" w:lineRule="auto"/>
        <w:ind w:firstLine="2100" w:firstLineChars="1000"/>
        <w:rPr>
          <w:rFonts w:hint="eastAsia" w:ascii="宋体" w:hAnsi="宋体" w:cs="宋体"/>
          <w:szCs w:val="21"/>
        </w:rPr>
      </w:pPr>
      <w:r>
        <w:rPr>
          <w:rFonts w:hint="eastAsia" w:ascii="宋体" w:hAnsi="宋体" w:cs="宋体"/>
          <w:szCs w:val="21"/>
          <w:highlight w:val="none"/>
        </w:rPr>
        <w:t>中铁一局集团有限公司</w:t>
      </w:r>
    </w:p>
    <w:p w14:paraId="26FC9110">
      <w:pPr>
        <w:adjustRightInd w:val="0"/>
        <w:snapToGrid w:val="0"/>
        <w:spacing w:before="93" w:beforeLines="30" w:after="93" w:afterLines="30" w:line="300" w:lineRule="auto"/>
        <w:ind w:firstLine="2100" w:firstLineChars="1000"/>
        <w:rPr>
          <w:rFonts w:hint="eastAsia" w:ascii="宋体" w:hAnsi="宋体" w:cs="宋体"/>
          <w:szCs w:val="21"/>
        </w:rPr>
      </w:pPr>
      <w:r>
        <w:rPr>
          <w:rFonts w:hint="eastAsia" w:ascii="宋体" w:hAnsi="宋体" w:cs="宋体"/>
          <w:szCs w:val="21"/>
        </w:rPr>
        <w:t>广东省建筑设计研究院集团股份有限公司</w:t>
      </w:r>
    </w:p>
    <w:p w14:paraId="1561C7F9">
      <w:pPr>
        <w:adjustRightInd w:val="0"/>
        <w:snapToGrid w:val="0"/>
        <w:spacing w:before="0" w:beforeLines="0" w:after="0" w:afterLines="0" w:line="300" w:lineRule="auto"/>
        <w:ind w:left="2089" w:leftChars="195" w:hanging="1680" w:hangingChars="800"/>
        <w:jc w:val="left"/>
        <w:rPr>
          <w:rFonts w:hint="eastAsia" w:ascii="宋体" w:hAnsi="宋体" w:cs="宋体"/>
          <w:szCs w:val="21"/>
          <w:highlight w:val="none"/>
          <w:lang w:val="en-US" w:eastAsia="zh-CN"/>
        </w:rPr>
      </w:pPr>
      <w:r>
        <w:rPr>
          <w:rFonts w:ascii="宋体" w:hAnsi="宋体" w:cs="宋体"/>
          <w:szCs w:val="21"/>
          <w:highlight w:val="none"/>
        </w:rPr>
        <w:t>本标准主要起草人员：</w:t>
      </w:r>
      <w:r>
        <w:rPr>
          <w:rFonts w:hint="eastAsia" w:ascii="宋体" w:hAnsi="宋体" w:cs="宋体"/>
          <w:szCs w:val="21"/>
          <w:highlight w:val="none"/>
        </w:rPr>
        <w:t>杨仕超</w:t>
      </w:r>
      <w:r>
        <w:rPr>
          <w:rFonts w:hint="eastAsia" w:ascii="宋体" w:hAnsi="宋体" w:cs="宋体"/>
          <w:szCs w:val="21"/>
          <w:highlight w:val="none"/>
          <w:lang w:val="en-US" w:eastAsia="zh-CN"/>
        </w:rPr>
        <w:t xml:space="preserve">  </w:t>
      </w:r>
      <w:r>
        <w:rPr>
          <w:rFonts w:hint="eastAsia" w:ascii="宋体" w:hAnsi="宋体" w:cs="宋体"/>
          <w:szCs w:val="21"/>
          <w:highlight w:val="none"/>
        </w:rPr>
        <w:t>王丽娟</w:t>
      </w:r>
      <w:r>
        <w:rPr>
          <w:rFonts w:hint="eastAsia" w:ascii="宋体" w:hAnsi="宋体" w:cs="宋体"/>
          <w:szCs w:val="21"/>
          <w:highlight w:val="none"/>
          <w:lang w:val="en-US" w:eastAsia="zh-CN"/>
        </w:rPr>
        <w:t xml:space="preserve">  </w:t>
      </w:r>
      <w:r>
        <w:rPr>
          <w:rFonts w:hint="eastAsia" w:ascii="宋体" w:hAnsi="宋体" w:cs="宋体"/>
          <w:szCs w:val="21"/>
          <w:highlight w:val="none"/>
        </w:rPr>
        <w:t>舒</w:t>
      </w:r>
      <w:r>
        <w:rPr>
          <w:rFonts w:hint="eastAsia" w:ascii="宋体" w:hAnsi="宋体" w:cs="宋体"/>
          <w:szCs w:val="21"/>
          <w:highlight w:val="none"/>
          <w:lang w:val="en-US" w:eastAsia="zh-CN"/>
        </w:rPr>
        <w:t xml:space="preserve">  </w:t>
      </w:r>
      <w:r>
        <w:rPr>
          <w:rFonts w:hint="eastAsia" w:ascii="宋体" w:hAnsi="宋体" w:cs="宋体"/>
          <w:szCs w:val="21"/>
          <w:highlight w:val="none"/>
        </w:rPr>
        <w:t>杰</w:t>
      </w:r>
      <w:r>
        <w:rPr>
          <w:rFonts w:hint="eastAsia" w:ascii="宋体" w:hAnsi="宋体" w:cs="宋体"/>
          <w:szCs w:val="21"/>
          <w:highlight w:val="none"/>
          <w:lang w:val="en-US" w:eastAsia="zh-CN"/>
        </w:rPr>
        <w:t xml:space="preserve">  </w:t>
      </w:r>
      <w:r>
        <w:rPr>
          <w:rFonts w:hint="eastAsia" w:ascii="宋体" w:hAnsi="宋体" w:cs="宋体"/>
          <w:szCs w:val="21"/>
          <w:highlight w:val="none"/>
        </w:rPr>
        <w:t>梁振升</w:t>
      </w:r>
      <w:r>
        <w:rPr>
          <w:rFonts w:hint="eastAsia" w:ascii="宋体" w:hAnsi="宋体" w:cs="宋体"/>
          <w:szCs w:val="21"/>
          <w:highlight w:val="none"/>
          <w:lang w:val="en-US" w:eastAsia="zh-CN"/>
        </w:rPr>
        <w:t xml:space="preserve">  </w:t>
      </w:r>
      <w:r>
        <w:rPr>
          <w:rFonts w:hint="eastAsia" w:ascii="宋体" w:hAnsi="宋体" w:cs="宋体"/>
          <w:szCs w:val="21"/>
          <w:highlight w:val="none"/>
        </w:rPr>
        <w:t>马</w:t>
      </w:r>
      <w:r>
        <w:rPr>
          <w:rFonts w:hint="eastAsia" w:ascii="宋体" w:hAnsi="宋体" w:cs="宋体"/>
          <w:szCs w:val="21"/>
          <w:highlight w:val="none"/>
          <w:lang w:val="en-US" w:eastAsia="zh-CN"/>
        </w:rPr>
        <w:t xml:space="preserve">  </w:t>
      </w:r>
      <w:r>
        <w:rPr>
          <w:rFonts w:hint="eastAsia" w:ascii="宋体" w:hAnsi="宋体" w:cs="宋体"/>
          <w:szCs w:val="21"/>
          <w:highlight w:val="none"/>
        </w:rPr>
        <w:t>扬</w:t>
      </w:r>
      <w:r>
        <w:rPr>
          <w:rFonts w:hint="eastAsia" w:ascii="宋体" w:hAnsi="宋体" w:cs="宋体"/>
          <w:szCs w:val="21"/>
          <w:highlight w:val="none"/>
          <w:lang w:val="en-US" w:eastAsia="zh-CN"/>
        </w:rPr>
        <w:t xml:space="preserve">  </w:t>
      </w:r>
      <w:r>
        <w:rPr>
          <w:rFonts w:hint="eastAsia" w:ascii="宋体" w:hAnsi="宋体" w:cs="宋体"/>
          <w:szCs w:val="21"/>
          <w:highlight w:val="none"/>
        </w:rPr>
        <w:t>单</w:t>
      </w:r>
      <w:r>
        <w:rPr>
          <w:rFonts w:hint="eastAsia" w:ascii="宋体" w:hAnsi="宋体" w:cs="宋体"/>
          <w:szCs w:val="21"/>
          <w:highlight w:val="none"/>
          <w:lang w:val="en-US" w:eastAsia="zh-CN"/>
        </w:rPr>
        <w:t xml:space="preserve">  </w:t>
      </w:r>
      <w:r>
        <w:rPr>
          <w:rFonts w:hint="eastAsia" w:ascii="宋体" w:hAnsi="宋体" w:cs="宋体"/>
          <w:szCs w:val="21"/>
          <w:highlight w:val="none"/>
        </w:rPr>
        <w:t>良</w:t>
      </w:r>
      <w:r>
        <w:rPr>
          <w:rFonts w:hint="eastAsia" w:ascii="宋体" w:hAnsi="宋体" w:cs="宋体"/>
          <w:szCs w:val="21"/>
          <w:highlight w:val="none"/>
          <w:lang w:val="en-US" w:eastAsia="zh-CN"/>
        </w:rPr>
        <w:t xml:space="preserve">  </w:t>
      </w:r>
      <w:r>
        <w:rPr>
          <w:rFonts w:hint="eastAsia" w:ascii="宋体" w:hAnsi="宋体" w:cs="宋体"/>
          <w:szCs w:val="21"/>
          <w:highlight w:val="none"/>
        </w:rPr>
        <w:t>岳菁鹏</w:t>
      </w:r>
      <w:r>
        <w:rPr>
          <w:rFonts w:hint="eastAsia" w:ascii="宋体" w:hAnsi="宋体" w:cs="宋体"/>
          <w:szCs w:val="21"/>
          <w:highlight w:val="none"/>
          <w:lang w:val="en-US" w:eastAsia="zh-CN"/>
        </w:rPr>
        <w:t xml:space="preserve">  </w:t>
      </w:r>
    </w:p>
    <w:p w14:paraId="49A25032">
      <w:pPr>
        <w:adjustRightInd w:val="0"/>
        <w:snapToGrid w:val="0"/>
        <w:spacing w:before="0" w:beforeLines="0" w:after="0" w:afterLines="0" w:line="300" w:lineRule="auto"/>
        <w:ind w:left="0" w:leftChars="0" w:firstLine="2520" w:firstLineChars="1200"/>
        <w:jc w:val="left"/>
        <w:rPr>
          <w:rFonts w:hint="eastAsia" w:ascii="宋体" w:hAnsi="宋体" w:cs="宋体"/>
          <w:szCs w:val="21"/>
          <w:highlight w:val="none"/>
          <w:lang w:val="en-US" w:eastAsia="zh-CN"/>
        </w:rPr>
      </w:pPr>
      <w:r>
        <w:rPr>
          <w:rFonts w:hint="eastAsia" w:ascii="宋体" w:hAnsi="宋体" w:cs="宋体"/>
          <w:szCs w:val="21"/>
          <w:highlight w:val="none"/>
        </w:rPr>
        <w:t>李</w:t>
      </w:r>
      <w:r>
        <w:rPr>
          <w:rFonts w:hint="eastAsia" w:ascii="宋体" w:hAnsi="宋体" w:cs="宋体"/>
          <w:szCs w:val="21"/>
          <w:highlight w:val="none"/>
          <w:lang w:val="en-US" w:eastAsia="zh-CN"/>
        </w:rPr>
        <w:t xml:space="preserve">  </w:t>
      </w:r>
      <w:r>
        <w:rPr>
          <w:rFonts w:hint="eastAsia" w:ascii="宋体" w:hAnsi="宋体" w:cs="宋体"/>
          <w:szCs w:val="21"/>
          <w:highlight w:val="none"/>
        </w:rPr>
        <w:t>仲</w:t>
      </w:r>
      <w:r>
        <w:rPr>
          <w:rFonts w:hint="eastAsia" w:ascii="宋体" w:hAnsi="宋体" w:cs="宋体"/>
          <w:szCs w:val="21"/>
          <w:highlight w:val="none"/>
          <w:lang w:val="en-US" w:eastAsia="zh-CN"/>
        </w:rPr>
        <w:t xml:space="preserve">  </w:t>
      </w:r>
      <w:r>
        <w:rPr>
          <w:rFonts w:hint="eastAsia" w:ascii="宋体" w:hAnsi="宋体" w:cs="宋体"/>
          <w:szCs w:val="21"/>
          <w:highlight w:val="none"/>
        </w:rPr>
        <w:t>汤景林</w:t>
      </w:r>
      <w:r>
        <w:rPr>
          <w:rFonts w:hint="eastAsia" w:ascii="宋体" w:hAnsi="宋体" w:cs="宋体"/>
          <w:szCs w:val="21"/>
          <w:highlight w:val="none"/>
          <w:lang w:val="en-US" w:eastAsia="zh-CN"/>
        </w:rPr>
        <w:t xml:space="preserve">  </w:t>
      </w:r>
      <w:r>
        <w:rPr>
          <w:rFonts w:hint="eastAsia" w:ascii="宋体" w:hAnsi="宋体" w:cs="宋体"/>
          <w:szCs w:val="21"/>
          <w:highlight w:val="none"/>
        </w:rPr>
        <w:t>赵子玲</w:t>
      </w:r>
      <w:r>
        <w:rPr>
          <w:rFonts w:hint="eastAsia" w:ascii="宋体" w:hAnsi="宋体" w:cs="宋体"/>
          <w:szCs w:val="21"/>
          <w:highlight w:val="none"/>
          <w:lang w:val="en-US" w:eastAsia="zh-CN"/>
        </w:rPr>
        <w:t xml:space="preserve">  </w:t>
      </w:r>
      <w:r>
        <w:rPr>
          <w:rFonts w:hint="eastAsia" w:ascii="宋体" w:hAnsi="宋体" w:cs="宋体"/>
          <w:szCs w:val="21"/>
          <w:highlight w:val="none"/>
        </w:rPr>
        <w:t>李</w:t>
      </w:r>
      <w:r>
        <w:rPr>
          <w:rFonts w:hint="eastAsia" w:ascii="宋体" w:hAnsi="宋体" w:cs="宋体"/>
          <w:szCs w:val="21"/>
          <w:highlight w:val="none"/>
          <w:lang w:val="en-US" w:eastAsia="zh-CN"/>
        </w:rPr>
        <w:t xml:space="preserve">  </w:t>
      </w:r>
      <w:r>
        <w:rPr>
          <w:rFonts w:hint="eastAsia" w:ascii="宋体" w:hAnsi="宋体" w:cs="宋体"/>
          <w:szCs w:val="21"/>
          <w:highlight w:val="none"/>
        </w:rPr>
        <w:t>巧</w:t>
      </w:r>
      <w:r>
        <w:rPr>
          <w:rFonts w:hint="eastAsia" w:ascii="宋体" w:hAnsi="宋体" w:cs="宋体"/>
          <w:szCs w:val="21"/>
          <w:highlight w:val="none"/>
          <w:lang w:val="en-US" w:eastAsia="zh-CN"/>
        </w:rPr>
        <w:t xml:space="preserve">  </w:t>
      </w:r>
      <w:r>
        <w:rPr>
          <w:rFonts w:hint="eastAsia" w:ascii="宋体" w:hAnsi="宋体" w:cs="宋体"/>
          <w:szCs w:val="21"/>
          <w:highlight w:val="none"/>
        </w:rPr>
        <w:t>廖卓颖</w:t>
      </w:r>
      <w:r>
        <w:rPr>
          <w:rFonts w:hint="eastAsia" w:ascii="宋体" w:hAnsi="宋体" w:cs="宋体"/>
          <w:szCs w:val="21"/>
          <w:highlight w:val="none"/>
          <w:lang w:val="en-US" w:eastAsia="zh-CN"/>
        </w:rPr>
        <w:t xml:space="preserve">  </w:t>
      </w:r>
      <w:r>
        <w:rPr>
          <w:rFonts w:hint="eastAsia" w:ascii="宋体" w:hAnsi="宋体" w:cs="宋体"/>
          <w:szCs w:val="21"/>
          <w:highlight w:val="none"/>
        </w:rPr>
        <w:t>刘思思</w:t>
      </w:r>
      <w:r>
        <w:rPr>
          <w:rFonts w:hint="eastAsia" w:ascii="宋体" w:hAnsi="宋体" w:cs="宋体"/>
          <w:szCs w:val="21"/>
          <w:highlight w:val="none"/>
          <w:lang w:val="en-US" w:eastAsia="zh-CN"/>
        </w:rPr>
        <w:t xml:space="preserve">  </w:t>
      </w:r>
      <w:r>
        <w:rPr>
          <w:rFonts w:hint="eastAsia" w:ascii="宋体" w:hAnsi="宋体" w:cs="宋体"/>
          <w:szCs w:val="21"/>
          <w:highlight w:val="none"/>
        </w:rPr>
        <w:t>容七英</w:t>
      </w:r>
      <w:r>
        <w:rPr>
          <w:rFonts w:hint="eastAsia" w:ascii="宋体" w:hAnsi="宋体" w:cs="宋体"/>
          <w:szCs w:val="21"/>
          <w:highlight w:val="none"/>
          <w:lang w:val="en-US" w:eastAsia="zh-CN"/>
        </w:rPr>
        <w:t xml:space="preserve">  </w:t>
      </w:r>
    </w:p>
    <w:p w14:paraId="5F587E71">
      <w:pPr>
        <w:adjustRightInd w:val="0"/>
        <w:snapToGrid w:val="0"/>
        <w:spacing w:before="0" w:beforeLines="0" w:after="0" w:afterLines="0" w:line="300" w:lineRule="auto"/>
        <w:ind w:left="0" w:firstLine="2520" w:firstLineChars="1200"/>
        <w:jc w:val="left"/>
        <w:rPr>
          <w:rFonts w:hint="eastAsia" w:ascii="宋体" w:hAnsi="宋体" w:cs="宋体"/>
          <w:szCs w:val="21"/>
          <w:highlight w:val="none"/>
          <w:lang w:val="en-US" w:eastAsia="zh-CN"/>
        </w:rPr>
      </w:pPr>
      <w:r>
        <w:rPr>
          <w:rFonts w:hint="eastAsia" w:ascii="宋体" w:hAnsi="宋体" w:cs="宋体"/>
          <w:szCs w:val="21"/>
          <w:highlight w:val="none"/>
        </w:rPr>
        <w:t>罗</w:t>
      </w:r>
      <w:r>
        <w:rPr>
          <w:rFonts w:hint="eastAsia" w:ascii="宋体" w:hAnsi="宋体" w:cs="宋体"/>
          <w:szCs w:val="21"/>
          <w:highlight w:val="none"/>
          <w:lang w:val="en-US" w:eastAsia="zh-CN"/>
        </w:rPr>
        <w:t xml:space="preserve">  </w:t>
      </w:r>
      <w:r>
        <w:rPr>
          <w:rFonts w:hint="eastAsia" w:ascii="宋体" w:hAnsi="宋体" w:cs="宋体"/>
          <w:szCs w:val="21"/>
          <w:highlight w:val="none"/>
        </w:rPr>
        <w:t>多</w:t>
      </w:r>
      <w:r>
        <w:rPr>
          <w:rFonts w:hint="eastAsia" w:ascii="宋体" w:hAnsi="宋体" w:cs="宋体"/>
          <w:szCs w:val="21"/>
          <w:highlight w:val="none"/>
          <w:lang w:val="en-US" w:eastAsia="zh-CN"/>
        </w:rPr>
        <w:t xml:space="preserve">  </w:t>
      </w:r>
      <w:r>
        <w:rPr>
          <w:rFonts w:hint="eastAsia" w:ascii="宋体" w:hAnsi="宋体" w:cs="宋体"/>
          <w:szCs w:val="21"/>
          <w:highlight w:val="none"/>
        </w:rPr>
        <w:t>黄建潭</w:t>
      </w:r>
      <w:r>
        <w:rPr>
          <w:rFonts w:hint="eastAsia" w:ascii="宋体" w:hAnsi="宋体" w:cs="宋体"/>
          <w:szCs w:val="21"/>
          <w:highlight w:val="none"/>
          <w:lang w:val="en-US" w:eastAsia="zh-CN"/>
        </w:rPr>
        <w:t xml:space="preserve">  </w:t>
      </w:r>
      <w:r>
        <w:rPr>
          <w:rFonts w:hint="eastAsia" w:ascii="宋体" w:hAnsi="宋体" w:cs="宋体"/>
          <w:szCs w:val="21"/>
          <w:highlight w:val="none"/>
        </w:rPr>
        <w:t>惠红勋</w:t>
      </w:r>
      <w:r>
        <w:rPr>
          <w:rFonts w:hint="eastAsia" w:ascii="宋体" w:hAnsi="宋体" w:cs="宋体"/>
          <w:szCs w:val="21"/>
          <w:highlight w:val="none"/>
          <w:lang w:val="en-US" w:eastAsia="zh-CN"/>
        </w:rPr>
        <w:t xml:space="preserve">  </w:t>
      </w:r>
      <w:r>
        <w:rPr>
          <w:rFonts w:hint="eastAsia" w:ascii="宋体" w:hAnsi="宋体" w:cs="宋体"/>
          <w:szCs w:val="21"/>
          <w:highlight w:val="none"/>
        </w:rPr>
        <w:t>肖金水</w:t>
      </w:r>
      <w:r>
        <w:rPr>
          <w:rFonts w:hint="eastAsia" w:ascii="宋体" w:hAnsi="宋体" w:cs="宋体"/>
          <w:szCs w:val="21"/>
          <w:highlight w:val="none"/>
          <w:lang w:val="en-US" w:eastAsia="zh-CN"/>
        </w:rPr>
        <w:t xml:space="preserve">  </w:t>
      </w:r>
      <w:r>
        <w:rPr>
          <w:rFonts w:hint="eastAsia" w:ascii="宋体" w:hAnsi="宋体" w:cs="宋体"/>
          <w:szCs w:val="21"/>
          <w:highlight w:val="none"/>
        </w:rPr>
        <w:t>仇建磊</w:t>
      </w:r>
      <w:r>
        <w:rPr>
          <w:rFonts w:hint="eastAsia" w:ascii="宋体" w:hAnsi="宋体" w:cs="宋体"/>
          <w:szCs w:val="21"/>
          <w:highlight w:val="none"/>
          <w:lang w:val="en-US" w:eastAsia="zh-CN"/>
        </w:rPr>
        <w:t xml:space="preserve">  </w:t>
      </w:r>
      <w:r>
        <w:rPr>
          <w:rFonts w:hint="eastAsia" w:ascii="宋体" w:hAnsi="宋体" w:cs="宋体"/>
          <w:szCs w:val="21"/>
          <w:highlight w:val="none"/>
        </w:rPr>
        <w:t>周剑君</w:t>
      </w:r>
      <w:r>
        <w:rPr>
          <w:rFonts w:hint="eastAsia" w:ascii="宋体" w:hAnsi="宋体" w:cs="宋体"/>
          <w:szCs w:val="21"/>
          <w:highlight w:val="none"/>
          <w:lang w:val="en-US" w:eastAsia="zh-CN"/>
        </w:rPr>
        <w:t xml:space="preserve">  </w:t>
      </w:r>
      <w:r>
        <w:rPr>
          <w:rFonts w:hint="eastAsia" w:ascii="宋体" w:hAnsi="宋体" w:cs="宋体"/>
          <w:szCs w:val="21"/>
          <w:highlight w:val="none"/>
        </w:rPr>
        <w:t>蔡秋婉</w:t>
      </w:r>
      <w:r>
        <w:rPr>
          <w:rFonts w:hint="eastAsia" w:ascii="宋体" w:hAnsi="宋体" w:cs="宋体"/>
          <w:szCs w:val="21"/>
          <w:highlight w:val="none"/>
          <w:lang w:val="en-US" w:eastAsia="zh-CN"/>
        </w:rPr>
        <w:t xml:space="preserve">  </w:t>
      </w:r>
    </w:p>
    <w:p w14:paraId="4328B627">
      <w:pPr>
        <w:adjustRightInd w:val="0"/>
        <w:snapToGrid w:val="0"/>
        <w:spacing w:before="0" w:beforeLines="0" w:after="0" w:afterLines="0" w:line="300" w:lineRule="auto"/>
        <w:ind w:left="0" w:firstLine="2520" w:firstLineChars="1200"/>
        <w:jc w:val="left"/>
        <w:rPr>
          <w:rFonts w:hint="eastAsia" w:ascii="宋体" w:hAnsi="宋体" w:cs="宋体"/>
          <w:szCs w:val="21"/>
          <w:highlight w:val="none"/>
          <w:lang w:val="en-US" w:eastAsia="zh-CN"/>
        </w:rPr>
      </w:pPr>
      <w:r>
        <w:rPr>
          <w:rFonts w:hint="eastAsia" w:ascii="宋体" w:hAnsi="宋体" w:cs="宋体"/>
          <w:szCs w:val="21"/>
          <w:highlight w:val="none"/>
        </w:rPr>
        <w:t>吴瑜灵</w:t>
      </w:r>
      <w:r>
        <w:rPr>
          <w:rFonts w:hint="eastAsia" w:ascii="宋体" w:hAnsi="宋体" w:cs="宋体"/>
          <w:szCs w:val="21"/>
          <w:highlight w:val="none"/>
          <w:lang w:val="en-US" w:eastAsia="zh-CN"/>
        </w:rPr>
        <w:t xml:space="preserve">  </w:t>
      </w:r>
      <w:r>
        <w:rPr>
          <w:rFonts w:hint="eastAsia" w:ascii="宋体" w:hAnsi="宋体" w:cs="宋体"/>
          <w:szCs w:val="21"/>
          <w:highlight w:val="none"/>
        </w:rPr>
        <w:t>张小良</w:t>
      </w:r>
      <w:r>
        <w:rPr>
          <w:rFonts w:hint="eastAsia" w:ascii="宋体" w:hAnsi="宋体" w:cs="宋体"/>
          <w:szCs w:val="21"/>
          <w:highlight w:val="none"/>
          <w:lang w:val="en-US" w:eastAsia="zh-CN"/>
        </w:rPr>
        <w:t xml:space="preserve">  </w:t>
      </w:r>
      <w:r>
        <w:rPr>
          <w:rFonts w:hint="eastAsia" w:ascii="宋体" w:hAnsi="宋体" w:cs="宋体"/>
          <w:szCs w:val="21"/>
          <w:highlight w:val="none"/>
        </w:rPr>
        <w:t>杜红波</w:t>
      </w:r>
      <w:r>
        <w:rPr>
          <w:rFonts w:hint="eastAsia" w:ascii="宋体" w:hAnsi="宋体" w:cs="宋体"/>
          <w:szCs w:val="21"/>
          <w:highlight w:val="none"/>
          <w:lang w:val="en-US" w:eastAsia="zh-CN"/>
        </w:rPr>
        <w:t xml:space="preserve">  </w:t>
      </w:r>
      <w:r>
        <w:rPr>
          <w:rFonts w:hint="eastAsia" w:ascii="宋体" w:hAnsi="宋体" w:cs="宋体"/>
          <w:szCs w:val="21"/>
          <w:highlight w:val="none"/>
        </w:rPr>
        <w:t>刘</w:t>
      </w:r>
      <w:r>
        <w:rPr>
          <w:rFonts w:hint="eastAsia" w:ascii="宋体" w:hAnsi="宋体" w:cs="宋体"/>
          <w:szCs w:val="21"/>
          <w:highlight w:val="none"/>
          <w:lang w:val="en-US" w:eastAsia="zh-CN"/>
        </w:rPr>
        <w:t xml:space="preserve">  </w:t>
      </w:r>
      <w:r>
        <w:rPr>
          <w:rFonts w:hint="eastAsia" w:ascii="宋体" w:hAnsi="宋体" w:cs="宋体"/>
          <w:szCs w:val="21"/>
          <w:highlight w:val="none"/>
        </w:rPr>
        <w:t>鹏</w:t>
      </w:r>
      <w:r>
        <w:rPr>
          <w:rFonts w:hint="eastAsia" w:ascii="宋体" w:hAnsi="宋体" w:cs="宋体"/>
          <w:szCs w:val="21"/>
          <w:highlight w:val="none"/>
          <w:lang w:val="en-US" w:eastAsia="zh-CN"/>
        </w:rPr>
        <w:t xml:space="preserve">  </w:t>
      </w:r>
      <w:r>
        <w:rPr>
          <w:rFonts w:hint="eastAsia" w:ascii="宋体" w:hAnsi="宋体" w:cs="宋体"/>
          <w:szCs w:val="21"/>
          <w:highlight w:val="none"/>
        </w:rPr>
        <w:t>娄</w:t>
      </w:r>
      <w:r>
        <w:rPr>
          <w:rFonts w:hint="eastAsia" w:ascii="宋体" w:hAnsi="宋体" w:cs="宋体"/>
          <w:szCs w:val="21"/>
          <w:highlight w:val="none"/>
          <w:lang w:val="en-US" w:eastAsia="zh-CN"/>
        </w:rPr>
        <w:t xml:space="preserve">  </w:t>
      </w:r>
      <w:r>
        <w:rPr>
          <w:rFonts w:hint="eastAsia" w:ascii="宋体" w:hAnsi="宋体" w:cs="宋体"/>
          <w:szCs w:val="21"/>
          <w:highlight w:val="none"/>
        </w:rPr>
        <w:t>晶</w:t>
      </w:r>
      <w:r>
        <w:rPr>
          <w:rFonts w:hint="eastAsia" w:ascii="宋体" w:hAnsi="宋体" w:cs="宋体"/>
          <w:szCs w:val="21"/>
          <w:highlight w:val="none"/>
          <w:lang w:val="en-US" w:eastAsia="zh-CN"/>
        </w:rPr>
        <w:t xml:space="preserve">  </w:t>
      </w:r>
      <w:r>
        <w:rPr>
          <w:rFonts w:hint="eastAsia" w:ascii="宋体" w:hAnsi="宋体" w:cs="宋体"/>
          <w:szCs w:val="21"/>
          <w:highlight w:val="none"/>
        </w:rPr>
        <w:t>杨</w:t>
      </w:r>
      <w:r>
        <w:rPr>
          <w:rFonts w:hint="eastAsia" w:ascii="宋体" w:hAnsi="宋体" w:cs="宋体"/>
          <w:szCs w:val="21"/>
          <w:highlight w:val="none"/>
          <w:lang w:val="en-US" w:eastAsia="zh-CN"/>
        </w:rPr>
        <w:t xml:space="preserve">  </w:t>
      </w:r>
      <w:r>
        <w:rPr>
          <w:rFonts w:hint="eastAsia" w:ascii="宋体" w:hAnsi="宋体" w:cs="宋体"/>
          <w:szCs w:val="21"/>
          <w:highlight w:val="none"/>
        </w:rPr>
        <w:t>跃</w:t>
      </w:r>
      <w:r>
        <w:rPr>
          <w:rFonts w:hint="eastAsia" w:ascii="宋体" w:hAnsi="宋体" w:cs="宋体"/>
          <w:szCs w:val="21"/>
          <w:highlight w:val="none"/>
          <w:lang w:val="en-US" w:eastAsia="zh-CN"/>
        </w:rPr>
        <w:t xml:space="preserve">  </w:t>
      </w:r>
      <w:r>
        <w:rPr>
          <w:rFonts w:hint="eastAsia" w:ascii="宋体" w:hAnsi="宋体" w:cs="宋体"/>
          <w:szCs w:val="21"/>
          <w:highlight w:val="none"/>
        </w:rPr>
        <w:t>蔡春燕</w:t>
      </w:r>
      <w:r>
        <w:rPr>
          <w:rFonts w:hint="eastAsia" w:ascii="宋体" w:hAnsi="宋体" w:cs="宋体"/>
          <w:szCs w:val="21"/>
          <w:highlight w:val="none"/>
          <w:lang w:val="en-US" w:eastAsia="zh-CN"/>
        </w:rPr>
        <w:t xml:space="preserve">  </w:t>
      </w:r>
    </w:p>
    <w:p w14:paraId="5ABB0EBB">
      <w:pPr>
        <w:adjustRightInd w:val="0"/>
        <w:snapToGrid w:val="0"/>
        <w:spacing w:before="0" w:beforeLines="0" w:after="0" w:afterLines="0" w:line="300" w:lineRule="auto"/>
        <w:ind w:left="0" w:firstLine="2520" w:firstLineChars="1200"/>
        <w:jc w:val="left"/>
        <w:rPr>
          <w:rFonts w:hint="eastAsia" w:ascii="宋体" w:hAnsi="宋体" w:cs="宋体"/>
          <w:szCs w:val="21"/>
          <w:highlight w:val="none"/>
        </w:rPr>
      </w:pPr>
      <w:r>
        <w:rPr>
          <w:rFonts w:hint="eastAsia" w:ascii="宋体" w:hAnsi="宋体" w:cs="宋体"/>
          <w:szCs w:val="21"/>
          <w:highlight w:val="none"/>
        </w:rPr>
        <w:t>邓</w:t>
      </w:r>
      <w:r>
        <w:rPr>
          <w:rFonts w:hint="eastAsia" w:ascii="宋体" w:hAnsi="宋体" w:cs="宋体"/>
          <w:szCs w:val="21"/>
          <w:highlight w:val="none"/>
          <w:lang w:val="en-US" w:eastAsia="zh-CN"/>
        </w:rPr>
        <w:t xml:space="preserve">  </w:t>
      </w:r>
      <w:r>
        <w:rPr>
          <w:rFonts w:hint="eastAsia" w:ascii="宋体" w:hAnsi="宋体" w:cs="宋体"/>
          <w:szCs w:val="21"/>
          <w:highlight w:val="none"/>
        </w:rPr>
        <w:t>鑫</w:t>
      </w:r>
      <w:r>
        <w:rPr>
          <w:rFonts w:hint="eastAsia" w:ascii="宋体" w:hAnsi="宋体" w:cs="宋体"/>
          <w:szCs w:val="21"/>
          <w:highlight w:val="none"/>
          <w:lang w:val="en-US" w:eastAsia="zh-CN"/>
        </w:rPr>
        <w:t xml:space="preserve">     </w:t>
      </w:r>
    </w:p>
    <w:p w14:paraId="692EA2C9">
      <w:pPr>
        <w:adjustRightInd w:val="0"/>
        <w:snapToGrid w:val="0"/>
        <w:spacing w:before="93" w:beforeLines="30" w:after="93" w:afterLines="30" w:line="300" w:lineRule="auto"/>
        <w:ind w:firstLine="420" w:firstLineChars="200"/>
        <w:rPr>
          <w:rFonts w:hint="eastAsia" w:ascii="宋体" w:hAnsi="宋体" w:cs="宋体"/>
          <w:szCs w:val="21"/>
        </w:rPr>
      </w:pPr>
      <w:r>
        <w:rPr>
          <w:rFonts w:ascii="宋体" w:hAnsi="宋体" w:cs="宋体"/>
          <w:szCs w:val="21"/>
        </w:rPr>
        <w:t>本标准主要审查人员：</w:t>
      </w:r>
    </w:p>
    <w:p w14:paraId="4CFEC2F7">
      <w:pPr>
        <w:pStyle w:val="3"/>
        <w:jc w:val="both"/>
        <w:sectPr>
          <w:footerReference r:id="rId9" w:type="first"/>
          <w:footerReference r:id="rId8" w:type="default"/>
          <w:pgSz w:w="11906" w:h="16838"/>
          <w:pgMar w:top="1440" w:right="1588" w:bottom="1440" w:left="1588" w:header="851" w:footer="992" w:gutter="0"/>
          <w:pgNumType w:start="1"/>
          <w:cols w:space="720" w:num="1"/>
          <w:docGrid w:type="lines" w:linePitch="312" w:charSpace="0"/>
        </w:sectPr>
      </w:pPr>
    </w:p>
    <w:sdt>
      <w:sdtPr>
        <w:rPr>
          <w:rFonts w:ascii="Times New Roman" w:hAnsi="Times New Roman" w:eastAsia="宋体" w:cs="Times New Roman"/>
          <w:b/>
          <w:bCs/>
          <w:kern w:val="2"/>
          <w:sz w:val="28"/>
          <w:szCs w:val="21"/>
          <w:lang w:val="zh-CN"/>
        </w:rPr>
        <w:id w:val="-1824272120"/>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14:paraId="290C6C1A">
          <w:pPr>
            <w:pStyle w:val="2"/>
            <w:snapToGrid w:val="0"/>
            <w:rPr>
              <w:rFonts w:hint="eastAsia" w:ascii="Times New Roman" w:hAnsi="Times New Roman" w:eastAsia="宋体" w:cs="Times New Roman"/>
              <w:b/>
              <w:bCs/>
              <w:sz w:val="28"/>
              <w:szCs w:val="21"/>
              <w:lang w:val="zh-CN"/>
            </w:rPr>
          </w:pPr>
          <w:r>
            <w:rPr>
              <w:rFonts w:hint="eastAsia" w:ascii="Times New Roman" w:hAnsi="Times New Roman" w:eastAsia="宋体" w:cs="Times New Roman"/>
              <w:b/>
              <w:bCs/>
              <w:kern w:val="2"/>
              <w:sz w:val="28"/>
              <w:szCs w:val="21"/>
              <w:lang w:val="en-US" w:eastAsia="zh-CN"/>
            </w:rPr>
            <w:t xml:space="preserve">                           </w:t>
          </w:r>
          <w:r>
            <w:rPr>
              <w:rFonts w:ascii="Times New Roman" w:hAnsi="Times New Roman" w:eastAsia="宋体" w:cs="Times New Roman"/>
              <w:b/>
              <w:bCs/>
              <w:sz w:val="28"/>
              <w:szCs w:val="21"/>
              <w:lang w:val="zh-CN"/>
            </w:rPr>
            <w:t>目</w:t>
          </w:r>
          <w:r>
            <w:rPr>
              <w:rFonts w:hint="eastAsia" w:ascii="Times New Roman" w:hAnsi="Times New Roman" w:eastAsia="宋体" w:cs="Times New Roman"/>
              <w:b/>
              <w:bCs/>
              <w:sz w:val="28"/>
              <w:szCs w:val="21"/>
              <w:lang w:val="en-US" w:eastAsia="zh-CN"/>
            </w:rPr>
            <w:t xml:space="preserve">  </w:t>
          </w:r>
          <w:r>
            <w:rPr>
              <w:rFonts w:hint="eastAsia" w:ascii="Times New Roman" w:hAnsi="Times New Roman" w:eastAsia="宋体" w:cs="Times New Roman"/>
              <w:b/>
              <w:bCs/>
              <w:sz w:val="28"/>
              <w:szCs w:val="21"/>
              <w:u w:val="dotted"/>
              <w:lang w:val="en-US" w:eastAsia="zh-CN"/>
            </w:rPr>
            <w:t>次</w:t>
          </w:r>
        </w:p>
        <w:p w14:paraId="4FA41EF5">
          <w:pPr>
            <w:pStyle w:val="14"/>
            <w:tabs>
              <w:tab w:val="right" w:leader="dot" w:pos="8306"/>
            </w:tabs>
            <w:rPr>
              <w:rFonts w:hint="default" w:ascii="Times New Roman" w:hAnsi="Times New Roman" w:eastAsia="宋体" w:cs="Times New Roman"/>
              <w:sz w:val="24"/>
            </w:rPr>
          </w:pPr>
          <w:r>
            <w:rPr>
              <w:sz w:val="24"/>
            </w:rPr>
            <w:fldChar w:fldCharType="begin"/>
          </w:r>
          <w:r>
            <w:rPr>
              <w:sz w:val="24"/>
            </w:rPr>
            <w:instrText xml:space="preserve"> TOC \o "1-3" \h \z \u </w:instrText>
          </w:r>
          <w:r>
            <w:rPr>
              <w:sz w:val="24"/>
            </w:rPr>
            <w:fldChar w:fldCharType="separate"/>
          </w: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_Toc18868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1 总则</w:t>
          </w:r>
          <w:r>
            <w:rPr>
              <w:rFonts w:hint="default" w:ascii="Times New Roman" w:hAnsi="Times New Roman" w:eastAsia="宋体" w:cs="Times New Roman"/>
              <w:sz w:val="24"/>
            </w:rPr>
            <w:tab/>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PAGEREF _Toc18868 \h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1</w:t>
          </w:r>
          <w:r>
            <w:rPr>
              <w:rFonts w:hint="default" w:ascii="Times New Roman" w:hAnsi="Times New Roman" w:eastAsia="宋体" w:cs="Times New Roman"/>
              <w:sz w:val="24"/>
            </w:rPr>
            <w:fldChar w:fldCharType="end"/>
          </w:r>
          <w:r>
            <w:rPr>
              <w:rFonts w:hint="default" w:ascii="Times New Roman" w:hAnsi="Times New Roman" w:eastAsia="宋体" w:cs="Times New Roman"/>
              <w:bCs/>
              <w:sz w:val="24"/>
              <w:lang w:val="zh-CN"/>
            </w:rPr>
            <w:fldChar w:fldCharType="end"/>
          </w:r>
        </w:p>
        <w:p w14:paraId="3A6BD40B">
          <w:pPr>
            <w:pStyle w:val="14"/>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_Toc4260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2 术语</w:t>
          </w:r>
          <w:r>
            <w:rPr>
              <w:rFonts w:hint="default" w:ascii="Times New Roman" w:hAnsi="Times New Roman" w:eastAsia="宋体" w:cs="Times New Roman"/>
              <w:sz w:val="24"/>
            </w:rPr>
            <w:tab/>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PAGEREF _Toc4260 \h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2</w:t>
          </w:r>
          <w:r>
            <w:rPr>
              <w:rFonts w:hint="default" w:ascii="Times New Roman" w:hAnsi="Times New Roman" w:eastAsia="宋体" w:cs="Times New Roman"/>
              <w:sz w:val="24"/>
            </w:rPr>
            <w:fldChar w:fldCharType="end"/>
          </w:r>
          <w:r>
            <w:rPr>
              <w:rFonts w:hint="default" w:ascii="Times New Roman" w:hAnsi="Times New Roman" w:eastAsia="宋体" w:cs="Times New Roman"/>
              <w:bCs/>
              <w:sz w:val="24"/>
              <w:lang w:val="zh-CN"/>
            </w:rPr>
            <w:fldChar w:fldCharType="end"/>
          </w:r>
        </w:p>
        <w:p w14:paraId="50238E5C">
          <w:pPr>
            <w:pStyle w:val="14"/>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_Toc18584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3 基本规定</w:t>
          </w:r>
          <w:r>
            <w:rPr>
              <w:rFonts w:hint="default" w:ascii="Times New Roman" w:hAnsi="Times New Roman" w:eastAsia="宋体" w:cs="Times New Roman"/>
              <w:sz w:val="24"/>
            </w:rPr>
            <w:tab/>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PAGEREF _Toc18584 \h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4</w:t>
          </w:r>
          <w:r>
            <w:rPr>
              <w:rFonts w:hint="default" w:ascii="Times New Roman" w:hAnsi="Times New Roman" w:eastAsia="宋体" w:cs="Times New Roman"/>
              <w:sz w:val="24"/>
            </w:rPr>
            <w:fldChar w:fldCharType="end"/>
          </w:r>
          <w:r>
            <w:rPr>
              <w:rFonts w:hint="default" w:ascii="Times New Roman" w:hAnsi="Times New Roman" w:eastAsia="宋体" w:cs="Times New Roman"/>
              <w:bCs/>
              <w:sz w:val="24"/>
              <w:lang w:val="zh-CN"/>
            </w:rPr>
            <w:fldChar w:fldCharType="end"/>
          </w:r>
        </w:p>
        <w:p w14:paraId="3F4D4E69">
          <w:pPr>
            <w:pStyle w:val="14"/>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_Toc5210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4 设备和材料</w:t>
          </w:r>
          <w:r>
            <w:rPr>
              <w:rFonts w:hint="default" w:ascii="Times New Roman" w:hAnsi="Times New Roman" w:eastAsia="宋体" w:cs="Times New Roman"/>
              <w:sz w:val="24"/>
            </w:rPr>
            <w:tab/>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PAGEREF _Toc5210 \h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8</w:t>
          </w:r>
          <w:r>
            <w:rPr>
              <w:rFonts w:hint="default" w:ascii="Times New Roman" w:hAnsi="Times New Roman" w:eastAsia="宋体" w:cs="Times New Roman"/>
              <w:sz w:val="24"/>
            </w:rPr>
            <w:fldChar w:fldCharType="end"/>
          </w:r>
          <w:r>
            <w:rPr>
              <w:rFonts w:hint="default" w:ascii="Times New Roman" w:hAnsi="Times New Roman" w:eastAsia="宋体" w:cs="Times New Roman"/>
              <w:bCs/>
              <w:sz w:val="24"/>
              <w:lang w:val="zh-CN"/>
            </w:rPr>
            <w:fldChar w:fldCharType="end"/>
          </w:r>
        </w:p>
        <w:p w14:paraId="170572CE">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_Toc17362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4.1一般规定</w:t>
          </w:r>
          <w:r>
            <w:rPr>
              <w:rFonts w:hint="default" w:ascii="Times New Roman" w:hAnsi="Times New Roman" w:eastAsia="宋体" w:cs="Times New Roman"/>
              <w:sz w:val="24"/>
            </w:rPr>
            <w:tab/>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PAGEREF _Toc17362 \h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8</w:t>
          </w:r>
          <w:r>
            <w:rPr>
              <w:rFonts w:hint="default" w:ascii="Times New Roman" w:hAnsi="Times New Roman" w:eastAsia="宋体" w:cs="Times New Roman"/>
              <w:sz w:val="24"/>
            </w:rPr>
            <w:fldChar w:fldCharType="end"/>
          </w:r>
          <w:r>
            <w:rPr>
              <w:rFonts w:hint="default" w:ascii="Times New Roman" w:hAnsi="Times New Roman" w:eastAsia="宋体" w:cs="Times New Roman"/>
              <w:bCs/>
              <w:sz w:val="24"/>
              <w:lang w:val="zh-CN"/>
            </w:rPr>
            <w:fldChar w:fldCharType="end"/>
          </w:r>
        </w:p>
        <w:p w14:paraId="7A0143D4">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_Toc13924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4.2光伏组件</w:t>
          </w:r>
          <w:r>
            <w:rPr>
              <w:rFonts w:hint="default" w:ascii="Times New Roman" w:hAnsi="Times New Roman" w:eastAsia="宋体" w:cs="Times New Roman"/>
              <w:sz w:val="24"/>
            </w:rPr>
            <w:tab/>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PAGEREF _Toc13924 \h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8</w:t>
          </w:r>
          <w:r>
            <w:rPr>
              <w:rFonts w:hint="default" w:ascii="Times New Roman" w:hAnsi="Times New Roman" w:eastAsia="宋体" w:cs="Times New Roman"/>
              <w:sz w:val="24"/>
            </w:rPr>
            <w:fldChar w:fldCharType="end"/>
          </w:r>
          <w:r>
            <w:rPr>
              <w:rFonts w:hint="default" w:ascii="Times New Roman" w:hAnsi="Times New Roman" w:eastAsia="宋体" w:cs="Times New Roman"/>
              <w:bCs/>
              <w:sz w:val="24"/>
              <w:lang w:val="zh-CN"/>
            </w:rPr>
            <w:fldChar w:fldCharType="end"/>
          </w:r>
        </w:p>
        <w:p w14:paraId="517FD854">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_Toc28717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4.3材料</w:t>
          </w:r>
          <w:r>
            <w:rPr>
              <w:rFonts w:hint="default" w:ascii="Times New Roman" w:hAnsi="Times New Roman" w:eastAsia="宋体" w:cs="Times New Roman"/>
              <w:sz w:val="24"/>
            </w:rPr>
            <w:tab/>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PAGEREF _Toc28717 \h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10</w:t>
          </w:r>
          <w:r>
            <w:rPr>
              <w:rFonts w:hint="default" w:ascii="Times New Roman" w:hAnsi="Times New Roman" w:eastAsia="宋体" w:cs="Times New Roman"/>
              <w:sz w:val="24"/>
            </w:rPr>
            <w:fldChar w:fldCharType="end"/>
          </w:r>
          <w:r>
            <w:rPr>
              <w:rFonts w:hint="default" w:ascii="Times New Roman" w:hAnsi="Times New Roman" w:eastAsia="宋体" w:cs="Times New Roman"/>
              <w:bCs/>
              <w:sz w:val="24"/>
              <w:lang w:val="zh-CN"/>
            </w:rPr>
            <w:fldChar w:fldCharType="end"/>
          </w:r>
        </w:p>
        <w:p w14:paraId="00F97CCA">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_Toc4352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逆变器</w:t>
          </w:r>
          <w:r>
            <w:rPr>
              <w:rFonts w:hint="default" w:ascii="Times New Roman" w:hAnsi="Times New Roman" w:eastAsia="宋体" w:cs="Times New Roman"/>
              <w:sz w:val="24"/>
            </w:rPr>
            <w:tab/>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PAGEREF _Toc4352 \h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13</w:t>
          </w:r>
          <w:r>
            <w:rPr>
              <w:rFonts w:hint="default" w:ascii="Times New Roman" w:hAnsi="Times New Roman" w:eastAsia="宋体" w:cs="Times New Roman"/>
              <w:sz w:val="24"/>
            </w:rPr>
            <w:fldChar w:fldCharType="end"/>
          </w:r>
          <w:r>
            <w:rPr>
              <w:rFonts w:hint="default" w:ascii="Times New Roman" w:hAnsi="Times New Roman" w:eastAsia="宋体" w:cs="Times New Roman"/>
              <w:bCs/>
              <w:sz w:val="24"/>
              <w:lang w:val="zh-CN"/>
            </w:rPr>
            <w:fldChar w:fldCharType="end"/>
          </w:r>
        </w:p>
        <w:p w14:paraId="6D1DEBBC">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_Toc31728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储能系统</w:t>
          </w:r>
          <w:r>
            <w:rPr>
              <w:rFonts w:hint="default" w:ascii="Times New Roman" w:hAnsi="Times New Roman" w:eastAsia="宋体" w:cs="Times New Roman"/>
              <w:sz w:val="24"/>
            </w:rPr>
            <w:tab/>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PAGEREF _Toc31728 \h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15</w:t>
          </w:r>
          <w:r>
            <w:rPr>
              <w:rFonts w:hint="default" w:ascii="Times New Roman" w:hAnsi="Times New Roman" w:eastAsia="宋体" w:cs="Times New Roman"/>
              <w:sz w:val="24"/>
            </w:rPr>
            <w:fldChar w:fldCharType="end"/>
          </w:r>
          <w:r>
            <w:rPr>
              <w:rFonts w:hint="default" w:ascii="Times New Roman" w:hAnsi="Times New Roman" w:eastAsia="宋体" w:cs="Times New Roman"/>
              <w:bCs/>
              <w:sz w:val="24"/>
              <w:lang w:val="zh-CN"/>
            </w:rPr>
            <w:fldChar w:fldCharType="end"/>
          </w:r>
        </w:p>
        <w:p w14:paraId="2C83801A">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_Toc27415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配电柜</w:t>
          </w:r>
          <w:r>
            <w:rPr>
              <w:rFonts w:hint="default" w:ascii="Times New Roman" w:hAnsi="Times New Roman" w:eastAsia="宋体" w:cs="Times New Roman"/>
              <w:sz w:val="24"/>
            </w:rPr>
            <w:tab/>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PAGEREF _Toc27415 \h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16</w:t>
          </w:r>
          <w:r>
            <w:rPr>
              <w:rFonts w:hint="default" w:ascii="Times New Roman" w:hAnsi="Times New Roman" w:eastAsia="宋体" w:cs="Times New Roman"/>
              <w:sz w:val="24"/>
            </w:rPr>
            <w:fldChar w:fldCharType="end"/>
          </w:r>
          <w:r>
            <w:rPr>
              <w:rFonts w:hint="default" w:ascii="Times New Roman" w:hAnsi="Times New Roman" w:eastAsia="宋体" w:cs="Times New Roman"/>
              <w:bCs/>
              <w:sz w:val="24"/>
              <w:lang w:val="zh-CN"/>
            </w:rPr>
            <w:fldChar w:fldCharType="end"/>
          </w:r>
        </w:p>
        <w:p w14:paraId="50572677">
          <w:pPr>
            <w:pStyle w:val="14"/>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_Toc1324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5 设计</w:t>
          </w:r>
          <w:r>
            <w:rPr>
              <w:rFonts w:hint="default" w:ascii="Times New Roman" w:hAnsi="Times New Roman" w:eastAsia="宋体" w:cs="Times New Roman"/>
              <w:sz w:val="24"/>
            </w:rPr>
            <w:tab/>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PAGEREF _Toc1324 \h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17</w:t>
          </w:r>
          <w:r>
            <w:rPr>
              <w:rFonts w:hint="default" w:ascii="Times New Roman" w:hAnsi="Times New Roman" w:eastAsia="宋体" w:cs="Times New Roman"/>
              <w:sz w:val="24"/>
            </w:rPr>
            <w:fldChar w:fldCharType="end"/>
          </w:r>
          <w:r>
            <w:rPr>
              <w:rFonts w:hint="default" w:ascii="Times New Roman" w:hAnsi="Times New Roman" w:eastAsia="宋体" w:cs="Times New Roman"/>
              <w:bCs/>
              <w:sz w:val="24"/>
              <w:lang w:val="zh-CN"/>
            </w:rPr>
            <w:fldChar w:fldCharType="end"/>
          </w:r>
        </w:p>
        <w:p w14:paraId="604FAC97">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_Toc23037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5.1一般规定</w:t>
          </w:r>
          <w:r>
            <w:rPr>
              <w:rFonts w:hint="default" w:ascii="Times New Roman" w:hAnsi="Times New Roman" w:eastAsia="宋体" w:cs="Times New Roman"/>
              <w:sz w:val="24"/>
            </w:rPr>
            <w:tab/>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PAGEREF _Toc23037 \h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17</w:t>
          </w:r>
          <w:r>
            <w:rPr>
              <w:rFonts w:hint="default" w:ascii="Times New Roman" w:hAnsi="Times New Roman" w:eastAsia="宋体" w:cs="Times New Roman"/>
              <w:sz w:val="24"/>
            </w:rPr>
            <w:fldChar w:fldCharType="end"/>
          </w:r>
          <w:r>
            <w:rPr>
              <w:rFonts w:hint="default" w:ascii="Times New Roman" w:hAnsi="Times New Roman" w:eastAsia="宋体" w:cs="Times New Roman"/>
              <w:bCs/>
              <w:sz w:val="24"/>
              <w:lang w:val="zh-CN"/>
            </w:rPr>
            <w:fldChar w:fldCharType="end"/>
          </w:r>
        </w:p>
        <w:p w14:paraId="7F91D23F">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_Toc9547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5.2规划</w:t>
          </w:r>
          <w:r>
            <w:rPr>
              <w:rFonts w:hint="default" w:ascii="Times New Roman" w:hAnsi="Times New Roman" w:eastAsia="宋体" w:cs="Times New Roman"/>
              <w:sz w:val="24"/>
              <w:szCs w:val="24"/>
              <w:lang w:val="en-US" w:eastAsia="zh-CN"/>
            </w:rPr>
            <w:t>和建筑</w:t>
          </w:r>
          <w:r>
            <w:rPr>
              <w:rFonts w:hint="default" w:ascii="Times New Roman" w:hAnsi="Times New Roman" w:eastAsia="宋体" w:cs="Times New Roman"/>
              <w:sz w:val="24"/>
            </w:rPr>
            <w:tab/>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PAGEREF _Toc9547 \h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18</w:t>
          </w:r>
          <w:r>
            <w:rPr>
              <w:rFonts w:hint="default" w:ascii="Times New Roman" w:hAnsi="Times New Roman" w:eastAsia="宋体" w:cs="Times New Roman"/>
              <w:sz w:val="24"/>
            </w:rPr>
            <w:fldChar w:fldCharType="end"/>
          </w:r>
          <w:r>
            <w:rPr>
              <w:rFonts w:hint="default" w:ascii="Times New Roman" w:hAnsi="Times New Roman" w:eastAsia="宋体" w:cs="Times New Roman"/>
              <w:bCs/>
              <w:sz w:val="24"/>
              <w:lang w:val="zh-CN"/>
            </w:rPr>
            <w:fldChar w:fldCharType="end"/>
          </w:r>
        </w:p>
        <w:p w14:paraId="636945F4">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_Toc3407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组件</w:t>
          </w:r>
          <w:r>
            <w:rPr>
              <w:rFonts w:hint="default" w:ascii="Times New Roman" w:hAnsi="Times New Roman" w:eastAsia="宋体" w:cs="Times New Roman"/>
              <w:sz w:val="24"/>
            </w:rPr>
            <w:tab/>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PAGEREF _Toc3407 \h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21</w:t>
          </w:r>
          <w:r>
            <w:rPr>
              <w:rFonts w:hint="default" w:ascii="Times New Roman" w:hAnsi="Times New Roman" w:eastAsia="宋体" w:cs="Times New Roman"/>
              <w:sz w:val="24"/>
            </w:rPr>
            <w:fldChar w:fldCharType="end"/>
          </w:r>
          <w:r>
            <w:rPr>
              <w:rFonts w:hint="default" w:ascii="Times New Roman" w:hAnsi="Times New Roman" w:eastAsia="宋体" w:cs="Times New Roman"/>
              <w:bCs/>
              <w:sz w:val="24"/>
              <w:lang w:val="zh-CN"/>
            </w:rPr>
            <w:fldChar w:fldCharType="end"/>
          </w:r>
        </w:p>
        <w:p w14:paraId="5875D10E">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_Toc16868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构造</w:t>
          </w:r>
          <w:r>
            <w:rPr>
              <w:rFonts w:hint="default" w:ascii="Times New Roman" w:hAnsi="Times New Roman" w:eastAsia="宋体" w:cs="Times New Roman"/>
              <w:sz w:val="24"/>
            </w:rPr>
            <w:tab/>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PAGEREF _Toc16868 \h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23</w:t>
          </w:r>
          <w:r>
            <w:rPr>
              <w:rFonts w:hint="default" w:ascii="Times New Roman" w:hAnsi="Times New Roman" w:eastAsia="宋体" w:cs="Times New Roman"/>
              <w:sz w:val="24"/>
            </w:rPr>
            <w:fldChar w:fldCharType="end"/>
          </w:r>
          <w:r>
            <w:rPr>
              <w:rFonts w:hint="default" w:ascii="Times New Roman" w:hAnsi="Times New Roman" w:eastAsia="宋体" w:cs="Times New Roman"/>
              <w:bCs/>
              <w:sz w:val="24"/>
              <w:lang w:val="zh-CN"/>
            </w:rPr>
            <w:fldChar w:fldCharType="end"/>
          </w:r>
        </w:p>
        <w:p w14:paraId="7A1B4B90">
          <w:pPr>
            <w:pStyle w:val="14"/>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_Toc16117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6 结构设计</w:t>
          </w:r>
          <w:r>
            <w:rPr>
              <w:rFonts w:hint="default" w:ascii="Times New Roman" w:hAnsi="Times New Roman" w:eastAsia="宋体" w:cs="Times New Roman"/>
              <w:sz w:val="24"/>
            </w:rPr>
            <w:tab/>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PAGEREF _Toc16117 \h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27</w:t>
          </w:r>
          <w:r>
            <w:rPr>
              <w:rFonts w:hint="default" w:ascii="Times New Roman" w:hAnsi="Times New Roman" w:eastAsia="宋体" w:cs="Times New Roman"/>
              <w:sz w:val="24"/>
            </w:rPr>
            <w:fldChar w:fldCharType="end"/>
          </w:r>
          <w:r>
            <w:rPr>
              <w:rFonts w:hint="default" w:ascii="Times New Roman" w:hAnsi="Times New Roman" w:eastAsia="宋体" w:cs="Times New Roman"/>
              <w:bCs/>
              <w:sz w:val="24"/>
              <w:lang w:val="zh-CN"/>
            </w:rPr>
            <w:fldChar w:fldCharType="end"/>
          </w:r>
        </w:p>
        <w:p w14:paraId="4E0CA98A">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_Toc5446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6.1一般规定</w:t>
          </w:r>
          <w:r>
            <w:rPr>
              <w:rFonts w:hint="default" w:ascii="Times New Roman" w:hAnsi="Times New Roman" w:eastAsia="宋体" w:cs="Times New Roman"/>
              <w:sz w:val="24"/>
            </w:rPr>
            <w:tab/>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PAGEREF _Toc5446 \h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27</w:t>
          </w:r>
          <w:r>
            <w:rPr>
              <w:rFonts w:hint="default" w:ascii="Times New Roman" w:hAnsi="Times New Roman" w:eastAsia="宋体" w:cs="Times New Roman"/>
              <w:sz w:val="24"/>
            </w:rPr>
            <w:fldChar w:fldCharType="end"/>
          </w:r>
          <w:r>
            <w:rPr>
              <w:rFonts w:hint="default" w:ascii="Times New Roman" w:hAnsi="Times New Roman" w:eastAsia="宋体" w:cs="Times New Roman"/>
              <w:bCs/>
              <w:sz w:val="24"/>
              <w:lang w:val="zh-CN"/>
            </w:rPr>
            <w:fldChar w:fldCharType="end"/>
          </w:r>
        </w:p>
        <w:p w14:paraId="064EBADE">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_Toc4089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6.2设计参数</w:t>
          </w:r>
          <w:r>
            <w:rPr>
              <w:rFonts w:hint="default" w:ascii="Times New Roman" w:hAnsi="Times New Roman" w:eastAsia="宋体" w:cs="Times New Roman"/>
              <w:sz w:val="24"/>
            </w:rPr>
            <w:tab/>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PAGEREF _Toc4089 \h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27</w:t>
          </w:r>
          <w:r>
            <w:rPr>
              <w:rFonts w:hint="default" w:ascii="Times New Roman" w:hAnsi="Times New Roman" w:eastAsia="宋体" w:cs="Times New Roman"/>
              <w:sz w:val="24"/>
            </w:rPr>
            <w:fldChar w:fldCharType="end"/>
          </w:r>
          <w:r>
            <w:rPr>
              <w:rFonts w:hint="default" w:ascii="Times New Roman" w:hAnsi="Times New Roman" w:eastAsia="宋体" w:cs="Times New Roman"/>
              <w:bCs/>
              <w:sz w:val="24"/>
              <w:lang w:val="zh-CN"/>
            </w:rPr>
            <w:fldChar w:fldCharType="end"/>
          </w:r>
        </w:p>
        <w:p w14:paraId="171DD3E7">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_Toc13410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6.3荷载和作用</w:t>
          </w:r>
          <w:r>
            <w:rPr>
              <w:rFonts w:hint="default" w:ascii="Times New Roman" w:hAnsi="Times New Roman" w:eastAsia="宋体" w:cs="Times New Roman"/>
              <w:sz w:val="24"/>
            </w:rPr>
            <w:tab/>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PAGEREF _Toc13410 \h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28</w:t>
          </w:r>
          <w:r>
            <w:rPr>
              <w:rFonts w:hint="default" w:ascii="Times New Roman" w:hAnsi="Times New Roman" w:eastAsia="宋体" w:cs="Times New Roman"/>
              <w:sz w:val="24"/>
            </w:rPr>
            <w:fldChar w:fldCharType="end"/>
          </w:r>
          <w:r>
            <w:rPr>
              <w:rFonts w:hint="default" w:ascii="Times New Roman" w:hAnsi="Times New Roman" w:eastAsia="宋体" w:cs="Times New Roman"/>
              <w:bCs/>
              <w:sz w:val="24"/>
              <w:lang w:val="zh-CN"/>
            </w:rPr>
            <w:fldChar w:fldCharType="end"/>
          </w:r>
        </w:p>
        <w:p w14:paraId="1748ACBD">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_Toc8528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6.4光伏构件结构设计</w:t>
          </w:r>
          <w:r>
            <w:rPr>
              <w:rFonts w:hint="default" w:ascii="Times New Roman" w:hAnsi="Times New Roman" w:eastAsia="宋体" w:cs="Times New Roman"/>
              <w:sz w:val="24"/>
            </w:rPr>
            <w:tab/>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PAGEREF _Toc8528 \h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31</w:t>
          </w:r>
          <w:r>
            <w:rPr>
              <w:rFonts w:hint="default" w:ascii="Times New Roman" w:hAnsi="Times New Roman" w:eastAsia="宋体" w:cs="Times New Roman"/>
              <w:sz w:val="24"/>
            </w:rPr>
            <w:fldChar w:fldCharType="end"/>
          </w:r>
          <w:r>
            <w:rPr>
              <w:rFonts w:hint="default" w:ascii="Times New Roman" w:hAnsi="Times New Roman" w:eastAsia="宋体" w:cs="Times New Roman"/>
              <w:bCs/>
              <w:sz w:val="24"/>
              <w:lang w:val="zh-CN"/>
            </w:rPr>
            <w:fldChar w:fldCharType="end"/>
          </w:r>
        </w:p>
        <w:p w14:paraId="5DFFC8AD">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_Toc17657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6.5支撑结构设计</w:t>
          </w:r>
          <w:r>
            <w:rPr>
              <w:rFonts w:hint="default" w:ascii="Times New Roman" w:hAnsi="Times New Roman" w:eastAsia="宋体" w:cs="Times New Roman"/>
              <w:sz w:val="24"/>
            </w:rPr>
            <w:tab/>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PAGEREF _Toc17657 \h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31</w:t>
          </w:r>
          <w:r>
            <w:rPr>
              <w:rFonts w:hint="default" w:ascii="Times New Roman" w:hAnsi="Times New Roman" w:eastAsia="宋体" w:cs="Times New Roman"/>
              <w:sz w:val="24"/>
            </w:rPr>
            <w:fldChar w:fldCharType="end"/>
          </w:r>
          <w:r>
            <w:rPr>
              <w:rFonts w:hint="default" w:ascii="Times New Roman" w:hAnsi="Times New Roman" w:eastAsia="宋体" w:cs="Times New Roman"/>
              <w:bCs/>
              <w:sz w:val="24"/>
              <w:lang w:val="zh-CN"/>
            </w:rPr>
            <w:fldChar w:fldCharType="end"/>
          </w:r>
        </w:p>
        <w:p w14:paraId="2CC8FFAD">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_Toc28626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6.6连接结构设计</w:t>
          </w:r>
          <w:r>
            <w:rPr>
              <w:rFonts w:hint="default" w:ascii="Times New Roman" w:hAnsi="Times New Roman" w:eastAsia="宋体" w:cs="Times New Roman"/>
              <w:sz w:val="24"/>
            </w:rPr>
            <w:tab/>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PAGEREF _Toc28626 \h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32</w:t>
          </w:r>
          <w:r>
            <w:rPr>
              <w:rFonts w:hint="default" w:ascii="Times New Roman" w:hAnsi="Times New Roman" w:eastAsia="宋体" w:cs="Times New Roman"/>
              <w:sz w:val="24"/>
            </w:rPr>
            <w:fldChar w:fldCharType="end"/>
          </w:r>
          <w:r>
            <w:rPr>
              <w:rFonts w:hint="default" w:ascii="Times New Roman" w:hAnsi="Times New Roman" w:eastAsia="宋体" w:cs="Times New Roman"/>
              <w:bCs/>
              <w:sz w:val="24"/>
              <w:lang w:val="zh-CN"/>
            </w:rPr>
            <w:fldChar w:fldCharType="end"/>
          </w:r>
        </w:p>
        <w:p w14:paraId="4F433D8E">
          <w:pPr>
            <w:pStyle w:val="14"/>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_Toc28215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7 光伏发电系统设计</w:t>
          </w:r>
          <w:r>
            <w:rPr>
              <w:rFonts w:hint="default" w:ascii="Times New Roman" w:hAnsi="Times New Roman" w:eastAsia="宋体" w:cs="Times New Roman"/>
              <w:sz w:val="24"/>
            </w:rPr>
            <w:tab/>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PAGEREF _Toc28215 \h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33</w:t>
          </w:r>
          <w:r>
            <w:rPr>
              <w:rFonts w:hint="default" w:ascii="Times New Roman" w:hAnsi="Times New Roman" w:eastAsia="宋体" w:cs="Times New Roman"/>
              <w:sz w:val="24"/>
            </w:rPr>
            <w:fldChar w:fldCharType="end"/>
          </w:r>
          <w:r>
            <w:rPr>
              <w:rFonts w:hint="default" w:ascii="Times New Roman" w:hAnsi="Times New Roman" w:eastAsia="宋体" w:cs="Times New Roman"/>
              <w:bCs/>
              <w:sz w:val="24"/>
              <w:lang w:val="zh-CN"/>
            </w:rPr>
            <w:fldChar w:fldCharType="end"/>
          </w:r>
        </w:p>
        <w:p w14:paraId="48A7C855">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_Toc29930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7.1一般规定</w:t>
          </w:r>
          <w:r>
            <w:rPr>
              <w:rFonts w:hint="default" w:ascii="Times New Roman" w:hAnsi="Times New Roman" w:eastAsia="宋体" w:cs="Times New Roman"/>
              <w:sz w:val="24"/>
            </w:rPr>
            <w:tab/>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PAGEREF _Toc29930 \h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33</w:t>
          </w:r>
          <w:r>
            <w:rPr>
              <w:rFonts w:hint="default" w:ascii="Times New Roman" w:hAnsi="Times New Roman" w:eastAsia="宋体" w:cs="Times New Roman"/>
              <w:sz w:val="24"/>
            </w:rPr>
            <w:fldChar w:fldCharType="end"/>
          </w:r>
          <w:r>
            <w:rPr>
              <w:rFonts w:hint="default" w:ascii="Times New Roman" w:hAnsi="Times New Roman" w:eastAsia="宋体" w:cs="Times New Roman"/>
              <w:bCs/>
              <w:sz w:val="24"/>
              <w:lang w:val="zh-CN"/>
            </w:rPr>
            <w:fldChar w:fldCharType="end"/>
          </w:r>
        </w:p>
        <w:p w14:paraId="5CBA9FEB">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_Toc7966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7.2光伏</w:t>
          </w:r>
          <w:r>
            <w:rPr>
              <w:rFonts w:hint="default" w:ascii="Times New Roman" w:hAnsi="Times New Roman" w:eastAsia="宋体" w:cs="Times New Roman"/>
              <w:bCs w:val="0"/>
              <w:sz w:val="24"/>
              <w:szCs w:val="24"/>
            </w:rPr>
            <w:t>发电</w:t>
          </w:r>
          <w:r>
            <w:rPr>
              <w:rFonts w:hint="default" w:ascii="Times New Roman" w:hAnsi="Times New Roman" w:eastAsia="宋体" w:cs="Times New Roman"/>
              <w:sz w:val="24"/>
              <w:szCs w:val="24"/>
            </w:rPr>
            <w:t>系统技术要求</w:t>
          </w:r>
          <w:r>
            <w:rPr>
              <w:rFonts w:hint="default" w:ascii="Times New Roman" w:hAnsi="Times New Roman" w:eastAsia="宋体" w:cs="Times New Roman"/>
              <w:sz w:val="24"/>
            </w:rPr>
            <w:tab/>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PAGEREF _Toc7966 \h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34</w:t>
          </w:r>
          <w:r>
            <w:rPr>
              <w:rFonts w:hint="default" w:ascii="Times New Roman" w:hAnsi="Times New Roman" w:eastAsia="宋体" w:cs="Times New Roman"/>
              <w:sz w:val="24"/>
            </w:rPr>
            <w:fldChar w:fldCharType="end"/>
          </w:r>
          <w:r>
            <w:rPr>
              <w:rFonts w:hint="default" w:ascii="Times New Roman" w:hAnsi="Times New Roman" w:eastAsia="宋体" w:cs="Times New Roman"/>
              <w:bCs/>
              <w:sz w:val="24"/>
              <w:lang w:val="zh-CN"/>
            </w:rPr>
            <w:fldChar w:fldCharType="end"/>
          </w:r>
        </w:p>
        <w:p w14:paraId="15D6CB8F">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_Toc22981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bCs w:val="0"/>
              <w:sz w:val="24"/>
              <w:szCs w:val="24"/>
            </w:rPr>
            <w:t>7.3光伏发电系统电气设计</w:t>
          </w:r>
          <w:r>
            <w:rPr>
              <w:rFonts w:hint="default" w:ascii="Times New Roman" w:hAnsi="Times New Roman" w:eastAsia="宋体" w:cs="Times New Roman"/>
              <w:sz w:val="24"/>
            </w:rPr>
            <w:tab/>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PAGEREF _Toc22981 \h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34</w:t>
          </w:r>
          <w:r>
            <w:rPr>
              <w:rFonts w:hint="default" w:ascii="Times New Roman" w:hAnsi="Times New Roman" w:eastAsia="宋体" w:cs="Times New Roman"/>
              <w:sz w:val="24"/>
            </w:rPr>
            <w:fldChar w:fldCharType="end"/>
          </w:r>
          <w:r>
            <w:rPr>
              <w:rFonts w:hint="default" w:ascii="Times New Roman" w:hAnsi="Times New Roman" w:eastAsia="宋体" w:cs="Times New Roman"/>
              <w:bCs/>
              <w:sz w:val="24"/>
              <w:lang w:val="zh-CN"/>
            </w:rPr>
            <w:fldChar w:fldCharType="end"/>
          </w:r>
        </w:p>
        <w:p w14:paraId="745A66AD">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_Toc24955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7.4光伏发电系统发电量估算</w:t>
          </w:r>
          <w:r>
            <w:rPr>
              <w:rFonts w:hint="default" w:ascii="Times New Roman" w:hAnsi="Times New Roman" w:eastAsia="宋体" w:cs="Times New Roman"/>
              <w:sz w:val="24"/>
            </w:rPr>
            <w:tab/>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PAGEREF _Toc24955 \h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36</w:t>
          </w:r>
          <w:r>
            <w:rPr>
              <w:rFonts w:hint="default" w:ascii="Times New Roman" w:hAnsi="Times New Roman" w:eastAsia="宋体" w:cs="Times New Roman"/>
              <w:sz w:val="24"/>
            </w:rPr>
            <w:fldChar w:fldCharType="end"/>
          </w:r>
          <w:r>
            <w:rPr>
              <w:rFonts w:hint="default" w:ascii="Times New Roman" w:hAnsi="Times New Roman" w:eastAsia="宋体" w:cs="Times New Roman"/>
              <w:bCs/>
              <w:sz w:val="24"/>
              <w:lang w:val="zh-CN"/>
            </w:rPr>
            <w:fldChar w:fldCharType="end"/>
          </w:r>
        </w:p>
        <w:p w14:paraId="07002F15">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_Toc14604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7.5防雷与接地</w:t>
          </w:r>
          <w:r>
            <w:rPr>
              <w:rFonts w:hint="default" w:ascii="Times New Roman" w:hAnsi="Times New Roman" w:eastAsia="宋体" w:cs="Times New Roman"/>
              <w:sz w:val="24"/>
            </w:rPr>
            <w:tab/>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PAGEREF _Toc14604 \h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37</w:t>
          </w:r>
          <w:r>
            <w:rPr>
              <w:rFonts w:hint="default" w:ascii="Times New Roman" w:hAnsi="Times New Roman" w:eastAsia="宋体" w:cs="Times New Roman"/>
              <w:sz w:val="24"/>
            </w:rPr>
            <w:fldChar w:fldCharType="end"/>
          </w:r>
          <w:r>
            <w:rPr>
              <w:rFonts w:hint="default" w:ascii="Times New Roman" w:hAnsi="Times New Roman" w:eastAsia="宋体" w:cs="Times New Roman"/>
              <w:bCs/>
              <w:sz w:val="24"/>
              <w:lang w:val="zh-CN"/>
            </w:rPr>
            <w:fldChar w:fldCharType="end"/>
          </w:r>
        </w:p>
        <w:p w14:paraId="40586BF6">
          <w:pPr>
            <w:pStyle w:val="14"/>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_Toc25902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8 光伏发电系统接入</w:t>
          </w:r>
          <w:r>
            <w:rPr>
              <w:rFonts w:hint="default" w:ascii="Times New Roman" w:hAnsi="Times New Roman" w:eastAsia="宋体" w:cs="Times New Roman"/>
              <w:sz w:val="24"/>
            </w:rPr>
            <w:tab/>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PAGEREF _Toc25902 \h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38</w:t>
          </w:r>
          <w:r>
            <w:rPr>
              <w:rFonts w:hint="default" w:ascii="Times New Roman" w:hAnsi="Times New Roman" w:eastAsia="宋体" w:cs="Times New Roman"/>
              <w:sz w:val="24"/>
            </w:rPr>
            <w:fldChar w:fldCharType="end"/>
          </w:r>
          <w:r>
            <w:rPr>
              <w:rFonts w:hint="default" w:ascii="Times New Roman" w:hAnsi="Times New Roman" w:eastAsia="宋体" w:cs="Times New Roman"/>
              <w:bCs/>
              <w:sz w:val="24"/>
              <w:lang w:val="zh-CN"/>
            </w:rPr>
            <w:fldChar w:fldCharType="end"/>
          </w:r>
        </w:p>
        <w:p w14:paraId="3E44121B">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_Toc2932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8.1一般规定</w:t>
          </w:r>
          <w:r>
            <w:rPr>
              <w:rFonts w:hint="default" w:ascii="Times New Roman" w:hAnsi="Times New Roman" w:eastAsia="宋体" w:cs="Times New Roman"/>
              <w:sz w:val="24"/>
            </w:rPr>
            <w:tab/>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PAGEREF _Toc2932 \h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38</w:t>
          </w:r>
          <w:r>
            <w:rPr>
              <w:rFonts w:hint="default" w:ascii="Times New Roman" w:hAnsi="Times New Roman" w:eastAsia="宋体" w:cs="Times New Roman"/>
              <w:sz w:val="24"/>
            </w:rPr>
            <w:fldChar w:fldCharType="end"/>
          </w:r>
          <w:r>
            <w:rPr>
              <w:rFonts w:hint="default" w:ascii="Times New Roman" w:hAnsi="Times New Roman" w:eastAsia="宋体" w:cs="Times New Roman"/>
              <w:bCs/>
              <w:sz w:val="24"/>
              <w:lang w:val="zh-CN"/>
            </w:rPr>
            <w:fldChar w:fldCharType="end"/>
          </w:r>
        </w:p>
        <w:p w14:paraId="3AC8BEF9">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_Toc3857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8.2</w:t>
          </w:r>
          <w:r>
            <w:rPr>
              <w:rFonts w:hint="default" w:ascii="Times New Roman" w:hAnsi="Times New Roman" w:eastAsia="宋体" w:cs="Times New Roman"/>
              <w:sz w:val="24"/>
              <w:szCs w:val="24"/>
              <w:lang w:val="en-US" w:eastAsia="zh-CN"/>
            </w:rPr>
            <w:t>系统</w:t>
          </w:r>
          <w:r>
            <w:rPr>
              <w:rFonts w:hint="default" w:ascii="Times New Roman" w:hAnsi="Times New Roman" w:eastAsia="宋体" w:cs="Times New Roman"/>
              <w:sz w:val="24"/>
              <w:szCs w:val="24"/>
            </w:rPr>
            <w:t>运行</w:t>
          </w:r>
          <w:r>
            <w:rPr>
              <w:rFonts w:hint="default" w:ascii="Times New Roman" w:hAnsi="Times New Roman" w:eastAsia="宋体" w:cs="Times New Roman"/>
              <w:sz w:val="24"/>
            </w:rPr>
            <w:tab/>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PAGEREF _Toc3857 \h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39</w:t>
          </w:r>
          <w:r>
            <w:rPr>
              <w:rFonts w:hint="default" w:ascii="Times New Roman" w:hAnsi="Times New Roman" w:eastAsia="宋体" w:cs="Times New Roman"/>
              <w:sz w:val="24"/>
            </w:rPr>
            <w:fldChar w:fldCharType="end"/>
          </w:r>
          <w:r>
            <w:rPr>
              <w:rFonts w:hint="default" w:ascii="Times New Roman" w:hAnsi="Times New Roman" w:eastAsia="宋体" w:cs="Times New Roman"/>
              <w:bCs/>
              <w:sz w:val="24"/>
              <w:lang w:val="zh-CN"/>
            </w:rPr>
            <w:fldChar w:fldCharType="end"/>
          </w:r>
        </w:p>
        <w:p w14:paraId="7BA16CE6">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_Toc32156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智能运行</w:t>
          </w:r>
          <w:r>
            <w:rPr>
              <w:rFonts w:hint="default" w:ascii="Times New Roman" w:hAnsi="Times New Roman" w:eastAsia="宋体" w:cs="Times New Roman"/>
              <w:sz w:val="24"/>
            </w:rPr>
            <w:tab/>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PAGEREF _Toc32156 \h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39</w:t>
          </w:r>
          <w:r>
            <w:rPr>
              <w:rFonts w:hint="default" w:ascii="Times New Roman" w:hAnsi="Times New Roman" w:eastAsia="宋体" w:cs="Times New Roman"/>
              <w:sz w:val="24"/>
            </w:rPr>
            <w:fldChar w:fldCharType="end"/>
          </w:r>
          <w:r>
            <w:rPr>
              <w:rFonts w:hint="default" w:ascii="Times New Roman" w:hAnsi="Times New Roman" w:eastAsia="宋体" w:cs="Times New Roman"/>
              <w:bCs/>
              <w:sz w:val="24"/>
              <w:lang w:val="zh-CN"/>
            </w:rPr>
            <w:fldChar w:fldCharType="end"/>
          </w:r>
        </w:p>
        <w:p w14:paraId="2944FB61">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_Toc28615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安全及保护</w:t>
          </w:r>
          <w:r>
            <w:rPr>
              <w:rFonts w:hint="default" w:ascii="Times New Roman" w:hAnsi="Times New Roman" w:eastAsia="宋体" w:cs="Times New Roman"/>
              <w:sz w:val="24"/>
            </w:rPr>
            <w:tab/>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PAGEREF _Toc28615 \h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40</w:t>
          </w:r>
          <w:r>
            <w:rPr>
              <w:rFonts w:hint="default" w:ascii="Times New Roman" w:hAnsi="Times New Roman" w:eastAsia="宋体" w:cs="Times New Roman"/>
              <w:sz w:val="24"/>
            </w:rPr>
            <w:fldChar w:fldCharType="end"/>
          </w:r>
          <w:r>
            <w:rPr>
              <w:rFonts w:hint="default" w:ascii="Times New Roman" w:hAnsi="Times New Roman" w:eastAsia="宋体" w:cs="Times New Roman"/>
              <w:bCs/>
              <w:sz w:val="24"/>
              <w:lang w:val="zh-CN"/>
            </w:rPr>
            <w:fldChar w:fldCharType="end"/>
          </w:r>
        </w:p>
        <w:p w14:paraId="7D244AC4">
          <w:pPr>
            <w:pStyle w:val="14"/>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_Toc8725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rPr>
            <w:t xml:space="preserve"> 给排水设计</w:t>
          </w:r>
          <w:r>
            <w:rPr>
              <w:rFonts w:hint="default" w:ascii="Times New Roman" w:hAnsi="Times New Roman" w:eastAsia="宋体" w:cs="Times New Roman"/>
              <w:sz w:val="24"/>
            </w:rPr>
            <w:tab/>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PAGEREF _Toc8725 \h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42</w:t>
          </w:r>
          <w:r>
            <w:rPr>
              <w:rFonts w:hint="default" w:ascii="Times New Roman" w:hAnsi="Times New Roman" w:eastAsia="宋体" w:cs="Times New Roman"/>
              <w:sz w:val="24"/>
            </w:rPr>
            <w:fldChar w:fldCharType="end"/>
          </w:r>
          <w:r>
            <w:rPr>
              <w:rFonts w:hint="default" w:ascii="Times New Roman" w:hAnsi="Times New Roman" w:eastAsia="宋体" w:cs="Times New Roman"/>
              <w:bCs/>
              <w:sz w:val="24"/>
              <w:lang w:val="zh-CN"/>
            </w:rPr>
            <w:fldChar w:fldCharType="end"/>
          </w:r>
        </w:p>
        <w:p w14:paraId="4A8F7C7D">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_Toc27181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rPr>
            <w:t>.1一般规定</w:t>
          </w:r>
          <w:r>
            <w:rPr>
              <w:rFonts w:hint="default" w:ascii="Times New Roman" w:hAnsi="Times New Roman" w:eastAsia="宋体" w:cs="Times New Roman"/>
              <w:sz w:val="24"/>
            </w:rPr>
            <w:tab/>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PAGEREF _Toc27181 \h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42</w:t>
          </w:r>
          <w:r>
            <w:rPr>
              <w:rFonts w:hint="default" w:ascii="Times New Roman" w:hAnsi="Times New Roman" w:eastAsia="宋体" w:cs="Times New Roman"/>
              <w:sz w:val="24"/>
            </w:rPr>
            <w:fldChar w:fldCharType="end"/>
          </w:r>
          <w:r>
            <w:rPr>
              <w:rFonts w:hint="default" w:ascii="Times New Roman" w:hAnsi="Times New Roman" w:eastAsia="宋体" w:cs="Times New Roman"/>
              <w:bCs/>
              <w:sz w:val="24"/>
              <w:lang w:val="zh-CN"/>
            </w:rPr>
            <w:fldChar w:fldCharType="end"/>
          </w:r>
        </w:p>
        <w:p w14:paraId="2FB80F6C">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_Toc20049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rPr>
            <w:t>.2屋面排水</w:t>
          </w:r>
          <w:r>
            <w:rPr>
              <w:rFonts w:hint="default" w:ascii="Times New Roman" w:hAnsi="Times New Roman" w:eastAsia="宋体" w:cs="Times New Roman"/>
              <w:sz w:val="24"/>
            </w:rPr>
            <w:tab/>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PAGEREF _Toc20049 \h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42</w:t>
          </w:r>
          <w:r>
            <w:rPr>
              <w:rFonts w:hint="default" w:ascii="Times New Roman" w:hAnsi="Times New Roman" w:eastAsia="宋体" w:cs="Times New Roman"/>
              <w:sz w:val="24"/>
            </w:rPr>
            <w:fldChar w:fldCharType="end"/>
          </w:r>
          <w:r>
            <w:rPr>
              <w:rFonts w:hint="default" w:ascii="Times New Roman" w:hAnsi="Times New Roman" w:eastAsia="宋体" w:cs="Times New Roman"/>
              <w:bCs/>
              <w:sz w:val="24"/>
              <w:lang w:val="zh-CN"/>
            </w:rPr>
            <w:fldChar w:fldCharType="end"/>
          </w:r>
        </w:p>
        <w:p w14:paraId="1903BF98">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_Toc19327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rPr>
            <w:t>.3光伏水密性</w:t>
          </w:r>
          <w:r>
            <w:rPr>
              <w:rFonts w:hint="default" w:ascii="Times New Roman" w:hAnsi="Times New Roman" w:eastAsia="宋体" w:cs="Times New Roman"/>
              <w:sz w:val="24"/>
            </w:rPr>
            <w:tab/>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PAGEREF _Toc19327 \h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43</w:t>
          </w:r>
          <w:r>
            <w:rPr>
              <w:rFonts w:hint="default" w:ascii="Times New Roman" w:hAnsi="Times New Roman" w:eastAsia="宋体" w:cs="Times New Roman"/>
              <w:sz w:val="24"/>
            </w:rPr>
            <w:fldChar w:fldCharType="end"/>
          </w:r>
          <w:r>
            <w:rPr>
              <w:rFonts w:hint="default" w:ascii="Times New Roman" w:hAnsi="Times New Roman" w:eastAsia="宋体" w:cs="Times New Roman"/>
              <w:bCs/>
              <w:sz w:val="24"/>
              <w:lang w:val="zh-CN"/>
            </w:rPr>
            <w:fldChar w:fldCharType="end"/>
          </w:r>
        </w:p>
        <w:p w14:paraId="26DB8388">
          <w:pPr>
            <w:pStyle w:val="14"/>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_Toc5396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 xml:space="preserve"> 工程施工</w:t>
          </w:r>
          <w:r>
            <w:rPr>
              <w:rFonts w:hint="default" w:ascii="Times New Roman" w:hAnsi="Times New Roman" w:eastAsia="宋体" w:cs="Times New Roman"/>
              <w:sz w:val="24"/>
            </w:rPr>
            <w:tab/>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PAGEREF _Toc5396 \h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44</w:t>
          </w:r>
          <w:r>
            <w:rPr>
              <w:rFonts w:hint="default" w:ascii="Times New Roman" w:hAnsi="Times New Roman" w:eastAsia="宋体" w:cs="Times New Roman"/>
              <w:sz w:val="24"/>
            </w:rPr>
            <w:fldChar w:fldCharType="end"/>
          </w:r>
          <w:r>
            <w:rPr>
              <w:rFonts w:hint="default" w:ascii="Times New Roman" w:hAnsi="Times New Roman" w:eastAsia="宋体" w:cs="Times New Roman"/>
              <w:bCs/>
              <w:sz w:val="24"/>
              <w:lang w:val="zh-CN"/>
            </w:rPr>
            <w:fldChar w:fldCharType="end"/>
          </w:r>
        </w:p>
        <w:p w14:paraId="6BAE1814">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_Toc28584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.1一般规定</w:t>
          </w:r>
          <w:r>
            <w:rPr>
              <w:rFonts w:hint="default" w:ascii="Times New Roman" w:hAnsi="Times New Roman" w:eastAsia="宋体" w:cs="Times New Roman"/>
              <w:sz w:val="24"/>
            </w:rPr>
            <w:tab/>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PAGEREF _Toc28584 \h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44</w:t>
          </w:r>
          <w:r>
            <w:rPr>
              <w:rFonts w:hint="default" w:ascii="Times New Roman" w:hAnsi="Times New Roman" w:eastAsia="宋体" w:cs="Times New Roman"/>
              <w:sz w:val="24"/>
            </w:rPr>
            <w:fldChar w:fldCharType="end"/>
          </w:r>
          <w:r>
            <w:rPr>
              <w:rFonts w:hint="default" w:ascii="Times New Roman" w:hAnsi="Times New Roman" w:eastAsia="宋体" w:cs="Times New Roman"/>
              <w:bCs/>
              <w:sz w:val="24"/>
              <w:lang w:val="zh-CN"/>
            </w:rPr>
            <w:fldChar w:fldCharType="end"/>
          </w:r>
        </w:p>
        <w:p w14:paraId="4217E1E4">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_Toc2529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.2土建工程</w:t>
          </w:r>
          <w:r>
            <w:rPr>
              <w:rFonts w:hint="default" w:ascii="Times New Roman" w:hAnsi="Times New Roman" w:eastAsia="宋体" w:cs="Times New Roman"/>
              <w:sz w:val="24"/>
            </w:rPr>
            <w:tab/>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PAGEREF _Toc2529 \h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46</w:t>
          </w:r>
          <w:r>
            <w:rPr>
              <w:rFonts w:hint="default" w:ascii="Times New Roman" w:hAnsi="Times New Roman" w:eastAsia="宋体" w:cs="Times New Roman"/>
              <w:sz w:val="24"/>
            </w:rPr>
            <w:fldChar w:fldCharType="end"/>
          </w:r>
          <w:r>
            <w:rPr>
              <w:rFonts w:hint="default" w:ascii="Times New Roman" w:hAnsi="Times New Roman" w:eastAsia="宋体" w:cs="Times New Roman"/>
              <w:bCs/>
              <w:sz w:val="24"/>
              <w:lang w:val="zh-CN"/>
            </w:rPr>
            <w:fldChar w:fldCharType="end"/>
          </w:r>
        </w:p>
        <w:p w14:paraId="736D4B74">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_Toc3460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.3光伏组件安装</w:t>
          </w:r>
          <w:r>
            <w:rPr>
              <w:rFonts w:hint="default" w:ascii="Times New Roman" w:hAnsi="Times New Roman" w:eastAsia="宋体" w:cs="Times New Roman"/>
              <w:sz w:val="24"/>
            </w:rPr>
            <w:tab/>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PAGEREF _Toc3460 \h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49</w:t>
          </w:r>
          <w:r>
            <w:rPr>
              <w:rFonts w:hint="default" w:ascii="Times New Roman" w:hAnsi="Times New Roman" w:eastAsia="宋体" w:cs="Times New Roman"/>
              <w:sz w:val="24"/>
            </w:rPr>
            <w:fldChar w:fldCharType="end"/>
          </w:r>
          <w:r>
            <w:rPr>
              <w:rFonts w:hint="default" w:ascii="Times New Roman" w:hAnsi="Times New Roman" w:eastAsia="宋体" w:cs="Times New Roman"/>
              <w:bCs/>
              <w:sz w:val="24"/>
              <w:lang w:val="zh-CN"/>
            </w:rPr>
            <w:fldChar w:fldCharType="end"/>
          </w:r>
        </w:p>
        <w:p w14:paraId="2C795617">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_Toc23331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.4电气安装</w:t>
          </w:r>
          <w:r>
            <w:rPr>
              <w:rFonts w:hint="default" w:ascii="Times New Roman" w:hAnsi="Times New Roman" w:eastAsia="宋体" w:cs="Times New Roman"/>
              <w:sz w:val="24"/>
            </w:rPr>
            <w:tab/>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PAGEREF _Toc23331 \h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50</w:t>
          </w:r>
          <w:r>
            <w:rPr>
              <w:rFonts w:hint="default" w:ascii="Times New Roman" w:hAnsi="Times New Roman" w:eastAsia="宋体" w:cs="Times New Roman"/>
              <w:sz w:val="24"/>
            </w:rPr>
            <w:fldChar w:fldCharType="end"/>
          </w:r>
          <w:r>
            <w:rPr>
              <w:rFonts w:hint="default" w:ascii="Times New Roman" w:hAnsi="Times New Roman" w:eastAsia="宋体" w:cs="Times New Roman"/>
              <w:bCs/>
              <w:sz w:val="24"/>
              <w:lang w:val="zh-CN"/>
            </w:rPr>
            <w:fldChar w:fldCharType="end"/>
          </w:r>
        </w:p>
        <w:p w14:paraId="6C0CB1F2">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_Toc14941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.5系统调试</w:t>
          </w:r>
          <w:r>
            <w:rPr>
              <w:rFonts w:hint="default" w:ascii="Times New Roman" w:hAnsi="Times New Roman" w:eastAsia="宋体" w:cs="Times New Roman"/>
              <w:sz w:val="24"/>
            </w:rPr>
            <w:tab/>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PAGEREF _Toc14941 \h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52</w:t>
          </w:r>
          <w:r>
            <w:rPr>
              <w:rFonts w:hint="default" w:ascii="Times New Roman" w:hAnsi="Times New Roman" w:eastAsia="宋体" w:cs="Times New Roman"/>
              <w:sz w:val="24"/>
            </w:rPr>
            <w:fldChar w:fldCharType="end"/>
          </w:r>
          <w:r>
            <w:rPr>
              <w:rFonts w:hint="default" w:ascii="Times New Roman" w:hAnsi="Times New Roman" w:eastAsia="宋体" w:cs="Times New Roman"/>
              <w:bCs/>
              <w:sz w:val="24"/>
              <w:lang w:val="zh-CN"/>
            </w:rPr>
            <w:fldChar w:fldCharType="end"/>
          </w:r>
        </w:p>
        <w:p w14:paraId="1196F542">
          <w:pPr>
            <w:pStyle w:val="14"/>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_Toc3933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 xml:space="preserve"> 环境保护与安全防护</w:t>
          </w:r>
          <w:r>
            <w:rPr>
              <w:rFonts w:hint="default" w:ascii="Times New Roman" w:hAnsi="Times New Roman" w:eastAsia="宋体" w:cs="Times New Roman"/>
              <w:sz w:val="24"/>
            </w:rPr>
            <w:tab/>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PAGEREF _Toc3933 \h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56</w:t>
          </w:r>
          <w:r>
            <w:rPr>
              <w:rFonts w:hint="default" w:ascii="Times New Roman" w:hAnsi="Times New Roman" w:eastAsia="宋体" w:cs="Times New Roman"/>
              <w:sz w:val="24"/>
            </w:rPr>
            <w:fldChar w:fldCharType="end"/>
          </w:r>
          <w:r>
            <w:rPr>
              <w:rFonts w:hint="default" w:ascii="Times New Roman" w:hAnsi="Times New Roman" w:eastAsia="宋体" w:cs="Times New Roman"/>
              <w:bCs/>
              <w:sz w:val="24"/>
              <w:lang w:val="zh-CN"/>
            </w:rPr>
            <w:fldChar w:fldCharType="end"/>
          </w:r>
        </w:p>
        <w:p w14:paraId="39409497">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_Toc6018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.1一般规定</w:t>
          </w:r>
          <w:r>
            <w:rPr>
              <w:rFonts w:hint="default" w:ascii="Times New Roman" w:hAnsi="Times New Roman" w:eastAsia="宋体" w:cs="Times New Roman"/>
              <w:sz w:val="24"/>
            </w:rPr>
            <w:tab/>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PAGEREF _Toc6018 \h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56</w:t>
          </w:r>
          <w:r>
            <w:rPr>
              <w:rFonts w:hint="default" w:ascii="Times New Roman" w:hAnsi="Times New Roman" w:eastAsia="宋体" w:cs="Times New Roman"/>
              <w:sz w:val="24"/>
            </w:rPr>
            <w:fldChar w:fldCharType="end"/>
          </w:r>
          <w:r>
            <w:rPr>
              <w:rFonts w:hint="default" w:ascii="Times New Roman" w:hAnsi="Times New Roman" w:eastAsia="宋体" w:cs="Times New Roman"/>
              <w:bCs/>
              <w:sz w:val="24"/>
              <w:lang w:val="zh-CN"/>
            </w:rPr>
            <w:fldChar w:fldCharType="end"/>
          </w:r>
        </w:p>
        <w:p w14:paraId="08E900E3">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_Toc3091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.2环境保护、安全</w:t>
          </w:r>
          <w:r>
            <w:rPr>
              <w:rFonts w:hint="default" w:ascii="Times New Roman" w:hAnsi="Times New Roman" w:eastAsia="宋体" w:cs="Times New Roman"/>
              <w:sz w:val="24"/>
            </w:rPr>
            <w:tab/>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PAGEREF _Toc3091 \h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56</w:t>
          </w:r>
          <w:r>
            <w:rPr>
              <w:rFonts w:hint="default" w:ascii="Times New Roman" w:hAnsi="Times New Roman" w:eastAsia="宋体" w:cs="Times New Roman"/>
              <w:sz w:val="24"/>
            </w:rPr>
            <w:fldChar w:fldCharType="end"/>
          </w:r>
          <w:r>
            <w:rPr>
              <w:rFonts w:hint="default" w:ascii="Times New Roman" w:hAnsi="Times New Roman" w:eastAsia="宋体" w:cs="Times New Roman"/>
              <w:bCs/>
              <w:sz w:val="24"/>
              <w:lang w:val="zh-CN"/>
            </w:rPr>
            <w:fldChar w:fldCharType="end"/>
          </w:r>
        </w:p>
        <w:p w14:paraId="1372DF34">
          <w:pPr>
            <w:pStyle w:val="14"/>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_Toc24597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 xml:space="preserve"> 消防</w:t>
          </w:r>
          <w:r>
            <w:rPr>
              <w:rFonts w:hint="default" w:ascii="Times New Roman" w:hAnsi="Times New Roman" w:eastAsia="宋体" w:cs="Times New Roman"/>
              <w:sz w:val="24"/>
            </w:rPr>
            <w:tab/>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PAGEREF _Toc24597 \h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57</w:t>
          </w:r>
          <w:r>
            <w:rPr>
              <w:rFonts w:hint="default" w:ascii="Times New Roman" w:hAnsi="Times New Roman" w:eastAsia="宋体" w:cs="Times New Roman"/>
              <w:sz w:val="24"/>
            </w:rPr>
            <w:fldChar w:fldCharType="end"/>
          </w:r>
          <w:r>
            <w:rPr>
              <w:rFonts w:hint="default" w:ascii="Times New Roman" w:hAnsi="Times New Roman" w:eastAsia="宋体" w:cs="Times New Roman"/>
              <w:bCs/>
              <w:sz w:val="24"/>
              <w:lang w:val="zh-CN"/>
            </w:rPr>
            <w:fldChar w:fldCharType="end"/>
          </w:r>
        </w:p>
        <w:p w14:paraId="5C6A07CE">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_Toc1250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.1一般规定</w:t>
          </w:r>
          <w:r>
            <w:rPr>
              <w:rFonts w:hint="default" w:ascii="Times New Roman" w:hAnsi="Times New Roman" w:eastAsia="宋体" w:cs="Times New Roman"/>
              <w:sz w:val="24"/>
            </w:rPr>
            <w:tab/>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PAGEREF _Toc1250 \h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57</w:t>
          </w:r>
          <w:r>
            <w:rPr>
              <w:rFonts w:hint="default" w:ascii="Times New Roman" w:hAnsi="Times New Roman" w:eastAsia="宋体" w:cs="Times New Roman"/>
              <w:sz w:val="24"/>
            </w:rPr>
            <w:fldChar w:fldCharType="end"/>
          </w:r>
          <w:r>
            <w:rPr>
              <w:rFonts w:hint="default" w:ascii="Times New Roman" w:hAnsi="Times New Roman" w:eastAsia="宋体" w:cs="Times New Roman"/>
              <w:bCs/>
              <w:sz w:val="24"/>
              <w:lang w:val="zh-CN"/>
            </w:rPr>
            <w:fldChar w:fldCharType="end"/>
          </w:r>
        </w:p>
        <w:p w14:paraId="4827D963">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_Toc21045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.2防火</w:t>
          </w:r>
          <w:r>
            <w:rPr>
              <w:rFonts w:hint="default" w:ascii="Times New Roman" w:hAnsi="Times New Roman" w:eastAsia="宋体" w:cs="Times New Roman"/>
              <w:sz w:val="24"/>
            </w:rPr>
            <w:tab/>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PAGEREF _Toc21045 \h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57</w:t>
          </w:r>
          <w:r>
            <w:rPr>
              <w:rFonts w:hint="default" w:ascii="Times New Roman" w:hAnsi="Times New Roman" w:eastAsia="宋体" w:cs="Times New Roman"/>
              <w:sz w:val="24"/>
            </w:rPr>
            <w:fldChar w:fldCharType="end"/>
          </w:r>
          <w:r>
            <w:rPr>
              <w:rFonts w:hint="default" w:ascii="Times New Roman" w:hAnsi="Times New Roman" w:eastAsia="宋体" w:cs="Times New Roman"/>
              <w:bCs/>
              <w:sz w:val="24"/>
              <w:lang w:val="zh-CN"/>
            </w:rPr>
            <w:fldChar w:fldCharType="end"/>
          </w:r>
        </w:p>
        <w:p w14:paraId="0EB336F7">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_Toc7291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.3消防设施</w:t>
          </w:r>
          <w:r>
            <w:rPr>
              <w:rFonts w:hint="default" w:ascii="Times New Roman" w:hAnsi="Times New Roman" w:eastAsia="宋体" w:cs="Times New Roman"/>
              <w:sz w:val="24"/>
            </w:rPr>
            <w:tab/>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PAGEREF _Toc7291 \h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58</w:t>
          </w:r>
          <w:r>
            <w:rPr>
              <w:rFonts w:hint="default" w:ascii="Times New Roman" w:hAnsi="Times New Roman" w:eastAsia="宋体" w:cs="Times New Roman"/>
              <w:sz w:val="24"/>
            </w:rPr>
            <w:fldChar w:fldCharType="end"/>
          </w:r>
          <w:r>
            <w:rPr>
              <w:rFonts w:hint="default" w:ascii="Times New Roman" w:hAnsi="Times New Roman" w:eastAsia="宋体" w:cs="Times New Roman"/>
              <w:bCs/>
              <w:sz w:val="24"/>
              <w:lang w:val="zh-CN"/>
            </w:rPr>
            <w:fldChar w:fldCharType="end"/>
          </w:r>
        </w:p>
        <w:p w14:paraId="6236765F">
          <w:pPr>
            <w:pStyle w:val="14"/>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_Toc13976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 xml:space="preserve"> 验收</w:t>
          </w:r>
          <w:r>
            <w:rPr>
              <w:rFonts w:hint="default" w:ascii="Times New Roman" w:hAnsi="Times New Roman" w:eastAsia="宋体" w:cs="Times New Roman"/>
              <w:sz w:val="24"/>
            </w:rPr>
            <w:tab/>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PAGEREF _Toc13976 \h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59</w:t>
          </w:r>
          <w:r>
            <w:rPr>
              <w:rFonts w:hint="default" w:ascii="Times New Roman" w:hAnsi="Times New Roman" w:eastAsia="宋体" w:cs="Times New Roman"/>
              <w:sz w:val="24"/>
            </w:rPr>
            <w:fldChar w:fldCharType="end"/>
          </w:r>
          <w:r>
            <w:rPr>
              <w:rFonts w:hint="default" w:ascii="Times New Roman" w:hAnsi="Times New Roman" w:eastAsia="宋体" w:cs="Times New Roman"/>
              <w:bCs/>
              <w:sz w:val="24"/>
              <w:lang w:val="zh-CN"/>
            </w:rPr>
            <w:fldChar w:fldCharType="end"/>
          </w:r>
        </w:p>
        <w:p w14:paraId="76E70EFD">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_Toc3682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lang w:val="en-US" w:eastAsia="zh-CN"/>
            </w:rPr>
            <w:t>13.1一般规定</w:t>
          </w:r>
          <w:r>
            <w:rPr>
              <w:rFonts w:hint="default" w:ascii="Times New Roman" w:hAnsi="Times New Roman" w:eastAsia="宋体" w:cs="Times New Roman"/>
              <w:sz w:val="24"/>
            </w:rPr>
            <w:tab/>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PAGEREF _Toc3682 \h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59</w:t>
          </w:r>
          <w:r>
            <w:rPr>
              <w:rFonts w:hint="default" w:ascii="Times New Roman" w:hAnsi="Times New Roman" w:eastAsia="宋体" w:cs="Times New Roman"/>
              <w:sz w:val="24"/>
            </w:rPr>
            <w:fldChar w:fldCharType="end"/>
          </w:r>
          <w:r>
            <w:rPr>
              <w:rFonts w:hint="default" w:ascii="Times New Roman" w:hAnsi="Times New Roman" w:eastAsia="宋体" w:cs="Times New Roman"/>
              <w:bCs/>
              <w:sz w:val="24"/>
              <w:lang w:val="zh-CN"/>
            </w:rPr>
            <w:fldChar w:fldCharType="end"/>
          </w:r>
        </w:p>
        <w:p w14:paraId="7699E7CB">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_Toc8655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lang w:val="en-US" w:eastAsia="zh-CN"/>
            </w:rPr>
            <w:t>13.2验收要求</w:t>
          </w:r>
          <w:r>
            <w:rPr>
              <w:rFonts w:hint="default" w:ascii="Times New Roman" w:hAnsi="Times New Roman" w:eastAsia="宋体" w:cs="Times New Roman"/>
              <w:sz w:val="24"/>
            </w:rPr>
            <w:tab/>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PAGEREF _Toc8655 \h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59</w:t>
          </w:r>
          <w:r>
            <w:rPr>
              <w:rFonts w:hint="default" w:ascii="Times New Roman" w:hAnsi="Times New Roman" w:eastAsia="宋体" w:cs="Times New Roman"/>
              <w:sz w:val="24"/>
            </w:rPr>
            <w:fldChar w:fldCharType="end"/>
          </w:r>
          <w:r>
            <w:rPr>
              <w:rFonts w:hint="default" w:ascii="Times New Roman" w:hAnsi="Times New Roman" w:eastAsia="宋体" w:cs="Times New Roman"/>
              <w:bCs/>
              <w:sz w:val="24"/>
              <w:lang w:val="zh-CN"/>
            </w:rPr>
            <w:fldChar w:fldCharType="end"/>
          </w:r>
        </w:p>
        <w:p w14:paraId="59FAE371">
          <w:pPr>
            <w:pStyle w:val="14"/>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_Toc12182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 xml:space="preserve"> 运行与维护</w:t>
          </w:r>
          <w:r>
            <w:rPr>
              <w:rFonts w:hint="default" w:ascii="Times New Roman" w:hAnsi="Times New Roman" w:eastAsia="宋体" w:cs="Times New Roman"/>
              <w:sz w:val="24"/>
            </w:rPr>
            <w:tab/>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PAGEREF _Toc12182 \h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62</w:t>
          </w:r>
          <w:r>
            <w:rPr>
              <w:rFonts w:hint="default" w:ascii="Times New Roman" w:hAnsi="Times New Roman" w:eastAsia="宋体" w:cs="Times New Roman"/>
              <w:sz w:val="24"/>
            </w:rPr>
            <w:fldChar w:fldCharType="end"/>
          </w:r>
          <w:r>
            <w:rPr>
              <w:rFonts w:hint="default" w:ascii="Times New Roman" w:hAnsi="Times New Roman" w:eastAsia="宋体" w:cs="Times New Roman"/>
              <w:bCs/>
              <w:sz w:val="24"/>
              <w:lang w:val="zh-CN"/>
            </w:rPr>
            <w:fldChar w:fldCharType="end"/>
          </w:r>
        </w:p>
        <w:p w14:paraId="2BA95ACE">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_Toc9415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.1一般规定</w:t>
          </w:r>
          <w:r>
            <w:rPr>
              <w:rFonts w:hint="default" w:ascii="Times New Roman" w:hAnsi="Times New Roman" w:eastAsia="宋体" w:cs="Times New Roman"/>
              <w:sz w:val="24"/>
            </w:rPr>
            <w:tab/>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PAGEREF _Toc9415 \h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62</w:t>
          </w:r>
          <w:r>
            <w:rPr>
              <w:rFonts w:hint="default" w:ascii="Times New Roman" w:hAnsi="Times New Roman" w:eastAsia="宋体" w:cs="Times New Roman"/>
              <w:sz w:val="24"/>
            </w:rPr>
            <w:fldChar w:fldCharType="end"/>
          </w:r>
          <w:r>
            <w:rPr>
              <w:rFonts w:hint="default" w:ascii="Times New Roman" w:hAnsi="Times New Roman" w:eastAsia="宋体" w:cs="Times New Roman"/>
              <w:bCs/>
              <w:sz w:val="24"/>
              <w:lang w:val="zh-CN"/>
            </w:rPr>
            <w:fldChar w:fldCharType="end"/>
          </w:r>
        </w:p>
        <w:p w14:paraId="14BF31DF">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_Toc17810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lang w:val="en-US" w:eastAsia="zh-CN"/>
            </w:rPr>
            <w:t>建筑</w:t>
          </w:r>
          <w:r>
            <w:rPr>
              <w:rFonts w:hint="default" w:ascii="Times New Roman" w:hAnsi="Times New Roman" w:eastAsia="宋体" w:cs="Times New Roman"/>
              <w:sz w:val="24"/>
              <w:szCs w:val="24"/>
            </w:rPr>
            <w:t>运行管理</w:t>
          </w:r>
          <w:r>
            <w:rPr>
              <w:rFonts w:hint="default" w:ascii="Times New Roman" w:hAnsi="Times New Roman" w:eastAsia="宋体" w:cs="Times New Roman"/>
              <w:sz w:val="24"/>
              <w:szCs w:val="24"/>
              <w:lang w:val="en-US" w:eastAsia="zh-CN"/>
            </w:rPr>
            <w:t>与维护</w:t>
          </w:r>
          <w:r>
            <w:rPr>
              <w:rFonts w:hint="default" w:ascii="Times New Roman" w:hAnsi="Times New Roman" w:eastAsia="宋体" w:cs="Times New Roman"/>
              <w:sz w:val="24"/>
            </w:rPr>
            <w:tab/>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PAGEREF _Toc17810 \h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63</w:t>
          </w:r>
          <w:r>
            <w:rPr>
              <w:rFonts w:hint="default" w:ascii="Times New Roman" w:hAnsi="Times New Roman" w:eastAsia="宋体" w:cs="Times New Roman"/>
              <w:sz w:val="24"/>
            </w:rPr>
            <w:fldChar w:fldCharType="end"/>
          </w:r>
          <w:r>
            <w:rPr>
              <w:rFonts w:hint="default" w:ascii="Times New Roman" w:hAnsi="Times New Roman" w:eastAsia="宋体" w:cs="Times New Roman"/>
              <w:bCs/>
              <w:sz w:val="24"/>
              <w:lang w:val="zh-CN"/>
            </w:rPr>
            <w:fldChar w:fldCharType="end"/>
          </w:r>
        </w:p>
        <w:p w14:paraId="15DDFB45">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_Toc3659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lang w:val="en-US" w:eastAsia="zh-CN"/>
            </w:rPr>
            <w:t>光伏系统</w:t>
          </w:r>
          <w:r>
            <w:rPr>
              <w:rFonts w:hint="default" w:ascii="Times New Roman" w:hAnsi="Times New Roman" w:eastAsia="宋体" w:cs="Times New Roman"/>
              <w:sz w:val="24"/>
              <w:szCs w:val="24"/>
            </w:rPr>
            <w:t>运行管理</w:t>
          </w:r>
          <w:r>
            <w:rPr>
              <w:rFonts w:hint="default" w:ascii="Times New Roman" w:hAnsi="Times New Roman" w:eastAsia="宋体" w:cs="Times New Roman"/>
              <w:sz w:val="24"/>
              <w:szCs w:val="24"/>
              <w:lang w:val="en-US" w:eastAsia="zh-CN"/>
            </w:rPr>
            <w:t>与维护</w:t>
          </w:r>
          <w:r>
            <w:rPr>
              <w:rFonts w:hint="default" w:ascii="Times New Roman" w:hAnsi="Times New Roman" w:eastAsia="宋体" w:cs="Times New Roman"/>
              <w:sz w:val="24"/>
            </w:rPr>
            <w:tab/>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PAGEREF _Toc3659 \h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64</w:t>
          </w:r>
          <w:r>
            <w:rPr>
              <w:rFonts w:hint="default" w:ascii="Times New Roman" w:hAnsi="Times New Roman" w:eastAsia="宋体" w:cs="Times New Roman"/>
              <w:sz w:val="24"/>
            </w:rPr>
            <w:fldChar w:fldCharType="end"/>
          </w:r>
          <w:r>
            <w:rPr>
              <w:rFonts w:hint="default" w:ascii="Times New Roman" w:hAnsi="Times New Roman" w:eastAsia="宋体" w:cs="Times New Roman"/>
              <w:bCs/>
              <w:sz w:val="24"/>
              <w:lang w:val="zh-CN"/>
            </w:rPr>
            <w:fldChar w:fldCharType="end"/>
          </w:r>
        </w:p>
        <w:p w14:paraId="26620423">
          <w:pPr>
            <w:pStyle w:val="14"/>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_Toc28231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附录</w:t>
          </w:r>
          <w:r>
            <w:rPr>
              <w:rFonts w:hint="default" w:ascii="Times New Roman" w:hAnsi="Times New Roman" w:eastAsia="宋体" w:cs="Times New Roman"/>
              <w:sz w:val="24"/>
              <w:szCs w:val="24"/>
              <w:lang w:val="en-US" w:eastAsia="zh-CN"/>
            </w:rPr>
            <w:t>A</w:t>
          </w:r>
          <w:r>
            <w:rPr>
              <w:rFonts w:hint="default" w:ascii="Times New Roman" w:hAnsi="Times New Roman" w:eastAsia="宋体" w:cs="Times New Roman"/>
              <w:sz w:val="24"/>
              <w:szCs w:val="24"/>
            </w:rPr>
            <w:t>广东地区太阳能资源</w:t>
          </w:r>
          <w:r>
            <w:rPr>
              <w:rFonts w:hint="default" w:ascii="Times New Roman" w:hAnsi="Times New Roman" w:eastAsia="宋体" w:cs="Times New Roman"/>
              <w:sz w:val="24"/>
            </w:rPr>
            <w:tab/>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PAGEREF _Toc28231 \h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69</w:t>
          </w:r>
          <w:r>
            <w:rPr>
              <w:rFonts w:hint="default" w:ascii="Times New Roman" w:hAnsi="Times New Roman" w:eastAsia="宋体" w:cs="Times New Roman"/>
              <w:sz w:val="24"/>
            </w:rPr>
            <w:fldChar w:fldCharType="end"/>
          </w:r>
          <w:r>
            <w:rPr>
              <w:rFonts w:hint="default" w:ascii="Times New Roman" w:hAnsi="Times New Roman" w:eastAsia="宋体" w:cs="Times New Roman"/>
              <w:bCs/>
              <w:sz w:val="24"/>
              <w:lang w:val="zh-CN"/>
            </w:rPr>
            <w:fldChar w:fldCharType="end"/>
          </w:r>
        </w:p>
        <w:p w14:paraId="013A17B5">
          <w:pPr>
            <w:pStyle w:val="14"/>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_Toc11660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附录</w:t>
          </w:r>
          <w:r>
            <w:rPr>
              <w:rFonts w:hint="default" w:ascii="Times New Roman" w:hAnsi="Times New Roman" w:eastAsia="宋体" w:cs="Times New Roman"/>
              <w:sz w:val="24"/>
              <w:szCs w:val="24"/>
              <w:lang w:val="en-US" w:eastAsia="zh-CN"/>
            </w:rPr>
            <w:t>B</w:t>
          </w:r>
          <w:r>
            <w:rPr>
              <w:rFonts w:hint="default" w:ascii="Times New Roman" w:hAnsi="Times New Roman" w:eastAsia="宋体" w:cs="Times New Roman"/>
              <w:sz w:val="24"/>
              <w:szCs w:val="24"/>
            </w:rPr>
            <w:t>光伏组件/方阵检查测试项目</w:t>
          </w:r>
          <w:r>
            <w:rPr>
              <w:rFonts w:hint="default" w:ascii="Times New Roman" w:hAnsi="Times New Roman" w:eastAsia="宋体" w:cs="Times New Roman"/>
              <w:sz w:val="24"/>
            </w:rPr>
            <w:tab/>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PAGEREF _Toc11660 \h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70</w:t>
          </w:r>
          <w:r>
            <w:rPr>
              <w:rFonts w:hint="default" w:ascii="Times New Roman" w:hAnsi="Times New Roman" w:eastAsia="宋体" w:cs="Times New Roman"/>
              <w:sz w:val="24"/>
            </w:rPr>
            <w:fldChar w:fldCharType="end"/>
          </w:r>
          <w:r>
            <w:rPr>
              <w:rFonts w:hint="default" w:ascii="Times New Roman" w:hAnsi="Times New Roman" w:eastAsia="宋体" w:cs="Times New Roman"/>
              <w:bCs/>
              <w:sz w:val="24"/>
              <w:lang w:val="zh-CN"/>
            </w:rPr>
            <w:fldChar w:fldCharType="end"/>
          </w:r>
        </w:p>
        <w:p w14:paraId="423F4744">
          <w:pPr>
            <w:pStyle w:val="14"/>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_Toc1678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附录</w:t>
          </w:r>
          <w:r>
            <w:rPr>
              <w:rFonts w:hint="default" w:ascii="Times New Roman" w:hAnsi="Times New Roman" w:eastAsia="宋体" w:cs="Times New Roman"/>
              <w:sz w:val="24"/>
              <w:szCs w:val="24"/>
              <w:lang w:val="en-US" w:eastAsia="zh-CN"/>
            </w:rPr>
            <w:t>C</w:t>
          </w:r>
          <w:r>
            <w:rPr>
              <w:rFonts w:hint="default" w:ascii="Times New Roman" w:hAnsi="Times New Roman" w:eastAsia="宋体" w:cs="Times New Roman"/>
              <w:bCs/>
              <w:sz w:val="24"/>
              <w:szCs w:val="24"/>
            </w:rPr>
            <w:t>建筑光伏系统的故障处理表</w:t>
          </w:r>
          <w:r>
            <w:rPr>
              <w:rFonts w:hint="default" w:ascii="Times New Roman" w:hAnsi="Times New Roman" w:eastAsia="宋体" w:cs="Times New Roman"/>
              <w:sz w:val="24"/>
            </w:rPr>
            <w:tab/>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PAGEREF _Toc1678 \h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71</w:t>
          </w:r>
          <w:r>
            <w:rPr>
              <w:rFonts w:hint="default" w:ascii="Times New Roman" w:hAnsi="Times New Roman" w:eastAsia="宋体" w:cs="Times New Roman"/>
              <w:sz w:val="24"/>
            </w:rPr>
            <w:fldChar w:fldCharType="end"/>
          </w:r>
          <w:r>
            <w:rPr>
              <w:rFonts w:hint="default" w:ascii="Times New Roman" w:hAnsi="Times New Roman" w:eastAsia="宋体" w:cs="Times New Roman"/>
              <w:bCs/>
              <w:sz w:val="24"/>
              <w:lang w:val="zh-CN"/>
            </w:rPr>
            <w:fldChar w:fldCharType="end"/>
          </w:r>
        </w:p>
        <w:p w14:paraId="591D35A8">
          <w:pPr>
            <w:pStyle w:val="14"/>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_Toc11887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bCs w:val="0"/>
              <w:sz w:val="24"/>
              <w:szCs w:val="24"/>
            </w:rPr>
            <w:t>本标准用词说明</w:t>
          </w:r>
          <w:r>
            <w:rPr>
              <w:rFonts w:hint="default" w:ascii="Times New Roman" w:hAnsi="Times New Roman" w:eastAsia="宋体" w:cs="Times New Roman"/>
              <w:sz w:val="24"/>
            </w:rPr>
            <w:tab/>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PAGEREF _Toc11887 \h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72</w:t>
          </w:r>
          <w:r>
            <w:rPr>
              <w:rFonts w:hint="default" w:ascii="Times New Roman" w:hAnsi="Times New Roman" w:eastAsia="宋体" w:cs="Times New Roman"/>
              <w:sz w:val="24"/>
            </w:rPr>
            <w:fldChar w:fldCharType="end"/>
          </w:r>
          <w:r>
            <w:rPr>
              <w:rFonts w:hint="default" w:ascii="Times New Roman" w:hAnsi="Times New Roman" w:eastAsia="宋体" w:cs="Times New Roman"/>
              <w:bCs/>
              <w:sz w:val="24"/>
              <w:lang w:val="zh-CN"/>
            </w:rPr>
            <w:fldChar w:fldCharType="end"/>
          </w:r>
        </w:p>
        <w:p w14:paraId="5ACD8C21">
          <w:pPr>
            <w:pStyle w:val="14"/>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_Toc13581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引用标准名录</w:t>
          </w:r>
          <w:r>
            <w:rPr>
              <w:rFonts w:hint="default" w:ascii="Times New Roman" w:hAnsi="Times New Roman" w:eastAsia="宋体" w:cs="Times New Roman"/>
              <w:sz w:val="24"/>
            </w:rPr>
            <w:tab/>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PAGEREF _Toc13581 \h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73</w:t>
          </w:r>
          <w:r>
            <w:rPr>
              <w:rFonts w:hint="default" w:ascii="Times New Roman" w:hAnsi="Times New Roman" w:eastAsia="宋体" w:cs="Times New Roman"/>
              <w:sz w:val="24"/>
            </w:rPr>
            <w:fldChar w:fldCharType="end"/>
          </w:r>
          <w:r>
            <w:rPr>
              <w:rFonts w:hint="default" w:ascii="Times New Roman" w:hAnsi="Times New Roman" w:eastAsia="宋体" w:cs="Times New Roman"/>
              <w:bCs/>
              <w:sz w:val="24"/>
              <w:lang w:val="zh-CN"/>
            </w:rPr>
            <w:fldChar w:fldCharType="end"/>
          </w:r>
        </w:p>
        <w:p w14:paraId="15E61E11">
          <w:pPr>
            <w:pStyle w:val="14"/>
            <w:tabs>
              <w:tab w:val="right" w:leader="dot" w:pos="8306"/>
            </w:tabs>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_Toc29221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bCs w:val="0"/>
              <w:sz w:val="24"/>
              <w:szCs w:val="24"/>
            </w:rPr>
            <w:t>条文说明</w:t>
          </w:r>
          <w:r>
            <w:rPr>
              <w:rFonts w:hint="default" w:ascii="Times New Roman" w:hAnsi="Times New Roman" w:eastAsia="宋体" w:cs="Times New Roman"/>
              <w:sz w:val="24"/>
            </w:rPr>
            <w:tab/>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PAGEREF _Toc29221 \h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74</w:t>
          </w:r>
          <w:r>
            <w:rPr>
              <w:rFonts w:hint="default" w:ascii="Times New Roman" w:hAnsi="Times New Roman" w:eastAsia="宋体" w:cs="Times New Roman"/>
              <w:sz w:val="24"/>
            </w:rPr>
            <w:fldChar w:fldCharType="end"/>
          </w:r>
          <w:r>
            <w:rPr>
              <w:rFonts w:hint="default" w:ascii="Times New Roman" w:hAnsi="Times New Roman" w:eastAsia="宋体" w:cs="Times New Roman"/>
              <w:bCs/>
              <w:sz w:val="24"/>
              <w:lang w:val="zh-CN"/>
            </w:rPr>
            <w:fldChar w:fldCharType="end"/>
          </w:r>
        </w:p>
        <w:p w14:paraId="758E26E4">
          <w:pPr>
            <w:snapToGrid w:val="0"/>
            <w:spacing w:line="300" w:lineRule="auto"/>
            <w:rPr>
              <w:b/>
              <w:bCs/>
              <w:lang w:val="zh-CN"/>
            </w:rPr>
          </w:pPr>
          <w:r>
            <w:rPr>
              <w:b/>
              <w:bCs/>
              <w:sz w:val="24"/>
              <w:lang w:val="zh-CN"/>
            </w:rPr>
            <w:fldChar w:fldCharType="end"/>
          </w:r>
        </w:p>
      </w:sdtContent>
    </w:sdt>
    <w:p w14:paraId="444DA167">
      <w:pPr>
        <w:widowControl/>
        <w:spacing w:line="300" w:lineRule="auto"/>
        <w:jc w:val="left"/>
        <w:rPr>
          <w:b/>
          <w:bCs/>
          <w:lang w:val="zh-CN"/>
        </w:rPr>
      </w:pPr>
      <w:r>
        <w:rPr>
          <w:b/>
          <w:bCs/>
          <w:lang w:val="zh-CN"/>
        </w:rPr>
        <w:br w:type="page"/>
      </w:r>
    </w:p>
    <w:p w14:paraId="650931C0">
      <w:pPr>
        <w:pStyle w:val="28"/>
        <w:spacing w:line="300" w:lineRule="auto"/>
        <w:jc w:val="center"/>
        <w:rPr>
          <w:rFonts w:ascii="Times New Roman" w:hAnsi="Times New Roman" w:cs="Times New Roman"/>
          <w:color w:val="auto"/>
        </w:rPr>
      </w:pPr>
      <w:r>
        <w:rPr>
          <w:rFonts w:ascii="Times New Roman" w:hAnsi="Times New Roman" w:cs="Times New Roman"/>
          <w:color w:val="auto"/>
        </w:rPr>
        <w:t>Contents</w:t>
      </w:r>
    </w:p>
    <w:p w14:paraId="17538F5A">
      <w:pPr>
        <w:pStyle w:val="14"/>
        <w:tabs>
          <w:tab w:val="right" w:leader="dot" w:pos="8296"/>
        </w:tabs>
        <w:snapToGrid w:val="0"/>
        <w:spacing w:line="300" w:lineRule="auto"/>
        <w:rPr>
          <w:rFonts w:hint="eastAsia" w:ascii="Times New Roman" w:hAnsi="Times New Roman" w:eastAsia="宋体" w:cs="Times New Roman"/>
          <w:sz w:val="24"/>
          <w:lang w:eastAsia="zh-CN"/>
          <w14:ligatures w14:val="standardContextual"/>
        </w:rPr>
      </w:pPr>
      <w:r>
        <w:rPr>
          <w:sz w:val="24"/>
        </w:rPr>
        <w:fldChar w:fldCharType="begin"/>
      </w:r>
      <w:r>
        <w:rPr>
          <w:sz w:val="24"/>
        </w:rPr>
        <w:instrText xml:space="preserve"> TOC \o "1-3" \h \z \u </w:instrText>
      </w:r>
      <w:r>
        <w:rPr>
          <w:sz w:val="24"/>
        </w:rPr>
        <w:fldChar w:fldCharType="separate"/>
      </w:r>
      <w:r>
        <w:rPr>
          <w:rFonts w:ascii="Times New Roman" w:hAnsi="Times New Roman" w:cs="Times New Roman"/>
          <w:sz w:val="24"/>
        </w:rPr>
        <w:fldChar w:fldCharType="begin"/>
      </w:r>
      <w:r>
        <w:rPr>
          <w:rFonts w:ascii="Times New Roman" w:hAnsi="Times New Roman" w:cs="Times New Roman"/>
          <w:sz w:val="24"/>
        </w:rPr>
        <w:instrText xml:space="preserve"> HYPERLINK \l "_Toc141435353" </w:instrText>
      </w:r>
      <w:r>
        <w:rPr>
          <w:rFonts w:ascii="Times New Roman" w:hAnsi="Times New Roman" w:cs="Times New Roman"/>
          <w:sz w:val="24"/>
        </w:rPr>
        <w:fldChar w:fldCharType="separate"/>
      </w:r>
      <w:r>
        <w:rPr>
          <w:rStyle w:val="21"/>
          <w:rFonts w:ascii="Times New Roman" w:hAnsi="Times New Roman" w:cs="Times New Roman"/>
          <w:color w:val="auto"/>
          <w:sz w:val="24"/>
        </w:rPr>
        <w:t>1 General Provisions</w:t>
      </w:r>
      <w:r>
        <w:rPr>
          <w:rFonts w:ascii="Times New Roman" w:hAnsi="Times New Roman" w:cs="Times New Roman"/>
          <w:sz w:val="24"/>
        </w:rPr>
        <w:tab/>
      </w:r>
      <w:r>
        <w:rPr>
          <w:rFonts w:hint="default" w:ascii="Times New Roman" w:hAnsi="Times New Roman" w:cs="Times New Roman"/>
          <w:sz w:val="24"/>
        </w:rPr>
        <w:fldChar w:fldCharType="end"/>
      </w:r>
      <w:r>
        <w:rPr>
          <w:rFonts w:hint="eastAsia" w:cs="Times New Roman"/>
          <w:sz w:val="24"/>
          <w:lang w:val="en-US" w:eastAsia="zh-CN"/>
        </w:rPr>
        <w:t>1</w:t>
      </w:r>
    </w:p>
    <w:p w14:paraId="1FFD9D75">
      <w:pPr>
        <w:pStyle w:val="14"/>
        <w:tabs>
          <w:tab w:val="right" w:leader="dot" w:pos="8296"/>
        </w:tabs>
        <w:snapToGrid w:val="0"/>
        <w:spacing w:line="300" w:lineRule="auto"/>
        <w:rPr>
          <w:rFonts w:hint="default" w:ascii="Times New Roman" w:hAnsi="Times New Roman" w:eastAsia="宋体" w:cs="Times New Roman"/>
          <w:sz w:val="24"/>
          <w:lang w:val="en-US" w:eastAsia="zh-CN"/>
          <w14:ligatures w14:val="standardContextual"/>
        </w:rPr>
      </w:pPr>
      <w:r>
        <w:rPr>
          <w:rFonts w:ascii="Times New Roman" w:hAnsi="Times New Roman" w:cs="Times New Roman"/>
          <w:sz w:val="24"/>
        </w:rPr>
        <w:fldChar w:fldCharType="begin"/>
      </w:r>
      <w:r>
        <w:rPr>
          <w:rFonts w:ascii="Times New Roman" w:hAnsi="Times New Roman" w:cs="Times New Roman"/>
          <w:sz w:val="24"/>
        </w:rPr>
        <w:instrText xml:space="preserve"> HYPERLINK \l "_Toc141435354" </w:instrText>
      </w:r>
      <w:r>
        <w:rPr>
          <w:rFonts w:ascii="Times New Roman" w:hAnsi="Times New Roman" w:cs="Times New Roman"/>
          <w:sz w:val="24"/>
        </w:rPr>
        <w:fldChar w:fldCharType="separate"/>
      </w:r>
      <w:r>
        <w:rPr>
          <w:rStyle w:val="21"/>
          <w:rFonts w:ascii="Times New Roman" w:hAnsi="Times New Roman" w:cs="Times New Roman"/>
          <w:color w:val="auto"/>
          <w:sz w:val="24"/>
        </w:rPr>
        <w:t>2 Terms</w:t>
      </w:r>
      <w:r>
        <w:rPr>
          <w:rFonts w:ascii="Times New Roman" w:hAnsi="Times New Roman" w:cs="Times New Roman"/>
          <w:sz w:val="24"/>
        </w:rPr>
        <w:tab/>
      </w:r>
      <w:r>
        <w:rPr>
          <w:rFonts w:ascii="Times New Roman" w:hAnsi="Times New Roman" w:cs="Times New Roman"/>
          <w:sz w:val="24"/>
        </w:rPr>
        <w:fldChar w:fldCharType="end"/>
      </w:r>
      <w:r>
        <w:rPr>
          <w:rFonts w:hint="eastAsia" w:cs="Times New Roman"/>
          <w:sz w:val="24"/>
          <w:lang w:val="en-US" w:eastAsia="zh-CN"/>
        </w:rPr>
        <w:t>2</w:t>
      </w:r>
    </w:p>
    <w:p w14:paraId="249E7754">
      <w:pPr>
        <w:pStyle w:val="14"/>
        <w:tabs>
          <w:tab w:val="right" w:leader="dot" w:pos="8296"/>
        </w:tabs>
        <w:snapToGrid w:val="0"/>
        <w:spacing w:line="300" w:lineRule="auto"/>
        <w:rPr>
          <w:rFonts w:hint="default" w:ascii="Times New Roman" w:hAnsi="Times New Roman" w:eastAsia="宋体" w:cs="Times New Roman"/>
          <w:sz w:val="24"/>
          <w:lang w:val="en-US" w:eastAsia="zh-CN"/>
          <w14:ligatures w14:val="standardContextual"/>
        </w:rPr>
      </w:pPr>
      <w:r>
        <w:rPr>
          <w:rFonts w:ascii="Times New Roman" w:hAnsi="Times New Roman" w:cs="Times New Roman"/>
          <w:sz w:val="24"/>
        </w:rPr>
        <w:fldChar w:fldCharType="begin"/>
      </w:r>
      <w:r>
        <w:rPr>
          <w:rFonts w:ascii="Times New Roman" w:hAnsi="Times New Roman" w:cs="Times New Roman"/>
          <w:sz w:val="24"/>
        </w:rPr>
        <w:instrText xml:space="preserve"> HYPERLINK \l "_Toc141435355" </w:instrText>
      </w:r>
      <w:r>
        <w:rPr>
          <w:rFonts w:ascii="Times New Roman" w:hAnsi="Times New Roman" w:cs="Times New Roman"/>
          <w:sz w:val="24"/>
        </w:rPr>
        <w:fldChar w:fldCharType="separate"/>
      </w:r>
      <w:r>
        <w:rPr>
          <w:rStyle w:val="21"/>
          <w:rFonts w:ascii="Times New Roman" w:hAnsi="Times New Roman" w:cs="Times New Roman"/>
          <w:color w:val="auto"/>
          <w:sz w:val="24"/>
        </w:rPr>
        <w:t>3 Basic Requirements</w:t>
      </w:r>
      <w:r>
        <w:rPr>
          <w:rFonts w:ascii="Times New Roman" w:hAnsi="Times New Roman" w:cs="Times New Roman"/>
          <w:sz w:val="24"/>
        </w:rPr>
        <w:tab/>
      </w:r>
      <w:r>
        <w:rPr>
          <w:rFonts w:hint="default" w:ascii="Times New Roman" w:hAnsi="Times New Roman" w:cs="Times New Roman"/>
          <w:sz w:val="24"/>
        </w:rPr>
        <w:fldChar w:fldCharType="end"/>
      </w:r>
      <w:r>
        <w:rPr>
          <w:rFonts w:hint="eastAsia" w:cs="Times New Roman"/>
          <w:sz w:val="24"/>
          <w:lang w:val="en-US" w:eastAsia="zh-CN"/>
        </w:rPr>
        <w:t>4</w:t>
      </w:r>
    </w:p>
    <w:p w14:paraId="7EF19FDA">
      <w:pPr>
        <w:pStyle w:val="14"/>
        <w:tabs>
          <w:tab w:val="right" w:leader="dot" w:pos="8296"/>
        </w:tabs>
        <w:snapToGrid w:val="0"/>
        <w:spacing w:line="300" w:lineRule="auto"/>
        <w:rPr>
          <w:rFonts w:hint="default" w:ascii="Times New Roman" w:hAnsi="Times New Roman" w:eastAsia="宋体" w:cs="Times New Roman"/>
          <w:sz w:val="24"/>
          <w:lang w:val="en-US" w:eastAsia="zh-CN"/>
          <w14:ligatures w14:val="standardContextual"/>
        </w:rPr>
      </w:pPr>
      <w:r>
        <w:rPr>
          <w:rFonts w:ascii="Times New Roman" w:hAnsi="Times New Roman" w:cs="Times New Roman"/>
          <w:sz w:val="24"/>
        </w:rPr>
        <w:fldChar w:fldCharType="begin"/>
      </w:r>
      <w:r>
        <w:rPr>
          <w:rFonts w:ascii="Times New Roman" w:hAnsi="Times New Roman" w:cs="Times New Roman"/>
          <w:sz w:val="24"/>
        </w:rPr>
        <w:instrText xml:space="preserve"> HYPERLINK \l "_Toc141449347" </w:instrText>
      </w:r>
      <w:r>
        <w:rPr>
          <w:rFonts w:ascii="Times New Roman" w:hAnsi="Times New Roman" w:cs="Times New Roman"/>
          <w:sz w:val="24"/>
        </w:rPr>
        <w:fldChar w:fldCharType="separate"/>
      </w:r>
      <w:r>
        <w:rPr>
          <w:rStyle w:val="21"/>
          <w:rFonts w:ascii="Times New Roman" w:hAnsi="Times New Roman" w:cs="Times New Roman"/>
          <w:color w:val="auto"/>
          <w:sz w:val="24"/>
        </w:rPr>
        <w:t>4 Equipment and materials</w:t>
      </w:r>
      <w:r>
        <w:rPr>
          <w:rFonts w:ascii="Times New Roman" w:hAnsi="Times New Roman" w:cs="Times New Roman"/>
          <w:sz w:val="24"/>
        </w:rPr>
        <w:tab/>
      </w:r>
      <w:r>
        <w:rPr>
          <w:rFonts w:ascii="Times New Roman" w:hAnsi="Times New Roman" w:cs="Times New Roman"/>
          <w:sz w:val="24"/>
        </w:rPr>
        <w:fldChar w:fldCharType="end"/>
      </w:r>
      <w:r>
        <w:rPr>
          <w:rFonts w:hint="eastAsia" w:cs="Times New Roman"/>
          <w:sz w:val="24"/>
          <w:lang w:val="en-US" w:eastAsia="zh-CN"/>
        </w:rPr>
        <w:t>8</w:t>
      </w:r>
    </w:p>
    <w:p w14:paraId="1B2BC952">
      <w:pPr>
        <w:pStyle w:val="8"/>
        <w:tabs>
          <w:tab w:val="right" w:leader="dot" w:pos="8296"/>
        </w:tabs>
        <w:snapToGrid w:val="0"/>
        <w:spacing w:line="300" w:lineRule="auto"/>
        <w:rPr>
          <w:rFonts w:hint="default" w:ascii="Times New Roman" w:hAnsi="Times New Roman" w:eastAsia="宋体" w:cs="Times New Roman"/>
          <w:sz w:val="24"/>
          <w:lang w:val="en-US" w:eastAsia="zh-CN"/>
          <w14:ligatures w14:val="standardContextual"/>
        </w:rPr>
      </w:pPr>
      <w:r>
        <w:rPr>
          <w:rFonts w:ascii="Times New Roman" w:hAnsi="Times New Roman" w:cs="Times New Roman"/>
          <w:sz w:val="24"/>
        </w:rPr>
        <w:fldChar w:fldCharType="begin"/>
      </w:r>
      <w:r>
        <w:rPr>
          <w:rFonts w:ascii="Times New Roman" w:hAnsi="Times New Roman" w:cs="Times New Roman"/>
          <w:sz w:val="24"/>
        </w:rPr>
        <w:instrText xml:space="preserve"> HYPERLINK \l "_Toc141449348" </w:instrText>
      </w:r>
      <w:r>
        <w:rPr>
          <w:rFonts w:ascii="Times New Roman" w:hAnsi="Times New Roman" w:cs="Times New Roman"/>
          <w:sz w:val="24"/>
        </w:rPr>
        <w:fldChar w:fldCharType="separate"/>
      </w:r>
      <w:r>
        <w:rPr>
          <w:rStyle w:val="21"/>
          <w:rFonts w:ascii="Times New Roman" w:hAnsi="Times New Roman" w:cs="Times New Roman"/>
          <w:color w:val="auto"/>
          <w:sz w:val="24"/>
        </w:rPr>
        <w:t xml:space="preserve">4.1 </w:t>
      </w:r>
      <w:r>
        <w:rPr>
          <w:rStyle w:val="21"/>
          <w:rFonts w:hint="default" w:ascii="Times New Roman" w:hAnsi="Times New Roman" w:cs="Times New Roman"/>
          <w:color w:val="auto"/>
          <w:sz w:val="24"/>
        </w:rPr>
        <w:t>General Requirements</w:t>
      </w:r>
      <w:r>
        <w:rPr>
          <w:rFonts w:ascii="Times New Roman" w:hAnsi="Times New Roman" w:cs="Times New Roman"/>
          <w:sz w:val="24"/>
        </w:rPr>
        <w:tab/>
      </w:r>
      <w:r>
        <w:rPr>
          <w:rFonts w:ascii="Times New Roman" w:hAnsi="Times New Roman" w:cs="Times New Roman"/>
          <w:sz w:val="24"/>
        </w:rPr>
        <w:fldChar w:fldCharType="end"/>
      </w:r>
      <w:r>
        <w:rPr>
          <w:rFonts w:hint="eastAsia" w:cs="Times New Roman"/>
          <w:sz w:val="24"/>
          <w:lang w:val="en-US" w:eastAsia="zh-CN"/>
        </w:rPr>
        <w:t>8</w:t>
      </w:r>
    </w:p>
    <w:p w14:paraId="36C51041">
      <w:pPr>
        <w:pStyle w:val="8"/>
        <w:tabs>
          <w:tab w:val="right" w:leader="dot" w:pos="8296"/>
        </w:tabs>
        <w:snapToGrid w:val="0"/>
        <w:spacing w:line="300" w:lineRule="auto"/>
        <w:rPr>
          <w:rFonts w:hint="default" w:ascii="Times New Roman" w:hAnsi="Times New Roman" w:eastAsia="宋体" w:cs="Times New Roman"/>
          <w:sz w:val="24"/>
          <w:lang w:val="en-US" w:eastAsia="zh-CN"/>
          <w14:ligatures w14:val="standardContextual"/>
        </w:rPr>
      </w:pPr>
      <w:r>
        <w:rPr>
          <w:rFonts w:ascii="Times New Roman" w:hAnsi="Times New Roman" w:cs="Times New Roman"/>
          <w:sz w:val="24"/>
        </w:rPr>
        <w:fldChar w:fldCharType="begin"/>
      </w:r>
      <w:r>
        <w:rPr>
          <w:rFonts w:ascii="Times New Roman" w:hAnsi="Times New Roman" w:cs="Times New Roman"/>
          <w:sz w:val="24"/>
        </w:rPr>
        <w:instrText xml:space="preserve"> HYPERLINK \l "_Toc141449349" </w:instrText>
      </w:r>
      <w:r>
        <w:rPr>
          <w:rFonts w:ascii="Times New Roman" w:hAnsi="Times New Roman" w:cs="Times New Roman"/>
          <w:sz w:val="24"/>
        </w:rPr>
        <w:fldChar w:fldCharType="separate"/>
      </w:r>
      <w:r>
        <w:rPr>
          <w:rStyle w:val="21"/>
          <w:rFonts w:ascii="Times New Roman" w:hAnsi="Times New Roman" w:cs="Times New Roman"/>
          <w:color w:val="auto"/>
          <w:sz w:val="24"/>
        </w:rPr>
        <w:t>4.2 Photovoltaic Modules</w:t>
      </w:r>
      <w:r>
        <w:rPr>
          <w:rFonts w:ascii="Times New Roman" w:hAnsi="Times New Roman" w:cs="Times New Roman"/>
          <w:sz w:val="24"/>
        </w:rPr>
        <w:tab/>
      </w:r>
      <w:r>
        <w:rPr>
          <w:rFonts w:hint="default" w:ascii="Times New Roman" w:hAnsi="Times New Roman" w:cs="Times New Roman"/>
          <w:sz w:val="24"/>
        </w:rPr>
        <w:fldChar w:fldCharType="end"/>
      </w:r>
      <w:r>
        <w:rPr>
          <w:rFonts w:hint="eastAsia" w:cs="Times New Roman"/>
          <w:sz w:val="24"/>
          <w:lang w:val="en-US" w:eastAsia="zh-CN"/>
        </w:rPr>
        <w:t>8</w:t>
      </w:r>
    </w:p>
    <w:p w14:paraId="2BCB267A">
      <w:pPr>
        <w:pStyle w:val="8"/>
        <w:tabs>
          <w:tab w:val="right" w:leader="dot" w:pos="8296"/>
        </w:tabs>
        <w:snapToGrid w:val="0"/>
        <w:spacing w:line="300" w:lineRule="auto"/>
        <w:rPr>
          <w:rFonts w:hint="default" w:ascii="Times New Roman" w:hAnsi="Times New Roman" w:eastAsia="宋体" w:cs="Times New Roman"/>
          <w:sz w:val="24"/>
          <w:lang w:val="en-US" w:eastAsia="zh-CN"/>
          <w14:ligatures w14:val="standardContextual"/>
        </w:rPr>
      </w:pPr>
      <w:r>
        <w:rPr>
          <w:rFonts w:ascii="Times New Roman" w:hAnsi="Times New Roman" w:cs="Times New Roman"/>
          <w:sz w:val="24"/>
        </w:rPr>
        <w:fldChar w:fldCharType="begin"/>
      </w:r>
      <w:r>
        <w:rPr>
          <w:rFonts w:ascii="Times New Roman" w:hAnsi="Times New Roman" w:cs="Times New Roman"/>
          <w:sz w:val="24"/>
        </w:rPr>
        <w:instrText xml:space="preserve"> HYPERLINK \l "_Toc141449350" </w:instrText>
      </w:r>
      <w:r>
        <w:rPr>
          <w:rFonts w:ascii="Times New Roman" w:hAnsi="Times New Roman" w:cs="Times New Roman"/>
          <w:sz w:val="24"/>
        </w:rPr>
        <w:fldChar w:fldCharType="separate"/>
      </w:r>
      <w:r>
        <w:rPr>
          <w:rStyle w:val="21"/>
          <w:rFonts w:ascii="Times New Roman" w:hAnsi="Times New Roman" w:cs="Times New Roman"/>
          <w:color w:val="auto"/>
          <w:sz w:val="24"/>
        </w:rPr>
        <w:t>4.3 Materials</w:t>
      </w:r>
      <w:r>
        <w:rPr>
          <w:rFonts w:ascii="Times New Roman" w:hAnsi="Times New Roman" w:cs="Times New Roman"/>
          <w:sz w:val="24"/>
        </w:rPr>
        <w:tab/>
      </w:r>
      <w:r>
        <w:rPr>
          <w:rFonts w:hint="default" w:ascii="Times New Roman" w:hAnsi="Times New Roman" w:cs="Times New Roman"/>
          <w:sz w:val="24"/>
        </w:rPr>
        <w:fldChar w:fldCharType="end"/>
      </w:r>
      <w:r>
        <w:rPr>
          <w:rFonts w:hint="eastAsia" w:cs="Times New Roman"/>
          <w:sz w:val="24"/>
          <w:lang w:val="en-US" w:eastAsia="zh-CN"/>
        </w:rPr>
        <w:t>10</w:t>
      </w:r>
    </w:p>
    <w:p w14:paraId="7F255581">
      <w:pPr>
        <w:pStyle w:val="8"/>
        <w:tabs>
          <w:tab w:val="right" w:leader="dot" w:pos="8296"/>
        </w:tabs>
        <w:snapToGrid w:val="0"/>
        <w:spacing w:line="300" w:lineRule="auto"/>
        <w:rPr>
          <w:rFonts w:hint="default" w:ascii="Times New Roman" w:hAnsi="Times New Roman" w:eastAsia="宋体" w:cs="Times New Roman"/>
          <w:sz w:val="24"/>
          <w:lang w:val="en-US" w:eastAsia="zh-CN"/>
          <w14:ligatures w14:val="standardContextual"/>
        </w:rPr>
      </w:pPr>
      <w:r>
        <w:rPr>
          <w:rFonts w:ascii="Times New Roman" w:hAnsi="Times New Roman" w:cs="Times New Roman"/>
          <w:sz w:val="24"/>
        </w:rPr>
        <w:fldChar w:fldCharType="begin"/>
      </w:r>
      <w:r>
        <w:rPr>
          <w:rFonts w:ascii="Times New Roman" w:hAnsi="Times New Roman" w:cs="Times New Roman"/>
          <w:sz w:val="24"/>
        </w:rPr>
        <w:instrText xml:space="preserve"> HYPERLINK \l "_Toc141449351" </w:instrText>
      </w:r>
      <w:r>
        <w:rPr>
          <w:rFonts w:ascii="Times New Roman" w:hAnsi="Times New Roman" w:cs="Times New Roman"/>
          <w:sz w:val="24"/>
        </w:rPr>
        <w:fldChar w:fldCharType="separate"/>
      </w:r>
      <w:r>
        <w:rPr>
          <w:rStyle w:val="21"/>
          <w:rFonts w:ascii="Times New Roman" w:hAnsi="Times New Roman" w:cs="Times New Roman"/>
          <w:color w:val="auto"/>
          <w:sz w:val="24"/>
        </w:rPr>
        <w:t>4.4 Inverter</w:t>
      </w:r>
      <w:r>
        <w:rPr>
          <w:rFonts w:ascii="Times New Roman" w:hAnsi="Times New Roman" w:cs="Times New Roman"/>
          <w:sz w:val="24"/>
        </w:rPr>
        <w:tab/>
      </w:r>
      <w:r>
        <w:rPr>
          <w:rFonts w:hint="default" w:ascii="Times New Roman" w:hAnsi="Times New Roman" w:cs="Times New Roman"/>
          <w:sz w:val="24"/>
        </w:rPr>
        <w:fldChar w:fldCharType="end"/>
      </w:r>
      <w:r>
        <w:rPr>
          <w:rFonts w:hint="default" w:ascii="Times New Roman" w:hAnsi="Times New Roman" w:cs="Times New Roman"/>
          <w:sz w:val="24"/>
          <w:lang w:val="en-US" w:eastAsia="zh-CN"/>
        </w:rPr>
        <w:t>1</w:t>
      </w:r>
      <w:r>
        <w:rPr>
          <w:rFonts w:hint="eastAsia" w:cs="Times New Roman"/>
          <w:sz w:val="24"/>
          <w:lang w:val="en-US" w:eastAsia="zh-CN"/>
        </w:rPr>
        <w:t>3</w:t>
      </w:r>
    </w:p>
    <w:p w14:paraId="0A0A9686">
      <w:pPr>
        <w:pStyle w:val="8"/>
        <w:tabs>
          <w:tab w:val="right" w:leader="dot" w:pos="8296"/>
        </w:tabs>
        <w:snapToGrid w:val="0"/>
        <w:spacing w:line="300" w:lineRule="auto"/>
        <w:rPr>
          <w:rFonts w:hint="default" w:ascii="Times New Roman" w:hAnsi="Times New Roman" w:eastAsia="宋体" w:cs="Times New Roman"/>
          <w:sz w:val="24"/>
          <w:lang w:val="en-US" w:eastAsia="zh-CN"/>
          <w14:ligatures w14:val="standardContextual"/>
        </w:rPr>
      </w:pPr>
      <w:r>
        <w:rPr>
          <w:rFonts w:ascii="Times New Roman" w:hAnsi="Times New Roman" w:cs="Times New Roman"/>
          <w:sz w:val="24"/>
        </w:rPr>
        <w:fldChar w:fldCharType="begin"/>
      </w:r>
      <w:r>
        <w:rPr>
          <w:rFonts w:ascii="Times New Roman" w:hAnsi="Times New Roman" w:cs="Times New Roman"/>
          <w:sz w:val="24"/>
        </w:rPr>
        <w:instrText xml:space="preserve"> HYPERLINK \l "_Toc141449352" </w:instrText>
      </w:r>
      <w:r>
        <w:rPr>
          <w:rFonts w:ascii="Times New Roman" w:hAnsi="Times New Roman" w:cs="Times New Roman"/>
          <w:sz w:val="24"/>
        </w:rPr>
        <w:fldChar w:fldCharType="separate"/>
      </w:r>
      <w:r>
        <w:rPr>
          <w:rStyle w:val="21"/>
          <w:rFonts w:ascii="Times New Roman" w:hAnsi="Times New Roman" w:cs="Times New Roman"/>
          <w:color w:val="auto"/>
          <w:sz w:val="24"/>
        </w:rPr>
        <w:t>4.5 Energy Storage System</w:t>
      </w:r>
      <w:r>
        <w:rPr>
          <w:rFonts w:ascii="Times New Roman" w:hAnsi="Times New Roman" w:cs="Times New Roman"/>
          <w:sz w:val="24"/>
        </w:rPr>
        <w:tab/>
      </w:r>
      <w:r>
        <w:rPr>
          <w:rFonts w:hint="default" w:ascii="Times New Roman" w:hAnsi="Times New Roman" w:cs="Times New Roman"/>
          <w:sz w:val="24"/>
        </w:rPr>
        <w:fldChar w:fldCharType="end"/>
      </w:r>
      <w:r>
        <w:rPr>
          <w:rFonts w:hint="eastAsia" w:cs="Times New Roman"/>
          <w:sz w:val="24"/>
          <w:lang w:val="en-US" w:eastAsia="zh-CN"/>
        </w:rPr>
        <w:t>15</w:t>
      </w:r>
    </w:p>
    <w:p w14:paraId="1BFF21D3">
      <w:pPr>
        <w:pStyle w:val="8"/>
        <w:tabs>
          <w:tab w:val="right" w:leader="dot" w:pos="8296"/>
        </w:tabs>
        <w:snapToGrid w:val="0"/>
        <w:spacing w:line="300" w:lineRule="auto"/>
        <w:rPr>
          <w:rFonts w:hint="default" w:ascii="Times New Roman" w:hAnsi="Times New Roman" w:cs="Times New Roman"/>
          <w:sz w:val="24"/>
          <w:lang w:val="en-US" w:eastAsia="zh-CN"/>
        </w:rPr>
      </w:pPr>
      <w:r>
        <w:rPr>
          <w:rFonts w:ascii="Times New Roman" w:hAnsi="Times New Roman" w:cs="Times New Roman"/>
          <w:sz w:val="24"/>
        </w:rPr>
        <w:fldChar w:fldCharType="begin"/>
      </w:r>
      <w:r>
        <w:rPr>
          <w:rFonts w:ascii="Times New Roman" w:hAnsi="Times New Roman" w:cs="Times New Roman"/>
          <w:sz w:val="24"/>
        </w:rPr>
        <w:instrText xml:space="preserve"> HYPERLINK \l "_Toc141449353" </w:instrText>
      </w:r>
      <w:r>
        <w:rPr>
          <w:rFonts w:ascii="Times New Roman" w:hAnsi="Times New Roman" w:cs="Times New Roman"/>
          <w:sz w:val="24"/>
        </w:rPr>
        <w:fldChar w:fldCharType="separate"/>
      </w:r>
      <w:r>
        <w:rPr>
          <w:rStyle w:val="21"/>
          <w:rFonts w:ascii="Times New Roman" w:hAnsi="Times New Roman" w:cs="Times New Roman"/>
          <w:color w:val="auto"/>
          <w:sz w:val="24"/>
        </w:rPr>
        <w:t xml:space="preserve">4.6 </w:t>
      </w:r>
      <w:r>
        <w:rPr>
          <w:rStyle w:val="21"/>
          <w:rFonts w:hint="default" w:ascii="Times New Roman" w:hAnsi="Times New Roman" w:cs="Times New Roman"/>
          <w:color w:val="auto"/>
          <w:sz w:val="24"/>
          <w:lang w:val="en-US" w:eastAsia="zh-CN"/>
        </w:rPr>
        <w:t>Power Distribution Box</w:t>
      </w:r>
      <w:r>
        <w:rPr>
          <w:rFonts w:ascii="Times New Roman" w:hAnsi="Times New Roman" w:cs="Times New Roman"/>
          <w:sz w:val="24"/>
        </w:rPr>
        <w:tab/>
      </w:r>
      <w:r>
        <w:rPr>
          <w:rFonts w:hint="default" w:ascii="Times New Roman" w:hAnsi="Times New Roman" w:cs="Times New Roman"/>
          <w:sz w:val="24"/>
        </w:rPr>
        <w:fldChar w:fldCharType="end"/>
      </w:r>
      <w:r>
        <w:rPr>
          <w:rFonts w:hint="eastAsia" w:cs="Times New Roman"/>
          <w:sz w:val="24"/>
          <w:lang w:val="en-US" w:eastAsia="zh-CN"/>
        </w:rPr>
        <w:t>16</w:t>
      </w:r>
    </w:p>
    <w:p w14:paraId="6E9D92C2">
      <w:pPr>
        <w:pStyle w:val="14"/>
        <w:tabs>
          <w:tab w:val="right" w:leader="dot" w:pos="8296"/>
        </w:tabs>
        <w:snapToGrid w:val="0"/>
        <w:spacing w:line="300" w:lineRule="auto"/>
        <w:rPr>
          <w:rFonts w:hint="default" w:ascii="Times New Roman" w:hAnsi="Times New Roman" w:eastAsia="宋体" w:cs="Times New Roman"/>
          <w:sz w:val="24"/>
          <w:lang w:val="en-US" w:eastAsia="zh-CN"/>
        </w:rPr>
      </w:pPr>
      <w:r>
        <w:rPr>
          <w:rFonts w:ascii="Times New Roman" w:hAnsi="Times New Roman" w:cs="Times New Roman"/>
          <w:sz w:val="24"/>
        </w:rPr>
        <w:fldChar w:fldCharType="begin"/>
      </w:r>
      <w:r>
        <w:rPr>
          <w:rFonts w:ascii="Times New Roman" w:hAnsi="Times New Roman" w:cs="Times New Roman"/>
          <w:sz w:val="24"/>
        </w:rPr>
        <w:instrText xml:space="preserve"> HYPERLINK \l "_Toc141449355" </w:instrText>
      </w:r>
      <w:r>
        <w:rPr>
          <w:rFonts w:ascii="Times New Roman" w:hAnsi="Times New Roman" w:cs="Times New Roman"/>
          <w:sz w:val="24"/>
        </w:rPr>
        <w:fldChar w:fldCharType="separate"/>
      </w:r>
      <w:r>
        <w:rPr>
          <w:rStyle w:val="21"/>
          <w:rFonts w:ascii="Times New Roman" w:hAnsi="Times New Roman" w:cs="Times New Roman"/>
          <w:color w:val="auto"/>
          <w:sz w:val="24"/>
        </w:rPr>
        <w:t>5 Design</w:t>
      </w:r>
      <w:r>
        <w:rPr>
          <w:rFonts w:ascii="Times New Roman" w:hAnsi="Times New Roman" w:cs="Times New Roman"/>
          <w:sz w:val="24"/>
        </w:rPr>
        <w:tab/>
      </w:r>
      <w:r>
        <w:rPr>
          <w:rFonts w:hint="default" w:ascii="Times New Roman" w:hAnsi="Times New Roman" w:cs="Times New Roman"/>
          <w:sz w:val="24"/>
        </w:rPr>
        <w:fldChar w:fldCharType="end"/>
      </w:r>
      <w:r>
        <w:rPr>
          <w:rFonts w:hint="eastAsia" w:cs="Times New Roman"/>
          <w:sz w:val="24"/>
          <w:lang w:val="en-US" w:eastAsia="zh-CN"/>
        </w:rPr>
        <w:t>17</w:t>
      </w:r>
    </w:p>
    <w:p w14:paraId="7BD1E3D4">
      <w:pPr>
        <w:pStyle w:val="8"/>
        <w:tabs>
          <w:tab w:val="right" w:leader="dot" w:pos="8296"/>
        </w:tabs>
        <w:snapToGrid w:val="0"/>
        <w:spacing w:line="300" w:lineRule="auto"/>
        <w:rPr>
          <w:rFonts w:hint="default" w:ascii="Times New Roman" w:hAnsi="Times New Roman" w:eastAsia="宋体" w:cs="Times New Roman"/>
          <w:sz w:val="24"/>
          <w:lang w:val="en-US" w:eastAsia="zh-CN"/>
          <w14:ligatures w14:val="standardContextual"/>
        </w:rPr>
      </w:pPr>
      <w:r>
        <w:rPr>
          <w:rFonts w:ascii="Times New Roman" w:hAnsi="Times New Roman" w:cs="Times New Roman"/>
          <w:sz w:val="24"/>
        </w:rPr>
        <w:fldChar w:fldCharType="begin"/>
      </w:r>
      <w:r>
        <w:rPr>
          <w:rFonts w:ascii="Times New Roman" w:hAnsi="Times New Roman" w:cs="Times New Roman"/>
          <w:sz w:val="24"/>
        </w:rPr>
        <w:instrText xml:space="preserve"> HYPERLINK \l "_Toc141449356" </w:instrText>
      </w:r>
      <w:r>
        <w:rPr>
          <w:rFonts w:ascii="Times New Roman" w:hAnsi="Times New Roman" w:cs="Times New Roman"/>
          <w:sz w:val="24"/>
        </w:rPr>
        <w:fldChar w:fldCharType="separate"/>
      </w:r>
      <w:r>
        <w:rPr>
          <w:rStyle w:val="21"/>
          <w:rFonts w:ascii="Times New Roman" w:hAnsi="Times New Roman" w:cs="Times New Roman"/>
          <w:color w:val="auto"/>
          <w:sz w:val="24"/>
        </w:rPr>
        <w:t xml:space="preserve">5.1 </w:t>
      </w:r>
      <w:r>
        <w:rPr>
          <w:rStyle w:val="21"/>
          <w:rFonts w:hint="default" w:ascii="Times New Roman" w:hAnsi="Times New Roman" w:cs="Times New Roman"/>
          <w:color w:val="auto"/>
          <w:sz w:val="24"/>
        </w:rPr>
        <w:t>General Requirements</w:t>
      </w:r>
      <w:r>
        <w:rPr>
          <w:rFonts w:ascii="Times New Roman" w:hAnsi="Times New Roman" w:cs="Times New Roman"/>
          <w:sz w:val="24"/>
        </w:rPr>
        <w:tab/>
      </w:r>
      <w:r>
        <w:rPr>
          <w:rFonts w:hint="default" w:ascii="Times New Roman" w:hAnsi="Times New Roman" w:cs="Times New Roman"/>
          <w:sz w:val="24"/>
        </w:rPr>
        <w:fldChar w:fldCharType="end"/>
      </w:r>
      <w:r>
        <w:rPr>
          <w:rFonts w:hint="eastAsia" w:cs="Times New Roman"/>
          <w:sz w:val="24"/>
          <w:lang w:val="en-US" w:eastAsia="zh-CN"/>
        </w:rPr>
        <w:t>17</w:t>
      </w:r>
    </w:p>
    <w:p w14:paraId="4BF20C69">
      <w:pPr>
        <w:pStyle w:val="8"/>
        <w:tabs>
          <w:tab w:val="right" w:leader="dot" w:pos="8296"/>
        </w:tabs>
        <w:snapToGrid w:val="0"/>
        <w:spacing w:line="300" w:lineRule="auto"/>
        <w:rPr>
          <w:rFonts w:hint="default" w:ascii="Times New Roman" w:hAnsi="Times New Roman" w:eastAsia="宋体" w:cs="Times New Roman"/>
          <w:sz w:val="24"/>
          <w:lang w:val="en-US" w:eastAsia="zh-CN"/>
          <w14:ligatures w14:val="standardContextual"/>
        </w:rPr>
      </w:pPr>
      <w:r>
        <w:rPr>
          <w:rFonts w:ascii="Times New Roman" w:hAnsi="Times New Roman" w:cs="Times New Roman"/>
          <w:sz w:val="24"/>
        </w:rPr>
        <w:fldChar w:fldCharType="begin"/>
      </w:r>
      <w:r>
        <w:rPr>
          <w:rFonts w:ascii="Times New Roman" w:hAnsi="Times New Roman" w:cs="Times New Roman"/>
          <w:sz w:val="24"/>
        </w:rPr>
        <w:instrText xml:space="preserve"> HYPERLINK \l "_Toc141449357" </w:instrText>
      </w:r>
      <w:r>
        <w:rPr>
          <w:rFonts w:ascii="Times New Roman" w:hAnsi="Times New Roman" w:cs="Times New Roman"/>
          <w:sz w:val="24"/>
        </w:rPr>
        <w:fldChar w:fldCharType="separate"/>
      </w:r>
      <w:r>
        <w:rPr>
          <w:rStyle w:val="21"/>
          <w:rFonts w:ascii="Times New Roman" w:hAnsi="Times New Roman" w:cs="Times New Roman"/>
          <w:color w:val="auto"/>
          <w:sz w:val="24"/>
        </w:rPr>
        <w:t xml:space="preserve">5.2 </w:t>
      </w:r>
      <w:r>
        <w:rPr>
          <w:rStyle w:val="21"/>
          <w:rFonts w:hint="default" w:ascii="Times New Roman" w:hAnsi="Times New Roman" w:cs="Times New Roman"/>
          <w:color w:val="auto"/>
          <w:sz w:val="24"/>
        </w:rPr>
        <w:t>Planning and Architecture</w:t>
      </w:r>
      <w:r>
        <w:rPr>
          <w:rFonts w:ascii="Times New Roman" w:hAnsi="Times New Roman" w:cs="Times New Roman"/>
          <w:sz w:val="24"/>
        </w:rPr>
        <w:tab/>
      </w:r>
      <w:r>
        <w:rPr>
          <w:rFonts w:ascii="Times New Roman" w:hAnsi="Times New Roman" w:cs="Times New Roman"/>
          <w:sz w:val="24"/>
        </w:rPr>
        <w:fldChar w:fldCharType="end"/>
      </w:r>
      <w:r>
        <w:rPr>
          <w:rFonts w:hint="eastAsia" w:cs="Times New Roman"/>
          <w:sz w:val="24"/>
          <w:lang w:val="en-US" w:eastAsia="zh-CN"/>
        </w:rPr>
        <w:t>18</w:t>
      </w:r>
    </w:p>
    <w:p w14:paraId="2C4B1EC2">
      <w:pPr>
        <w:pStyle w:val="8"/>
        <w:tabs>
          <w:tab w:val="right" w:leader="dot" w:pos="8296"/>
        </w:tabs>
        <w:snapToGrid w:val="0"/>
        <w:spacing w:line="300" w:lineRule="auto"/>
        <w:rPr>
          <w:rFonts w:hint="default" w:ascii="Times New Roman" w:hAnsi="Times New Roman" w:eastAsia="宋体" w:cs="Times New Roman"/>
          <w:sz w:val="24"/>
          <w:lang w:val="en-US" w:eastAsia="zh-CN"/>
          <w14:ligatures w14:val="standardContextual"/>
        </w:rPr>
      </w:pPr>
      <w:r>
        <w:rPr>
          <w:rFonts w:ascii="Times New Roman" w:hAnsi="Times New Roman" w:cs="Times New Roman"/>
          <w:sz w:val="24"/>
        </w:rPr>
        <w:fldChar w:fldCharType="begin"/>
      </w:r>
      <w:r>
        <w:rPr>
          <w:rFonts w:ascii="Times New Roman" w:hAnsi="Times New Roman" w:cs="Times New Roman"/>
          <w:sz w:val="24"/>
        </w:rPr>
        <w:instrText xml:space="preserve"> HYPERLINK \l "_Toc141449358" </w:instrText>
      </w:r>
      <w:r>
        <w:rPr>
          <w:rFonts w:ascii="Times New Roman" w:hAnsi="Times New Roman" w:cs="Times New Roman"/>
          <w:sz w:val="24"/>
        </w:rPr>
        <w:fldChar w:fldCharType="separate"/>
      </w:r>
      <w:r>
        <w:rPr>
          <w:rStyle w:val="21"/>
          <w:rFonts w:ascii="Times New Roman" w:hAnsi="Times New Roman" w:cs="Times New Roman"/>
          <w:color w:val="auto"/>
          <w:sz w:val="24"/>
        </w:rPr>
        <w:t xml:space="preserve">5.3 </w:t>
      </w:r>
      <w:r>
        <w:rPr>
          <w:rStyle w:val="21"/>
          <w:rFonts w:hint="default" w:ascii="Times New Roman" w:hAnsi="Times New Roman" w:cs="Times New Roman"/>
          <w:color w:val="auto"/>
          <w:sz w:val="24"/>
          <w:lang w:val="en-US" w:eastAsia="zh-CN"/>
        </w:rPr>
        <w:t>M</w:t>
      </w:r>
      <w:r>
        <w:rPr>
          <w:rStyle w:val="21"/>
          <w:rFonts w:hint="default" w:ascii="Times New Roman" w:hAnsi="Times New Roman" w:cs="Times New Roman"/>
          <w:color w:val="auto"/>
          <w:sz w:val="24"/>
        </w:rPr>
        <w:t>odule</w:t>
      </w:r>
      <w:r>
        <w:rPr>
          <w:rFonts w:ascii="Times New Roman" w:hAnsi="Times New Roman" w:cs="Times New Roman"/>
          <w:sz w:val="24"/>
        </w:rPr>
        <w:tab/>
      </w:r>
      <w:r>
        <w:rPr>
          <w:rFonts w:hint="default" w:ascii="Times New Roman" w:hAnsi="Times New Roman" w:cs="Times New Roman"/>
          <w:sz w:val="24"/>
        </w:rPr>
        <w:fldChar w:fldCharType="end"/>
      </w:r>
      <w:r>
        <w:rPr>
          <w:rFonts w:hint="eastAsia" w:ascii="Times New Roman" w:hAnsi="Times New Roman" w:cs="Times New Roman"/>
          <w:sz w:val="24"/>
          <w:lang w:val="en-US" w:eastAsia="zh-CN"/>
        </w:rPr>
        <w:t>2</w:t>
      </w:r>
      <w:r>
        <w:rPr>
          <w:rFonts w:hint="eastAsia" w:cs="Times New Roman"/>
          <w:sz w:val="24"/>
          <w:lang w:val="en-US" w:eastAsia="zh-CN"/>
        </w:rPr>
        <w:t>1</w:t>
      </w:r>
    </w:p>
    <w:p w14:paraId="77A8A046">
      <w:pPr>
        <w:pStyle w:val="8"/>
        <w:tabs>
          <w:tab w:val="right" w:leader="dot" w:pos="8296"/>
        </w:tabs>
        <w:snapToGrid w:val="0"/>
        <w:spacing w:line="300" w:lineRule="auto"/>
        <w:ind w:left="0" w:leftChars="0" w:firstLine="720" w:firstLineChars="300"/>
        <w:rPr>
          <w:rFonts w:hint="default"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HYPERLINK \l "_Toc141449359" </w:instrText>
      </w:r>
      <w:r>
        <w:rPr>
          <w:rFonts w:ascii="Times New Roman" w:hAnsi="Times New Roman" w:cs="Times New Roman"/>
          <w:sz w:val="24"/>
        </w:rPr>
        <w:fldChar w:fldCharType="separate"/>
      </w:r>
      <w:r>
        <w:rPr>
          <w:rStyle w:val="21"/>
          <w:rFonts w:ascii="Times New Roman" w:hAnsi="Times New Roman" w:cs="Times New Roman"/>
          <w:color w:val="auto"/>
          <w:sz w:val="24"/>
        </w:rPr>
        <w:t xml:space="preserve">5.4 </w:t>
      </w:r>
      <w:r>
        <w:rPr>
          <w:rStyle w:val="21"/>
          <w:rFonts w:hint="default" w:ascii="Times New Roman" w:hAnsi="Times New Roman" w:cs="Times New Roman"/>
          <w:color w:val="auto"/>
          <w:sz w:val="24"/>
          <w:lang w:val="en-US" w:eastAsia="zh-CN"/>
        </w:rPr>
        <w:t>S</w:t>
      </w:r>
      <w:r>
        <w:rPr>
          <w:rStyle w:val="21"/>
          <w:rFonts w:hint="default" w:ascii="Times New Roman" w:hAnsi="Times New Roman" w:cs="Times New Roman"/>
          <w:color w:val="auto"/>
          <w:sz w:val="24"/>
        </w:rPr>
        <w:t>tructure</w:t>
      </w:r>
      <w:r>
        <w:rPr>
          <w:rFonts w:ascii="Times New Roman" w:hAnsi="Times New Roman" w:cs="Times New Roman"/>
          <w:sz w:val="24"/>
        </w:rPr>
        <w:tab/>
      </w:r>
      <w:r>
        <w:rPr>
          <w:rFonts w:hint="default" w:ascii="Times New Roman" w:hAnsi="Times New Roman" w:cs="Times New Roman"/>
          <w:sz w:val="24"/>
        </w:rPr>
        <w:fldChar w:fldCharType="end"/>
      </w:r>
      <w:r>
        <w:rPr>
          <w:rFonts w:hint="eastAsia" w:ascii="Times New Roman" w:hAnsi="Times New Roman" w:cs="Times New Roman"/>
          <w:sz w:val="24"/>
          <w:lang w:val="en-US" w:eastAsia="zh-CN"/>
        </w:rPr>
        <w:t>2</w:t>
      </w:r>
      <w:r>
        <w:rPr>
          <w:rFonts w:hint="eastAsia" w:cs="Times New Roman"/>
          <w:sz w:val="24"/>
          <w:lang w:val="en-US" w:eastAsia="zh-CN"/>
        </w:rPr>
        <w:t>3</w:t>
      </w:r>
    </w:p>
    <w:p w14:paraId="5710A9C8">
      <w:pPr>
        <w:pStyle w:val="14"/>
        <w:tabs>
          <w:tab w:val="right" w:leader="dot" w:pos="8296"/>
        </w:tabs>
        <w:snapToGrid w:val="0"/>
        <w:spacing w:line="300" w:lineRule="auto"/>
        <w:rPr>
          <w:rFonts w:hint="default" w:ascii="Times New Roman" w:hAnsi="Times New Roman" w:cs="Times New Roman"/>
          <w:sz w:val="24"/>
          <w:lang w:val="en-US" w:eastAsia="zh-CN"/>
        </w:rPr>
      </w:pPr>
      <w:r>
        <w:rPr>
          <w:rFonts w:ascii="Times New Roman" w:hAnsi="Times New Roman" w:cs="Times New Roman"/>
          <w:sz w:val="24"/>
        </w:rPr>
        <w:fldChar w:fldCharType="begin"/>
      </w:r>
      <w:r>
        <w:rPr>
          <w:rFonts w:ascii="Times New Roman" w:hAnsi="Times New Roman" w:cs="Times New Roman"/>
          <w:sz w:val="24"/>
        </w:rPr>
        <w:instrText xml:space="preserve"> HYPERLINK \l "_Toc141449361" </w:instrText>
      </w:r>
      <w:r>
        <w:rPr>
          <w:rFonts w:ascii="Times New Roman" w:hAnsi="Times New Roman" w:cs="Times New Roman"/>
          <w:sz w:val="24"/>
        </w:rPr>
        <w:fldChar w:fldCharType="separate"/>
      </w:r>
      <w:r>
        <w:rPr>
          <w:rStyle w:val="21"/>
          <w:rFonts w:ascii="Times New Roman" w:hAnsi="Times New Roman" w:cs="Times New Roman"/>
          <w:color w:val="auto"/>
          <w:sz w:val="24"/>
        </w:rPr>
        <w:t xml:space="preserve">6 Structural </w:t>
      </w:r>
      <w:r>
        <w:rPr>
          <w:rStyle w:val="21"/>
          <w:rFonts w:hint="default" w:ascii="Times New Roman" w:hAnsi="Times New Roman" w:cs="Times New Roman"/>
          <w:color w:val="auto"/>
          <w:sz w:val="24"/>
          <w:lang w:val="en-US" w:eastAsia="zh-CN"/>
        </w:rPr>
        <w:t>D</w:t>
      </w:r>
      <w:r>
        <w:rPr>
          <w:rStyle w:val="21"/>
          <w:rFonts w:ascii="Times New Roman" w:hAnsi="Times New Roman" w:cs="Times New Roman"/>
          <w:color w:val="auto"/>
          <w:sz w:val="24"/>
        </w:rPr>
        <w:t>esign</w:t>
      </w:r>
      <w:r>
        <w:rPr>
          <w:rFonts w:ascii="Times New Roman" w:hAnsi="Times New Roman" w:cs="Times New Roman"/>
          <w:sz w:val="24"/>
        </w:rPr>
        <w:tab/>
      </w:r>
      <w:r>
        <w:rPr>
          <w:rFonts w:hint="default" w:ascii="Times New Roman" w:hAnsi="Times New Roman" w:cs="Times New Roman"/>
          <w:sz w:val="24"/>
        </w:rPr>
        <w:fldChar w:fldCharType="end"/>
      </w:r>
      <w:r>
        <w:rPr>
          <w:rFonts w:hint="eastAsia" w:cs="Times New Roman"/>
          <w:sz w:val="24"/>
          <w:lang w:val="en-US" w:eastAsia="zh-CN"/>
        </w:rPr>
        <w:t>27</w:t>
      </w:r>
    </w:p>
    <w:p w14:paraId="2A671037">
      <w:pPr>
        <w:pStyle w:val="8"/>
        <w:tabs>
          <w:tab w:val="right" w:leader="dot" w:pos="8296"/>
        </w:tabs>
        <w:snapToGrid w:val="0"/>
        <w:spacing w:line="300" w:lineRule="auto"/>
        <w:rPr>
          <w:rFonts w:hint="default" w:ascii="Times New Roman" w:hAnsi="Times New Roman" w:eastAsia="宋体" w:cs="Times New Roman"/>
          <w:sz w:val="24"/>
          <w:lang w:val="en-US" w:eastAsia="zh-CN"/>
          <w14:ligatures w14:val="standardContextual"/>
        </w:rPr>
      </w:pPr>
      <w:r>
        <w:rPr>
          <w:rFonts w:ascii="Times New Roman" w:hAnsi="Times New Roman" w:cs="Times New Roman"/>
          <w:sz w:val="24"/>
        </w:rPr>
        <w:fldChar w:fldCharType="begin"/>
      </w:r>
      <w:r>
        <w:rPr>
          <w:rFonts w:ascii="Times New Roman" w:hAnsi="Times New Roman" w:cs="Times New Roman"/>
          <w:sz w:val="24"/>
        </w:rPr>
        <w:instrText xml:space="preserve"> HYPERLINK \l "_Toc141449362" </w:instrText>
      </w:r>
      <w:r>
        <w:rPr>
          <w:rFonts w:ascii="Times New Roman" w:hAnsi="Times New Roman" w:cs="Times New Roman"/>
          <w:sz w:val="24"/>
        </w:rPr>
        <w:fldChar w:fldCharType="separate"/>
      </w:r>
      <w:r>
        <w:rPr>
          <w:rStyle w:val="21"/>
          <w:rFonts w:ascii="Times New Roman" w:hAnsi="Times New Roman" w:cs="Times New Roman"/>
          <w:color w:val="auto"/>
          <w:sz w:val="24"/>
        </w:rPr>
        <w:t xml:space="preserve">6.1 </w:t>
      </w:r>
      <w:r>
        <w:rPr>
          <w:rStyle w:val="21"/>
          <w:rFonts w:hint="default" w:ascii="Times New Roman" w:hAnsi="Times New Roman" w:cs="Times New Roman"/>
          <w:color w:val="auto"/>
          <w:sz w:val="24"/>
        </w:rPr>
        <w:t>General Requirements</w:t>
      </w:r>
      <w:r>
        <w:rPr>
          <w:rFonts w:ascii="Times New Roman" w:hAnsi="Times New Roman" w:cs="Times New Roman"/>
          <w:sz w:val="24"/>
        </w:rPr>
        <w:tab/>
      </w:r>
      <w:r>
        <w:rPr>
          <w:rFonts w:hint="default" w:ascii="Times New Roman" w:hAnsi="Times New Roman" w:cs="Times New Roman"/>
          <w:sz w:val="24"/>
        </w:rPr>
        <w:fldChar w:fldCharType="end"/>
      </w:r>
      <w:r>
        <w:rPr>
          <w:rFonts w:hint="eastAsia" w:cs="Times New Roman"/>
          <w:sz w:val="24"/>
          <w:lang w:val="en-US" w:eastAsia="zh-CN"/>
        </w:rPr>
        <w:t>27</w:t>
      </w:r>
    </w:p>
    <w:p w14:paraId="6E48264C">
      <w:pPr>
        <w:pStyle w:val="8"/>
        <w:tabs>
          <w:tab w:val="right" w:leader="dot" w:pos="8296"/>
        </w:tabs>
        <w:snapToGrid w:val="0"/>
        <w:spacing w:line="300" w:lineRule="auto"/>
        <w:rPr>
          <w:rFonts w:hint="default" w:ascii="Times New Roman" w:hAnsi="Times New Roman" w:eastAsia="宋体" w:cs="Times New Roman"/>
          <w:sz w:val="24"/>
          <w:lang w:val="en-US" w:eastAsia="zh-CN"/>
          <w14:ligatures w14:val="standardContextual"/>
        </w:rPr>
      </w:pPr>
      <w:r>
        <w:rPr>
          <w:rFonts w:ascii="Times New Roman" w:hAnsi="Times New Roman" w:cs="Times New Roman"/>
          <w:sz w:val="24"/>
        </w:rPr>
        <w:fldChar w:fldCharType="begin"/>
      </w:r>
      <w:r>
        <w:rPr>
          <w:rFonts w:ascii="Times New Roman" w:hAnsi="Times New Roman" w:cs="Times New Roman"/>
          <w:sz w:val="24"/>
        </w:rPr>
        <w:instrText xml:space="preserve"> HYPERLINK \l "_Toc141449363" </w:instrText>
      </w:r>
      <w:r>
        <w:rPr>
          <w:rFonts w:ascii="Times New Roman" w:hAnsi="Times New Roman" w:cs="Times New Roman"/>
          <w:sz w:val="24"/>
        </w:rPr>
        <w:fldChar w:fldCharType="separate"/>
      </w:r>
      <w:r>
        <w:rPr>
          <w:rStyle w:val="21"/>
          <w:rFonts w:ascii="Times New Roman" w:hAnsi="Times New Roman" w:cs="Times New Roman"/>
          <w:color w:val="auto"/>
          <w:sz w:val="24"/>
        </w:rPr>
        <w:t xml:space="preserve">6.2 </w:t>
      </w:r>
      <w:r>
        <w:rPr>
          <w:rStyle w:val="21"/>
          <w:rFonts w:hint="default" w:ascii="Times New Roman" w:hAnsi="Times New Roman" w:cs="Times New Roman"/>
          <w:color w:val="auto"/>
          <w:sz w:val="24"/>
          <w:lang w:val="en-US" w:eastAsia="zh-CN"/>
        </w:rPr>
        <w:t>P</w:t>
      </w:r>
      <w:r>
        <w:rPr>
          <w:rStyle w:val="21"/>
          <w:rFonts w:hint="default" w:ascii="Times New Roman" w:hAnsi="Times New Roman" w:cs="Times New Roman"/>
          <w:color w:val="auto"/>
          <w:sz w:val="24"/>
        </w:rPr>
        <w:t>arameters</w:t>
      </w:r>
      <w:r>
        <w:rPr>
          <w:rStyle w:val="21"/>
          <w:rFonts w:hint="default" w:ascii="Times New Roman" w:hAnsi="Times New Roman" w:cs="Times New Roman"/>
          <w:color w:val="auto"/>
          <w:sz w:val="24"/>
          <w:lang w:val="en-US" w:eastAsia="zh-CN"/>
        </w:rPr>
        <w:t xml:space="preserve"> of </w:t>
      </w:r>
      <w:r>
        <w:rPr>
          <w:rStyle w:val="21"/>
          <w:rFonts w:hint="default" w:ascii="Times New Roman" w:hAnsi="Times New Roman" w:cs="Times New Roman"/>
          <w:color w:val="auto"/>
          <w:sz w:val="24"/>
        </w:rPr>
        <w:t xml:space="preserve">Design </w:t>
      </w:r>
      <w:r>
        <w:rPr>
          <w:rFonts w:ascii="Times New Roman" w:hAnsi="Times New Roman" w:cs="Times New Roman"/>
          <w:sz w:val="24"/>
        </w:rPr>
        <w:tab/>
      </w:r>
      <w:r>
        <w:rPr>
          <w:rFonts w:hint="default" w:ascii="Times New Roman" w:hAnsi="Times New Roman" w:cs="Times New Roman"/>
          <w:sz w:val="24"/>
        </w:rPr>
        <w:fldChar w:fldCharType="end"/>
      </w:r>
      <w:r>
        <w:rPr>
          <w:rFonts w:hint="eastAsia" w:cs="Times New Roman"/>
          <w:sz w:val="24"/>
          <w:lang w:val="en-US" w:eastAsia="zh-CN"/>
        </w:rPr>
        <w:t>27</w:t>
      </w:r>
    </w:p>
    <w:p w14:paraId="32F43A21">
      <w:pPr>
        <w:pStyle w:val="8"/>
        <w:tabs>
          <w:tab w:val="right" w:leader="dot" w:pos="8296"/>
        </w:tabs>
        <w:snapToGrid w:val="0"/>
        <w:spacing w:line="300" w:lineRule="auto"/>
        <w:rPr>
          <w:rFonts w:hint="default" w:ascii="Times New Roman" w:hAnsi="Times New Roman" w:eastAsia="宋体" w:cs="Times New Roman"/>
          <w:sz w:val="24"/>
          <w:lang w:val="en-US" w:eastAsia="zh-CN"/>
          <w14:ligatures w14:val="standardContextual"/>
        </w:rPr>
      </w:pPr>
      <w:r>
        <w:rPr>
          <w:rFonts w:ascii="Times New Roman" w:hAnsi="Times New Roman" w:cs="Times New Roman"/>
          <w:sz w:val="24"/>
        </w:rPr>
        <w:fldChar w:fldCharType="begin"/>
      </w:r>
      <w:r>
        <w:rPr>
          <w:rFonts w:ascii="Times New Roman" w:hAnsi="Times New Roman" w:cs="Times New Roman"/>
          <w:sz w:val="24"/>
        </w:rPr>
        <w:instrText xml:space="preserve"> HYPERLINK \l "_Toc141449364" </w:instrText>
      </w:r>
      <w:r>
        <w:rPr>
          <w:rFonts w:ascii="Times New Roman" w:hAnsi="Times New Roman" w:cs="Times New Roman"/>
          <w:sz w:val="24"/>
        </w:rPr>
        <w:fldChar w:fldCharType="separate"/>
      </w:r>
      <w:r>
        <w:rPr>
          <w:rStyle w:val="21"/>
          <w:rFonts w:ascii="Times New Roman" w:hAnsi="Times New Roman" w:cs="Times New Roman"/>
          <w:color w:val="auto"/>
          <w:sz w:val="24"/>
        </w:rPr>
        <w:t xml:space="preserve">6.3 </w:t>
      </w:r>
      <w:r>
        <w:rPr>
          <w:rStyle w:val="21"/>
          <w:rFonts w:hint="default" w:ascii="Times New Roman" w:hAnsi="Times New Roman" w:cs="Times New Roman"/>
          <w:color w:val="auto"/>
          <w:sz w:val="24"/>
        </w:rPr>
        <w:t xml:space="preserve">Load and </w:t>
      </w:r>
      <w:r>
        <w:rPr>
          <w:rStyle w:val="21"/>
          <w:rFonts w:hint="default" w:ascii="Times New Roman" w:hAnsi="Times New Roman" w:cs="Times New Roman"/>
          <w:color w:val="auto"/>
          <w:sz w:val="24"/>
          <w:lang w:val="en-US" w:eastAsia="zh-CN"/>
        </w:rPr>
        <w:t>A</w:t>
      </w:r>
      <w:r>
        <w:rPr>
          <w:rStyle w:val="21"/>
          <w:rFonts w:hint="default" w:ascii="Times New Roman" w:hAnsi="Times New Roman" w:cs="Times New Roman"/>
          <w:color w:val="auto"/>
          <w:sz w:val="24"/>
        </w:rPr>
        <w:t>ction</w:t>
      </w:r>
      <w:r>
        <w:rPr>
          <w:rFonts w:ascii="Times New Roman" w:hAnsi="Times New Roman" w:cs="Times New Roman"/>
          <w:sz w:val="24"/>
        </w:rPr>
        <w:tab/>
      </w:r>
      <w:r>
        <w:rPr>
          <w:rFonts w:hint="default" w:ascii="Times New Roman" w:hAnsi="Times New Roman" w:cs="Times New Roman"/>
          <w:sz w:val="24"/>
        </w:rPr>
        <w:fldChar w:fldCharType="end"/>
      </w:r>
      <w:r>
        <w:rPr>
          <w:rFonts w:hint="eastAsia" w:cs="Times New Roman"/>
          <w:sz w:val="24"/>
          <w:lang w:val="en-US" w:eastAsia="zh-CN"/>
        </w:rPr>
        <w:t>28</w:t>
      </w:r>
    </w:p>
    <w:p w14:paraId="24819784">
      <w:pPr>
        <w:pStyle w:val="8"/>
        <w:tabs>
          <w:tab w:val="right" w:leader="dot" w:pos="8296"/>
        </w:tabs>
        <w:snapToGrid w:val="0"/>
        <w:spacing w:line="300" w:lineRule="auto"/>
        <w:rPr>
          <w:rFonts w:hint="default" w:ascii="Times New Roman" w:hAnsi="Times New Roman" w:eastAsia="宋体" w:cs="Times New Roman"/>
          <w:sz w:val="24"/>
          <w:lang w:val="en-US" w:eastAsia="zh-CN"/>
          <w14:ligatures w14:val="standardContextual"/>
        </w:rPr>
      </w:pPr>
      <w:r>
        <w:rPr>
          <w:rFonts w:ascii="Times New Roman" w:hAnsi="Times New Roman" w:cs="Times New Roman"/>
          <w:sz w:val="24"/>
        </w:rPr>
        <w:fldChar w:fldCharType="begin"/>
      </w:r>
      <w:r>
        <w:rPr>
          <w:rFonts w:ascii="Times New Roman" w:hAnsi="Times New Roman" w:cs="Times New Roman"/>
          <w:sz w:val="24"/>
        </w:rPr>
        <w:instrText xml:space="preserve"> HYPERLINK \l "_Toc141449365" </w:instrText>
      </w:r>
      <w:r>
        <w:rPr>
          <w:rFonts w:ascii="Times New Roman" w:hAnsi="Times New Roman" w:cs="Times New Roman"/>
          <w:sz w:val="24"/>
        </w:rPr>
        <w:fldChar w:fldCharType="separate"/>
      </w:r>
      <w:r>
        <w:rPr>
          <w:rStyle w:val="21"/>
          <w:rFonts w:ascii="Times New Roman" w:hAnsi="Times New Roman" w:cs="Times New Roman"/>
          <w:color w:val="auto"/>
          <w:sz w:val="24"/>
        </w:rPr>
        <w:t xml:space="preserve">6.4 </w:t>
      </w:r>
      <w:r>
        <w:rPr>
          <w:rStyle w:val="21"/>
          <w:rFonts w:hint="default" w:ascii="Times New Roman" w:hAnsi="Times New Roman" w:cs="Times New Roman"/>
          <w:color w:val="auto"/>
          <w:sz w:val="24"/>
        </w:rPr>
        <w:t>PV ('omponents Design</w:t>
      </w:r>
      <w:r>
        <w:rPr>
          <w:rStyle w:val="21"/>
          <w:rFonts w:hint="default" w:ascii="Times New Roman" w:hAnsi="Times New Roman" w:cs="Times New Roman"/>
          <w:color w:val="auto"/>
          <w:sz w:val="24"/>
          <w:lang w:val="en-US" w:eastAsia="zh-CN"/>
        </w:rPr>
        <w:t>)</w:t>
      </w:r>
      <w:r>
        <w:rPr>
          <w:rFonts w:ascii="Times New Roman" w:hAnsi="Times New Roman" w:cs="Times New Roman"/>
          <w:sz w:val="24"/>
        </w:rPr>
        <w:tab/>
      </w:r>
      <w:r>
        <w:rPr>
          <w:rFonts w:hint="default" w:ascii="Times New Roman" w:hAnsi="Times New Roman" w:cs="Times New Roman"/>
          <w:sz w:val="24"/>
        </w:rPr>
        <w:fldChar w:fldCharType="end"/>
      </w:r>
      <w:r>
        <w:rPr>
          <w:rFonts w:hint="eastAsia" w:cs="Times New Roman"/>
          <w:sz w:val="24"/>
          <w:lang w:val="en-US" w:eastAsia="zh-CN"/>
        </w:rPr>
        <w:t>31</w:t>
      </w:r>
    </w:p>
    <w:p w14:paraId="7B24108C">
      <w:pPr>
        <w:pStyle w:val="8"/>
        <w:tabs>
          <w:tab w:val="right" w:leader="dot" w:pos="8296"/>
        </w:tabs>
        <w:snapToGrid w:val="0"/>
        <w:spacing w:line="300" w:lineRule="auto"/>
        <w:rPr>
          <w:rFonts w:hint="default" w:ascii="Times New Roman" w:hAnsi="Times New Roman" w:eastAsia="宋体" w:cs="Times New Roman"/>
          <w:sz w:val="24"/>
          <w:lang w:val="en-US" w:eastAsia="zh-CN"/>
          <w14:ligatures w14:val="standardContextual"/>
        </w:rPr>
      </w:pPr>
      <w:r>
        <w:rPr>
          <w:rFonts w:ascii="Times New Roman" w:hAnsi="Times New Roman" w:cs="Times New Roman"/>
          <w:sz w:val="24"/>
        </w:rPr>
        <w:fldChar w:fldCharType="begin"/>
      </w:r>
      <w:r>
        <w:rPr>
          <w:rFonts w:ascii="Times New Roman" w:hAnsi="Times New Roman" w:cs="Times New Roman"/>
          <w:sz w:val="24"/>
        </w:rPr>
        <w:instrText xml:space="preserve"> HYPERLINK \l "_Toc141449366" </w:instrText>
      </w:r>
      <w:r>
        <w:rPr>
          <w:rFonts w:ascii="Times New Roman" w:hAnsi="Times New Roman" w:cs="Times New Roman"/>
          <w:sz w:val="24"/>
        </w:rPr>
        <w:fldChar w:fldCharType="separate"/>
      </w:r>
      <w:r>
        <w:rPr>
          <w:rStyle w:val="21"/>
          <w:rFonts w:ascii="Times New Roman" w:hAnsi="Times New Roman" w:cs="Times New Roman"/>
          <w:color w:val="auto"/>
          <w:sz w:val="24"/>
        </w:rPr>
        <w:t xml:space="preserve">6.5 </w:t>
      </w:r>
      <w:r>
        <w:rPr>
          <w:rStyle w:val="21"/>
          <w:rFonts w:hint="default" w:ascii="Times New Roman" w:hAnsi="Times New Roman" w:cs="Times New Roman"/>
          <w:color w:val="auto"/>
          <w:sz w:val="24"/>
        </w:rPr>
        <w:t>Supporting Structure Design</w:t>
      </w:r>
      <w:r>
        <w:rPr>
          <w:rFonts w:ascii="Times New Roman" w:hAnsi="Times New Roman" w:cs="Times New Roman"/>
          <w:sz w:val="24"/>
        </w:rPr>
        <w:tab/>
      </w:r>
      <w:r>
        <w:rPr>
          <w:rFonts w:ascii="Times New Roman" w:hAnsi="Times New Roman" w:cs="Times New Roman"/>
          <w:sz w:val="24"/>
        </w:rPr>
        <w:fldChar w:fldCharType="end"/>
      </w:r>
      <w:r>
        <w:rPr>
          <w:rFonts w:hint="eastAsia" w:cs="Times New Roman"/>
          <w:sz w:val="24"/>
          <w:lang w:val="en-US" w:eastAsia="zh-CN"/>
        </w:rPr>
        <w:t>31</w:t>
      </w:r>
    </w:p>
    <w:p w14:paraId="6F70EFBE">
      <w:pPr>
        <w:pStyle w:val="8"/>
        <w:tabs>
          <w:tab w:val="right" w:leader="dot" w:pos="8296"/>
        </w:tabs>
        <w:snapToGrid w:val="0"/>
        <w:spacing w:line="300" w:lineRule="auto"/>
        <w:rPr>
          <w:rFonts w:hint="default" w:ascii="Times New Roman" w:hAnsi="Times New Roman" w:cs="Times New Roman"/>
          <w:sz w:val="24"/>
          <w:lang w:val="en-US"/>
        </w:rPr>
      </w:pPr>
      <w:r>
        <w:rPr>
          <w:rFonts w:ascii="Times New Roman" w:hAnsi="Times New Roman" w:cs="Times New Roman"/>
          <w:sz w:val="24"/>
        </w:rPr>
        <w:fldChar w:fldCharType="begin"/>
      </w:r>
      <w:r>
        <w:rPr>
          <w:rFonts w:ascii="Times New Roman" w:hAnsi="Times New Roman" w:cs="Times New Roman"/>
          <w:sz w:val="24"/>
        </w:rPr>
        <w:instrText xml:space="preserve"> HYPERLINK \l "_Toc141449367" </w:instrText>
      </w:r>
      <w:r>
        <w:rPr>
          <w:rFonts w:ascii="Times New Roman" w:hAnsi="Times New Roman" w:cs="Times New Roman"/>
          <w:sz w:val="24"/>
        </w:rPr>
        <w:fldChar w:fldCharType="separate"/>
      </w:r>
      <w:r>
        <w:rPr>
          <w:rStyle w:val="21"/>
          <w:rFonts w:ascii="Times New Roman" w:hAnsi="Times New Roman" w:cs="Times New Roman"/>
          <w:color w:val="auto"/>
          <w:sz w:val="24"/>
        </w:rPr>
        <w:t>6.6 Connection Structure Design</w:t>
      </w:r>
      <w:r>
        <w:rPr>
          <w:rFonts w:ascii="Times New Roman" w:hAnsi="Times New Roman" w:cs="Times New Roman"/>
          <w:sz w:val="24"/>
        </w:rPr>
        <w:tab/>
      </w:r>
      <w:r>
        <w:rPr>
          <w:rFonts w:hint="default" w:ascii="Times New Roman" w:hAnsi="Times New Roman" w:cs="Times New Roman"/>
          <w:sz w:val="24"/>
        </w:rPr>
        <w:fldChar w:fldCharType="end"/>
      </w:r>
      <w:r>
        <w:rPr>
          <w:rFonts w:hint="eastAsia" w:cs="Times New Roman"/>
          <w:sz w:val="24"/>
          <w:lang w:val="en-US" w:eastAsia="zh-CN"/>
        </w:rPr>
        <w:t>32</w:t>
      </w:r>
    </w:p>
    <w:p w14:paraId="4CD35213">
      <w:pPr>
        <w:pStyle w:val="14"/>
        <w:tabs>
          <w:tab w:val="right" w:leader="dot" w:pos="8296"/>
        </w:tabs>
        <w:snapToGrid w:val="0"/>
        <w:spacing w:line="300" w:lineRule="auto"/>
        <w:rPr>
          <w:rFonts w:hint="default" w:ascii="Times New Roman" w:hAnsi="Times New Roman" w:cs="Times New Roman"/>
          <w:sz w:val="24"/>
          <w:lang w:val="en-US" w:eastAsia="zh-CN"/>
        </w:rPr>
      </w:pPr>
      <w:r>
        <w:rPr>
          <w:rFonts w:ascii="Times New Roman" w:hAnsi="Times New Roman" w:cs="Times New Roman"/>
          <w:sz w:val="24"/>
        </w:rPr>
        <w:fldChar w:fldCharType="begin"/>
      </w:r>
      <w:r>
        <w:rPr>
          <w:rFonts w:ascii="Times New Roman" w:hAnsi="Times New Roman" w:cs="Times New Roman"/>
          <w:sz w:val="24"/>
        </w:rPr>
        <w:instrText xml:space="preserve"> HYPERLINK \l "_Toc141449368" </w:instrText>
      </w:r>
      <w:r>
        <w:rPr>
          <w:rFonts w:ascii="Times New Roman" w:hAnsi="Times New Roman" w:cs="Times New Roman"/>
          <w:sz w:val="24"/>
        </w:rPr>
        <w:fldChar w:fldCharType="separate"/>
      </w:r>
      <w:r>
        <w:rPr>
          <w:rStyle w:val="21"/>
          <w:rFonts w:ascii="Times New Roman" w:hAnsi="Times New Roman" w:cs="Times New Roman"/>
          <w:color w:val="auto"/>
          <w:sz w:val="24"/>
        </w:rPr>
        <w:t xml:space="preserve">7 </w:t>
      </w:r>
      <w:r>
        <w:rPr>
          <w:rStyle w:val="21"/>
          <w:rFonts w:hint="default" w:ascii="Times New Roman" w:hAnsi="Times New Roman" w:cs="Times New Roman"/>
          <w:color w:val="auto"/>
          <w:sz w:val="24"/>
          <w:lang w:val="en-US" w:eastAsia="zh-CN"/>
        </w:rPr>
        <w:t>Design of photovoltaic power systems</w:t>
      </w:r>
      <w:r>
        <w:rPr>
          <w:rFonts w:ascii="Times New Roman" w:hAnsi="Times New Roman" w:cs="Times New Roman"/>
          <w:sz w:val="24"/>
        </w:rPr>
        <w:tab/>
      </w:r>
      <w:r>
        <w:rPr>
          <w:rFonts w:hint="default" w:ascii="Times New Roman" w:hAnsi="Times New Roman" w:cs="Times New Roman"/>
          <w:sz w:val="24"/>
        </w:rPr>
        <w:fldChar w:fldCharType="end"/>
      </w:r>
      <w:r>
        <w:rPr>
          <w:rFonts w:hint="eastAsia" w:cs="Times New Roman"/>
          <w:sz w:val="24"/>
          <w:lang w:val="en-US" w:eastAsia="zh-CN"/>
        </w:rPr>
        <w:t>33</w:t>
      </w:r>
    </w:p>
    <w:p w14:paraId="7C8BC601">
      <w:pPr>
        <w:pStyle w:val="8"/>
        <w:tabs>
          <w:tab w:val="right" w:leader="dot" w:pos="8296"/>
        </w:tabs>
        <w:snapToGrid w:val="0"/>
        <w:spacing w:line="300" w:lineRule="auto"/>
        <w:rPr>
          <w:rFonts w:hint="default" w:ascii="Times New Roman" w:hAnsi="Times New Roman" w:eastAsia="宋体" w:cs="Times New Roman"/>
          <w:sz w:val="24"/>
          <w:lang w:val="en-US" w:eastAsia="zh-CN"/>
          <w14:ligatures w14:val="standardContextual"/>
        </w:rPr>
      </w:pPr>
      <w:r>
        <w:rPr>
          <w:rFonts w:ascii="Times New Roman" w:hAnsi="Times New Roman" w:cs="Times New Roman"/>
          <w:sz w:val="24"/>
        </w:rPr>
        <w:fldChar w:fldCharType="begin"/>
      </w:r>
      <w:r>
        <w:rPr>
          <w:rFonts w:ascii="Times New Roman" w:hAnsi="Times New Roman" w:cs="Times New Roman"/>
          <w:sz w:val="24"/>
        </w:rPr>
        <w:instrText xml:space="preserve"> HYPERLINK \l "_Toc141449369" </w:instrText>
      </w:r>
      <w:r>
        <w:rPr>
          <w:rFonts w:ascii="Times New Roman" w:hAnsi="Times New Roman" w:cs="Times New Roman"/>
          <w:sz w:val="24"/>
        </w:rPr>
        <w:fldChar w:fldCharType="separate"/>
      </w:r>
      <w:r>
        <w:rPr>
          <w:rStyle w:val="21"/>
          <w:rFonts w:ascii="Times New Roman" w:hAnsi="Times New Roman" w:cs="Times New Roman"/>
          <w:color w:val="auto"/>
          <w:sz w:val="24"/>
        </w:rPr>
        <w:t xml:space="preserve">7.1 </w:t>
      </w:r>
      <w:r>
        <w:rPr>
          <w:rStyle w:val="21"/>
          <w:rFonts w:hint="default" w:ascii="Times New Roman" w:hAnsi="Times New Roman" w:cs="Times New Roman"/>
          <w:color w:val="auto"/>
          <w:sz w:val="24"/>
        </w:rPr>
        <w:t>General Requirements</w:t>
      </w:r>
      <w:r>
        <w:rPr>
          <w:rFonts w:ascii="Times New Roman" w:hAnsi="Times New Roman" w:cs="Times New Roman"/>
          <w:sz w:val="24"/>
        </w:rPr>
        <w:tab/>
      </w:r>
      <w:r>
        <w:rPr>
          <w:rFonts w:hint="default" w:ascii="Times New Roman" w:hAnsi="Times New Roman" w:cs="Times New Roman"/>
          <w:sz w:val="24"/>
        </w:rPr>
        <w:fldChar w:fldCharType="end"/>
      </w:r>
      <w:r>
        <w:rPr>
          <w:rFonts w:hint="eastAsia" w:cs="Times New Roman"/>
          <w:sz w:val="24"/>
          <w:lang w:val="en-US" w:eastAsia="zh-CN"/>
        </w:rPr>
        <w:t>33</w:t>
      </w:r>
    </w:p>
    <w:p w14:paraId="1450E034">
      <w:pPr>
        <w:pStyle w:val="8"/>
        <w:tabs>
          <w:tab w:val="right" w:leader="dot" w:pos="8296"/>
        </w:tabs>
        <w:snapToGrid w:val="0"/>
        <w:spacing w:line="300" w:lineRule="auto"/>
        <w:rPr>
          <w:rFonts w:hint="default" w:ascii="Times New Roman" w:hAnsi="Times New Roman" w:eastAsia="宋体" w:cs="Times New Roman"/>
          <w:sz w:val="24"/>
          <w:lang w:val="en-US" w:eastAsia="zh-CN"/>
          <w14:ligatures w14:val="standardContextual"/>
        </w:rPr>
      </w:pPr>
      <w:r>
        <w:rPr>
          <w:rFonts w:ascii="Times New Roman" w:hAnsi="Times New Roman" w:cs="Times New Roman"/>
          <w:sz w:val="24"/>
        </w:rPr>
        <w:fldChar w:fldCharType="begin"/>
      </w:r>
      <w:r>
        <w:rPr>
          <w:rFonts w:ascii="Times New Roman" w:hAnsi="Times New Roman" w:cs="Times New Roman"/>
          <w:sz w:val="24"/>
        </w:rPr>
        <w:instrText xml:space="preserve"> HYPERLINK \l "_Toc141449370" </w:instrText>
      </w:r>
      <w:r>
        <w:rPr>
          <w:rFonts w:ascii="Times New Roman" w:hAnsi="Times New Roman" w:cs="Times New Roman"/>
          <w:sz w:val="24"/>
        </w:rPr>
        <w:fldChar w:fldCharType="separate"/>
      </w:r>
      <w:r>
        <w:rPr>
          <w:rStyle w:val="21"/>
          <w:rFonts w:ascii="Times New Roman" w:hAnsi="Times New Roman" w:cs="Times New Roman"/>
          <w:color w:val="auto"/>
          <w:sz w:val="24"/>
        </w:rPr>
        <w:t xml:space="preserve">7.2 </w:t>
      </w:r>
      <w:r>
        <w:rPr>
          <w:rStyle w:val="21"/>
          <w:rFonts w:hint="default" w:ascii="Times New Roman" w:hAnsi="Times New Roman" w:cs="Times New Roman"/>
          <w:color w:val="auto"/>
          <w:sz w:val="24"/>
        </w:rPr>
        <w:t xml:space="preserve">Technical requirements </w:t>
      </w:r>
      <w:r>
        <w:rPr>
          <w:rFonts w:ascii="Times New Roman" w:hAnsi="Times New Roman" w:cs="Times New Roman"/>
          <w:sz w:val="24"/>
        </w:rPr>
        <w:tab/>
      </w:r>
      <w:r>
        <w:rPr>
          <w:rFonts w:hint="default" w:ascii="Times New Roman" w:hAnsi="Times New Roman" w:cs="Times New Roman"/>
          <w:sz w:val="24"/>
        </w:rPr>
        <w:fldChar w:fldCharType="end"/>
      </w:r>
      <w:r>
        <w:rPr>
          <w:rFonts w:hint="eastAsia" w:cs="Times New Roman"/>
          <w:sz w:val="24"/>
          <w:lang w:val="en-US" w:eastAsia="zh-CN"/>
        </w:rPr>
        <w:t>34</w:t>
      </w:r>
    </w:p>
    <w:p w14:paraId="7A14A787">
      <w:pPr>
        <w:pStyle w:val="8"/>
        <w:tabs>
          <w:tab w:val="right" w:leader="dot" w:pos="8296"/>
        </w:tabs>
        <w:snapToGrid w:val="0"/>
        <w:spacing w:line="300" w:lineRule="auto"/>
        <w:rPr>
          <w:rFonts w:hint="default" w:ascii="Times New Roman" w:hAnsi="Times New Roman" w:eastAsia="宋体" w:cs="Times New Roman"/>
          <w:sz w:val="24"/>
          <w:lang w:val="en-US" w:eastAsia="zh-CN"/>
          <w14:ligatures w14:val="standardContextual"/>
        </w:rPr>
      </w:pPr>
      <w:r>
        <w:rPr>
          <w:rFonts w:ascii="Times New Roman" w:hAnsi="Times New Roman" w:cs="Times New Roman"/>
          <w:sz w:val="24"/>
        </w:rPr>
        <w:fldChar w:fldCharType="begin"/>
      </w:r>
      <w:r>
        <w:rPr>
          <w:rFonts w:ascii="Times New Roman" w:hAnsi="Times New Roman" w:cs="Times New Roman"/>
          <w:sz w:val="24"/>
        </w:rPr>
        <w:instrText xml:space="preserve"> HYPERLINK \l "_Toc141449371" </w:instrText>
      </w:r>
      <w:r>
        <w:rPr>
          <w:rFonts w:ascii="Times New Roman" w:hAnsi="Times New Roman" w:cs="Times New Roman"/>
          <w:sz w:val="24"/>
        </w:rPr>
        <w:fldChar w:fldCharType="separate"/>
      </w:r>
      <w:r>
        <w:rPr>
          <w:rStyle w:val="21"/>
          <w:rFonts w:ascii="Times New Roman" w:hAnsi="Times New Roman" w:cs="Times New Roman"/>
          <w:color w:val="auto"/>
          <w:sz w:val="24"/>
        </w:rPr>
        <w:t xml:space="preserve">7.3 </w:t>
      </w:r>
      <w:r>
        <w:rPr>
          <w:rStyle w:val="21"/>
          <w:rFonts w:hint="default" w:ascii="Times New Roman" w:hAnsi="Times New Roman" w:cs="Times New Roman"/>
          <w:color w:val="auto"/>
          <w:sz w:val="24"/>
        </w:rPr>
        <w:t xml:space="preserve">Electrical Design </w:t>
      </w:r>
      <w:r>
        <w:rPr>
          <w:rFonts w:ascii="Times New Roman" w:hAnsi="Times New Roman" w:cs="Times New Roman"/>
          <w:sz w:val="24"/>
        </w:rPr>
        <w:tab/>
      </w:r>
      <w:r>
        <w:rPr>
          <w:rFonts w:hint="default" w:ascii="Times New Roman" w:hAnsi="Times New Roman" w:cs="Times New Roman"/>
          <w:sz w:val="24"/>
        </w:rPr>
        <w:fldChar w:fldCharType="end"/>
      </w:r>
      <w:r>
        <w:rPr>
          <w:rFonts w:hint="eastAsia" w:cs="Times New Roman"/>
          <w:sz w:val="24"/>
          <w:lang w:val="en-US" w:eastAsia="zh-CN"/>
        </w:rPr>
        <w:t>34</w:t>
      </w:r>
    </w:p>
    <w:p w14:paraId="24D1B80A">
      <w:pPr>
        <w:pStyle w:val="8"/>
        <w:tabs>
          <w:tab w:val="right" w:leader="dot" w:pos="8296"/>
        </w:tabs>
        <w:snapToGrid w:val="0"/>
        <w:spacing w:line="300" w:lineRule="auto"/>
        <w:rPr>
          <w:rFonts w:hint="default" w:ascii="Times New Roman" w:hAnsi="Times New Roman" w:cs="Times New Roman"/>
          <w:sz w:val="24"/>
          <w:lang w:val="en-US" w:eastAsia="zh-CN"/>
        </w:rPr>
      </w:pPr>
      <w:r>
        <w:rPr>
          <w:rFonts w:ascii="Times New Roman" w:hAnsi="Times New Roman" w:cs="Times New Roman"/>
          <w:sz w:val="24"/>
        </w:rPr>
        <w:fldChar w:fldCharType="begin"/>
      </w:r>
      <w:r>
        <w:rPr>
          <w:rFonts w:ascii="Times New Roman" w:hAnsi="Times New Roman" w:cs="Times New Roman"/>
          <w:sz w:val="24"/>
        </w:rPr>
        <w:instrText xml:space="preserve"> HYPERLINK \l "_Toc141449372" </w:instrText>
      </w:r>
      <w:r>
        <w:rPr>
          <w:rFonts w:ascii="Times New Roman" w:hAnsi="Times New Roman" w:cs="Times New Roman"/>
          <w:sz w:val="24"/>
        </w:rPr>
        <w:fldChar w:fldCharType="separate"/>
      </w:r>
      <w:r>
        <w:rPr>
          <w:rStyle w:val="21"/>
          <w:rFonts w:ascii="Times New Roman" w:hAnsi="Times New Roman" w:cs="Times New Roman"/>
          <w:color w:val="auto"/>
          <w:sz w:val="24"/>
        </w:rPr>
        <w:t xml:space="preserve">7.4 </w:t>
      </w:r>
      <w:r>
        <w:rPr>
          <w:rStyle w:val="21"/>
          <w:rFonts w:hint="default" w:ascii="Times New Roman" w:hAnsi="Times New Roman" w:cs="Times New Roman"/>
          <w:color w:val="auto"/>
          <w:sz w:val="24"/>
        </w:rPr>
        <w:t xml:space="preserve">Estimation of </w:t>
      </w:r>
      <w:r>
        <w:rPr>
          <w:rStyle w:val="21"/>
          <w:rFonts w:hint="default" w:ascii="Times New Roman" w:hAnsi="Times New Roman" w:cs="Times New Roman"/>
          <w:color w:val="auto"/>
          <w:sz w:val="24"/>
          <w:lang w:val="en-US" w:eastAsia="zh-CN"/>
        </w:rPr>
        <w:t>P</w:t>
      </w:r>
      <w:r>
        <w:rPr>
          <w:rStyle w:val="21"/>
          <w:rFonts w:hint="default" w:ascii="Times New Roman" w:hAnsi="Times New Roman" w:cs="Times New Roman"/>
          <w:color w:val="auto"/>
          <w:sz w:val="24"/>
        </w:rPr>
        <w:t xml:space="preserve">ower </w:t>
      </w:r>
      <w:r>
        <w:rPr>
          <w:rStyle w:val="21"/>
          <w:rFonts w:hint="default" w:ascii="Times New Roman" w:hAnsi="Times New Roman" w:cs="Times New Roman"/>
          <w:color w:val="auto"/>
          <w:sz w:val="24"/>
          <w:lang w:val="en-US" w:eastAsia="zh-CN"/>
        </w:rPr>
        <w:t>G</w:t>
      </w:r>
      <w:r>
        <w:rPr>
          <w:rStyle w:val="21"/>
          <w:rFonts w:hint="default" w:ascii="Times New Roman" w:hAnsi="Times New Roman" w:cs="Times New Roman"/>
          <w:color w:val="auto"/>
          <w:sz w:val="24"/>
        </w:rPr>
        <w:t>eneration</w:t>
      </w:r>
      <w:r>
        <w:rPr>
          <w:rFonts w:ascii="Times New Roman" w:hAnsi="Times New Roman" w:cs="Times New Roman"/>
          <w:sz w:val="24"/>
        </w:rPr>
        <w:tab/>
      </w:r>
      <w:r>
        <w:rPr>
          <w:rFonts w:hint="default" w:ascii="Times New Roman" w:hAnsi="Times New Roman" w:cs="Times New Roman"/>
          <w:sz w:val="24"/>
        </w:rPr>
        <w:fldChar w:fldCharType="end"/>
      </w:r>
      <w:r>
        <w:rPr>
          <w:rFonts w:hint="eastAsia" w:cs="Times New Roman"/>
          <w:sz w:val="24"/>
          <w:lang w:val="en-US" w:eastAsia="zh-CN"/>
        </w:rPr>
        <w:t>36</w:t>
      </w:r>
    </w:p>
    <w:p w14:paraId="262DA9C2">
      <w:pPr>
        <w:pStyle w:val="8"/>
        <w:tabs>
          <w:tab w:val="right" w:leader="dot" w:pos="8296"/>
        </w:tabs>
        <w:snapToGrid w:val="0"/>
        <w:spacing w:line="300" w:lineRule="auto"/>
        <w:rPr>
          <w:rFonts w:hint="default" w:cs="Times New Roman"/>
          <w:sz w:val="24"/>
          <w:lang w:val="en-US" w:eastAsia="zh-CN"/>
        </w:rPr>
      </w:pPr>
      <w:r>
        <w:rPr>
          <w:rFonts w:ascii="Times New Roman" w:hAnsi="Times New Roman" w:cs="Times New Roman"/>
          <w:sz w:val="24"/>
        </w:rPr>
        <w:fldChar w:fldCharType="begin"/>
      </w:r>
      <w:r>
        <w:rPr>
          <w:rFonts w:ascii="Times New Roman" w:hAnsi="Times New Roman" w:cs="Times New Roman"/>
          <w:sz w:val="24"/>
        </w:rPr>
        <w:instrText xml:space="preserve"> HYPERLINK \l "_Toc141449372" </w:instrText>
      </w:r>
      <w:r>
        <w:rPr>
          <w:rFonts w:ascii="Times New Roman" w:hAnsi="Times New Roman" w:cs="Times New Roman"/>
          <w:sz w:val="24"/>
        </w:rPr>
        <w:fldChar w:fldCharType="separate"/>
      </w:r>
      <w:r>
        <w:rPr>
          <w:rStyle w:val="21"/>
          <w:rFonts w:ascii="Times New Roman" w:hAnsi="Times New Roman" w:cs="Times New Roman"/>
          <w:color w:val="auto"/>
          <w:sz w:val="24"/>
        </w:rPr>
        <w:t>7.</w:t>
      </w:r>
      <w:r>
        <w:rPr>
          <w:rStyle w:val="21"/>
          <w:rFonts w:hint="eastAsia" w:cs="Times New Roman"/>
          <w:color w:val="auto"/>
          <w:sz w:val="24"/>
          <w:lang w:val="en-US" w:eastAsia="zh-CN"/>
        </w:rPr>
        <w:t>5</w:t>
      </w:r>
      <w:r>
        <w:rPr>
          <w:rStyle w:val="21"/>
          <w:rFonts w:ascii="Times New Roman" w:hAnsi="Times New Roman" w:cs="Times New Roman"/>
          <w:color w:val="auto"/>
          <w:sz w:val="24"/>
        </w:rPr>
        <w:t xml:space="preserve"> </w:t>
      </w:r>
      <w:r>
        <w:rPr>
          <w:rStyle w:val="21"/>
          <w:rFonts w:hint="default" w:ascii="Times New Roman" w:hAnsi="Times New Roman" w:cs="Times New Roman"/>
          <w:color w:val="auto"/>
          <w:sz w:val="24"/>
        </w:rPr>
        <w:t xml:space="preserve">Lightning </w:t>
      </w:r>
      <w:r>
        <w:rPr>
          <w:rStyle w:val="21"/>
          <w:rFonts w:hint="default" w:ascii="Times New Roman" w:hAnsi="Times New Roman" w:cs="Times New Roman"/>
          <w:color w:val="auto"/>
          <w:sz w:val="24"/>
          <w:lang w:val="en-US" w:eastAsia="zh-CN"/>
        </w:rPr>
        <w:t>P</w:t>
      </w:r>
      <w:r>
        <w:rPr>
          <w:rStyle w:val="21"/>
          <w:rFonts w:hint="default" w:ascii="Times New Roman" w:hAnsi="Times New Roman" w:cs="Times New Roman"/>
          <w:color w:val="auto"/>
          <w:sz w:val="24"/>
        </w:rPr>
        <w:t xml:space="preserve">rotection and </w:t>
      </w:r>
      <w:r>
        <w:rPr>
          <w:rStyle w:val="21"/>
          <w:rFonts w:hint="default" w:ascii="Times New Roman" w:hAnsi="Times New Roman" w:cs="Times New Roman"/>
          <w:color w:val="auto"/>
          <w:sz w:val="24"/>
          <w:lang w:val="en-US" w:eastAsia="zh-CN"/>
        </w:rPr>
        <w:t>G</w:t>
      </w:r>
      <w:r>
        <w:rPr>
          <w:rStyle w:val="21"/>
          <w:rFonts w:hint="default" w:ascii="Times New Roman" w:hAnsi="Times New Roman" w:cs="Times New Roman"/>
          <w:color w:val="auto"/>
          <w:sz w:val="24"/>
        </w:rPr>
        <w:t>rounding</w:t>
      </w:r>
      <w:r>
        <w:rPr>
          <w:rFonts w:ascii="Times New Roman" w:hAnsi="Times New Roman" w:cs="Times New Roman"/>
          <w:sz w:val="24"/>
        </w:rPr>
        <w:tab/>
      </w:r>
      <w:r>
        <w:rPr>
          <w:rFonts w:hint="default" w:ascii="Times New Roman" w:hAnsi="Times New Roman" w:cs="Times New Roman"/>
          <w:sz w:val="24"/>
        </w:rPr>
        <w:fldChar w:fldCharType="end"/>
      </w:r>
      <w:r>
        <w:rPr>
          <w:rFonts w:hint="eastAsia" w:cs="Times New Roman"/>
          <w:sz w:val="24"/>
          <w:lang w:val="en-US" w:eastAsia="zh-CN"/>
        </w:rPr>
        <w:t>37</w:t>
      </w:r>
    </w:p>
    <w:p w14:paraId="3A55FFE1">
      <w:pPr>
        <w:pStyle w:val="14"/>
        <w:tabs>
          <w:tab w:val="right" w:leader="dot" w:pos="8296"/>
        </w:tabs>
        <w:snapToGrid w:val="0"/>
        <w:spacing w:line="300" w:lineRule="auto"/>
        <w:rPr>
          <w:rFonts w:hint="default" w:cs="Times New Roman"/>
          <w:sz w:val="24"/>
          <w:lang w:val="en-US" w:eastAsia="zh-CN"/>
        </w:rPr>
      </w:pPr>
      <w:r>
        <w:rPr>
          <w:rFonts w:ascii="Times New Roman" w:hAnsi="Times New Roman" w:cs="Times New Roman"/>
          <w:sz w:val="24"/>
        </w:rPr>
        <w:fldChar w:fldCharType="begin"/>
      </w:r>
      <w:r>
        <w:rPr>
          <w:rFonts w:ascii="Times New Roman" w:hAnsi="Times New Roman" w:cs="Times New Roman"/>
          <w:sz w:val="24"/>
        </w:rPr>
        <w:instrText xml:space="preserve"> HYPERLINK \l "_Toc141449373" </w:instrText>
      </w:r>
      <w:r>
        <w:rPr>
          <w:rFonts w:ascii="Times New Roman" w:hAnsi="Times New Roman" w:cs="Times New Roman"/>
          <w:sz w:val="24"/>
        </w:rPr>
        <w:fldChar w:fldCharType="separate"/>
      </w:r>
      <w:r>
        <w:rPr>
          <w:rStyle w:val="21"/>
          <w:rFonts w:ascii="Times New Roman" w:hAnsi="Times New Roman" w:cs="Times New Roman"/>
          <w:color w:val="auto"/>
          <w:sz w:val="24"/>
        </w:rPr>
        <w:t xml:space="preserve">8 </w:t>
      </w:r>
      <w:r>
        <w:rPr>
          <w:rStyle w:val="21"/>
          <w:rFonts w:hint="default" w:ascii="Times New Roman" w:hAnsi="Times New Roman" w:cs="Times New Roman"/>
          <w:color w:val="auto"/>
          <w:sz w:val="24"/>
        </w:rPr>
        <w:t xml:space="preserve">Connectionof photovoltaic power </w:t>
      </w:r>
      <w:r>
        <w:rPr>
          <w:rStyle w:val="21"/>
          <w:rFonts w:hint="default" w:ascii="Times New Roman" w:hAnsi="Times New Roman" w:cs="Times New Roman"/>
          <w:color w:val="auto"/>
          <w:sz w:val="24"/>
          <w:lang w:val="en-US" w:eastAsia="zh-CN"/>
        </w:rPr>
        <w:t>systems</w:t>
      </w:r>
      <w:r>
        <w:rPr>
          <w:rFonts w:ascii="Times New Roman" w:hAnsi="Times New Roman" w:cs="Times New Roman"/>
          <w:sz w:val="24"/>
        </w:rPr>
        <w:tab/>
      </w:r>
      <w:r>
        <w:rPr>
          <w:rFonts w:hint="default" w:ascii="Times New Roman" w:hAnsi="Times New Roman" w:cs="Times New Roman"/>
          <w:sz w:val="24"/>
        </w:rPr>
        <w:fldChar w:fldCharType="end"/>
      </w:r>
      <w:r>
        <w:rPr>
          <w:rFonts w:hint="eastAsia" w:cs="Times New Roman"/>
          <w:sz w:val="24"/>
          <w:lang w:val="en-US" w:eastAsia="zh-CN"/>
        </w:rPr>
        <w:t>38</w:t>
      </w:r>
    </w:p>
    <w:p w14:paraId="39FB2534">
      <w:pPr>
        <w:pStyle w:val="8"/>
        <w:tabs>
          <w:tab w:val="right" w:leader="dot" w:pos="8296"/>
        </w:tabs>
        <w:snapToGrid w:val="0"/>
        <w:spacing w:line="300" w:lineRule="auto"/>
        <w:rPr>
          <w:rFonts w:hint="default" w:ascii="Times New Roman" w:hAnsi="Times New Roman" w:eastAsia="宋体" w:cs="Times New Roman"/>
          <w:sz w:val="24"/>
          <w:lang w:val="en-US" w:eastAsia="zh-CN"/>
          <w14:ligatures w14:val="standardContextual"/>
        </w:rPr>
      </w:pPr>
      <w:r>
        <w:rPr>
          <w:rFonts w:ascii="Times New Roman" w:hAnsi="Times New Roman" w:cs="Times New Roman"/>
          <w:sz w:val="24"/>
        </w:rPr>
        <w:fldChar w:fldCharType="begin"/>
      </w:r>
      <w:r>
        <w:rPr>
          <w:rFonts w:ascii="Times New Roman" w:hAnsi="Times New Roman" w:cs="Times New Roman"/>
          <w:sz w:val="24"/>
        </w:rPr>
        <w:instrText xml:space="preserve"> HYPERLINK \l "_Toc141449374" </w:instrText>
      </w:r>
      <w:r>
        <w:rPr>
          <w:rFonts w:ascii="Times New Roman" w:hAnsi="Times New Roman" w:cs="Times New Roman"/>
          <w:sz w:val="24"/>
        </w:rPr>
        <w:fldChar w:fldCharType="separate"/>
      </w:r>
      <w:r>
        <w:rPr>
          <w:rStyle w:val="21"/>
          <w:rFonts w:ascii="Times New Roman" w:hAnsi="Times New Roman" w:cs="Times New Roman"/>
          <w:color w:val="auto"/>
          <w:sz w:val="24"/>
        </w:rPr>
        <w:t xml:space="preserve">8.1 </w:t>
      </w:r>
      <w:r>
        <w:rPr>
          <w:rStyle w:val="21"/>
          <w:rFonts w:hint="default" w:ascii="Times New Roman" w:hAnsi="Times New Roman" w:cs="Times New Roman"/>
          <w:color w:val="auto"/>
          <w:sz w:val="24"/>
        </w:rPr>
        <w:t>General Requirements</w:t>
      </w:r>
      <w:r>
        <w:rPr>
          <w:rFonts w:ascii="Times New Roman" w:hAnsi="Times New Roman" w:cs="Times New Roman"/>
          <w:sz w:val="24"/>
        </w:rPr>
        <w:tab/>
      </w:r>
      <w:r>
        <w:rPr>
          <w:rFonts w:hint="default" w:ascii="Times New Roman" w:hAnsi="Times New Roman" w:cs="Times New Roman"/>
          <w:sz w:val="24"/>
        </w:rPr>
        <w:fldChar w:fldCharType="end"/>
      </w:r>
      <w:r>
        <w:rPr>
          <w:rFonts w:hint="eastAsia" w:cs="Times New Roman"/>
          <w:sz w:val="24"/>
          <w:lang w:val="en-US" w:eastAsia="zh-CN"/>
        </w:rPr>
        <w:t>38</w:t>
      </w:r>
    </w:p>
    <w:p w14:paraId="66FAD157">
      <w:pPr>
        <w:pStyle w:val="8"/>
        <w:tabs>
          <w:tab w:val="right" w:leader="dot" w:pos="8296"/>
        </w:tabs>
        <w:snapToGrid w:val="0"/>
        <w:spacing w:line="300" w:lineRule="auto"/>
        <w:rPr>
          <w:rFonts w:hint="default" w:ascii="Times New Roman" w:hAnsi="Times New Roman" w:cs="Times New Roman"/>
          <w:sz w:val="24"/>
          <w:lang w:val="en-US" w:eastAsia="zh-CN"/>
        </w:rPr>
      </w:pPr>
      <w:r>
        <w:rPr>
          <w:rFonts w:ascii="Times New Roman" w:hAnsi="Times New Roman" w:cs="Times New Roman"/>
          <w:sz w:val="24"/>
        </w:rPr>
        <w:fldChar w:fldCharType="begin"/>
      </w:r>
      <w:r>
        <w:rPr>
          <w:rFonts w:ascii="Times New Roman" w:hAnsi="Times New Roman" w:cs="Times New Roman"/>
          <w:sz w:val="24"/>
        </w:rPr>
        <w:instrText xml:space="preserve"> HYPERLINK \l "_Toc141449378" </w:instrText>
      </w:r>
      <w:r>
        <w:rPr>
          <w:rFonts w:ascii="Times New Roman" w:hAnsi="Times New Roman" w:cs="Times New Roman"/>
          <w:sz w:val="24"/>
        </w:rPr>
        <w:fldChar w:fldCharType="separate"/>
      </w:r>
      <w:r>
        <w:rPr>
          <w:rStyle w:val="21"/>
          <w:rFonts w:ascii="Times New Roman" w:hAnsi="Times New Roman" w:cs="Times New Roman"/>
          <w:color w:val="auto"/>
          <w:sz w:val="24"/>
        </w:rPr>
        <w:t>8.</w:t>
      </w:r>
      <w:r>
        <w:rPr>
          <w:rStyle w:val="21"/>
          <w:rFonts w:hint="eastAsia" w:cs="Times New Roman"/>
          <w:color w:val="auto"/>
          <w:sz w:val="24"/>
          <w:lang w:val="en-US" w:eastAsia="zh-CN"/>
        </w:rPr>
        <w:t>2</w:t>
      </w:r>
      <w:r>
        <w:rPr>
          <w:rStyle w:val="21"/>
          <w:rFonts w:ascii="Times New Roman" w:hAnsi="Times New Roman" w:cs="Times New Roman"/>
          <w:color w:val="auto"/>
          <w:sz w:val="24"/>
        </w:rPr>
        <w:t xml:space="preserve"> </w:t>
      </w:r>
      <w:r>
        <w:rPr>
          <w:rStyle w:val="21"/>
          <w:rFonts w:hint="default" w:ascii="Times New Roman" w:hAnsi="Times New Roman" w:cs="Times New Roman"/>
          <w:color w:val="auto"/>
          <w:sz w:val="24"/>
        </w:rPr>
        <w:t>System operations</w:t>
      </w:r>
      <w:r>
        <w:rPr>
          <w:rFonts w:ascii="Times New Roman" w:hAnsi="Times New Roman" w:cs="Times New Roman"/>
          <w:sz w:val="24"/>
        </w:rPr>
        <w:tab/>
      </w:r>
      <w:r>
        <w:rPr>
          <w:rFonts w:hint="default" w:ascii="Times New Roman" w:hAnsi="Times New Roman" w:cs="Times New Roman"/>
          <w:sz w:val="24"/>
        </w:rPr>
        <w:fldChar w:fldCharType="end"/>
      </w:r>
      <w:r>
        <w:rPr>
          <w:rFonts w:hint="eastAsia" w:cs="Times New Roman"/>
          <w:sz w:val="24"/>
          <w:lang w:val="en-US" w:eastAsia="zh-CN"/>
        </w:rPr>
        <w:t>39</w:t>
      </w:r>
    </w:p>
    <w:p w14:paraId="03D95E99">
      <w:pPr>
        <w:pStyle w:val="8"/>
        <w:tabs>
          <w:tab w:val="right" w:leader="dot" w:pos="8296"/>
        </w:tabs>
        <w:snapToGrid w:val="0"/>
        <w:spacing w:line="300" w:lineRule="auto"/>
        <w:rPr>
          <w:rFonts w:hint="default" w:ascii="Times New Roman" w:hAnsi="Times New Roman" w:eastAsia="宋体" w:cs="Times New Roman"/>
          <w:sz w:val="24"/>
          <w:lang w:val="en-US" w:eastAsia="zh-CN"/>
          <w14:ligatures w14:val="standardContextual"/>
        </w:rPr>
      </w:pPr>
      <w:r>
        <w:rPr>
          <w:rFonts w:ascii="Times New Roman" w:hAnsi="Times New Roman" w:cs="Times New Roman"/>
          <w:sz w:val="24"/>
        </w:rPr>
        <w:fldChar w:fldCharType="begin"/>
      </w:r>
      <w:r>
        <w:rPr>
          <w:rFonts w:ascii="Times New Roman" w:hAnsi="Times New Roman" w:cs="Times New Roman"/>
          <w:sz w:val="24"/>
        </w:rPr>
        <w:instrText xml:space="preserve"> HYPERLINK \l "_Toc141449374" </w:instrText>
      </w:r>
      <w:r>
        <w:rPr>
          <w:rFonts w:ascii="Times New Roman" w:hAnsi="Times New Roman" w:cs="Times New Roman"/>
          <w:sz w:val="24"/>
        </w:rPr>
        <w:fldChar w:fldCharType="separate"/>
      </w:r>
      <w:r>
        <w:rPr>
          <w:rStyle w:val="21"/>
          <w:rFonts w:ascii="Times New Roman" w:hAnsi="Times New Roman" w:cs="Times New Roman"/>
          <w:color w:val="auto"/>
          <w:sz w:val="24"/>
        </w:rPr>
        <w:t>8.</w:t>
      </w:r>
      <w:r>
        <w:rPr>
          <w:rStyle w:val="21"/>
          <w:rFonts w:hint="eastAsia" w:ascii="Times New Roman" w:hAnsi="Times New Roman" w:cs="Times New Roman"/>
          <w:color w:val="auto"/>
          <w:sz w:val="24"/>
          <w:lang w:val="en-US" w:eastAsia="zh-CN"/>
        </w:rPr>
        <w:t>3</w:t>
      </w:r>
      <w:r>
        <w:rPr>
          <w:rStyle w:val="21"/>
          <w:rFonts w:ascii="Times New Roman" w:hAnsi="Times New Roman" w:cs="Times New Roman"/>
          <w:color w:val="auto"/>
          <w:sz w:val="24"/>
        </w:rPr>
        <w:t xml:space="preserve"> </w:t>
      </w:r>
      <w:r>
        <w:rPr>
          <w:rStyle w:val="21"/>
          <w:rFonts w:hint="default" w:ascii="Times New Roman" w:hAnsi="Times New Roman" w:cs="Times New Roman"/>
          <w:color w:val="auto"/>
          <w:sz w:val="24"/>
        </w:rPr>
        <w:t>Intelligent operation</w:t>
      </w:r>
      <w:r>
        <w:rPr>
          <w:rFonts w:ascii="Times New Roman" w:hAnsi="Times New Roman" w:cs="Times New Roman"/>
          <w:sz w:val="24"/>
        </w:rPr>
        <w:tab/>
      </w:r>
      <w:r>
        <w:rPr>
          <w:rFonts w:hint="default" w:ascii="Times New Roman" w:hAnsi="Times New Roman" w:cs="Times New Roman"/>
          <w:sz w:val="24"/>
        </w:rPr>
        <w:fldChar w:fldCharType="end"/>
      </w:r>
      <w:r>
        <w:rPr>
          <w:rFonts w:hint="eastAsia" w:cs="Times New Roman"/>
          <w:sz w:val="24"/>
          <w:lang w:val="en-US" w:eastAsia="zh-CN"/>
        </w:rPr>
        <w:t>39</w:t>
      </w:r>
    </w:p>
    <w:p w14:paraId="560A30C1">
      <w:pPr>
        <w:pStyle w:val="8"/>
        <w:tabs>
          <w:tab w:val="right" w:leader="dot" w:pos="8296"/>
        </w:tabs>
        <w:snapToGrid w:val="0"/>
        <w:spacing w:line="300" w:lineRule="auto"/>
        <w:rPr>
          <w:rFonts w:hint="default" w:ascii="Times New Roman" w:hAnsi="Times New Roman" w:cs="Times New Roman"/>
          <w:sz w:val="24"/>
          <w:lang w:val="en-US" w:eastAsia="zh-CN"/>
        </w:rPr>
      </w:pPr>
      <w:r>
        <w:rPr>
          <w:rFonts w:ascii="Times New Roman" w:hAnsi="Times New Roman" w:cs="Times New Roman"/>
          <w:sz w:val="24"/>
        </w:rPr>
        <w:fldChar w:fldCharType="begin"/>
      </w:r>
      <w:r>
        <w:rPr>
          <w:rFonts w:ascii="Times New Roman" w:hAnsi="Times New Roman" w:cs="Times New Roman"/>
          <w:sz w:val="24"/>
        </w:rPr>
        <w:instrText xml:space="preserve"> HYPERLINK \l "_Toc141449378" </w:instrText>
      </w:r>
      <w:r>
        <w:rPr>
          <w:rFonts w:ascii="Times New Roman" w:hAnsi="Times New Roman" w:cs="Times New Roman"/>
          <w:sz w:val="24"/>
        </w:rPr>
        <w:fldChar w:fldCharType="separate"/>
      </w:r>
      <w:r>
        <w:rPr>
          <w:rStyle w:val="21"/>
          <w:rFonts w:ascii="Times New Roman" w:hAnsi="Times New Roman" w:cs="Times New Roman"/>
          <w:color w:val="auto"/>
          <w:sz w:val="24"/>
        </w:rPr>
        <w:t>8.</w:t>
      </w:r>
      <w:r>
        <w:rPr>
          <w:rStyle w:val="21"/>
          <w:rFonts w:hint="eastAsia" w:cs="Times New Roman"/>
          <w:color w:val="auto"/>
          <w:sz w:val="24"/>
          <w:lang w:val="en-US" w:eastAsia="zh-CN"/>
        </w:rPr>
        <w:t>4</w:t>
      </w:r>
      <w:r>
        <w:rPr>
          <w:rStyle w:val="21"/>
          <w:rFonts w:ascii="Times New Roman" w:hAnsi="Times New Roman" w:cs="Times New Roman"/>
          <w:color w:val="auto"/>
          <w:sz w:val="24"/>
        </w:rPr>
        <w:t xml:space="preserve"> </w:t>
      </w:r>
      <w:r>
        <w:rPr>
          <w:rStyle w:val="21"/>
          <w:rFonts w:hint="default" w:ascii="Times New Roman" w:hAnsi="Times New Roman" w:cs="Times New Roman"/>
          <w:color w:val="auto"/>
          <w:sz w:val="24"/>
        </w:rPr>
        <w:t>Safety and Protection</w:t>
      </w:r>
      <w:r>
        <w:rPr>
          <w:rFonts w:ascii="Times New Roman" w:hAnsi="Times New Roman" w:cs="Times New Roman"/>
          <w:sz w:val="24"/>
        </w:rPr>
        <w:tab/>
      </w:r>
      <w:r>
        <w:rPr>
          <w:rFonts w:hint="default" w:ascii="Times New Roman" w:hAnsi="Times New Roman" w:cs="Times New Roman"/>
          <w:sz w:val="24"/>
        </w:rPr>
        <w:fldChar w:fldCharType="end"/>
      </w:r>
      <w:r>
        <w:rPr>
          <w:rFonts w:hint="eastAsia" w:ascii="Times New Roman" w:hAnsi="Times New Roman" w:cs="Times New Roman"/>
          <w:sz w:val="24"/>
          <w:lang w:val="en-US" w:eastAsia="zh-CN"/>
        </w:rPr>
        <w:t>4</w:t>
      </w:r>
      <w:r>
        <w:rPr>
          <w:rFonts w:hint="eastAsia" w:cs="Times New Roman"/>
          <w:sz w:val="24"/>
          <w:lang w:val="en-US" w:eastAsia="zh-CN"/>
        </w:rPr>
        <w:t>0</w:t>
      </w:r>
    </w:p>
    <w:p w14:paraId="0BCD41A3">
      <w:pPr>
        <w:pStyle w:val="14"/>
        <w:tabs>
          <w:tab w:val="right" w:leader="dot" w:pos="8296"/>
        </w:tabs>
        <w:snapToGrid w:val="0"/>
        <w:spacing w:line="300" w:lineRule="auto"/>
        <w:rPr>
          <w:rFonts w:hint="default" w:ascii="Times New Roman" w:hAnsi="Times New Roman" w:cs="Times New Roman"/>
          <w:sz w:val="24"/>
          <w:lang w:eastAsia="zh-CN"/>
        </w:rPr>
      </w:pPr>
      <w:r>
        <w:rPr>
          <w:rFonts w:ascii="Times New Roman" w:hAnsi="Times New Roman" w:cs="Times New Roman"/>
          <w:sz w:val="24"/>
        </w:rPr>
        <w:fldChar w:fldCharType="begin"/>
      </w:r>
      <w:r>
        <w:rPr>
          <w:rFonts w:ascii="Times New Roman" w:hAnsi="Times New Roman" w:cs="Times New Roman"/>
          <w:sz w:val="24"/>
        </w:rPr>
        <w:instrText xml:space="preserve"> HYPERLINK \l "_Toc141449379" </w:instrText>
      </w:r>
      <w:r>
        <w:rPr>
          <w:rFonts w:ascii="Times New Roman" w:hAnsi="Times New Roman" w:cs="Times New Roman"/>
          <w:sz w:val="24"/>
        </w:rPr>
        <w:fldChar w:fldCharType="separate"/>
      </w:r>
      <w:r>
        <w:rPr>
          <w:rStyle w:val="21"/>
          <w:rFonts w:ascii="Times New Roman" w:hAnsi="Times New Roman" w:cs="Times New Roman"/>
          <w:color w:val="auto"/>
          <w:sz w:val="24"/>
        </w:rPr>
        <w:t xml:space="preserve">9 </w:t>
      </w:r>
      <w:r>
        <w:rPr>
          <w:rStyle w:val="21"/>
          <w:rFonts w:hint="default" w:ascii="Times New Roman" w:hAnsi="Times New Roman" w:cs="Times New Roman"/>
          <w:color w:val="auto"/>
          <w:sz w:val="24"/>
          <w:lang w:val="en-US" w:eastAsia="zh-CN"/>
        </w:rPr>
        <w:t>W</w:t>
      </w:r>
      <w:r>
        <w:rPr>
          <w:rStyle w:val="21"/>
          <w:rFonts w:hint="default" w:ascii="Times New Roman" w:hAnsi="Times New Roman" w:cs="Times New Roman"/>
          <w:color w:val="auto"/>
          <w:sz w:val="24"/>
        </w:rPr>
        <w:t xml:space="preserve">ater </w:t>
      </w:r>
      <w:r>
        <w:rPr>
          <w:rStyle w:val="21"/>
          <w:rFonts w:hint="default" w:ascii="Times New Roman" w:hAnsi="Times New Roman" w:cs="Times New Roman"/>
          <w:color w:val="auto"/>
          <w:sz w:val="24"/>
          <w:lang w:val="en-US" w:eastAsia="zh-CN"/>
        </w:rPr>
        <w:t>S</w:t>
      </w:r>
      <w:r>
        <w:rPr>
          <w:rStyle w:val="21"/>
          <w:rFonts w:hint="default" w:ascii="Times New Roman" w:hAnsi="Times New Roman" w:cs="Times New Roman"/>
          <w:color w:val="auto"/>
          <w:sz w:val="24"/>
        </w:rPr>
        <w:t xml:space="preserve">upply and </w:t>
      </w:r>
      <w:r>
        <w:rPr>
          <w:rStyle w:val="21"/>
          <w:rFonts w:hint="default" w:ascii="Times New Roman" w:hAnsi="Times New Roman" w:cs="Times New Roman"/>
          <w:color w:val="auto"/>
          <w:sz w:val="24"/>
          <w:lang w:val="en-US" w:eastAsia="zh-CN"/>
        </w:rPr>
        <w:t>D</w:t>
      </w:r>
      <w:r>
        <w:rPr>
          <w:rStyle w:val="21"/>
          <w:rFonts w:hint="default" w:ascii="Times New Roman" w:hAnsi="Times New Roman" w:cs="Times New Roman"/>
          <w:color w:val="auto"/>
          <w:sz w:val="24"/>
        </w:rPr>
        <w:t xml:space="preserve">rainage </w:t>
      </w:r>
      <w:r>
        <w:rPr>
          <w:rStyle w:val="21"/>
          <w:rFonts w:hint="default" w:ascii="Times New Roman" w:hAnsi="Times New Roman" w:cs="Times New Roman"/>
          <w:color w:val="auto"/>
          <w:sz w:val="24"/>
          <w:lang w:val="en-US" w:eastAsia="zh-CN"/>
        </w:rPr>
        <w:t>D</w:t>
      </w:r>
      <w:r>
        <w:rPr>
          <w:rStyle w:val="21"/>
          <w:rFonts w:hint="default" w:ascii="Times New Roman" w:hAnsi="Times New Roman" w:cs="Times New Roman"/>
          <w:color w:val="auto"/>
          <w:sz w:val="24"/>
        </w:rPr>
        <w:t>esign</w:t>
      </w:r>
      <w:r>
        <w:rPr>
          <w:rFonts w:ascii="Times New Roman" w:hAnsi="Times New Roman" w:cs="Times New Roman"/>
          <w:sz w:val="24"/>
        </w:rPr>
        <w:tab/>
      </w:r>
      <w:r>
        <w:rPr>
          <w:rFonts w:hint="default" w:ascii="Times New Roman" w:hAnsi="Times New Roman" w:cs="Times New Roman"/>
          <w:sz w:val="24"/>
        </w:rPr>
        <w:fldChar w:fldCharType="end"/>
      </w:r>
      <w:r>
        <w:rPr>
          <w:rFonts w:hint="eastAsia" w:ascii="Times New Roman" w:hAnsi="Times New Roman" w:cs="Times New Roman"/>
          <w:sz w:val="24"/>
          <w:lang w:eastAsia="zh-CN"/>
        </w:rPr>
        <w:t>4</w:t>
      </w:r>
      <w:r>
        <w:rPr>
          <w:rFonts w:hint="eastAsia" w:cs="Times New Roman"/>
          <w:sz w:val="24"/>
          <w:lang w:val="en-US" w:eastAsia="zh-CN"/>
        </w:rPr>
        <w:t>2</w:t>
      </w:r>
    </w:p>
    <w:p w14:paraId="16A105BC">
      <w:pPr>
        <w:pStyle w:val="8"/>
        <w:tabs>
          <w:tab w:val="right" w:leader="dot" w:pos="8296"/>
        </w:tabs>
        <w:snapToGrid w:val="0"/>
        <w:spacing w:line="300" w:lineRule="auto"/>
        <w:rPr>
          <w:rFonts w:hint="default" w:ascii="Times New Roman" w:hAnsi="Times New Roman" w:eastAsia="宋体" w:cs="Times New Roman"/>
          <w:sz w:val="24"/>
          <w:lang w:val="en-US" w:eastAsia="zh-CN"/>
          <w14:ligatures w14:val="standardContextual"/>
        </w:rPr>
      </w:pPr>
      <w:r>
        <w:rPr>
          <w:rFonts w:ascii="Times New Roman" w:hAnsi="Times New Roman" w:cs="Times New Roman"/>
          <w:sz w:val="24"/>
        </w:rPr>
        <w:fldChar w:fldCharType="begin"/>
      </w:r>
      <w:r>
        <w:rPr>
          <w:rFonts w:ascii="Times New Roman" w:hAnsi="Times New Roman" w:cs="Times New Roman"/>
          <w:sz w:val="24"/>
        </w:rPr>
        <w:instrText xml:space="preserve"> HYPERLINK \l "_Toc141449380" </w:instrText>
      </w:r>
      <w:r>
        <w:rPr>
          <w:rFonts w:ascii="Times New Roman" w:hAnsi="Times New Roman" w:cs="Times New Roman"/>
          <w:sz w:val="24"/>
        </w:rPr>
        <w:fldChar w:fldCharType="separate"/>
      </w:r>
      <w:r>
        <w:rPr>
          <w:rStyle w:val="21"/>
          <w:rFonts w:ascii="Times New Roman" w:hAnsi="Times New Roman" w:cs="Times New Roman"/>
          <w:color w:val="auto"/>
          <w:sz w:val="24"/>
        </w:rPr>
        <w:t xml:space="preserve">9.1 </w:t>
      </w:r>
      <w:r>
        <w:rPr>
          <w:rStyle w:val="21"/>
          <w:rFonts w:hint="default" w:ascii="Times New Roman" w:hAnsi="Times New Roman" w:cs="Times New Roman"/>
          <w:color w:val="auto"/>
          <w:sz w:val="24"/>
        </w:rPr>
        <w:t>General Requirements</w:t>
      </w:r>
      <w:r>
        <w:rPr>
          <w:rFonts w:ascii="Times New Roman" w:hAnsi="Times New Roman" w:cs="Times New Roman"/>
          <w:sz w:val="24"/>
        </w:rPr>
        <w:tab/>
      </w:r>
      <w:r>
        <w:rPr>
          <w:rFonts w:hint="default" w:ascii="Times New Roman" w:hAnsi="Times New Roman" w:cs="Times New Roman"/>
          <w:sz w:val="24"/>
        </w:rPr>
        <w:fldChar w:fldCharType="end"/>
      </w:r>
      <w:r>
        <w:rPr>
          <w:rFonts w:hint="eastAsia" w:ascii="Times New Roman" w:hAnsi="Times New Roman" w:cs="Times New Roman"/>
          <w:sz w:val="24"/>
          <w:lang w:eastAsia="zh-CN"/>
        </w:rPr>
        <w:t>4</w:t>
      </w:r>
      <w:r>
        <w:rPr>
          <w:rFonts w:hint="eastAsia" w:cs="Times New Roman"/>
          <w:sz w:val="24"/>
          <w:lang w:val="en-US" w:eastAsia="zh-CN"/>
        </w:rPr>
        <w:t>2</w:t>
      </w:r>
    </w:p>
    <w:p w14:paraId="38C5653D">
      <w:pPr>
        <w:pStyle w:val="8"/>
        <w:tabs>
          <w:tab w:val="right" w:leader="dot" w:pos="8296"/>
        </w:tabs>
        <w:snapToGrid w:val="0"/>
        <w:spacing w:line="300" w:lineRule="auto"/>
        <w:rPr>
          <w:rFonts w:hint="default" w:ascii="Times New Roman" w:hAnsi="Times New Roman" w:eastAsia="宋体" w:cs="Times New Roman"/>
          <w:sz w:val="24"/>
          <w:lang w:val="en-US" w:eastAsia="zh-CN"/>
          <w14:ligatures w14:val="standardContextual"/>
        </w:rPr>
      </w:pPr>
      <w:r>
        <w:rPr>
          <w:rFonts w:ascii="Times New Roman" w:hAnsi="Times New Roman" w:cs="Times New Roman"/>
          <w:sz w:val="24"/>
        </w:rPr>
        <w:fldChar w:fldCharType="begin"/>
      </w:r>
      <w:r>
        <w:rPr>
          <w:rFonts w:ascii="Times New Roman" w:hAnsi="Times New Roman" w:cs="Times New Roman"/>
          <w:sz w:val="24"/>
        </w:rPr>
        <w:instrText xml:space="preserve"> HYPERLINK \l "_Toc141449381" </w:instrText>
      </w:r>
      <w:r>
        <w:rPr>
          <w:rFonts w:ascii="Times New Roman" w:hAnsi="Times New Roman" w:cs="Times New Roman"/>
          <w:sz w:val="24"/>
        </w:rPr>
        <w:fldChar w:fldCharType="separate"/>
      </w:r>
      <w:r>
        <w:rPr>
          <w:rStyle w:val="21"/>
          <w:rFonts w:ascii="Times New Roman" w:hAnsi="Times New Roman" w:cs="Times New Roman"/>
          <w:color w:val="auto"/>
          <w:sz w:val="24"/>
        </w:rPr>
        <w:t xml:space="preserve">9.2 </w:t>
      </w:r>
      <w:r>
        <w:rPr>
          <w:rStyle w:val="21"/>
          <w:rFonts w:hint="default" w:ascii="Times New Roman" w:hAnsi="Times New Roman" w:cs="Times New Roman"/>
          <w:color w:val="auto"/>
          <w:sz w:val="24"/>
        </w:rPr>
        <w:t xml:space="preserve">Roof </w:t>
      </w:r>
      <w:r>
        <w:rPr>
          <w:rStyle w:val="21"/>
          <w:rFonts w:hint="default" w:ascii="Times New Roman" w:hAnsi="Times New Roman" w:cs="Times New Roman"/>
          <w:color w:val="auto"/>
          <w:sz w:val="24"/>
          <w:lang w:val="en-US" w:eastAsia="zh-CN"/>
        </w:rPr>
        <w:t>D</w:t>
      </w:r>
      <w:r>
        <w:rPr>
          <w:rStyle w:val="21"/>
          <w:rFonts w:hint="default" w:ascii="Times New Roman" w:hAnsi="Times New Roman" w:cs="Times New Roman"/>
          <w:color w:val="auto"/>
          <w:sz w:val="24"/>
        </w:rPr>
        <w:t>rainage</w:t>
      </w:r>
      <w:r>
        <w:rPr>
          <w:rFonts w:ascii="Times New Roman" w:hAnsi="Times New Roman" w:cs="Times New Roman"/>
          <w:sz w:val="24"/>
        </w:rPr>
        <w:tab/>
      </w:r>
      <w:r>
        <w:rPr>
          <w:rFonts w:hint="default" w:ascii="Times New Roman" w:hAnsi="Times New Roman" w:cs="Times New Roman"/>
          <w:sz w:val="24"/>
        </w:rPr>
        <w:fldChar w:fldCharType="end"/>
      </w:r>
      <w:r>
        <w:rPr>
          <w:rFonts w:hint="eastAsia" w:ascii="Times New Roman" w:hAnsi="Times New Roman" w:cs="Times New Roman"/>
          <w:sz w:val="24"/>
          <w:lang w:eastAsia="zh-CN"/>
        </w:rPr>
        <w:t>4</w:t>
      </w:r>
      <w:r>
        <w:rPr>
          <w:rFonts w:hint="eastAsia" w:cs="Times New Roman"/>
          <w:sz w:val="24"/>
          <w:lang w:val="en-US" w:eastAsia="zh-CN"/>
        </w:rPr>
        <w:t>2</w:t>
      </w:r>
    </w:p>
    <w:p w14:paraId="0601B336">
      <w:pPr>
        <w:pStyle w:val="8"/>
        <w:tabs>
          <w:tab w:val="right" w:leader="dot" w:pos="8296"/>
        </w:tabs>
        <w:snapToGrid w:val="0"/>
        <w:spacing w:line="300" w:lineRule="auto"/>
        <w:rPr>
          <w:rFonts w:hint="default" w:ascii="Times New Roman" w:hAnsi="Times New Roman" w:cs="Times New Roman"/>
          <w:sz w:val="24"/>
          <w:lang w:val="en-US" w:eastAsia="zh-CN"/>
        </w:rPr>
      </w:pPr>
      <w:r>
        <w:rPr>
          <w:rFonts w:ascii="Times New Roman" w:hAnsi="Times New Roman" w:cs="Times New Roman"/>
          <w:sz w:val="24"/>
        </w:rPr>
        <w:fldChar w:fldCharType="begin"/>
      </w:r>
      <w:r>
        <w:rPr>
          <w:rFonts w:ascii="Times New Roman" w:hAnsi="Times New Roman" w:cs="Times New Roman"/>
          <w:sz w:val="24"/>
        </w:rPr>
        <w:instrText xml:space="preserve"> HYPERLINK \l "_Toc141449382" </w:instrText>
      </w:r>
      <w:r>
        <w:rPr>
          <w:rFonts w:ascii="Times New Roman" w:hAnsi="Times New Roman" w:cs="Times New Roman"/>
          <w:sz w:val="24"/>
        </w:rPr>
        <w:fldChar w:fldCharType="separate"/>
      </w:r>
      <w:r>
        <w:rPr>
          <w:rStyle w:val="21"/>
          <w:rFonts w:ascii="Times New Roman" w:hAnsi="Times New Roman" w:cs="Times New Roman"/>
          <w:color w:val="auto"/>
          <w:sz w:val="24"/>
        </w:rPr>
        <w:t xml:space="preserve">9.3 </w:t>
      </w:r>
      <w:r>
        <w:rPr>
          <w:rStyle w:val="21"/>
          <w:rFonts w:hint="default" w:ascii="Times New Roman" w:hAnsi="Times New Roman" w:cs="Times New Roman"/>
          <w:color w:val="auto"/>
          <w:sz w:val="24"/>
        </w:rPr>
        <w:t xml:space="preserve">Photovoltaic </w:t>
      </w:r>
      <w:r>
        <w:rPr>
          <w:rStyle w:val="21"/>
          <w:rFonts w:hint="default" w:ascii="Times New Roman" w:hAnsi="Times New Roman" w:cs="Times New Roman"/>
          <w:color w:val="auto"/>
          <w:sz w:val="24"/>
          <w:lang w:val="en-US" w:eastAsia="zh-CN"/>
        </w:rPr>
        <w:t>W</w:t>
      </w:r>
      <w:r>
        <w:rPr>
          <w:rStyle w:val="21"/>
          <w:rFonts w:hint="default" w:ascii="Times New Roman" w:hAnsi="Times New Roman" w:cs="Times New Roman"/>
          <w:color w:val="auto"/>
          <w:sz w:val="24"/>
        </w:rPr>
        <w:t xml:space="preserve">ater </w:t>
      </w:r>
      <w:r>
        <w:rPr>
          <w:rStyle w:val="21"/>
          <w:rFonts w:hint="default" w:ascii="Times New Roman" w:hAnsi="Times New Roman" w:cs="Times New Roman"/>
          <w:color w:val="auto"/>
          <w:sz w:val="24"/>
          <w:lang w:val="en-US" w:eastAsia="zh-CN"/>
        </w:rPr>
        <w:t>T</w:t>
      </w:r>
      <w:r>
        <w:rPr>
          <w:rStyle w:val="21"/>
          <w:rFonts w:hint="default" w:ascii="Times New Roman" w:hAnsi="Times New Roman" w:cs="Times New Roman"/>
          <w:color w:val="auto"/>
          <w:sz w:val="24"/>
        </w:rPr>
        <w:t>ightness</w:t>
      </w:r>
      <w:r>
        <w:rPr>
          <w:rFonts w:ascii="Times New Roman" w:hAnsi="Times New Roman" w:cs="Times New Roman"/>
          <w:sz w:val="24"/>
        </w:rPr>
        <w:tab/>
      </w:r>
      <w:r>
        <w:rPr>
          <w:rFonts w:hint="default" w:ascii="Times New Roman" w:hAnsi="Times New Roman" w:cs="Times New Roman"/>
          <w:sz w:val="24"/>
        </w:rPr>
        <w:fldChar w:fldCharType="end"/>
      </w:r>
      <w:r>
        <w:rPr>
          <w:rFonts w:hint="eastAsia" w:ascii="Times New Roman" w:hAnsi="Times New Roman" w:cs="Times New Roman"/>
          <w:sz w:val="24"/>
          <w:lang w:eastAsia="zh-CN"/>
        </w:rPr>
        <w:t>4</w:t>
      </w:r>
      <w:r>
        <w:rPr>
          <w:rFonts w:hint="eastAsia" w:cs="Times New Roman"/>
          <w:sz w:val="24"/>
          <w:lang w:val="en-US" w:eastAsia="zh-CN"/>
        </w:rPr>
        <w:t>3</w:t>
      </w:r>
    </w:p>
    <w:p w14:paraId="545472C5">
      <w:pPr>
        <w:pStyle w:val="14"/>
        <w:tabs>
          <w:tab w:val="right" w:leader="dot" w:pos="8296"/>
        </w:tabs>
        <w:snapToGrid w:val="0"/>
        <w:spacing w:line="300" w:lineRule="auto"/>
        <w:rPr>
          <w:rFonts w:hint="default" w:ascii="Times New Roman" w:hAnsi="Times New Roman" w:cs="Times New Roman"/>
          <w:sz w:val="24"/>
          <w:lang w:val="en-US" w:eastAsia="zh-CN"/>
        </w:rPr>
      </w:pPr>
      <w:r>
        <w:rPr>
          <w:rFonts w:ascii="Times New Roman" w:hAnsi="Times New Roman" w:cs="Times New Roman"/>
          <w:sz w:val="24"/>
        </w:rPr>
        <w:fldChar w:fldCharType="begin"/>
      </w:r>
      <w:r>
        <w:rPr>
          <w:rFonts w:ascii="Times New Roman" w:hAnsi="Times New Roman" w:cs="Times New Roman"/>
          <w:sz w:val="24"/>
        </w:rPr>
        <w:instrText xml:space="preserve"> HYPERLINK \l "_Toc141449384" </w:instrText>
      </w:r>
      <w:r>
        <w:rPr>
          <w:rFonts w:ascii="Times New Roman" w:hAnsi="Times New Roman" w:cs="Times New Roman"/>
          <w:sz w:val="24"/>
        </w:rPr>
        <w:fldChar w:fldCharType="separate"/>
      </w:r>
      <w:r>
        <w:rPr>
          <w:rStyle w:val="21"/>
          <w:rFonts w:ascii="Times New Roman" w:hAnsi="Times New Roman" w:cs="Times New Roman"/>
          <w:color w:val="auto"/>
          <w:sz w:val="24"/>
        </w:rPr>
        <w:t>1</w:t>
      </w:r>
      <w:r>
        <w:rPr>
          <w:rStyle w:val="21"/>
          <w:rFonts w:hint="default" w:ascii="Times New Roman" w:hAnsi="Times New Roman" w:cs="Times New Roman"/>
          <w:color w:val="auto"/>
          <w:sz w:val="24"/>
          <w:lang w:val="en-US" w:eastAsia="zh-CN"/>
        </w:rPr>
        <w:t>0</w:t>
      </w:r>
      <w:r>
        <w:rPr>
          <w:rStyle w:val="21"/>
          <w:rFonts w:ascii="Times New Roman" w:hAnsi="Times New Roman" w:cs="Times New Roman"/>
          <w:color w:val="auto"/>
          <w:sz w:val="24"/>
        </w:rPr>
        <w:t xml:space="preserve"> Construction</w:t>
      </w:r>
      <w:r>
        <w:rPr>
          <w:rFonts w:ascii="Times New Roman" w:hAnsi="Times New Roman" w:cs="Times New Roman"/>
          <w:sz w:val="24"/>
        </w:rPr>
        <w:tab/>
      </w:r>
      <w:r>
        <w:rPr>
          <w:rFonts w:hint="default" w:ascii="Times New Roman" w:hAnsi="Times New Roman" w:cs="Times New Roman"/>
          <w:sz w:val="24"/>
        </w:rPr>
        <w:fldChar w:fldCharType="end"/>
      </w:r>
      <w:r>
        <w:rPr>
          <w:rFonts w:hint="eastAsia" w:cs="Times New Roman"/>
          <w:sz w:val="24"/>
          <w:lang w:val="en-US" w:eastAsia="zh-CN"/>
        </w:rPr>
        <w:t>44</w:t>
      </w:r>
    </w:p>
    <w:p w14:paraId="079482C8">
      <w:pPr>
        <w:pStyle w:val="8"/>
        <w:tabs>
          <w:tab w:val="right" w:leader="dot" w:pos="8296"/>
        </w:tabs>
        <w:snapToGrid w:val="0"/>
        <w:spacing w:line="300" w:lineRule="auto"/>
        <w:rPr>
          <w:rFonts w:hint="default" w:ascii="Times New Roman" w:hAnsi="Times New Roman" w:eastAsia="宋体" w:cs="Times New Roman"/>
          <w:sz w:val="24"/>
          <w:lang w:val="en-US" w:eastAsia="zh-CN"/>
          <w14:ligatures w14:val="standardContextual"/>
        </w:rPr>
      </w:pPr>
      <w:r>
        <w:rPr>
          <w:rFonts w:ascii="Times New Roman" w:hAnsi="Times New Roman" w:cs="Times New Roman"/>
          <w:sz w:val="24"/>
        </w:rPr>
        <w:fldChar w:fldCharType="begin"/>
      </w:r>
      <w:r>
        <w:rPr>
          <w:rFonts w:ascii="Times New Roman" w:hAnsi="Times New Roman" w:cs="Times New Roman"/>
          <w:sz w:val="24"/>
        </w:rPr>
        <w:instrText xml:space="preserve"> HYPERLINK \l "_Toc141449385" </w:instrText>
      </w:r>
      <w:r>
        <w:rPr>
          <w:rFonts w:ascii="Times New Roman" w:hAnsi="Times New Roman" w:cs="Times New Roman"/>
          <w:sz w:val="24"/>
        </w:rPr>
        <w:fldChar w:fldCharType="separate"/>
      </w:r>
      <w:r>
        <w:rPr>
          <w:rStyle w:val="21"/>
          <w:rFonts w:ascii="Times New Roman" w:hAnsi="Times New Roman" w:cs="Times New Roman"/>
          <w:color w:val="auto"/>
          <w:sz w:val="24"/>
        </w:rPr>
        <w:t>1</w:t>
      </w:r>
      <w:r>
        <w:rPr>
          <w:rStyle w:val="21"/>
          <w:rFonts w:hint="eastAsia" w:cs="Times New Roman"/>
          <w:color w:val="auto"/>
          <w:sz w:val="24"/>
          <w:lang w:val="en-US" w:eastAsia="zh-CN"/>
        </w:rPr>
        <w:t>0</w:t>
      </w:r>
      <w:r>
        <w:rPr>
          <w:rStyle w:val="21"/>
          <w:rFonts w:ascii="Times New Roman" w:hAnsi="Times New Roman" w:cs="Times New Roman"/>
          <w:color w:val="auto"/>
          <w:sz w:val="24"/>
        </w:rPr>
        <w:t xml:space="preserve">.1 </w:t>
      </w:r>
      <w:r>
        <w:rPr>
          <w:rStyle w:val="21"/>
          <w:rFonts w:hint="default" w:ascii="Times New Roman" w:hAnsi="Times New Roman" w:cs="Times New Roman"/>
          <w:color w:val="auto"/>
          <w:sz w:val="24"/>
        </w:rPr>
        <w:t>General Requirements</w:t>
      </w:r>
      <w:r>
        <w:rPr>
          <w:rFonts w:ascii="Times New Roman" w:hAnsi="Times New Roman" w:cs="Times New Roman"/>
          <w:sz w:val="24"/>
        </w:rPr>
        <w:tab/>
      </w:r>
      <w:r>
        <w:rPr>
          <w:rFonts w:hint="default" w:ascii="Times New Roman" w:hAnsi="Times New Roman" w:cs="Times New Roman"/>
          <w:sz w:val="24"/>
        </w:rPr>
        <w:fldChar w:fldCharType="end"/>
      </w:r>
      <w:r>
        <w:rPr>
          <w:rFonts w:hint="eastAsia" w:cs="Times New Roman"/>
          <w:sz w:val="24"/>
          <w:lang w:val="en-US" w:eastAsia="zh-CN"/>
        </w:rPr>
        <w:t>44</w:t>
      </w:r>
    </w:p>
    <w:p w14:paraId="46CEC1AF">
      <w:pPr>
        <w:pStyle w:val="8"/>
        <w:tabs>
          <w:tab w:val="right" w:leader="dot" w:pos="8296"/>
        </w:tabs>
        <w:snapToGrid w:val="0"/>
        <w:spacing w:line="300" w:lineRule="auto"/>
        <w:rPr>
          <w:rFonts w:hint="default" w:ascii="Times New Roman" w:hAnsi="Times New Roman" w:eastAsia="宋体" w:cs="Times New Roman"/>
          <w:sz w:val="24"/>
          <w:lang w:val="en-US" w:eastAsia="zh-CN"/>
          <w14:ligatures w14:val="standardContextual"/>
        </w:rPr>
      </w:pPr>
      <w:r>
        <w:rPr>
          <w:rFonts w:ascii="Times New Roman" w:hAnsi="Times New Roman" w:cs="Times New Roman"/>
          <w:sz w:val="24"/>
        </w:rPr>
        <w:fldChar w:fldCharType="begin"/>
      </w:r>
      <w:r>
        <w:rPr>
          <w:rFonts w:ascii="Times New Roman" w:hAnsi="Times New Roman" w:cs="Times New Roman"/>
          <w:sz w:val="24"/>
        </w:rPr>
        <w:instrText xml:space="preserve"> HYPERLINK \l "_Toc141449386" </w:instrText>
      </w:r>
      <w:r>
        <w:rPr>
          <w:rFonts w:ascii="Times New Roman" w:hAnsi="Times New Roman" w:cs="Times New Roman"/>
          <w:sz w:val="24"/>
        </w:rPr>
        <w:fldChar w:fldCharType="separate"/>
      </w:r>
      <w:r>
        <w:rPr>
          <w:rStyle w:val="21"/>
          <w:rFonts w:ascii="Times New Roman" w:hAnsi="Times New Roman" w:cs="Times New Roman"/>
          <w:color w:val="auto"/>
          <w:sz w:val="24"/>
        </w:rPr>
        <w:t>1</w:t>
      </w:r>
      <w:r>
        <w:rPr>
          <w:rStyle w:val="21"/>
          <w:rFonts w:hint="eastAsia" w:cs="Times New Roman"/>
          <w:color w:val="auto"/>
          <w:sz w:val="24"/>
          <w:lang w:val="en-US" w:eastAsia="zh-CN"/>
        </w:rPr>
        <w:t>0</w:t>
      </w:r>
      <w:r>
        <w:rPr>
          <w:rStyle w:val="21"/>
          <w:rFonts w:ascii="Times New Roman" w:hAnsi="Times New Roman" w:cs="Times New Roman"/>
          <w:color w:val="auto"/>
          <w:sz w:val="24"/>
        </w:rPr>
        <w:t xml:space="preserve">.2 Civil </w:t>
      </w:r>
      <w:r>
        <w:rPr>
          <w:rStyle w:val="21"/>
          <w:rFonts w:hint="default" w:ascii="Times New Roman" w:hAnsi="Times New Roman" w:cs="Times New Roman"/>
          <w:color w:val="auto"/>
          <w:sz w:val="24"/>
        </w:rPr>
        <w:t>Works</w:t>
      </w:r>
      <w:r>
        <w:rPr>
          <w:rFonts w:ascii="Times New Roman" w:hAnsi="Times New Roman" w:cs="Times New Roman"/>
          <w:sz w:val="24"/>
        </w:rPr>
        <w:tab/>
      </w:r>
      <w:r>
        <w:rPr>
          <w:rFonts w:hint="default" w:ascii="Times New Roman" w:hAnsi="Times New Roman" w:cs="Times New Roman"/>
          <w:sz w:val="24"/>
        </w:rPr>
        <w:fldChar w:fldCharType="end"/>
      </w:r>
      <w:r>
        <w:rPr>
          <w:rFonts w:hint="eastAsia" w:cs="Times New Roman"/>
          <w:sz w:val="24"/>
          <w:lang w:val="en-US" w:eastAsia="zh-CN"/>
        </w:rPr>
        <w:t>46</w:t>
      </w:r>
    </w:p>
    <w:p w14:paraId="1AB12E4C">
      <w:pPr>
        <w:pStyle w:val="8"/>
        <w:tabs>
          <w:tab w:val="right" w:leader="dot" w:pos="8296"/>
        </w:tabs>
        <w:snapToGrid w:val="0"/>
        <w:spacing w:line="300" w:lineRule="auto"/>
        <w:rPr>
          <w:rFonts w:hint="default" w:ascii="Times New Roman" w:hAnsi="Times New Roman" w:eastAsia="宋体" w:cs="Times New Roman"/>
          <w:sz w:val="24"/>
          <w:lang w:val="en-US" w:eastAsia="zh-CN"/>
          <w14:ligatures w14:val="standardContextual"/>
        </w:rPr>
      </w:pPr>
      <w:r>
        <w:rPr>
          <w:rFonts w:ascii="Times New Roman" w:hAnsi="Times New Roman" w:cs="Times New Roman"/>
          <w:sz w:val="24"/>
        </w:rPr>
        <w:fldChar w:fldCharType="begin"/>
      </w:r>
      <w:r>
        <w:rPr>
          <w:rFonts w:ascii="Times New Roman" w:hAnsi="Times New Roman" w:cs="Times New Roman"/>
          <w:sz w:val="24"/>
        </w:rPr>
        <w:instrText xml:space="preserve"> HYPERLINK \l "_Toc141449386" </w:instrText>
      </w:r>
      <w:r>
        <w:rPr>
          <w:rFonts w:ascii="Times New Roman" w:hAnsi="Times New Roman" w:cs="Times New Roman"/>
          <w:sz w:val="24"/>
        </w:rPr>
        <w:fldChar w:fldCharType="separate"/>
      </w:r>
      <w:r>
        <w:rPr>
          <w:rStyle w:val="21"/>
          <w:rFonts w:ascii="Times New Roman" w:hAnsi="Times New Roman" w:cs="Times New Roman"/>
          <w:color w:val="auto"/>
          <w:sz w:val="24"/>
        </w:rPr>
        <w:t>1</w:t>
      </w:r>
      <w:r>
        <w:rPr>
          <w:rStyle w:val="21"/>
          <w:rFonts w:hint="eastAsia" w:cs="Times New Roman"/>
          <w:color w:val="auto"/>
          <w:sz w:val="24"/>
          <w:lang w:val="en-US" w:eastAsia="zh-CN"/>
        </w:rPr>
        <w:t>0</w:t>
      </w:r>
      <w:r>
        <w:rPr>
          <w:rStyle w:val="21"/>
          <w:rFonts w:ascii="Times New Roman" w:hAnsi="Times New Roman" w:cs="Times New Roman"/>
          <w:color w:val="auto"/>
          <w:sz w:val="24"/>
        </w:rPr>
        <w:t>.</w:t>
      </w:r>
      <w:r>
        <w:rPr>
          <w:rStyle w:val="21"/>
          <w:rFonts w:hint="eastAsia" w:cs="Times New Roman"/>
          <w:color w:val="auto"/>
          <w:sz w:val="24"/>
          <w:lang w:val="en-US" w:eastAsia="zh-CN"/>
        </w:rPr>
        <w:t>3</w:t>
      </w:r>
      <w:r>
        <w:rPr>
          <w:rStyle w:val="21"/>
          <w:rFonts w:ascii="Times New Roman" w:hAnsi="Times New Roman" w:cs="Times New Roman"/>
          <w:color w:val="auto"/>
          <w:sz w:val="24"/>
        </w:rPr>
        <w:t xml:space="preserve"> </w:t>
      </w:r>
      <w:r>
        <w:rPr>
          <w:rStyle w:val="21"/>
          <w:rFonts w:hint="default" w:ascii="Times New Roman" w:hAnsi="Times New Roman" w:cs="Times New Roman"/>
          <w:color w:val="auto"/>
          <w:sz w:val="24"/>
          <w:lang w:val="en-US" w:eastAsia="zh-CN"/>
        </w:rPr>
        <w:t>Photovoltaic Module Installation</w:t>
      </w:r>
      <w:r>
        <w:rPr>
          <w:rFonts w:ascii="Times New Roman" w:hAnsi="Times New Roman" w:cs="Times New Roman"/>
          <w:sz w:val="24"/>
        </w:rPr>
        <w:tab/>
      </w:r>
      <w:r>
        <w:rPr>
          <w:rFonts w:hint="default" w:ascii="Times New Roman" w:hAnsi="Times New Roman" w:cs="Times New Roman"/>
          <w:sz w:val="24"/>
        </w:rPr>
        <w:fldChar w:fldCharType="end"/>
      </w:r>
      <w:r>
        <w:rPr>
          <w:rFonts w:hint="eastAsia" w:cs="Times New Roman"/>
          <w:sz w:val="24"/>
          <w:lang w:val="en-US" w:eastAsia="zh-CN"/>
        </w:rPr>
        <w:t>49</w:t>
      </w:r>
    </w:p>
    <w:p w14:paraId="5DFD0E7E">
      <w:pPr>
        <w:pStyle w:val="8"/>
        <w:tabs>
          <w:tab w:val="right" w:leader="dot" w:pos="8296"/>
        </w:tabs>
        <w:snapToGrid w:val="0"/>
        <w:spacing w:line="300" w:lineRule="auto"/>
        <w:rPr>
          <w:rFonts w:hint="default" w:ascii="Times New Roman" w:hAnsi="Times New Roman" w:eastAsia="宋体" w:cs="Times New Roman"/>
          <w:sz w:val="24"/>
          <w:lang w:val="en-US" w:eastAsia="zh-CN"/>
          <w14:ligatures w14:val="standardContextual"/>
        </w:rPr>
      </w:pPr>
      <w:r>
        <w:rPr>
          <w:rFonts w:ascii="Times New Roman" w:hAnsi="Times New Roman" w:cs="Times New Roman"/>
          <w:sz w:val="24"/>
        </w:rPr>
        <w:fldChar w:fldCharType="begin"/>
      </w:r>
      <w:r>
        <w:rPr>
          <w:rFonts w:ascii="Times New Roman" w:hAnsi="Times New Roman" w:cs="Times New Roman"/>
          <w:sz w:val="24"/>
        </w:rPr>
        <w:instrText xml:space="preserve"> HYPERLINK \l "_Toc141449387" </w:instrText>
      </w:r>
      <w:r>
        <w:rPr>
          <w:rFonts w:ascii="Times New Roman" w:hAnsi="Times New Roman" w:cs="Times New Roman"/>
          <w:sz w:val="24"/>
        </w:rPr>
        <w:fldChar w:fldCharType="separate"/>
      </w:r>
      <w:r>
        <w:rPr>
          <w:rStyle w:val="21"/>
          <w:rFonts w:ascii="Times New Roman" w:hAnsi="Times New Roman" w:cs="Times New Roman"/>
          <w:color w:val="auto"/>
          <w:sz w:val="24"/>
        </w:rPr>
        <w:t>1</w:t>
      </w:r>
      <w:r>
        <w:rPr>
          <w:rStyle w:val="21"/>
          <w:rFonts w:hint="eastAsia" w:cs="Times New Roman"/>
          <w:color w:val="auto"/>
          <w:sz w:val="24"/>
          <w:lang w:val="en-US" w:eastAsia="zh-CN"/>
        </w:rPr>
        <w:t>0</w:t>
      </w:r>
      <w:r>
        <w:rPr>
          <w:rStyle w:val="21"/>
          <w:rFonts w:ascii="Times New Roman" w:hAnsi="Times New Roman" w:cs="Times New Roman"/>
          <w:color w:val="auto"/>
          <w:sz w:val="24"/>
        </w:rPr>
        <w:t>.</w:t>
      </w:r>
      <w:r>
        <w:rPr>
          <w:rStyle w:val="21"/>
          <w:rFonts w:hint="eastAsia" w:cs="Times New Roman"/>
          <w:color w:val="auto"/>
          <w:sz w:val="24"/>
          <w:lang w:val="en-US" w:eastAsia="zh-CN"/>
        </w:rPr>
        <w:t>4</w:t>
      </w:r>
      <w:r>
        <w:rPr>
          <w:rStyle w:val="21"/>
          <w:rFonts w:ascii="Times New Roman" w:hAnsi="Times New Roman" w:cs="Times New Roman"/>
          <w:color w:val="auto"/>
          <w:sz w:val="24"/>
        </w:rPr>
        <w:t xml:space="preserve"> Electrical Installation</w:t>
      </w:r>
      <w:r>
        <w:rPr>
          <w:rFonts w:ascii="Times New Roman" w:hAnsi="Times New Roman" w:cs="Times New Roman"/>
          <w:sz w:val="24"/>
        </w:rPr>
        <w:tab/>
      </w:r>
      <w:r>
        <w:rPr>
          <w:rFonts w:hint="default" w:ascii="Times New Roman" w:hAnsi="Times New Roman" w:cs="Times New Roman"/>
          <w:sz w:val="24"/>
        </w:rPr>
        <w:fldChar w:fldCharType="end"/>
      </w:r>
      <w:r>
        <w:rPr>
          <w:rFonts w:hint="eastAsia" w:ascii="Times New Roman" w:hAnsi="Times New Roman" w:cs="Times New Roman"/>
          <w:sz w:val="24"/>
          <w:lang w:val="en-US" w:eastAsia="zh-CN"/>
        </w:rPr>
        <w:t>5</w:t>
      </w:r>
      <w:r>
        <w:rPr>
          <w:rFonts w:hint="eastAsia" w:cs="Times New Roman"/>
          <w:sz w:val="24"/>
          <w:lang w:val="en-US" w:eastAsia="zh-CN"/>
        </w:rPr>
        <w:t>0</w:t>
      </w:r>
    </w:p>
    <w:p w14:paraId="431BC8A8">
      <w:pPr>
        <w:pStyle w:val="8"/>
        <w:tabs>
          <w:tab w:val="right" w:leader="dot" w:pos="8296"/>
        </w:tabs>
        <w:snapToGrid w:val="0"/>
        <w:spacing w:line="300" w:lineRule="auto"/>
        <w:rPr>
          <w:rFonts w:hint="default"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HYPERLINK \l "_Toc141449388" </w:instrText>
      </w:r>
      <w:r>
        <w:rPr>
          <w:rFonts w:ascii="Times New Roman" w:hAnsi="Times New Roman" w:cs="Times New Roman"/>
          <w:sz w:val="24"/>
        </w:rPr>
        <w:fldChar w:fldCharType="separate"/>
      </w:r>
      <w:r>
        <w:rPr>
          <w:rStyle w:val="21"/>
          <w:rFonts w:ascii="Times New Roman" w:hAnsi="Times New Roman" w:cs="Times New Roman"/>
          <w:color w:val="auto"/>
          <w:sz w:val="24"/>
        </w:rPr>
        <w:t>1</w:t>
      </w:r>
      <w:r>
        <w:rPr>
          <w:rStyle w:val="21"/>
          <w:rFonts w:hint="eastAsia" w:cs="Times New Roman"/>
          <w:color w:val="auto"/>
          <w:sz w:val="24"/>
          <w:lang w:val="en-US" w:eastAsia="zh-CN"/>
        </w:rPr>
        <w:t>0</w:t>
      </w:r>
      <w:r>
        <w:rPr>
          <w:rStyle w:val="21"/>
          <w:rFonts w:ascii="Times New Roman" w:hAnsi="Times New Roman" w:cs="Times New Roman"/>
          <w:color w:val="auto"/>
          <w:sz w:val="24"/>
        </w:rPr>
        <w:t>.</w:t>
      </w:r>
      <w:r>
        <w:rPr>
          <w:rStyle w:val="21"/>
          <w:rFonts w:hint="eastAsia" w:cs="Times New Roman"/>
          <w:color w:val="auto"/>
          <w:sz w:val="24"/>
          <w:lang w:val="en-US" w:eastAsia="zh-CN"/>
        </w:rPr>
        <w:t>5</w:t>
      </w:r>
      <w:r>
        <w:rPr>
          <w:rStyle w:val="21"/>
          <w:rFonts w:ascii="Times New Roman" w:hAnsi="Times New Roman" w:cs="Times New Roman"/>
          <w:color w:val="auto"/>
          <w:sz w:val="24"/>
        </w:rPr>
        <w:t xml:space="preserve"> </w:t>
      </w:r>
      <w:r>
        <w:rPr>
          <w:rStyle w:val="21"/>
          <w:rFonts w:hint="default" w:ascii="Times New Roman" w:hAnsi="Times New Roman" w:cs="Times New Roman"/>
          <w:color w:val="auto"/>
          <w:sz w:val="24"/>
        </w:rPr>
        <w:t>System commissioning</w:t>
      </w:r>
      <w:r>
        <w:rPr>
          <w:rFonts w:ascii="Times New Roman" w:hAnsi="Times New Roman" w:cs="Times New Roman"/>
          <w:sz w:val="24"/>
        </w:rPr>
        <w:tab/>
      </w:r>
      <w:r>
        <w:rPr>
          <w:rFonts w:hint="default" w:ascii="Times New Roman" w:hAnsi="Times New Roman" w:cs="Times New Roman"/>
          <w:sz w:val="24"/>
        </w:rPr>
        <w:fldChar w:fldCharType="end"/>
      </w:r>
      <w:r>
        <w:rPr>
          <w:rFonts w:hint="eastAsia" w:ascii="Times New Roman" w:hAnsi="Times New Roman" w:cs="Times New Roman"/>
          <w:sz w:val="24"/>
          <w:lang w:val="en-US" w:eastAsia="zh-CN"/>
        </w:rPr>
        <w:t>5</w:t>
      </w:r>
      <w:r>
        <w:rPr>
          <w:rFonts w:hint="eastAsia" w:cs="Times New Roman"/>
          <w:sz w:val="24"/>
          <w:lang w:val="en-US" w:eastAsia="zh-CN"/>
        </w:rPr>
        <w:t>2</w:t>
      </w:r>
    </w:p>
    <w:p w14:paraId="7EBE5C5E">
      <w:pPr>
        <w:pStyle w:val="14"/>
        <w:tabs>
          <w:tab w:val="right" w:leader="dot" w:pos="8296"/>
        </w:tabs>
        <w:snapToGrid w:val="0"/>
        <w:spacing w:line="300" w:lineRule="auto"/>
        <w:rPr>
          <w:rFonts w:hint="default" w:ascii="Times New Roman" w:hAnsi="Times New Roman" w:cs="Times New Roman"/>
          <w:sz w:val="24"/>
          <w:lang w:val="en-US" w:eastAsia="zh-CN"/>
        </w:rPr>
      </w:pPr>
      <w:r>
        <w:rPr>
          <w:rFonts w:ascii="Times New Roman" w:hAnsi="Times New Roman" w:cs="Times New Roman"/>
          <w:sz w:val="24"/>
        </w:rPr>
        <w:fldChar w:fldCharType="begin"/>
      </w:r>
      <w:r>
        <w:rPr>
          <w:rFonts w:ascii="Times New Roman" w:hAnsi="Times New Roman" w:cs="Times New Roman"/>
          <w:sz w:val="24"/>
        </w:rPr>
        <w:instrText xml:space="preserve"> HYPERLINK \l "_Toc141449389" </w:instrText>
      </w:r>
      <w:r>
        <w:rPr>
          <w:rFonts w:ascii="Times New Roman" w:hAnsi="Times New Roman" w:cs="Times New Roman"/>
          <w:sz w:val="24"/>
        </w:rPr>
        <w:fldChar w:fldCharType="separate"/>
      </w:r>
      <w:r>
        <w:rPr>
          <w:rStyle w:val="21"/>
          <w:rFonts w:ascii="Times New Roman" w:hAnsi="Times New Roman" w:cs="Times New Roman"/>
          <w:color w:val="auto"/>
          <w:sz w:val="24"/>
        </w:rPr>
        <w:t>1</w:t>
      </w:r>
      <w:r>
        <w:rPr>
          <w:rStyle w:val="21"/>
          <w:rFonts w:hint="default" w:ascii="Times New Roman" w:hAnsi="Times New Roman" w:cs="Times New Roman"/>
          <w:color w:val="auto"/>
          <w:sz w:val="24"/>
          <w:lang w:val="en-US" w:eastAsia="zh-CN"/>
        </w:rPr>
        <w:t>1</w:t>
      </w:r>
      <w:r>
        <w:rPr>
          <w:rStyle w:val="21"/>
          <w:rFonts w:ascii="Times New Roman" w:hAnsi="Times New Roman" w:cs="Times New Roman"/>
          <w:color w:val="auto"/>
          <w:sz w:val="24"/>
        </w:rPr>
        <w:t xml:space="preserve"> Environmental Protection and Safety Protection</w:t>
      </w:r>
      <w:r>
        <w:rPr>
          <w:rFonts w:ascii="Times New Roman" w:hAnsi="Times New Roman" w:cs="Times New Roman"/>
          <w:sz w:val="24"/>
        </w:rPr>
        <w:tab/>
      </w:r>
      <w:r>
        <w:rPr>
          <w:rFonts w:ascii="Times New Roman" w:hAnsi="Times New Roman" w:cs="Times New Roman"/>
          <w:sz w:val="24"/>
        </w:rPr>
        <w:fldChar w:fldCharType="end"/>
      </w:r>
      <w:r>
        <w:rPr>
          <w:rFonts w:hint="eastAsia" w:cs="Times New Roman"/>
          <w:sz w:val="24"/>
          <w:lang w:val="en-US" w:eastAsia="zh-CN"/>
        </w:rPr>
        <w:t>56</w:t>
      </w:r>
    </w:p>
    <w:p w14:paraId="15933FFC">
      <w:pPr>
        <w:pStyle w:val="8"/>
        <w:tabs>
          <w:tab w:val="right" w:leader="dot" w:pos="8296"/>
        </w:tabs>
        <w:snapToGrid w:val="0"/>
        <w:spacing w:line="300" w:lineRule="auto"/>
        <w:rPr>
          <w:rFonts w:hint="default" w:ascii="Times New Roman" w:hAnsi="Times New Roman" w:eastAsia="宋体" w:cs="Times New Roman"/>
          <w:sz w:val="24"/>
          <w:lang w:val="en-US" w:eastAsia="zh-CN"/>
          <w14:ligatures w14:val="standardContextual"/>
        </w:rPr>
      </w:pPr>
      <w:r>
        <w:rPr>
          <w:rFonts w:ascii="Times New Roman" w:hAnsi="Times New Roman" w:cs="Times New Roman"/>
          <w:sz w:val="24"/>
        </w:rPr>
        <w:fldChar w:fldCharType="begin"/>
      </w:r>
      <w:r>
        <w:rPr>
          <w:rFonts w:ascii="Times New Roman" w:hAnsi="Times New Roman" w:cs="Times New Roman"/>
          <w:sz w:val="24"/>
        </w:rPr>
        <w:instrText xml:space="preserve"> HYPERLINK \l "_Toc141449390" </w:instrText>
      </w:r>
      <w:r>
        <w:rPr>
          <w:rFonts w:ascii="Times New Roman" w:hAnsi="Times New Roman" w:cs="Times New Roman"/>
          <w:sz w:val="24"/>
        </w:rPr>
        <w:fldChar w:fldCharType="separate"/>
      </w:r>
      <w:r>
        <w:rPr>
          <w:rStyle w:val="21"/>
          <w:rFonts w:ascii="Times New Roman" w:hAnsi="Times New Roman" w:cs="Times New Roman"/>
          <w:color w:val="auto"/>
          <w:sz w:val="24"/>
        </w:rPr>
        <w:t>1</w:t>
      </w:r>
      <w:r>
        <w:rPr>
          <w:rStyle w:val="21"/>
          <w:rFonts w:hint="eastAsia" w:cs="Times New Roman"/>
          <w:color w:val="auto"/>
          <w:sz w:val="24"/>
          <w:lang w:val="en-US" w:eastAsia="zh-CN"/>
        </w:rPr>
        <w:t>1</w:t>
      </w:r>
      <w:r>
        <w:rPr>
          <w:rStyle w:val="21"/>
          <w:rFonts w:ascii="Times New Roman" w:hAnsi="Times New Roman" w:cs="Times New Roman"/>
          <w:color w:val="auto"/>
          <w:sz w:val="24"/>
        </w:rPr>
        <w:t xml:space="preserve">.1 </w:t>
      </w:r>
      <w:r>
        <w:rPr>
          <w:rStyle w:val="21"/>
          <w:rFonts w:hint="default" w:ascii="Times New Roman" w:hAnsi="Times New Roman" w:cs="Times New Roman"/>
          <w:color w:val="auto"/>
          <w:sz w:val="24"/>
        </w:rPr>
        <w:t>General Requirements</w:t>
      </w:r>
      <w:r>
        <w:rPr>
          <w:rFonts w:ascii="Times New Roman" w:hAnsi="Times New Roman" w:cs="Times New Roman"/>
          <w:sz w:val="24"/>
        </w:rPr>
        <w:tab/>
      </w:r>
      <w:r>
        <w:rPr>
          <w:rFonts w:ascii="Times New Roman" w:hAnsi="Times New Roman" w:cs="Times New Roman"/>
          <w:sz w:val="24"/>
        </w:rPr>
        <w:fldChar w:fldCharType="end"/>
      </w:r>
      <w:r>
        <w:rPr>
          <w:rFonts w:hint="eastAsia" w:cs="Times New Roman"/>
          <w:sz w:val="24"/>
          <w:lang w:val="en-US" w:eastAsia="zh-CN"/>
        </w:rPr>
        <w:t>56</w:t>
      </w:r>
    </w:p>
    <w:p w14:paraId="3E934CE2">
      <w:pPr>
        <w:pStyle w:val="8"/>
        <w:tabs>
          <w:tab w:val="right" w:leader="dot" w:pos="8296"/>
        </w:tabs>
        <w:snapToGrid w:val="0"/>
        <w:spacing w:line="300" w:lineRule="auto"/>
        <w:rPr>
          <w:rFonts w:hint="default" w:ascii="Times New Roman" w:hAnsi="Times New Roman" w:cs="Times New Roman"/>
          <w:sz w:val="24"/>
          <w:lang w:val="en-US" w:eastAsia="zh-CN"/>
        </w:rPr>
      </w:pPr>
      <w:r>
        <w:rPr>
          <w:rFonts w:ascii="Times New Roman" w:hAnsi="Times New Roman" w:cs="Times New Roman"/>
          <w:sz w:val="24"/>
        </w:rPr>
        <w:fldChar w:fldCharType="begin"/>
      </w:r>
      <w:r>
        <w:rPr>
          <w:rFonts w:ascii="Times New Roman" w:hAnsi="Times New Roman" w:cs="Times New Roman"/>
          <w:sz w:val="24"/>
        </w:rPr>
        <w:instrText xml:space="preserve"> HYPERLINK \l "_Toc141449391" </w:instrText>
      </w:r>
      <w:r>
        <w:rPr>
          <w:rFonts w:ascii="Times New Roman" w:hAnsi="Times New Roman" w:cs="Times New Roman"/>
          <w:sz w:val="24"/>
        </w:rPr>
        <w:fldChar w:fldCharType="separate"/>
      </w:r>
      <w:r>
        <w:rPr>
          <w:rStyle w:val="21"/>
          <w:rFonts w:ascii="Times New Roman" w:hAnsi="Times New Roman" w:cs="Times New Roman"/>
          <w:color w:val="auto"/>
          <w:sz w:val="24"/>
        </w:rPr>
        <w:t>1</w:t>
      </w:r>
      <w:r>
        <w:rPr>
          <w:rStyle w:val="21"/>
          <w:rFonts w:hint="eastAsia" w:cs="Times New Roman"/>
          <w:color w:val="auto"/>
          <w:sz w:val="24"/>
          <w:lang w:val="en-US" w:eastAsia="zh-CN"/>
        </w:rPr>
        <w:t>1</w:t>
      </w:r>
      <w:r>
        <w:rPr>
          <w:rStyle w:val="21"/>
          <w:rFonts w:ascii="Times New Roman" w:hAnsi="Times New Roman" w:cs="Times New Roman"/>
          <w:color w:val="auto"/>
          <w:sz w:val="24"/>
        </w:rPr>
        <w:t>.2 Environmental Protection</w:t>
      </w:r>
      <w:r>
        <w:rPr>
          <w:rStyle w:val="21"/>
          <w:rFonts w:hint="default" w:ascii="Times New Roman" w:hAnsi="Times New Roman" w:cs="Times New Roman"/>
          <w:color w:val="auto"/>
          <w:sz w:val="24"/>
          <w:lang w:val="en-US" w:eastAsia="zh-CN"/>
        </w:rPr>
        <w:t xml:space="preserve"> </w:t>
      </w:r>
      <w:r>
        <w:rPr>
          <w:rStyle w:val="21"/>
          <w:rFonts w:hint="default" w:ascii="Times New Roman" w:hAnsi="Times New Roman" w:cs="Times New Roman"/>
          <w:color w:val="auto"/>
          <w:sz w:val="24"/>
        </w:rPr>
        <w:t xml:space="preserve">and </w:t>
      </w:r>
      <w:r>
        <w:rPr>
          <w:rStyle w:val="21"/>
          <w:rFonts w:hint="default" w:ascii="Times New Roman" w:hAnsi="Times New Roman" w:cs="Times New Roman"/>
          <w:color w:val="auto"/>
          <w:sz w:val="24"/>
          <w:lang w:val="en-US" w:eastAsia="zh-CN"/>
        </w:rPr>
        <w:t>S</w:t>
      </w:r>
      <w:r>
        <w:rPr>
          <w:rStyle w:val="21"/>
          <w:rFonts w:hint="default" w:ascii="Times New Roman" w:hAnsi="Times New Roman" w:cs="Times New Roman"/>
          <w:color w:val="auto"/>
          <w:sz w:val="24"/>
        </w:rPr>
        <w:t>afety</w:t>
      </w:r>
      <w:r>
        <w:rPr>
          <w:rFonts w:ascii="Times New Roman" w:hAnsi="Times New Roman" w:cs="Times New Roman"/>
          <w:sz w:val="24"/>
        </w:rPr>
        <w:tab/>
      </w:r>
      <w:r>
        <w:rPr>
          <w:rFonts w:ascii="Times New Roman" w:hAnsi="Times New Roman" w:cs="Times New Roman"/>
          <w:sz w:val="24"/>
        </w:rPr>
        <w:fldChar w:fldCharType="end"/>
      </w:r>
      <w:r>
        <w:rPr>
          <w:rFonts w:hint="eastAsia" w:cs="Times New Roman"/>
          <w:sz w:val="24"/>
          <w:lang w:val="en-US" w:eastAsia="zh-CN"/>
        </w:rPr>
        <w:t>56</w:t>
      </w:r>
    </w:p>
    <w:p w14:paraId="33E249DE">
      <w:pPr>
        <w:pStyle w:val="14"/>
        <w:tabs>
          <w:tab w:val="right" w:leader="dot" w:pos="8296"/>
        </w:tabs>
        <w:snapToGrid w:val="0"/>
        <w:spacing w:line="300" w:lineRule="auto"/>
        <w:rPr>
          <w:rFonts w:hint="default" w:ascii="Times New Roman" w:hAnsi="Times New Roman" w:cs="Times New Roman"/>
          <w:sz w:val="24"/>
          <w:lang w:val="en-US" w:eastAsia="zh-CN"/>
        </w:rPr>
      </w:pPr>
      <w:r>
        <w:rPr>
          <w:rFonts w:ascii="Times New Roman" w:hAnsi="Times New Roman" w:cs="Times New Roman"/>
          <w:sz w:val="24"/>
        </w:rPr>
        <w:fldChar w:fldCharType="begin"/>
      </w:r>
      <w:r>
        <w:rPr>
          <w:rFonts w:ascii="Times New Roman" w:hAnsi="Times New Roman" w:cs="Times New Roman"/>
          <w:sz w:val="24"/>
        </w:rPr>
        <w:instrText xml:space="preserve"> HYPERLINK \l "_Toc141449393" </w:instrText>
      </w:r>
      <w:r>
        <w:rPr>
          <w:rFonts w:ascii="Times New Roman" w:hAnsi="Times New Roman" w:cs="Times New Roman"/>
          <w:sz w:val="24"/>
        </w:rPr>
        <w:fldChar w:fldCharType="separate"/>
      </w:r>
      <w:r>
        <w:rPr>
          <w:rStyle w:val="21"/>
          <w:rFonts w:ascii="Times New Roman" w:hAnsi="Times New Roman" w:cs="Times New Roman"/>
          <w:color w:val="auto"/>
          <w:sz w:val="24"/>
        </w:rPr>
        <w:t>1</w:t>
      </w:r>
      <w:r>
        <w:rPr>
          <w:rStyle w:val="21"/>
          <w:rFonts w:hint="default" w:ascii="Times New Roman" w:hAnsi="Times New Roman" w:cs="Times New Roman"/>
          <w:color w:val="auto"/>
          <w:sz w:val="24"/>
          <w:lang w:val="en-US" w:eastAsia="zh-CN"/>
        </w:rPr>
        <w:t xml:space="preserve">2 </w:t>
      </w:r>
      <w:r>
        <w:rPr>
          <w:rStyle w:val="21"/>
          <w:rFonts w:ascii="Times New Roman" w:hAnsi="Times New Roman" w:cs="Times New Roman"/>
          <w:color w:val="auto"/>
          <w:sz w:val="24"/>
        </w:rPr>
        <w:t>Fire Protection</w:t>
      </w:r>
      <w:r>
        <w:rPr>
          <w:rFonts w:ascii="Times New Roman" w:hAnsi="Times New Roman" w:cs="Times New Roman"/>
          <w:sz w:val="24"/>
        </w:rPr>
        <w:tab/>
      </w:r>
      <w:r>
        <w:rPr>
          <w:rFonts w:ascii="Times New Roman" w:hAnsi="Times New Roman" w:cs="Times New Roman"/>
          <w:sz w:val="24"/>
        </w:rPr>
        <w:fldChar w:fldCharType="end"/>
      </w:r>
      <w:r>
        <w:rPr>
          <w:rFonts w:hint="eastAsia" w:cs="Times New Roman"/>
          <w:sz w:val="24"/>
          <w:lang w:val="en-US" w:eastAsia="zh-CN"/>
        </w:rPr>
        <w:t>57</w:t>
      </w:r>
    </w:p>
    <w:p w14:paraId="4809FB02">
      <w:pPr>
        <w:pStyle w:val="8"/>
        <w:tabs>
          <w:tab w:val="right" w:leader="dot" w:pos="8296"/>
        </w:tabs>
        <w:snapToGrid w:val="0"/>
        <w:spacing w:line="300" w:lineRule="auto"/>
        <w:rPr>
          <w:rFonts w:hint="default" w:ascii="Times New Roman" w:hAnsi="Times New Roman" w:eastAsia="宋体" w:cs="Times New Roman"/>
          <w:sz w:val="24"/>
          <w:lang w:val="en-US" w:eastAsia="zh-CN"/>
          <w14:ligatures w14:val="standardContextual"/>
        </w:rPr>
      </w:pPr>
      <w:r>
        <w:rPr>
          <w:rFonts w:ascii="Times New Roman" w:hAnsi="Times New Roman" w:cs="Times New Roman"/>
          <w:sz w:val="24"/>
        </w:rPr>
        <w:fldChar w:fldCharType="begin"/>
      </w:r>
      <w:r>
        <w:rPr>
          <w:rFonts w:ascii="Times New Roman" w:hAnsi="Times New Roman" w:cs="Times New Roman"/>
          <w:sz w:val="24"/>
        </w:rPr>
        <w:instrText xml:space="preserve"> HYPERLINK \l "_Toc141449394" </w:instrText>
      </w:r>
      <w:r>
        <w:rPr>
          <w:rFonts w:ascii="Times New Roman" w:hAnsi="Times New Roman" w:cs="Times New Roman"/>
          <w:sz w:val="24"/>
        </w:rPr>
        <w:fldChar w:fldCharType="separate"/>
      </w:r>
      <w:r>
        <w:rPr>
          <w:rStyle w:val="21"/>
          <w:rFonts w:ascii="Times New Roman" w:hAnsi="Times New Roman" w:cs="Times New Roman"/>
          <w:color w:val="auto"/>
          <w:sz w:val="24"/>
        </w:rPr>
        <w:t>1</w:t>
      </w:r>
      <w:r>
        <w:rPr>
          <w:rStyle w:val="21"/>
          <w:rFonts w:hint="default" w:ascii="Times New Roman" w:hAnsi="Times New Roman" w:cs="Times New Roman"/>
          <w:color w:val="auto"/>
          <w:sz w:val="24"/>
          <w:lang w:val="en-US" w:eastAsia="zh-CN"/>
        </w:rPr>
        <w:t>2</w:t>
      </w:r>
      <w:r>
        <w:rPr>
          <w:rStyle w:val="21"/>
          <w:rFonts w:ascii="Times New Roman" w:hAnsi="Times New Roman" w:cs="Times New Roman"/>
          <w:color w:val="auto"/>
          <w:sz w:val="24"/>
        </w:rPr>
        <w:t xml:space="preserve">.1 </w:t>
      </w:r>
      <w:r>
        <w:rPr>
          <w:rStyle w:val="21"/>
          <w:rFonts w:hint="default" w:ascii="Times New Roman" w:hAnsi="Times New Roman" w:cs="Times New Roman"/>
          <w:color w:val="auto"/>
          <w:sz w:val="24"/>
        </w:rPr>
        <w:t>General Requirements</w:t>
      </w:r>
      <w:r>
        <w:rPr>
          <w:rFonts w:ascii="Times New Roman" w:hAnsi="Times New Roman" w:cs="Times New Roman"/>
          <w:sz w:val="24"/>
        </w:rPr>
        <w:tab/>
      </w:r>
      <w:r>
        <w:rPr>
          <w:rFonts w:ascii="Times New Roman" w:hAnsi="Times New Roman" w:cs="Times New Roman"/>
          <w:sz w:val="24"/>
        </w:rPr>
        <w:fldChar w:fldCharType="end"/>
      </w:r>
      <w:r>
        <w:rPr>
          <w:rFonts w:hint="eastAsia" w:cs="Times New Roman"/>
          <w:sz w:val="24"/>
          <w:lang w:val="en-US" w:eastAsia="zh-CN"/>
        </w:rPr>
        <w:t>57</w:t>
      </w:r>
    </w:p>
    <w:p w14:paraId="4C327C55">
      <w:pPr>
        <w:pStyle w:val="8"/>
        <w:tabs>
          <w:tab w:val="right" w:leader="dot" w:pos="8296"/>
        </w:tabs>
        <w:snapToGrid w:val="0"/>
        <w:spacing w:line="300" w:lineRule="auto"/>
        <w:rPr>
          <w:rFonts w:hint="default" w:ascii="Times New Roman" w:hAnsi="Times New Roman" w:eastAsia="宋体" w:cs="Times New Roman"/>
          <w:sz w:val="24"/>
          <w:lang w:val="en-US" w:eastAsia="zh-CN"/>
          <w14:ligatures w14:val="standardContextual"/>
        </w:rPr>
      </w:pPr>
      <w:r>
        <w:rPr>
          <w:rFonts w:ascii="Times New Roman" w:hAnsi="Times New Roman" w:cs="Times New Roman"/>
          <w:sz w:val="24"/>
        </w:rPr>
        <w:fldChar w:fldCharType="begin"/>
      </w:r>
      <w:r>
        <w:rPr>
          <w:rFonts w:ascii="Times New Roman" w:hAnsi="Times New Roman" w:cs="Times New Roman"/>
          <w:sz w:val="24"/>
        </w:rPr>
        <w:instrText xml:space="preserve"> HYPERLINK \l "_Toc141449395" </w:instrText>
      </w:r>
      <w:r>
        <w:rPr>
          <w:rFonts w:ascii="Times New Roman" w:hAnsi="Times New Roman" w:cs="Times New Roman"/>
          <w:sz w:val="24"/>
        </w:rPr>
        <w:fldChar w:fldCharType="separate"/>
      </w:r>
      <w:r>
        <w:rPr>
          <w:rStyle w:val="21"/>
          <w:rFonts w:ascii="Times New Roman" w:hAnsi="Times New Roman" w:cs="Times New Roman"/>
          <w:color w:val="auto"/>
          <w:sz w:val="24"/>
        </w:rPr>
        <w:t>1</w:t>
      </w:r>
      <w:r>
        <w:rPr>
          <w:rStyle w:val="21"/>
          <w:rFonts w:hint="default" w:ascii="Times New Roman" w:hAnsi="Times New Roman" w:cs="Times New Roman"/>
          <w:color w:val="auto"/>
          <w:sz w:val="24"/>
          <w:lang w:val="en-US" w:eastAsia="zh-CN"/>
        </w:rPr>
        <w:t>2</w:t>
      </w:r>
      <w:r>
        <w:rPr>
          <w:rStyle w:val="21"/>
          <w:rFonts w:ascii="Times New Roman" w:hAnsi="Times New Roman" w:cs="Times New Roman"/>
          <w:color w:val="auto"/>
          <w:sz w:val="24"/>
        </w:rPr>
        <w:t>.2 Fire Prevention</w:t>
      </w:r>
      <w:r>
        <w:rPr>
          <w:rStyle w:val="21"/>
          <w:rFonts w:hint="default" w:ascii="Times New Roman" w:hAnsi="Times New Roman" w:cs="Times New Roman"/>
          <w:color w:val="auto"/>
          <w:sz w:val="24"/>
          <w:lang w:val="en-US" w:eastAsia="zh-CN"/>
        </w:rPr>
        <w:t xml:space="preserve"> </w:t>
      </w:r>
      <w:r>
        <w:rPr>
          <w:rFonts w:ascii="Times New Roman" w:hAnsi="Times New Roman" w:eastAsia="TimesNewRomanPSMT" w:cs="Times New Roman"/>
          <w:b w:val="0"/>
          <w:bCs w:val="0"/>
          <w:i w:val="0"/>
          <w:iCs w:val="0"/>
          <w:color w:val="000000"/>
          <w:sz w:val="24"/>
          <w:szCs w:val="24"/>
        </w:rPr>
        <w:t>and Evacuation</w:t>
      </w:r>
      <w:r>
        <w:rPr>
          <w:rFonts w:ascii="Times New Roman" w:hAnsi="Times New Roman" w:eastAsia="宋体" w:cs="Times New Roman"/>
          <w:sz w:val="24"/>
          <w:szCs w:val="24"/>
        </w:rPr>
        <w:t xml:space="preserve"> </w:t>
      </w:r>
      <w:r>
        <w:rPr>
          <w:rFonts w:ascii="Times New Roman" w:hAnsi="Times New Roman" w:cs="Times New Roman"/>
          <w:sz w:val="24"/>
        </w:rPr>
        <w:tab/>
      </w:r>
      <w:r>
        <w:rPr>
          <w:rFonts w:ascii="Times New Roman" w:hAnsi="Times New Roman" w:cs="Times New Roman"/>
          <w:sz w:val="24"/>
        </w:rPr>
        <w:fldChar w:fldCharType="end"/>
      </w:r>
      <w:r>
        <w:rPr>
          <w:rFonts w:hint="eastAsia" w:cs="Times New Roman"/>
          <w:sz w:val="24"/>
          <w:lang w:val="en-US" w:eastAsia="zh-CN"/>
        </w:rPr>
        <w:t>57</w:t>
      </w:r>
    </w:p>
    <w:p w14:paraId="0A0ABFBB">
      <w:pPr>
        <w:pStyle w:val="8"/>
        <w:tabs>
          <w:tab w:val="right" w:leader="dot" w:pos="8296"/>
        </w:tabs>
        <w:snapToGrid w:val="0"/>
        <w:spacing w:line="300" w:lineRule="auto"/>
        <w:rPr>
          <w:rFonts w:hint="default" w:ascii="Times New Roman" w:hAnsi="Times New Roman" w:cs="Times New Roman"/>
          <w:sz w:val="24"/>
          <w:lang w:val="en-US" w:eastAsia="zh-CN"/>
        </w:rPr>
      </w:pPr>
      <w:r>
        <w:rPr>
          <w:rFonts w:ascii="Times New Roman" w:hAnsi="Times New Roman" w:cs="Times New Roman"/>
          <w:sz w:val="24"/>
        </w:rPr>
        <w:fldChar w:fldCharType="begin"/>
      </w:r>
      <w:r>
        <w:rPr>
          <w:rFonts w:ascii="Times New Roman" w:hAnsi="Times New Roman" w:cs="Times New Roman"/>
          <w:sz w:val="24"/>
        </w:rPr>
        <w:instrText xml:space="preserve"> HYPERLINK \l "_Toc141449396" </w:instrText>
      </w:r>
      <w:r>
        <w:rPr>
          <w:rFonts w:ascii="Times New Roman" w:hAnsi="Times New Roman" w:cs="Times New Roman"/>
          <w:sz w:val="24"/>
        </w:rPr>
        <w:fldChar w:fldCharType="separate"/>
      </w:r>
      <w:r>
        <w:rPr>
          <w:rStyle w:val="21"/>
          <w:rFonts w:ascii="Times New Roman" w:hAnsi="Times New Roman" w:cs="Times New Roman"/>
          <w:color w:val="auto"/>
          <w:sz w:val="24"/>
        </w:rPr>
        <w:t>1</w:t>
      </w:r>
      <w:r>
        <w:rPr>
          <w:rStyle w:val="21"/>
          <w:rFonts w:hint="default" w:ascii="Times New Roman" w:hAnsi="Times New Roman" w:cs="Times New Roman"/>
          <w:color w:val="auto"/>
          <w:sz w:val="24"/>
          <w:lang w:val="en-US" w:eastAsia="zh-CN"/>
        </w:rPr>
        <w:t>2</w:t>
      </w:r>
      <w:r>
        <w:rPr>
          <w:rStyle w:val="21"/>
          <w:rFonts w:ascii="Times New Roman" w:hAnsi="Times New Roman" w:cs="Times New Roman"/>
          <w:color w:val="auto"/>
          <w:sz w:val="24"/>
        </w:rPr>
        <w:t xml:space="preserve">.3 </w:t>
      </w:r>
      <w:r>
        <w:rPr>
          <w:rStyle w:val="21"/>
          <w:rFonts w:ascii="Times New Roman" w:hAnsi="Times New Roman" w:eastAsia="TimesNewRomanPSMT" w:cs="Times New Roman"/>
          <w:b w:val="0"/>
          <w:bCs w:val="0"/>
          <w:i w:val="0"/>
          <w:iCs w:val="0"/>
          <w:color w:val="auto"/>
          <w:sz w:val="24"/>
          <w:szCs w:val="24"/>
        </w:rPr>
        <w:t>Fire Control Facility</w:t>
      </w:r>
      <w:r>
        <w:rPr>
          <w:rStyle w:val="21"/>
          <w:rFonts w:ascii="Times New Roman" w:hAnsi="Times New Roman" w:eastAsia="宋体" w:cs="Times New Roman"/>
          <w:color w:val="auto"/>
          <w:sz w:val="24"/>
          <w:szCs w:val="24"/>
        </w:rPr>
        <w:t xml:space="preserve"> </w:t>
      </w:r>
      <w:r>
        <w:rPr>
          <w:rFonts w:ascii="Times New Roman" w:hAnsi="Times New Roman" w:cs="Times New Roman"/>
          <w:sz w:val="24"/>
        </w:rPr>
        <w:tab/>
      </w:r>
      <w:r>
        <w:rPr>
          <w:rFonts w:hint="default" w:ascii="Times New Roman" w:hAnsi="Times New Roman" w:cs="Times New Roman"/>
          <w:sz w:val="24"/>
        </w:rPr>
        <w:fldChar w:fldCharType="end"/>
      </w:r>
      <w:r>
        <w:rPr>
          <w:rFonts w:hint="eastAsia" w:cs="Times New Roman"/>
          <w:sz w:val="24"/>
          <w:lang w:val="en-US" w:eastAsia="zh-CN"/>
        </w:rPr>
        <w:t>58</w:t>
      </w:r>
    </w:p>
    <w:p w14:paraId="5881157F">
      <w:pPr>
        <w:pStyle w:val="14"/>
        <w:tabs>
          <w:tab w:val="right" w:leader="dot" w:pos="8296"/>
        </w:tabs>
        <w:snapToGrid w:val="0"/>
        <w:spacing w:line="300" w:lineRule="auto"/>
        <w:rPr>
          <w:rFonts w:hint="default" w:ascii="Times New Roman" w:hAnsi="Times New Roman" w:cs="Times New Roman"/>
          <w:sz w:val="24"/>
          <w:lang w:val="en-US" w:eastAsia="zh-CN"/>
        </w:rPr>
      </w:pPr>
      <w:r>
        <w:rPr>
          <w:rFonts w:ascii="Times New Roman" w:hAnsi="Times New Roman" w:cs="Times New Roman"/>
          <w:sz w:val="24"/>
        </w:rPr>
        <w:fldChar w:fldCharType="begin"/>
      </w:r>
      <w:r>
        <w:rPr>
          <w:rFonts w:ascii="Times New Roman" w:hAnsi="Times New Roman" w:cs="Times New Roman"/>
          <w:sz w:val="24"/>
        </w:rPr>
        <w:instrText xml:space="preserve"> HYPERLINK \l "_Toc141449397" </w:instrText>
      </w:r>
      <w:r>
        <w:rPr>
          <w:rFonts w:ascii="Times New Roman" w:hAnsi="Times New Roman" w:cs="Times New Roman"/>
          <w:sz w:val="24"/>
        </w:rPr>
        <w:fldChar w:fldCharType="separate"/>
      </w:r>
      <w:r>
        <w:rPr>
          <w:rStyle w:val="21"/>
          <w:rFonts w:ascii="Times New Roman" w:hAnsi="Times New Roman" w:cs="Times New Roman"/>
          <w:color w:val="auto"/>
          <w:sz w:val="24"/>
        </w:rPr>
        <w:t>1</w:t>
      </w:r>
      <w:r>
        <w:rPr>
          <w:rStyle w:val="21"/>
          <w:rFonts w:hint="default" w:ascii="Times New Roman" w:hAnsi="Times New Roman" w:cs="Times New Roman"/>
          <w:color w:val="auto"/>
          <w:sz w:val="24"/>
          <w:lang w:val="en-US" w:eastAsia="zh-CN"/>
        </w:rPr>
        <w:t>3</w:t>
      </w:r>
      <w:r>
        <w:rPr>
          <w:rStyle w:val="21"/>
          <w:rFonts w:ascii="Times New Roman" w:hAnsi="Times New Roman" w:cs="Times New Roman"/>
          <w:color w:val="auto"/>
          <w:sz w:val="24"/>
        </w:rPr>
        <w:t xml:space="preserve"> Acceptance</w:t>
      </w:r>
      <w:r>
        <w:rPr>
          <w:rFonts w:ascii="Times New Roman" w:hAnsi="Times New Roman" w:cs="Times New Roman"/>
          <w:sz w:val="24"/>
        </w:rPr>
        <w:tab/>
      </w:r>
      <w:r>
        <w:rPr>
          <w:rFonts w:hint="default" w:ascii="Times New Roman" w:hAnsi="Times New Roman" w:cs="Times New Roman"/>
          <w:sz w:val="24"/>
        </w:rPr>
        <w:fldChar w:fldCharType="end"/>
      </w:r>
      <w:r>
        <w:rPr>
          <w:rFonts w:hint="eastAsia" w:cs="Times New Roman"/>
          <w:sz w:val="24"/>
          <w:lang w:val="en-US" w:eastAsia="zh-CN"/>
        </w:rPr>
        <w:t>59</w:t>
      </w:r>
    </w:p>
    <w:p w14:paraId="4B51F336">
      <w:pPr>
        <w:pStyle w:val="8"/>
        <w:tabs>
          <w:tab w:val="right" w:leader="dot" w:pos="8296"/>
        </w:tabs>
        <w:snapToGrid w:val="0"/>
        <w:spacing w:line="300" w:lineRule="auto"/>
        <w:rPr>
          <w:rFonts w:hint="default" w:ascii="Times New Roman" w:hAnsi="Times New Roman" w:cs="Times New Roman"/>
          <w:sz w:val="24"/>
          <w:lang w:val="en-US" w:eastAsia="zh-CN"/>
        </w:rPr>
      </w:pPr>
      <w:r>
        <w:rPr>
          <w:rFonts w:ascii="Times New Roman" w:hAnsi="Times New Roman" w:cs="Times New Roman"/>
          <w:sz w:val="24"/>
        </w:rPr>
        <w:fldChar w:fldCharType="begin"/>
      </w:r>
      <w:r>
        <w:rPr>
          <w:rFonts w:ascii="Times New Roman" w:hAnsi="Times New Roman" w:cs="Times New Roman"/>
          <w:sz w:val="24"/>
        </w:rPr>
        <w:instrText xml:space="preserve"> HYPERLINK \l "_Toc141449399" </w:instrText>
      </w:r>
      <w:r>
        <w:rPr>
          <w:rFonts w:ascii="Times New Roman" w:hAnsi="Times New Roman" w:cs="Times New Roman"/>
          <w:sz w:val="24"/>
        </w:rPr>
        <w:fldChar w:fldCharType="separate"/>
      </w:r>
      <w:r>
        <w:rPr>
          <w:rStyle w:val="21"/>
          <w:rFonts w:ascii="Times New Roman" w:hAnsi="Times New Roman" w:cs="Times New Roman"/>
          <w:color w:val="auto"/>
          <w:sz w:val="24"/>
        </w:rPr>
        <w:t>1</w:t>
      </w:r>
      <w:r>
        <w:rPr>
          <w:rStyle w:val="21"/>
          <w:rFonts w:hint="default" w:ascii="Times New Roman" w:hAnsi="Times New Roman" w:cs="Times New Roman"/>
          <w:color w:val="auto"/>
          <w:sz w:val="24"/>
          <w:lang w:val="en-US" w:eastAsia="zh-CN"/>
        </w:rPr>
        <w:t>3</w:t>
      </w:r>
      <w:r>
        <w:rPr>
          <w:rStyle w:val="21"/>
          <w:rFonts w:ascii="Times New Roman" w:hAnsi="Times New Roman" w:cs="Times New Roman"/>
          <w:color w:val="auto"/>
          <w:sz w:val="24"/>
        </w:rPr>
        <w:t xml:space="preserve">.1 </w:t>
      </w:r>
      <w:r>
        <w:rPr>
          <w:rStyle w:val="21"/>
          <w:rFonts w:hint="default" w:ascii="Times New Roman" w:hAnsi="Times New Roman" w:cs="Times New Roman"/>
          <w:color w:val="auto"/>
          <w:sz w:val="24"/>
        </w:rPr>
        <w:t>General Requirements</w:t>
      </w:r>
      <w:r>
        <w:rPr>
          <w:rFonts w:ascii="Times New Roman" w:hAnsi="Times New Roman" w:cs="Times New Roman"/>
          <w:sz w:val="24"/>
        </w:rPr>
        <w:tab/>
      </w:r>
      <w:r>
        <w:rPr>
          <w:rFonts w:ascii="Times New Roman" w:hAnsi="Times New Roman" w:cs="Times New Roman"/>
          <w:sz w:val="24"/>
        </w:rPr>
        <w:fldChar w:fldCharType="end"/>
      </w:r>
      <w:r>
        <w:rPr>
          <w:rFonts w:hint="eastAsia" w:cs="Times New Roman"/>
          <w:sz w:val="24"/>
          <w:lang w:val="en-US" w:eastAsia="zh-CN"/>
        </w:rPr>
        <w:t>59</w:t>
      </w:r>
    </w:p>
    <w:p w14:paraId="18055C2E">
      <w:pPr>
        <w:pStyle w:val="14"/>
        <w:tabs>
          <w:tab w:val="right" w:leader="dot" w:pos="8296"/>
        </w:tabs>
        <w:snapToGrid w:val="0"/>
        <w:spacing w:line="300" w:lineRule="auto"/>
        <w:ind w:firstLine="480" w:firstLineChars="200"/>
        <w:rPr>
          <w:rFonts w:hint="default" w:ascii="Times New Roman" w:hAnsi="Times New Roman" w:eastAsia="宋体" w:cs="Times New Roman"/>
          <w:sz w:val="24"/>
          <w:lang w:val="en-US" w:eastAsia="zh-CN"/>
        </w:rPr>
      </w:pPr>
      <w:r>
        <w:rPr>
          <w:rFonts w:ascii="Times New Roman" w:hAnsi="Times New Roman" w:cs="Times New Roman"/>
          <w:sz w:val="24"/>
        </w:rPr>
        <w:fldChar w:fldCharType="begin"/>
      </w:r>
      <w:r>
        <w:rPr>
          <w:rFonts w:ascii="Times New Roman" w:hAnsi="Times New Roman" w:cs="Times New Roman"/>
          <w:sz w:val="24"/>
        </w:rPr>
        <w:instrText xml:space="preserve"> HYPERLINK \l "_Toc141449400" </w:instrText>
      </w:r>
      <w:r>
        <w:rPr>
          <w:rFonts w:ascii="Times New Roman" w:hAnsi="Times New Roman" w:cs="Times New Roman"/>
          <w:sz w:val="24"/>
        </w:rPr>
        <w:fldChar w:fldCharType="separate"/>
      </w:r>
      <w:r>
        <w:rPr>
          <w:rStyle w:val="21"/>
          <w:rFonts w:ascii="Times New Roman" w:hAnsi="Times New Roman" w:cs="Times New Roman"/>
          <w:color w:val="auto"/>
          <w:sz w:val="24"/>
        </w:rPr>
        <w:t>1</w:t>
      </w:r>
      <w:r>
        <w:rPr>
          <w:rStyle w:val="21"/>
          <w:rFonts w:hint="default" w:ascii="Times New Roman" w:hAnsi="Times New Roman" w:cs="Times New Roman"/>
          <w:color w:val="auto"/>
          <w:sz w:val="24"/>
          <w:lang w:val="en-US" w:eastAsia="zh-CN"/>
        </w:rPr>
        <w:t>3</w:t>
      </w:r>
      <w:r>
        <w:rPr>
          <w:rStyle w:val="21"/>
          <w:rFonts w:ascii="Times New Roman" w:hAnsi="Times New Roman" w:cs="Times New Roman"/>
          <w:color w:val="auto"/>
          <w:sz w:val="24"/>
        </w:rPr>
        <w:t xml:space="preserve">.2 </w:t>
      </w:r>
      <w:r>
        <w:rPr>
          <w:rStyle w:val="21"/>
          <w:rFonts w:hint="default" w:ascii="Times New Roman" w:hAnsi="Times New Roman" w:cs="Times New Roman"/>
          <w:color w:val="auto"/>
          <w:sz w:val="24"/>
        </w:rPr>
        <w:t>Acceptance requirements</w:t>
      </w:r>
      <w:r>
        <w:rPr>
          <w:rFonts w:ascii="Times New Roman" w:hAnsi="Times New Roman" w:cs="Times New Roman"/>
          <w:sz w:val="24"/>
        </w:rPr>
        <w:tab/>
      </w:r>
      <w:r>
        <w:rPr>
          <w:rFonts w:hint="default" w:ascii="Times New Roman" w:hAnsi="Times New Roman" w:cs="Times New Roman"/>
          <w:sz w:val="24"/>
        </w:rPr>
        <w:fldChar w:fldCharType="end"/>
      </w:r>
      <w:r>
        <w:rPr>
          <w:rFonts w:hint="eastAsia" w:cs="Times New Roman"/>
          <w:sz w:val="24"/>
          <w:lang w:val="en-US" w:eastAsia="zh-CN"/>
        </w:rPr>
        <w:t>59</w:t>
      </w:r>
    </w:p>
    <w:p w14:paraId="392BA1D0">
      <w:pPr>
        <w:pStyle w:val="14"/>
        <w:tabs>
          <w:tab w:val="right" w:leader="dot" w:pos="8296"/>
        </w:tabs>
        <w:snapToGrid w:val="0"/>
        <w:spacing w:line="300" w:lineRule="auto"/>
        <w:ind w:left="0" w:leftChars="0" w:firstLine="480" w:firstLineChars="200"/>
        <w:rPr>
          <w:rFonts w:hint="default" w:ascii="Times New Roman" w:hAnsi="Times New Roman" w:cs="Times New Roman"/>
          <w:sz w:val="24"/>
          <w:lang w:val="en-US" w:eastAsia="zh-CN"/>
        </w:rPr>
      </w:pPr>
      <w:r>
        <w:rPr>
          <w:rFonts w:ascii="Times New Roman" w:hAnsi="Times New Roman" w:cs="Times New Roman"/>
          <w:sz w:val="24"/>
        </w:rPr>
        <w:fldChar w:fldCharType="begin"/>
      </w:r>
      <w:r>
        <w:rPr>
          <w:rFonts w:ascii="Times New Roman" w:hAnsi="Times New Roman" w:cs="Times New Roman"/>
          <w:sz w:val="24"/>
        </w:rPr>
        <w:instrText xml:space="preserve"> HYPERLINK \l "_Toc141449398" </w:instrText>
      </w:r>
      <w:r>
        <w:rPr>
          <w:rFonts w:ascii="Times New Roman" w:hAnsi="Times New Roman" w:cs="Times New Roman"/>
          <w:sz w:val="24"/>
        </w:rPr>
        <w:fldChar w:fldCharType="separate"/>
      </w:r>
      <w:r>
        <w:rPr>
          <w:rStyle w:val="21"/>
          <w:rFonts w:ascii="Times New Roman" w:hAnsi="Times New Roman" w:cs="Times New Roman"/>
          <w:color w:val="auto"/>
          <w:sz w:val="24"/>
        </w:rPr>
        <w:t>1</w:t>
      </w:r>
      <w:r>
        <w:rPr>
          <w:rStyle w:val="21"/>
          <w:rFonts w:hint="default" w:ascii="Times New Roman" w:hAnsi="Times New Roman" w:cs="Times New Roman"/>
          <w:color w:val="auto"/>
          <w:sz w:val="24"/>
          <w:lang w:val="en-US" w:eastAsia="zh-CN"/>
        </w:rPr>
        <w:t>4</w:t>
      </w:r>
      <w:r>
        <w:rPr>
          <w:rStyle w:val="21"/>
          <w:rFonts w:ascii="Times New Roman" w:hAnsi="Times New Roman" w:cs="Times New Roman"/>
          <w:color w:val="auto"/>
          <w:sz w:val="24"/>
        </w:rPr>
        <w:t xml:space="preserve"> Operation and Maintenance</w:t>
      </w:r>
      <w:r>
        <w:rPr>
          <w:rFonts w:ascii="Times New Roman" w:hAnsi="Times New Roman" w:cs="Times New Roman"/>
          <w:sz w:val="24"/>
        </w:rPr>
        <w:tab/>
      </w:r>
      <w:r>
        <w:rPr>
          <w:rFonts w:hint="default" w:ascii="Times New Roman" w:hAnsi="Times New Roman" w:cs="Times New Roman"/>
          <w:sz w:val="24"/>
        </w:rPr>
        <w:fldChar w:fldCharType="end"/>
      </w:r>
      <w:r>
        <w:rPr>
          <w:rFonts w:hint="eastAsia" w:cs="Times New Roman"/>
          <w:sz w:val="24"/>
          <w:lang w:val="en-US" w:eastAsia="zh-CN"/>
        </w:rPr>
        <w:t>62</w:t>
      </w:r>
    </w:p>
    <w:p w14:paraId="56EBC203">
      <w:pPr>
        <w:pStyle w:val="8"/>
        <w:tabs>
          <w:tab w:val="right" w:leader="dot" w:pos="8296"/>
        </w:tabs>
        <w:snapToGrid w:val="0"/>
        <w:spacing w:line="300" w:lineRule="auto"/>
        <w:rPr>
          <w:rFonts w:hint="default" w:ascii="Times New Roman" w:hAnsi="Times New Roman" w:cs="Times New Roman"/>
          <w:sz w:val="24"/>
          <w:lang w:val="en-US" w:eastAsia="zh-CN"/>
        </w:rPr>
      </w:pPr>
      <w:r>
        <w:rPr>
          <w:rFonts w:ascii="Times New Roman" w:hAnsi="Times New Roman" w:cs="Times New Roman"/>
          <w:sz w:val="24"/>
        </w:rPr>
        <w:fldChar w:fldCharType="begin"/>
      </w:r>
      <w:r>
        <w:rPr>
          <w:rFonts w:ascii="Times New Roman" w:hAnsi="Times New Roman" w:cs="Times New Roman"/>
          <w:sz w:val="24"/>
        </w:rPr>
        <w:instrText xml:space="preserve"> HYPERLINK \l "_Toc141449399" </w:instrText>
      </w:r>
      <w:r>
        <w:rPr>
          <w:rFonts w:ascii="Times New Roman" w:hAnsi="Times New Roman" w:cs="Times New Roman"/>
          <w:sz w:val="24"/>
        </w:rPr>
        <w:fldChar w:fldCharType="separate"/>
      </w:r>
      <w:r>
        <w:rPr>
          <w:rStyle w:val="21"/>
          <w:rFonts w:ascii="Times New Roman" w:hAnsi="Times New Roman" w:cs="Times New Roman"/>
          <w:color w:val="auto"/>
          <w:sz w:val="24"/>
        </w:rPr>
        <w:t>1</w:t>
      </w:r>
      <w:r>
        <w:rPr>
          <w:rStyle w:val="21"/>
          <w:rFonts w:hint="default" w:ascii="Times New Roman" w:hAnsi="Times New Roman" w:cs="Times New Roman"/>
          <w:color w:val="auto"/>
          <w:sz w:val="24"/>
          <w:lang w:val="en-US" w:eastAsia="zh-CN"/>
        </w:rPr>
        <w:t>4</w:t>
      </w:r>
      <w:r>
        <w:rPr>
          <w:rStyle w:val="21"/>
          <w:rFonts w:ascii="Times New Roman" w:hAnsi="Times New Roman" w:cs="Times New Roman"/>
          <w:color w:val="auto"/>
          <w:sz w:val="24"/>
        </w:rPr>
        <w:t xml:space="preserve">.1 </w:t>
      </w:r>
      <w:r>
        <w:rPr>
          <w:rStyle w:val="21"/>
          <w:rFonts w:hint="default" w:ascii="Times New Roman" w:hAnsi="Times New Roman" w:cs="Times New Roman"/>
          <w:color w:val="auto"/>
          <w:sz w:val="24"/>
        </w:rPr>
        <w:t>General Requirements</w:t>
      </w:r>
      <w:r>
        <w:rPr>
          <w:rFonts w:ascii="Times New Roman" w:hAnsi="Times New Roman" w:cs="Times New Roman"/>
          <w:sz w:val="24"/>
        </w:rPr>
        <w:tab/>
      </w:r>
      <w:r>
        <w:rPr>
          <w:rFonts w:ascii="Times New Roman" w:hAnsi="Times New Roman" w:cs="Times New Roman"/>
          <w:sz w:val="24"/>
        </w:rPr>
        <w:fldChar w:fldCharType="end"/>
      </w:r>
      <w:r>
        <w:rPr>
          <w:rFonts w:hint="eastAsia" w:cs="Times New Roman"/>
          <w:sz w:val="24"/>
          <w:lang w:val="en-US" w:eastAsia="zh-CN"/>
        </w:rPr>
        <w:t>62</w:t>
      </w:r>
    </w:p>
    <w:p w14:paraId="4FDD4EAE">
      <w:pPr>
        <w:pStyle w:val="8"/>
        <w:tabs>
          <w:tab w:val="right" w:leader="dot" w:pos="8296"/>
        </w:tabs>
        <w:snapToGrid w:val="0"/>
        <w:spacing w:line="300" w:lineRule="auto"/>
        <w:rPr>
          <w:rFonts w:hint="default" w:ascii="Times New Roman" w:hAnsi="Times New Roman" w:cs="Times New Roman"/>
          <w:sz w:val="24"/>
          <w:lang w:val="en-US" w:eastAsia="zh-CN"/>
        </w:rPr>
      </w:pPr>
      <w:r>
        <w:rPr>
          <w:rFonts w:ascii="Times New Roman" w:hAnsi="Times New Roman" w:cs="Times New Roman"/>
          <w:sz w:val="24"/>
        </w:rPr>
        <w:fldChar w:fldCharType="begin"/>
      </w:r>
      <w:r>
        <w:rPr>
          <w:rFonts w:ascii="Times New Roman" w:hAnsi="Times New Roman" w:cs="Times New Roman"/>
          <w:sz w:val="24"/>
        </w:rPr>
        <w:instrText xml:space="preserve"> HYPERLINK \l "_Toc141449400" </w:instrText>
      </w:r>
      <w:r>
        <w:rPr>
          <w:rFonts w:ascii="Times New Roman" w:hAnsi="Times New Roman" w:cs="Times New Roman"/>
          <w:sz w:val="24"/>
        </w:rPr>
        <w:fldChar w:fldCharType="separate"/>
      </w:r>
      <w:r>
        <w:rPr>
          <w:rStyle w:val="21"/>
          <w:rFonts w:ascii="Times New Roman" w:hAnsi="Times New Roman" w:cs="Times New Roman"/>
          <w:color w:val="auto"/>
          <w:sz w:val="24"/>
        </w:rPr>
        <w:t>1</w:t>
      </w:r>
      <w:r>
        <w:rPr>
          <w:rStyle w:val="21"/>
          <w:rFonts w:hint="default" w:ascii="Times New Roman" w:hAnsi="Times New Roman" w:cs="Times New Roman"/>
          <w:color w:val="auto"/>
          <w:sz w:val="24"/>
          <w:lang w:val="en-US" w:eastAsia="zh-CN"/>
        </w:rPr>
        <w:t>4</w:t>
      </w:r>
      <w:r>
        <w:rPr>
          <w:rStyle w:val="21"/>
          <w:rFonts w:ascii="Times New Roman" w:hAnsi="Times New Roman" w:cs="Times New Roman"/>
          <w:color w:val="auto"/>
          <w:sz w:val="24"/>
        </w:rPr>
        <w:t xml:space="preserve">.2 </w:t>
      </w:r>
      <w:r>
        <w:rPr>
          <w:rStyle w:val="21"/>
          <w:rFonts w:hint="default" w:ascii="Times New Roman" w:hAnsi="Times New Roman" w:cs="Times New Roman"/>
          <w:color w:val="auto"/>
          <w:sz w:val="24"/>
        </w:rPr>
        <w:t>Building operation management and maintenance</w:t>
      </w:r>
      <w:r>
        <w:rPr>
          <w:rFonts w:ascii="Times New Roman" w:hAnsi="Times New Roman" w:cs="Times New Roman"/>
          <w:sz w:val="24"/>
        </w:rPr>
        <w:tab/>
      </w:r>
      <w:r>
        <w:rPr>
          <w:rFonts w:hint="default" w:ascii="Times New Roman" w:hAnsi="Times New Roman" w:cs="Times New Roman"/>
          <w:sz w:val="24"/>
        </w:rPr>
        <w:fldChar w:fldCharType="end"/>
      </w:r>
      <w:r>
        <w:rPr>
          <w:rFonts w:hint="eastAsia" w:cs="Times New Roman"/>
          <w:sz w:val="24"/>
          <w:lang w:val="en-US" w:eastAsia="zh-CN"/>
        </w:rPr>
        <w:t>63</w:t>
      </w:r>
    </w:p>
    <w:p w14:paraId="2F7D105C">
      <w:pPr>
        <w:pStyle w:val="8"/>
        <w:tabs>
          <w:tab w:val="right" w:leader="dot" w:pos="8296"/>
        </w:tabs>
        <w:snapToGrid w:val="0"/>
        <w:spacing w:line="300" w:lineRule="auto"/>
        <w:rPr>
          <w:rFonts w:hint="default" w:ascii="Times New Roman" w:hAnsi="Times New Roman" w:cs="Times New Roman"/>
          <w:sz w:val="24"/>
          <w:lang w:val="en-US" w:eastAsia="zh-CN"/>
        </w:rPr>
      </w:pPr>
      <w:r>
        <w:rPr>
          <w:rFonts w:ascii="Times New Roman" w:hAnsi="Times New Roman" w:cs="Times New Roman"/>
          <w:sz w:val="24"/>
        </w:rPr>
        <w:fldChar w:fldCharType="begin"/>
      </w:r>
      <w:r>
        <w:rPr>
          <w:rFonts w:ascii="Times New Roman" w:hAnsi="Times New Roman" w:cs="Times New Roman"/>
          <w:sz w:val="24"/>
        </w:rPr>
        <w:instrText xml:space="preserve"> HYPERLINK \l "_Toc141449399" </w:instrText>
      </w:r>
      <w:r>
        <w:rPr>
          <w:rFonts w:ascii="Times New Roman" w:hAnsi="Times New Roman" w:cs="Times New Roman"/>
          <w:sz w:val="24"/>
        </w:rPr>
        <w:fldChar w:fldCharType="separate"/>
      </w:r>
      <w:r>
        <w:rPr>
          <w:rStyle w:val="21"/>
          <w:rFonts w:ascii="Times New Roman" w:hAnsi="Times New Roman" w:cs="Times New Roman"/>
          <w:color w:val="auto"/>
          <w:sz w:val="24"/>
        </w:rPr>
        <w:t>1</w:t>
      </w:r>
      <w:r>
        <w:rPr>
          <w:rStyle w:val="21"/>
          <w:rFonts w:hint="default" w:ascii="Times New Roman" w:hAnsi="Times New Roman" w:cs="Times New Roman"/>
          <w:color w:val="auto"/>
          <w:sz w:val="24"/>
          <w:lang w:val="en-US" w:eastAsia="zh-CN"/>
        </w:rPr>
        <w:t>4</w:t>
      </w:r>
      <w:r>
        <w:rPr>
          <w:rStyle w:val="21"/>
          <w:rFonts w:ascii="Times New Roman" w:hAnsi="Times New Roman" w:cs="Times New Roman"/>
          <w:color w:val="auto"/>
          <w:sz w:val="24"/>
        </w:rPr>
        <w:t>.</w:t>
      </w:r>
      <w:r>
        <w:rPr>
          <w:rStyle w:val="21"/>
          <w:rFonts w:hint="default" w:ascii="Times New Roman" w:hAnsi="Times New Roman" w:cs="Times New Roman"/>
          <w:color w:val="auto"/>
          <w:sz w:val="24"/>
          <w:lang w:val="en-US" w:eastAsia="zh-CN"/>
        </w:rPr>
        <w:t>3</w:t>
      </w:r>
      <w:r>
        <w:rPr>
          <w:rStyle w:val="21"/>
          <w:rFonts w:ascii="Times New Roman" w:hAnsi="Times New Roman" w:cs="Times New Roman"/>
          <w:color w:val="auto"/>
          <w:sz w:val="24"/>
        </w:rPr>
        <w:t xml:space="preserve"> </w:t>
      </w:r>
      <w:r>
        <w:rPr>
          <w:rStyle w:val="21"/>
          <w:rFonts w:hint="default" w:ascii="Times New Roman" w:hAnsi="Times New Roman" w:cs="Times New Roman"/>
          <w:color w:val="auto"/>
          <w:sz w:val="24"/>
        </w:rPr>
        <w:t>Photovoltaic system operation management and maintenance</w:t>
      </w:r>
      <w:r>
        <w:rPr>
          <w:rFonts w:ascii="Times New Roman" w:hAnsi="Times New Roman" w:cs="Times New Roman"/>
          <w:sz w:val="24"/>
        </w:rPr>
        <w:tab/>
      </w:r>
      <w:r>
        <w:rPr>
          <w:rFonts w:ascii="Times New Roman" w:hAnsi="Times New Roman" w:cs="Times New Roman"/>
          <w:sz w:val="24"/>
        </w:rPr>
        <w:fldChar w:fldCharType="end"/>
      </w:r>
      <w:r>
        <w:rPr>
          <w:rFonts w:hint="eastAsia" w:cs="Times New Roman"/>
          <w:sz w:val="24"/>
          <w:lang w:val="en-US" w:eastAsia="zh-CN"/>
        </w:rPr>
        <w:t>64</w:t>
      </w:r>
    </w:p>
    <w:p w14:paraId="15AD7E1C">
      <w:pPr>
        <w:pStyle w:val="14"/>
        <w:tabs>
          <w:tab w:val="right" w:leader="dot" w:pos="8296"/>
        </w:tabs>
        <w:snapToGrid w:val="0"/>
        <w:spacing w:line="300" w:lineRule="auto"/>
        <w:rPr>
          <w:rFonts w:hint="default" w:ascii="Times New Roman" w:hAnsi="Times New Roman" w:cs="Times New Roman"/>
          <w:sz w:val="24"/>
          <w:lang w:val="en-US" w:eastAsia="zh-CN"/>
        </w:rPr>
      </w:pPr>
      <w:r>
        <w:rPr>
          <w:rFonts w:ascii="Times New Roman" w:hAnsi="Times New Roman" w:cs="Times New Roman"/>
          <w:sz w:val="24"/>
        </w:rPr>
        <w:fldChar w:fldCharType="begin"/>
      </w:r>
      <w:r>
        <w:rPr>
          <w:rFonts w:ascii="Times New Roman" w:hAnsi="Times New Roman" w:cs="Times New Roman"/>
          <w:sz w:val="24"/>
        </w:rPr>
        <w:instrText xml:space="preserve"> HYPERLINK \l "_Toc141449397" </w:instrText>
      </w:r>
      <w:r>
        <w:rPr>
          <w:rFonts w:ascii="Times New Roman" w:hAnsi="Times New Roman" w:cs="Times New Roman"/>
          <w:sz w:val="24"/>
        </w:rPr>
        <w:fldChar w:fldCharType="separate"/>
      </w:r>
      <w:r>
        <w:rPr>
          <w:rFonts w:hint="default" w:ascii="Times New Roman" w:hAnsi="Times New Roman" w:cs="Times New Roman"/>
          <w:sz w:val="24"/>
          <w:lang w:val="en-US" w:eastAsia="zh-CN"/>
        </w:rPr>
        <w:t>Appendix A</w:t>
      </w:r>
      <w:r>
        <w:rPr>
          <w:rStyle w:val="21"/>
          <w:rFonts w:ascii="Times New Roman" w:hAnsi="Times New Roman" w:cs="Times New Roman"/>
          <w:color w:val="auto"/>
          <w:sz w:val="24"/>
        </w:rPr>
        <w:t xml:space="preserve"> </w:t>
      </w:r>
      <w:r>
        <w:rPr>
          <w:rStyle w:val="21"/>
          <w:rFonts w:hint="default" w:ascii="Times New Roman" w:hAnsi="Times New Roman" w:cs="Times New Roman"/>
          <w:color w:val="auto"/>
          <w:sz w:val="24"/>
        </w:rPr>
        <w:t xml:space="preserve">Possible </w:t>
      </w:r>
      <w:r>
        <w:rPr>
          <w:rStyle w:val="21"/>
          <w:rFonts w:hint="default" w:ascii="Times New Roman" w:hAnsi="Times New Roman" w:cs="Times New Roman"/>
          <w:color w:val="auto"/>
          <w:sz w:val="24"/>
          <w:lang w:val="en-US" w:eastAsia="zh-CN"/>
        </w:rPr>
        <w:t>T</w:t>
      </w:r>
      <w:r>
        <w:rPr>
          <w:rStyle w:val="21"/>
          <w:rFonts w:hint="default" w:ascii="Times New Roman" w:hAnsi="Times New Roman" w:cs="Times New Roman"/>
          <w:color w:val="auto"/>
          <w:sz w:val="24"/>
        </w:rPr>
        <w:t xml:space="preserve">tal </w:t>
      </w:r>
      <w:r>
        <w:rPr>
          <w:rStyle w:val="21"/>
          <w:rFonts w:hint="default" w:ascii="Times New Roman" w:hAnsi="Times New Roman" w:cs="Times New Roman"/>
          <w:color w:val="auto"/>
          <w:sz w:val="24"/>
          <w:lang w:val="en-US" w:eastAsia="zh-CN"/>
        </w:rPr>
        <w:t>D</w:t>
      </w:r>
      <w:r>
        <w:rPr>
          <w:rStyle w:val="21"/>
          <w:rFonts w:hint="default" w:ascii="Times New Roman" w:hAnsi="Times New Roman" w:cs="Times New Roman"/>
          <w:color w:val="auto"/>
          <w:sz w:val="24"/>
        </w:rPr>
        <w:t xml:space="preserve">aily </w:t>
      </w:r>
      <w:r>
        <w:rPr>
          <w:rStyle w:val="21"/>
          <w:rFonts w:hint="default" w:ascii="Times New Roman" w:hAnsi="Times New Roman" w:cs="Times New Roman"/>
          <w:color w:val="auto"/>
          <w:sz w:val="24"/>
          <w:lang w:val="en-US" w:eastAsia="zh-CN"/>
        </w:rPr>
        <w:t>R</w:t>
      </w:r>
      <w:r>
        <w:rPr>
          <w:rStyle w:val="21"/>
          <w:rFonts w:hint="default" w:ascii="Times New Roman" w:hAnsi="Times New Roman" w:cs="Times New Roman"/>
          <w:color w:val="auto"/>
          <w:sz w:val="24"/>
        </w:rPr>
        <w:t xml:space="preserve">adiation </w:t>
      </w:r>
      <w:r>
        <w:rPr>
          <w:rStyle w:val="21"/>
          <w:rFonts w:hint="default" w:ascii="Times New Roman" w:hAnsi="Times New Roman" w:cs="Times New Roman"/>
          <w:color w:val="auto"/>
          <w:sz w:val="24"/>
          <w:lang w:val="en-US" w:eastAsia="zh-CN"/>
        </w:rPr>
        <w:t>E</w:t>
      </w:r>
      <w:r>
        <w:rPr>
          <w:rStyle w:val="21"/>
          <w:rFonts w:hint="default" w:ascii="Times New Roman" w:hAnsi="Times New Roman" w:cs="Times New Roman"/>
          <w:color w:val="auto"/>
          <w:sz w:val="24"/>
        </w:rPr>
        <w:t>xposure</w:t>
      </w:r>
      <w:r>
        <w:rPr>
          <w:rFonts w:ascii="Times New Roman" w:hAnsi="Times New Roman" w:cs="Times New Roman"/>
          <w:sz w:val="24"/>
        </w:rPr>
        <w:tab/>
      </w:r>
      <w:r>
        <w:rPr>
          <w:rFonts w:hint="default" w:ascii="Times New Roman" w:hAnsi="Times New Roman" w:cs="Times New Roman"/>
          <w:sz w:val="24"/>
          <w:lang w:val="en-US" w:eastAsia="zh-CN"/>
        </w:rPr>
        <w:t xml:space="preserve"> </w:t>
      </w:r>
      <w:r>
        <w:rPr>
          <w:rFonts w:hint="default" w:ascii="Times New Roman" w:hAnsi="Times New Roman" w:cs="Times New Roman"/>
          <w:sz w:val="24"/>
        </w:rPr>
        <w:fldChar w:fldCharType="end"/>
      </w:r>
      <w:r>
        <w:rPr>
          <w:rFonts w:hint="eastAsia" w:cs="Times New Roman"/>
          <w:sz w:val="24"/>
          <w:lang w:val="en-US" w:eastAsia="zh-CN"/>
        </w:rPr>
        <w:t>69</w:t>
      </w:r>
    </w:p>
    <w:p w14:paraId="7A1B45CE">
      <w:pPr>
        <w:pStyle w:val="14"/>
        <w:tabs>
          <w:tab w:val="right" w:leader="dot" w:pos="8296"/>
        </w:tabs>
        <w:snapToGrid w:val="0"/>
        <w:spacing w:line="300" w:lineRule="auto"/>
        <w:rPr>
          <w:rFonts w:hint="default" w:ascii="Times New Roman" w:hAnsi="Times New Roman" w:cs="Times New Roman"/>
          <w:sz w:val="24"/>
          <w:lang w:val="en-US" w:eastAsia="zh-CN"/>
        </w:rPr>
      </w:pPr>
      <w:r>
        <w:rPr>
          <w:rFonts w:ascii="Times New Roman" w:hAnsi="Times New Roman" w:cs="Times New Roman"/>
          <w:sz w:val="24"/>
        </w:rPr>
        <w:fldChar w:fldCharType="begin"/>
      </w:r>
      <w:r>
        <w:rPr>
          <w:rFonts w:ascii="Times New Roman" w:hAnsi="Times New Roman" w:cs="Times New Roman"/>
          <w:sz w:val="24"/>
        </w:rPr>
        <w:instrText xml:space="preserve"> HYPERLINK \l "_Toc141449398" </w:instrText>
      </w:r>
      <w:r>
        <w:rPr>
          <w:rFonts w:ascii="Times New Roman" w:hAnsi="Times New Roman" w:cs="Times New Roman"/>
          <w:sz w:val="24"/>
        </w:rPr>
        <w:fldChar w:fldCharType="separate"/>
      </w:r>
      <w:r>
        <w:rPr>
          <w:rFonts w:hint="default" w:ascii="Times New Roman" w:hAnsi="Times New Roman" w:cs="Times New Roman"/>
          <w:sz w:val="24"/>
          <w:lang w:val="en-US" w:eastAsia="zh-CN"/>
        </w:rPr>
        <w:t>Appendix B</w:t>
      </w:r>
      <w:r>
        <w:rPr>
          <w:rStyle w:val="21"/>
          <w:rFonts w:ascii="Times New Roman" w:hAnsi="Times New Roman" w:cs="Times New Roman"/>
          <w:color w:val="auto"/>
          <w:sz w:val="24"/>
        </w:rPr>
        <w:t xml:space="preserve"> </w:t>
      </w:r>
      <w:r>
        <w:rPr>
          <w:rStyle w:val="21"/>
          <w:rFonts w:hint="default" w:ascii="Times New Roman" w:hAnsi="Times New Roman" w:cs="Times New Roman"/>
          <w:color w:val="auto"/>
          <w:sz w:val="24"/>
        </w:rPr>
        <w:t xml:space="preserve">Solar </w:t>
      </w:r>
      <w:r>
        <w:rPr>
          <w:rStyle w:val="21"/>
          <w:rFonts w:hint="default" w:ascii="Times New Roman" w:hAnsi="Times New Roman" w:cs="Times New Roman"/>
          <w:color w:val="auto"/>
          <w:sz w:val="24"/>
          <w:lang w:val="en-US" w:eastAsia="zh-CN"/>
        </w:rPr>
        <w:t>E</w:t>
      </w:r>
      <w:r>
        <w:rPr>
          <w:rStyle w:val="21"/>
          <w:rFonts w:hint="default" w:ascii="Times New Roman" w:hAnsi="Times New Roman" w:cs="Times New Roman"/>
          <w:color w:val="auto"/>
          <w:sz w:val="24"/>
        </w:rPr>
        <w:t xml:space="preserve">nergy </w:t>
      </w:r>
      <w:r>
        <w:rPr>
          <w:rStyle w:val="21"/>
          <w:rFonts w:hint="default" w:ascii="Times New Roman" w:hAnsi="Times New Roman" w:cs="Times New Roman"/>
          <w:color w:val="auto"/>
          <w:sz w:val="24"/>
          <w:lang w:val="en-US" w:eastAsia="zh-CN"/>
        </w:rPr>
        <w:t>R</w:t>
      </w:r>
      <w:r>
        <w:rPr>
          <w:rStyle w:val="21"/>
          <w:rFonts w:hint="default" w:ascii="Times New Roman" w:hAnsi="Times New Roman" w:cs="Times New Roman"/>
          <w:color w:val="auto"/>
          <w:sz w:val="24"/>
        </w:rPr>
        <w:t xml:space="preserve">esources in Guangdong </w:t>
      </w:r>
      <w:r>
        <w:rPr>
          <w:rStyle w:val="21"/>
          <w:rFonts w:hint="default" w:ascii="Times New Roman" w:hAnsi="Times New Roman" w:cs="Times New Roman"/>
          <w:color w:val="auto"/>
          <w:sz w:val="24"/>
          <w:lang w:val="en-US" w:eastAsia="zh-CN"/>
        </w:rPr>
        <w:t>R</w:t>
      </w:r>
      <w:r>
        <w:rPr>
          <w:rStyle w:val="21"/>
          <w:rFonts w:hint="default" w:ascii="Times New Roman" w:hAnsi="Times New Roman" w:cs="Times New Roman"/>
          <w:color w:val="auto"/>
          <w:sz w:val="24"/>
        </w:rPr>
        <w:t>egion</w:t>
      </w:r>
      <w:r>
        <w:rPr>
          <w:rFonts w:ascii="Times New Roman" w:hAnsi="Times New Roman" w:cs="Times New Roman"/>
          <w:sz w:val="24"/>
        </w:rPr>
        <w:tab/>
      </w:r>
      <w:r>
        <w:rPr>
          <w:rFonts w:hint="default" w:ascii="Times New Roman" w:hAnsi="Times New Roman" w:cs="Times New Roman"/>
          <w:sz w:val="24"/>
        </w:rPr>
        <w:fldChar w:fldCharType="end"/>
      </w:r>
      <w:r>
        <w:rPr>
          <w:rFonts w:hint="eastAsia" w:ascii="Times New Roman" w:hAnsi="Times New Roman" w:cs="Times New Roman"/>
          <w:sz w:val="24"/>
          <w:lang w:val="en-US" w:eastAsia="zh-CN"/>
        </w:rPr>
        <w:t>7</w:t>
      </w:r>
      <w:r>
        <w:rPr>
          <w:rFonts w:hint="eastAsia" w:cs="Times New Roman"/>
          <w:sz w:val="24"/>
          <w:lang w:val="en-US" w:eastAsia="zh-CN"/>
        </w:rPr>
        <w:t>0</w:t>
      </w:r>
    </w:p>
    <w:p w14:paraId="40C67249">
      <w:pPr>
        <w:pStyle w:val="14"/>
        <w:tabs>
          <w:tab w:val="right" w:leader="dot" w:pos="8296"/>
        </w:tabs>
        <w:snapToGrid w:val="0"/>
        <w:spacing w:line="300" w:lineRule="auto"/>
        <w:rPr>
          <w:rFonts w:hint="default" w:ascii="Times New Roman" w:hAnsi="Times New Roman" w:eastAsia="宋体" w:cs="Times New Roman"/>
          <w:sz w:val="24"/>
          <w:lang w:val="en-US" w:eastAsia="zh-CN"/>
          <w14:ligatures w14:val="standardContextual"/>
        </w:rPr>
      </w:pPr>
      <w:r>
        <w:rPr>
          <w:rFonts w:ascii="Times New Roman" w:hAnsi="Times New Roman" w:cs="Times New Roman"/>
          <w:sz w:val="24"/>
        </w:rPr>
        <w:fldChar w:fldCharType="begin"/>
      </w:r>
      <w:r>
        <w:rPr>
          <w:rFonts w:ascii="Times New Roman" w:hAnsi="Times New Roman" w:cs="Times New Roman"/>
          <w:sz w:val="24"/>
        </w:rPr>
        <w:instrText xml:space="preserve"> HYPERLINK \l "_Toc141449397" </w:instrText>
      </w:r>
      <w:r>
        <w:rPr>
          <w:rFonts w:ascii="Times New Roman" w:hAnsi="Times New Roman" w:cs="Times New Roman"/>
          <w:sz w:val="24"/>
        </w:rPr>
        <w:fldChar w:fldCharType="separate"/>
      </w:r>
      <w:r>
        <w:rPr>
          <w:rFonts w:hint="default" w:ascii="Times New Roman" w:hAnsi="Times New Roman" w:cs="Times New Roman"/>
          <w:sz w:val="24"/>
          <w:lang w:val="en-US" w:eastAsia="zh-CN"/>
        </w:rPr>
        <w:t>Appendix C</w:t>
      </w:r>
      <w:r>
        <w:rPr>
          <w:rStyle w:val="21"/>
          <w:rFonts w:ascii="Times New Roman" w:hAnsi="Times New Roman" w:cs="Times New Roman"/>
          <w:color w:val="auto"/>
          <w:sz w:val="24"/>
        </w:rPr>
        <w:t xml:space="preserve"> </w:t>
      </w:r>
      <w:r>
        <w:rPr>
          <w:rStyle w:val="21"/>
          <w:rFonts w:hint="default" w:ascii="Times New Roman" w:hAnsi="Times New Roman" w:cs="Times New Roman"/>
          <w:color w:val="auto"/>
          <w:sz w:val="24"/>
        </w:rPr>
        <w:t xml:space="preserve">Photovoltaic </w:t>
      </w:r>
      <w:r>
        <w:rPr>
          <w:rStyle w:val="21"/>
          <w:rFonts w:hint="default" w:ascii="Times New Roman" w:hAnsi="Times New Roman" w:cs="Times New Roman"/>
          <w:color w:val="auto"/>
          <w:sz w:val="24"/>
          <w:lang w:val="en-US" w:eastAsia="zh-CN"/>
        </w:rPr>
        <w:t>M</w:t>
      </w:r>
      <w:r>
        <w:rPr>
          <w:rStyle w:val="21"/>
          <w:rFonts w:hint="default" w:ascii="Times New Roman" w:hAnsi="Times New Roman" w:cs="Times New Roman"/>
          <w:color w:val="auto"/>
          <w:sz w:val="24"/>
        </w:rPr>
        <w:t>odule/</w:t>
      </w:r>
      <w:r>
        <w:rPr>
          <w:rStyle w:val="21"/>
          <w:rFonts w:hint="default" w:ascii="Times New Roman" w:hAnsi="Times New Roman" w:cs="Times New Roman"/>
          <w:color w:val="auto"/>
          <w:sz w:val="24"/>
          <w:lang w:val="en-US" w:eastAsia="zh-CN"/>
        </w:rPr>
        <w:t>A</w:t>
      </w:r>
      <w:r>
        <w:rPr>
          <w:rStyle w:val="21"/>
          <w:rFonts w:hint="default" w:ascii="Times New Roman" w:hAnsi="Times New Roman" w:cs="Times New Roman"/>
          <w:color w:val="auto"/>
          <w:sz w:val="24"/>
        </w:rPr>
        <w:t xml:space="preserve">rray </w:t>
      </w:r>
      <w:r>
        <w:rPr>
          <w:rStyle w:val="21"/>
          <w:rFonts w:hint="default" w:ascii="Times New Roman" w:hAnsi="Times New Roman" w:cs="Times New Roman"/>
          <w:color w:val="auto"/>
          <w:sz w:val="24"/>
          <w:lang w:val="en-US" w:eastAsia="zh-CN"/>
        </w:rPr>
        <w:t>I</w:t>
      </w:r>
      <w:r>
        <w:rPr>
          <w:rStyle w:val="21"/>
          <w:rFonts w:hint="default" w:ascii="Times New Roman" w:hAnsi="Times New Roman" w:cs="Times New Roman"/>
          <w:color w:val="auto"/>
          <w:sz w:val="24"/>
        </w:rPr>
        <w:t xml:space="preserve">nspection and </w:t>
      </w:r>
      <w:r>
        <w:rPr>
          <w:rStyle w:val="21"/>
          <w:rFonts w:hint="default" w:ascii="Times New Roman" w:hAnsi="Times New Roman" w:cs="Times New Roman"/>
          <w:color w:val="auto"/>
          <w:sz w:val="24"/>
          <w:lang w:val="en-US" w:eastAsia="zh-CN"/>
        </w:rPr>
        <w:t>T</w:t>
      </w:r>
      <w:r>
        <w:rPr>
          <w:rStyle w:val="21"/>
          <w:rFonts w:hint="default" w:ascii="Times New Roman" w:hAnsi="Times New Roman" w:cs="Times New Roman"/>
          <w:color w:val="auto"/>
          <w:sz w:val="24"/>
        </w:rPr>
        <w:t xml:space="preserve">esting </w:t>
      </w:r>
      <w:r>
        <w:rPr>
          <w:rStyle w:val="21"/>
          <w:rFonts w:hint="default" w:ascii="Times New Roman" w:hAnsi="Times New Roman" w:cs="Times New Roman"/>
          <w:color w:val="auto"/>
          <w:sz w:val="24"/>
          <w:lang w:val="en-US" w:eastAsia="zh-CN"/>
        </w:rPr>
        <w:t>I</w:t>
      </w:r>
      <w:r>
        <w:rPr>
          <w:rStyle w:val="21"/>
          <w:rFonts w:hint="default" w:ascii="Times New Roman" w:hAnsi="Times New Roman" w:cs="Times New Roman"/>
          <w:color w:val="auto"/>
          <w:sz w:val="24"/>
        </w:rPr>
        <w:t>tems</w:t>
      </w:r>
      <w:r>
        <w:rPr>
          <w:rFonts w:ascii="Times New Roman" w:hAnsi="Times New Roman" w:cs="Times New Roman"/>
          <w:sz w:val="24"/>
        </w:rPr>
        <w:tab/>
      </w:r>
      <w:r>
        <w:rPr>
          <w:rFonts w:hint="default" w:ascii="Times New Roman" w:hAnsi="Times New Roman" w:cs="Times New Roman"/>
          <w:sz w:val="24"/>
        </w:rPr>
        <w:fldChar w:fldCharType="end"/>
      </w:r>
      <w:r>
        <w:rPr>
          <w:rFonts w:hint="eastAsia" w:ascii="Times New Roman" w:hAnsi="Times New Roman" w:cs="Times New Roman"/>
          <w:sz w:val="24"/>
          <w:lang w:val="en-US" w:eastAsia="zh-CN"/>
        </w:rPr>
        <w:t>7</w:t>
      </w:r>
      <w:r>
        <w:rPr>
          <w:rFonts w:hint="eastAsia" w:cs="Times New Roman"/>
          <w:sz w:val="24"/>
          <w:lang w:val="en-US" w:eastAsia="zh-CN"/>
        </w:rPr>
        <w:t>2</w:t>
      </w:r>
    </w:p>
    <w:p w14:paraId="1C395A36">
      <w:pPr>
        <w:pStyle w:val="14"/>
        <w:tabs>
          <w:tab w:val="right" w:leader="dot" w:pos="8296"/>
        </w:tabs>
        <w:snapToGrid w:val="0"/>
        <w:spacing w:line="300" w:lineRule="auto"/>
        <w:rPr>
          <w:rFonts w:hint="default" w:ascii="Times New Roman" w:hAnsi="Times New Roman" w:cs="Times New Roman"/>
          <w:sz w:val="24"/>
          <w:lang w:val="en-US" w:eastAsia="zh-CN"/>
        </w:rPr>
      </w:pPr>
      <w:r>
        <w:rPr>
          <w:rFonts w:ascii="Times New Roman" w:hAnsi="Times New Roman" w:cs="Times New Roman"/>
          <w:sz w:val="24"/>
        </w:rPr>
        <w:fldChar w:fldCharType="begin"/>
      </w:r>
      <w:r>
        <w:rPr>
          <w:rFonts w:ascii="Times New Roman" w:hAnsi="Times New Roman" w:cs="Times New Roman"/>
          <w:sz w:val="24"/>
        </w:rPr>
        <w:instrText xml:space="preserve"> HYPERLINK \l "_Toc141449397" </w:instrText>
      </w:r>
      <w:r>
        <w:rPr>
          <w:rFonts w:ascii="Times New Roman" w:hAnsi="Times New Roman" w:cs="Times New Roman"/>
          <w:sz w:val="24"/>
        </w:rPr>
        <w:fldChar w:fldCharType="separate"/>
      </w:r>
      <w:r>
        <w:rPr>
          <w:rFonts w:hint="eastAsia" w:ascii="Times New Roman" w:hAnsi="Times New Roman" w:cs="Times New Roman"/>
          <w:sz w:val="24"/>
          <w:lang w:val="en-US" w:eastAsia="zh-CN"/>
        </w:rPr>
        <w:t>Explanation of wording in this specification</w:t>
      </w:r>
      <w:r>
        <w:rPr>
          <w:rFonts w:ascii="Times New Roman" w:hAnsi="Times New Roman" w:cs="Times New Roman"/>
          <w:sz w:val="24"/>
        </w:rPr>
        <w:tab/>
      </w:r>
      <w:r>
        <w:rPr>
          <w:rFonts w:hint="default" w:ascii="Times New Roman" w:hAnsi="Times New Roman" w:cs="Times New Roman"/>
          <w:sz w:val="24"/>
          <w:lang w:val="en-US" w:eastAsia="zh-CN"/>
        </w:rPr>
        <w:t xml:space="preserve"> </w:t>
      </w:r>
      <w:r>
        <w:rPr>
          <w:rFonts w:hint="default" w:ascii="Times New Roman" w:hAnsi="Times New Roman" w:cs="Times New Roman"/>
          <w:sz w:val="24"/>
        </w:rPr>
        <w:fldChar w:fldCharType="end"/>
      </w:r>
      <w:r>
        <w:rPr>
          <w:rFonts w:hint="eastAsia" w:cs="Times New Roman"/>
          <w:sz w:val="24"/>
          <w:lang w:val="en-US" w:eastAsia="zh-CN"/>
        </w:rPr>
        <w:t>73</w:t>
      </w:r>
    </w:p>
    <w:p w14:paraId="5894BCFE">
      <w:pPr>
        <w:pStyle w:val="14"/>
        <w:tabs>
          <w:tab w:val="right" w:leader="dot" w:pos="8296"/>
        </w:tabs>
        <w:snapToGrid w:val="0"/>
        <w:spacing w:line="300" w:lineRule="auto"/>
        <w:rPr>
          <w:rFonts w:hint="default" w:ascii="Times New Roman" w:hAnsi="Times New Roman" w:cs="Times New Roman"/>
          <w:sz w:val="24"/>
          <w:lang w:val="en-US" w:eastAsia="zh-CN"/>
        </w:rPr>
      </w:pPr>
      <w:r>
        <w:rPr>
          <w:rFonts w:ascii="Times New Roman" w:hAnsi="Times New Roman" w:cs="Times New Roman"/>
          <w:sz w:val="24"/>
        </w:rPr>
        <w:fldChar w:fldCharType="begin"/>
      </w:r>
      <w:r>
        <w:rPr>
          <w:rFonts w:ascii="Times New Roman" w:hAnsi="Times New Roman" w:cs="Times New Roman"/>
          <w:sz w:val="24"/>
        </w:rPr>
        <w:instrText xml:space="preserve"> HYPERLINK \l "_Toc141449398" </w:instrText>
      </w:r>
      <w:r>
        <w:rPr>
          <w:rFonts w:ascii="Times New Roman" w:hAnsi="Times New Roman" w:cs="Times New Roman"/>
          <w:sz w:val="24"/>
        </w:rPr>
        <w:fldChar w:fldCharType="separate"/>
      </w:r>
      <w:r>
        <w:rPr>
          <w:rFonts w:hint="eastAsia" w:ascii="Times New Roman" w:hAnsi="Times New Roman" w:cs="Times New Roman"/>
          <w:sz w:val="24"/>
          <w:lang w:val="en-US" w:eastAsia="zh-CN"/>
        </w:rPr>
        <w:t>List of quoted standards</w:t>
      </w:r>
      <w:r>
        <w:rPr>
          <w:rFonts w:ascii="Times New Roman" w:hAnsi="Times New Roman" w:cs="Times New Roman"/>
          <w:sz w:val="24"/>
        </w:rPr>
        <w:tab/>
      </w:r>
      <w:r>
        <w:rPr>
          <w:rFonts w:hint="default" w:ascii="Times New Roman" w:hAnsi="Times New Roman" w:cs="Times New Roman"/>
          <w:sz w:val="24"/>
        </w:rPr>
        <w:fldChar w:fldCharType="end"/>
      </w:r>
      <w:r>
        <w:rPr>
          <w:rFonts w:hint="eastAsia" w:ascii="Times New Roman" w:hAnsi="Times New Roman" w:cs="Times New Roman"/>
          <w:sz w:val="24"/>
          <w:lang w:val="en-US" w:eastAsia="zh-CN"/>
        </w:rPr>
        <w:t>7</w:t>
      </w:r>
      <w:r>
        <w:rPr>
          <w:rFonts w:hint="eastAsia" w:cs="Times New Roman"/>
          <w:sz w:val="24"/>
          <w:lang w:val="en-US" w:eastAsia="zh-CN"/>
        </w:rPr>
        <w:t>4</w:t>
      </w:r>
    </w:p>
    <w:p w14:paraId="2334F408">
      <w:pPr>
        <w:pStyle w:val="14"/>
        <w:tabs>
          <w:tab w:val="right" w:leader="dot" w:pos="8296"/>
        </w:tabs>
        <w:snapToGrid w:val="0"/>
        <w:spacing w:line="300" w:lineRule="auto"/>
        <w:rPr>
          <w:rFonts w:hint="default" w:ascii="Times New Roman" w:hAnsi="Times New Roman" w:eastAsia="宋体" w:cs="Times New Roman"/>
          <w:sz w:val="24"/>
          <w:lang w:val="en-US" w:eastAsia="zh-CN"/>
          <w14:ligatures w14:val="standardContextual"/>
        </w:rPr>
      </w:pPr>
      <w:r>
        <w:rPr>
          <w:rFonts w:ascii="Times New Roman" w:hAnsi="Times New Roman" w:cs="Times New Roman"/>
          <w:sz w:val="24"/>
        </w:rPr>
        <w:fldChar w:fldCharType="begin"/>
      </w:r>
      <w:r>
        <w:rPr>
          <w:rFonts w:ascii="Times New Roman" w:hAnsi="Times New Roman" w:cs="Times New Roman"/>
          <w:sz w:val="24"/>
        </w:rPr>
        <w:instrText xml:space="preserve"> HYPERLINK \l "_Toc141449397" </w:instrText>
      </w:r>
      <w:r>
        <w:rPr>
          <w:rFonts w:ascii="Times New Roman" w:hAnsi="Times New Roman" w:cs="Times New Roman"/>
          <w:sz w:val="24"/>
        </w:rPr>
        <w:fldChar w:fldCharType="separate"/>
      </w:r>
      <w:r>
        <w:rPr>
          <w:rFonts w:hint="eastAsia" w:ascii="Times New Roman" w:hAnsi="Times New Roman" w:cs="Times New Roman"/>
          <w:sz w:val="24"/>
          <w:lang w:val="en-US" w:eastAsia="zh-CN"/>
        </w:rPr>
        <w:t>Explanation of provisions</w:t>
      </w:r>
      <w:r>
        <w:rPr>
          <w:rFonts w:ascii="Times New Roman" w:hAnsi="Times New Roman" w:cs="Times New Roman"/>
          <w:sz w:val="24"/>
        </w:rPr>
        <w:tab/>
      </w:r>
      <w:r>
        <w:rPr>
          <w:rFonts w:hint="default" w:ascii="Times New Roman" w:hAnsi="Times New Roman" w:cs="Times New Roman"/>
          <w:sz w:val="24"/>
        </w:rPr>
        <w:fldChar w:fldCharType="end"/>
      </w:r>
      <w:r>
        <w:rPr>
          <w:rFonts w:hint="eastAsia" w:ascii="Times New Roman" w:hAnsi="Times New Roman" w:cs="Times New Roman"/>
          <w:sz w:val="24"/>
          <w:lang w:val="en-US" w:eastAsia="zh-CN"/>
        </w:rPr>
        <w:t>7</w:t>
      </w:r>
      <w:r>
        <w:rPr>
          <w:rFonts w:hint="eastAsia" w:cs="Times New Roman"/>
          <w:sz w:val="24"/>
          <w:lang w:val="en-US" w:eastAsia="zh-CN"/>
        </w:rPr>
        <w:t>5</w:t>
      </w:r>
    </w:p>
    <w:p w14:paraId="311D0F58">
      <w:pPr>
        <w:pStyle w:val="14"/>
        <w:tabs>
          <w:tab w:val="right" w:leader="dot" w:pos="8296"/>
        </w:tabs>
        <w:snapToGrid w:val="0"/>
        <w:spacing w:line="360" w:lineRule="auto"/>
        <w:ind w:left="0" w:leftChars="0"/>
        <w:rPr>
          <w:rFonts w:eastAsiaTheme="minorEastAsia"/>
          <w:sz w:val="24"/>
          <w14:ligatures w14:val="standardContextual"/>
        </w:rPr>
      </w:pPr>
    </w:p>
    <w:p w14:paraId="2A436C22">
      <w:pPr>
        <w:pStyle w:val="14"/>
        <w:tabs>
          <w:tab w:val="right" w:leader="dot" w:pos="8296"/>
        </w:tabs>
        <w:snapToGrid w:val="0"/>
        <w:spacing w:line="360" w:lineRule="auto"/>
        <w:rPr>
          <w:b/>
          <w:bCs/>
          <w:sz w:val="24"/>
          <w:lang w:val="zh-CN"/>
        </w:rPr>
      </w:pPr>
      <w:r>
        <w:rPr>
          <w:b/>
          <w:bCs/>
          <w:sz w:val="24"/>
          <w:lang w:val="zh-CN"/>
        </w:rPr>
        <w:fldChar w:fldCharType="end"/>
      </w:r>
    </w:p>
    <w:p w14:paraId="57201127">
      <w:pPr>
        <w:spacing w:line="300" w:lineRule="auto"/>
      </w:pPr>
    </w:p>
    <w:p w14:paraId="2C3CF817">
      <w:pPr>
        <w:snapToGrid w:val="0"/>
        <w:spacing w:line="300" w:lineRule="auto"/>
      </w:pPr>
    </w:p>
    <w:p w14:paraId="51DCEAB7">
      <w:pPr>
        <w:adjustRightInd w:val="0"/>
        <w:snapToGrid w:val="0"/>
        <w:spacing w:line="300" w:lineRule="auto"/>
        <w:jc w:val="center"/>
        <w:rPr>
          <w:sz w:val="32"/>
          <w:szCs w:val="32"/>
        </w:rPr>
        <w:sectPr>
          <w:footerReference r:id="rId10" w:type="default"/>
          <w:pgSz w:w="11906" w:h="16838"/>
          <w:pgMar w:top="1440" w:right="1800" w:bottom="1440" w:left="1800" w:header="851" w:footer="992" w:gutter="0"/>
          <w:cols w:space="720" w:num="1"/>
          <w:docGrid w:type="lines" w:linePitch="312" w:charSpace="0"/>
        </w:sectPr>
      </w:pPr>
    </w:p>
    <w:p w14:paraId="51CF7482">
      <w:pPr>
        <w:pStyle w:val="5"/>
        <w:spacing w:line="300" w:lineRule="auto"/>
        <w:jc w:val="center"/>
        <w:rPr>
          <w:rFonts w:hint="default" w:ascii="Times New Roman" w:hAnsi="Times New Roman" w:eastAsia="黑体" w:cs="Times New Roman"/>
          <w:sz w:val="28"/>
          <w:szCs w:val="28"/>
        </w:rPr>
      </w:pPr>
      <w:bookmarkStart w:id="30" w:name="_Toc254"/>
      <w:bookmarkStart w:id="31" w:name="_Toc22947"/>
      <w:bookmarkStart w:id="32" w:name="_Toc2419"/>
      <w:bookmarkStart w:id="33" w:name="_Toc18980"/>
      <w:bookmarkStart w:id="34" w:name="_Toc5215"/>
      <w:bookmarkStart w:id="35" w:name="_Toc10659"/>
      <w:bookmarkStart w:id="36" w:name="_Toc18868"/>
      <w:bookmarkStart w:id="37" w:name="_Toc4249"/>
      <w:r>
        <w:rPr>
          <w:rFonts w:hint="default" w:ascii="Times New Roman" w:hAnsi="Times New Roman" w:eastAsia="黑体" w:cs="Times New Roman"/>
          <w:sz w:val="28"/>
          <w:szCs w:val="28"/>
        </w:rPr>
        <w:t>1 总则</w:t>
      </w:r>
      <w:bookmarkEnd w:id="30"/>
      <w:bookmarkEnd w:id="31"/>
      <w:bookmarkEnd w:id="32"/>
      <w:bookmarkEnd w:id="33"/>
      <w:bookmarkEnd w:id="34"/>
      <w:bookmarkEnd w:id="35"/>
      <w:bookmarkEnd w:id="36"/>
      <w:bookmarkEnd w:id="37"/>
    </w:p>
    <w:p w14:paraId="7A3E7947">
      <w:pPr>
        <w:snapToGrid w:val="0"/>
        <w:spacing w:line="300" w:lineRule="auto"/>
        <w:jc w:val="left"/>
        <w:rPr>
          <w:sz w:val="24"/>
        </w:rPr>
      </w:pPr>
      <w:r>
        <w:rPr>
          <w:b/>
          <w:bCs/>
          <w:sz w:val="24"/>
        </w:rPr>
        <w:t>1.0.1</w:t>
      </w:r>
      <w:r>
        <w:rPr>
          <w:sz w:val="24"/>
        </w:rPr>
        <w:t xml:space="preserve"> 为规范太阳能光伏系统在工业与民用建筑中的推广应用，促进光伏系统与建筑的结合，规范太阳能光伏系统的设计、施工和验收，</w:t>
      </w:r>
      <w:r>
        <w:rPr>
          <w:rFonts w:hint="eastAsia"/>
          <w:sz w:val="24"/>
        </w:rPr>
        <w:t>促进建筑领域绿色低碳发展，保证工程质量，做到安全可靠、技术先进、经济适用、环保美观，</w:t>
      </w:r>
      <w:r>
        <w:rPr>
          <w:sz w:val="24"/>
        </w:rPr>
        <w:t>制定本</w:t>
      </w:r>
      <w:r>
        <w:rPr>
          <w:rFonts w:hint="eastAsia"/>
          <w:sz w:val="24"/>
          <w:lang w:val="en-US" w:eastAsia="zh-CN"/>
        </w:rPr>
        <w:t>标准</w:t>
      </w:r>
      <w:r>
        <w:rPr>
          <w:sz w:val="24"/>
        </w:rPr>
        <w:t>。</w:t>
      </w:r>
    </w:p>
    <w:p w14:paraId="3F7E47B3">
      <w:pPr>
        <w:pStyle w:val="2"/>
        <w:spacing w:line="300" w:lineRule="auto"/>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44E7143A">
      <w:pPr>
        <w:snapToGrid w:val="0"/>
        <w:spacing w:line="300" w:lineRule="auto"/>
        <w:rPr>
          <w:rFonts w:hint="eastAsia" w:ascii="仿宋" w:hAnsi="仿宋" w:eastAsia="仿宋" w:cs="仿宋"/>
          <w:i/>
          <w:iCs/>
          <w:color w:val="0623BA"/>
          <w:sz w:val="24"/>
        </w:rPr>
      </w:pPr>
      <w:r>
        <w:rPr>
          <w:rFonts w:hint="eastAsia" w:ascii="仿宋" w:hAnsi="仿宋" w:eastAsia="仿宋" w:cs="仿宋"/>
          <w:b w:val="0"/>
          <w:bCs w:val="0"/>
          <w:i/>
          <w:iCs/>
          <w:color w:val="0623BA"/>
          <w:sz w:val="24"/>
        </w:rPr>
        <w:t>1.0.1</w:t>
      </w:r>
      <w:r>
        <w:rPr>
          <w:rFonts w:hint="eastAsia" w:ascii="仿宋" w:hAnsi="仿宋" w:eastAsia="仿宋" w:cs="仿宋"/>
          <w:i/>
          <w:iCs/>
          <w:color w:val="0623BA"/>
          <w:sz w:val="24"/>
        </w:rPr>
        <w:t xml:space="preserve"> 为落实2030年前实现碳达峰,2060年前实现碳中和的目标，工业与民用建筑工程中利用太阳能光伏发电技术正在成为建筑节能的新趋势。广大工程技术人员，尤其是建筑工程设计人员，只有掌握了光伏系统的设计、安装、验收和运行维护等方面的工程技术要求，才能促进光伏系统在建筑中的应用并达到与建筑结合。光伏发电系统与建筑一体化应是将光伏发电系统与建筑有机结合，将太阳辐射能转为电能，替代常规能源向建筑物供电，既可降低常规能源消耗，又可降低相应的二氧化碳碳排放，是实现我国</w:t>
      </w:r>
      <w:r>
        <w:rPr>
          <w:rFonts w:hint="eastAsia" w:ascii="仿宋" w:hAnsi="仿宋" w:eastAsia="仿宋" w:cs="仿宋"/>
          <w:i/>
          <w:iCs/>
          <w:color w:val="0623BA"/>
          <w:sz w:val="24"/>
          <w:lang w:val="en-US" w:eastAsia="zh-CN"/>
        </w:rPr>
        <w:t>双碳</w:t>
      </w:r>
      <w:r>
        <w:rPr>
          <w:rFonts w:hint="eastAsia" w:ascii="仿宋" w:hAnsi="仿宋" w:eastAsia="仿宋" w:cs="仿宋"/>
          <w:i/>
          <w:iCs/>
          <w:color w:val="0623BA"/>
          <w:sz w:val="24"/>
        </w:rPr>
        <w:t>目标的重要</w:t>
      </w:r>
      <w:r>
        <w:rPr>
          <w:rFonts w:hint="eastAsia" w:ascii="仿宋" w:hAnsi="仿宋" w:eastAsia="仿宋" w:cs="仿宋"/>
          <w:i/>
          <w:iCs/>
          <w:color w:val="0623BA"/>
          <w:sz w:val="24"/>
          <w:lang w:val="en-US" w:eastAsia="zh-CN"/>
        </w:rPr>
        <w:t>技</w:t>
      </w:r>
      <w:r>
        <w:rPr>
          <w:rFonts w:hint="eastAsia" w:ascii="仿宋" w:hAnsi="仿宋" w:eastAsia="仿宋" w:cs="仿宋"/>
          <w:i/>
          <w:iCs/>
          <w:color w:val="0623BA"/>
          <w:sz w:val="24"/>
        </w:rPr>
        <w:t>术措施。巧妙地将光伏发电系统的各个部件有机融入到建筑之中，成为建筑物不可分割的一部分，需要从技术和美学两方面入手，使建筑设计与光伏发电技术有机结合在一起，统一设计、施工、验收和运维，保证工程质量。</w:t>
      </w:r>
    </w:p>
    <w:p w14:paraId="54A64017">
      <w:pPr>
        <w:snapToGrid w:val="0"/>
        <w:spacing w:line="300" w:lineRule="auto"/>
        <w:jc w:val="left"/>
        <w:rPr>
          <w:sz w:val="24"/>
        </w:rPr>
      </w:pPr>
      <w:r>
        <w:rPr>
          <w:b/>
          <w:bCs/>
          <w:sz w:val="24"/>
        </w:rPr>
        <w:t>1.0.2</w:t>
      </w:r>
      <w:r>
        <w:rPr>
          <w:sz w:val="24"/>
        </w:rPr>
        <w:t xml:space="preserve"> </w:t>
      </w:r>
      <w:r>
        <w:rPr>
          <w:rFonts w:hint="eastAsia"/>
          <w:sz w:val="24"/>
        </w:rPr>
        <w:t>本标准适用于广东省新建、扩建、改建建筑光伏系统的设计、安装施工、验收和运行维护；在既有建筑上增设及改造的建筑光伏系统也应按照本标准执行。</w:t>
      </w:r>
    </w:p>
    <w:p w14:paraId="1B57D989">
      <w:pPr>
        <w:snapToGrid w:val="0"/>
        <w:spacing w:line="300" w:lineRule="auto"/>
        <w:jc w:val="left"/>
        <w:rPr>
          <w:sz w:val="24"/>
        </w:rPr>
      </w:pPr>
      <w:r>
        <w:rPr>
          <w:b/>
          <w:bCs/>
          <w:sz w:val="24"/>
        </w:rPr>
        <w:t>1.0.</w:t>
      </w:r>
      <w:r>
        <w:rPr>
          <w:rFonts w:hint="eastAsia"/>
          <w:b/>
          <w:bCs/>
          <w:sz w:val="24"/>
          <w:lang w:val="en-US" w:eastAsia="zh-CN"/>
        </w:rPr>
        <w:t>3</w:t>
      </w:r>
      <w:r>
        <w:rPr>
          <w:b/>
          <w:bCs/>
          <w:sz w:val="24"/>
        </w:rPr>
        <w:t xml:space="preserve"> </w:t>
      </w:r>
      <w:r>
        <w:rPr>
          <w:sz w:val="24"/>
        </w:rPr>
        <w:t>建筑光伏系统</w:t>
      </w:r>
      <w:r>
        <w:rPr>
          <w:rFonts w:hint="eastAsia"/>
          <w:sz w:val="24"/>
        </w:rPr>
        <w:t>工程的</w:t>
      </w:r>
      <w:r>
        <w:rPr>
          <w:sz w:val="24"/>
        </w:rPr>
        <w:t>设计、施工和验收除应符合本</w:t>
      </w:r>
      <w:r>
        <w:rPr>
          <w:rFonts w:hint="eastAsia"/>
          <w:sz w:val="24"/>
        </w:rPr>
        <w:t>标准</w:t>
      </w:r>
      <w:r>
        <w:rPr>
          <w:sz w:val="24"/>
        </w:rPr>
        <w:t>外，</w:t>
      </w:r>
      <w:r>
        <w:rPr>
          <w:rFonts w:hint="eastAsia"/>
          <w:sz w:val="24"/>
          <w:lang w:val="en-US" w:eastAsia="zh-CN"/>
        </w:rPr>
        <w:t>尚</w:t>
      </w:r>
      <w:r>
        <w:rPr>
          <w:sz w:val="24"/>
        </w:rPr>
        <w:t>应符合现行国家有</w:t>
      </w:r>
      <w:r>
        <w:rPr>
          <w:rFonts w:hint="eastAsia"/>
          <w:sz w:val="24"/>
        </w:rPr>
        <w:t>关标准的规定。</w:t>
      </w:r>
    </w:p>
    <w:p w14:paraId="1E0C2A9A">
      <w:pPr>
        <w:pStyle w:val="2"/>
        <w:spacing w:line="300" w:lineRule="auto"/>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311FEC05">
      <w:pPr>
        <w:pStyle w:val="2"/>
        <w:spacing w:line="300" w:lineRule="auto"/>
        <w:rPr>
          <w:rFonts w:hint="eastAsia" w:ascii="仿宋" w:hAnsi="仿宋" w:eastAsia="仿宋" w:cs="仿宋"/>
          <w:i/>
          <w:iCs/>
          <w:color w:val="0623BA"/>
          <w:sz w:val="24"/>
        </w:rPr>
      </w:pPr>
      <w:r>
        <w:rPr>
          <w:rFonts w:hint="eastAsia" w:ascii="仿宋" w:hAnsi="仿宋" w:eastAsia="仿宋" w:cs="仿宋"/>
          <w:i/>
          <w:iCs/>
          <w:color w:val="0623BA"/>
          <w:sz w:val="24"/>
        </w:rPr>
        <w:t>1.0.</w:t>
      </w:r>
      <w:r>
        <w:rPr>
          <w:rFonts w:hint="eastAsia" w:ascii="仿宋" w:hAnsi="仿宋" w:eastAsia="仿宋" w:cs="仿宋"/>
          <w:i/>
          <w:iCs/>
          <w:color w:val="0623BA"/>
          <w:sz w:val="24"/>
          <w:lang w:val="en-US" w:eastAsia="zh-CN"/>
        </w:rPr>
        <w:t>3</w:t>
      </w:r>
      <w:r>
        <w:rPr>
          <w:rFonts w:hint="eastAsia" w:ascii="仿宋" w:hAnsi="仿宋" w:eastAsia="仿宋" w:cs="仿宋"/>
          <w:i/>
          <w:iCs/>
          <w:color w:val="0623BA"/>
          <w:sz w:val="24"/>
        </w:rPr>
        <w:t xml:space="preserve"> 建筑太阳能光伏系统应用技术涉及到规划、建筑、结构等专业，各专业已有规程的内容除明确引用为本</w:t>
      </w:r>
      <w:r>
        <w:rPr>
          <w:rFonts w:hint="eastAsia" w:ascii="仿宋" w:hAnsi="仿宋" w:eastAsia="仿宋" w:cs="仿宋"/>
          <w:i/>
          <w:iCs/>
          <w:color w:val="0623BA"/>
          <w:sz w:val="24"/>
          <w:lang w:val="en-US" w:eastAsia="zh-CN"/>
        </w:rPr>
        <w:t>标准</w:t>
      </w:r>
      <w:r>
        <w:rPr>
          <w:rFonts w:hint="eastAsia" w:ascii="仿宋" w:hAnsi="仿宋" w:eastAsia="仿宋" w:cs="仿宋"/>
          <w:i/>
          <w:iCs/>
          <w:color w:val="0623BA"/>
          <w:sz w:val="24"/>
        </w:rPr>
        <w:t>外，本</w:t>
      </w:r>
      <w:r>
        <w:rPr>
          <w:rFonts w:hint="eastAsia" w:ascii="仿宋" w:hAnsi="仿宋" w:eastAsia="仿宋" w:cs="仿宋"/>
          <w:i/>
          <w:iCs/>
          <w:color w:val="0623BA"/>
          <w:sz w:val="24"/>
          <w:lang w:val="en-US" w:eastAsia="zh-CN"/>
        </w:rPr>
        <w:t>标准</w:t>
      </w:r>
      <w:r>
        <w:rPr>
          <w:rFonts w:hint="eastAsia" w:ascii="仿宋" w:hAnsi="仿宋" w:eastAsia="仿宋" w:cs="仿宋"/>
          <w:i/>
          <w:iCs/>
          <w:color w:val="0623BA"/>
          <w:sz w:val="24"/>
        </w:rPr>
        <w:t>不再重复。因此，设计时除了执行本</w:t>
      </w:r>
      <w:r>
        <w:rPr>
          <w:rFonts w:hint="eastAsia" w:ascii="仿宋" w:hAnsi="仿宋" w:eastAsia="仿宋" w:cs="仿宋"/>
          <w:i/>
          <w:iCs/>
          <w:color w:val="0623BA"/>
          <w:sz w:val="24"/>
          <w:lang w:val="en-US" w:eastAsia="zh-CN"/>
        </w:rPr>
        <w:t>标准</w:t>
      </w:r>
      <w:r>
        <w:rPr>
          <w:rFonts w:hint="eastAsia" w:ascii="仿宋" w:hAnsi="仿宋" w:eastAsia="仿宋" w:cs="仿宋"/>
          <w:i/>
          <w:iCs/>
          <w:color w:val="0623BA"/>
          <w:sz w:val="24"/>
        </w:rPr>
        <w:t>外，尚应符合其他有关标准规范的相关规定，主要有</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《民用建筑设计通则》GB50352、《住宅建筑规范》GB 50368、《通用用电设备配电设计规范》GB50055、《供配电系统设计规范》GB50032、《建筑电气装置》GB16895.6、《民用建筑电气设计</w:t>
      </w:r>
      <w:r>
        <w:rPr>
          <w:rFonts w:hint="eastAsia" w:ascii="仿宋" w:hAnsi="仿宋" w:eastAsia="仿宋" w:cs="仿宋"/>
          <w:i/>
          <w:iCs/>
          <w:color w:val="0623BA"/>
          <w:sz w:val="24"/>
          <w:lang w:val="en-US" w:eastAsia="zh-CN"/>
        </w:rPr>
        <w:t>标准</w:t>
      </w:r>
      <w:r>
        <w:rPr>
          <w:rFonts w:hint="eastAsia" w:ascii="仿宋" w:hAnsi="仿宋" w:eastAsia="仿宋" w:cs="仿宋"/>
          <w:i/>
          <w:iCs/>
          <w:color w:val="0623BA"/>
          <w:sz w:val="24"/>
        </w:rPr>
        <w:t>》GB51348</w:t>
      </w:r>
      <w:r>
        <w:rPr>
          <w:rFonts w:hint="eastAsia" w:ascii="仿宋" w:hAnsi="仿宋" w:eastAsia="仿宋" w:cs="仿宋"/>
          <w:i/>
          <w:iCs/>
          <w:color w:val="0623BA"/>
          <w:sz w:val="24"/>
          <w:lang w:eastAsia="zh-CN"/>
        </w:rPr>
        <w:t>、</w:t>
      </w:r>
      <w:r>
        <w:rPr>
          <w:rFonts w:hint="eastAsia" w:ascii="仿宋_GB2312" w:hAnsi="仿宋_GB2312" w:eastAsia="仿宋_GB2312" w:cs="仿宋_GB2312"/>
          <w:b w:val="0"/>
          <w:bCs w:val="0"/>
          <w:sz w:val="24"/>
          <w:szCs w:val="32"/>
          <w:u w:val="none" w:color="auto"/>
          <w:vertAlign w:val="baseline"/>
          <w:lang w:val="en-US" w:eastAsia="zh-CN"/>
        </w:rPr>
        <w:t>《建筑电气与智能化通用规范》 GB 55024、《建筑节能与可再生能源利用通用规范》GB55015</w:t>
      </w:r>
      <w:r>
        <w:rPr>
          <w:rFonts w:hint="eastAsia" w:ascii="仿宋" w:hAnsi="仿宋" w:eastAsia="仿宋" w:cs="仿宋"/>
          <w:i/>
          <w:iCs/>
          <w:color w:val="0623BA"/>
          <w:sz w:val="24"/>
        </w:rPr>
        <w:t>等。</w:t>
      </w:r>
    </w:p>
    <w:p w14:paraId="3AED8340">
      <w:pPr>
        <w:widowControl/>
        <w:spacing w:line="300" w:lineRule="auto"/>
        <w:jc w:val="left"/>
        <w:rPr>
          <w:sz w:val="24"/>
        </w:rPr>
      </w:pPr>
      <w:r>
        <w:rPr>
          <w:sz w:val="24"/>
        </w:rPr>
        <w:br w:type="page"/>
      </w:r>
    </w:p>
    <w:p w14:paraId="2C91767C">
      <w:pPr>
        <w:pStyle w:val="5"/>
        <w:spacing w:line="300" w:lineRule="auto"/>
        <w:jc w:val="center"/>
        <w:rPr>
          <w:rFonts w:ascii="Times New Roman" w:hAnsi="Times New Roman" w:cs="Times New Roman" w:eastAsiaTheme="minorEastAsia"/>
          <w:sz w:val="28"/>
          <w:szCs w:val="28"/>
        </w:rPr>
      </w:pPr>
      <w:bookmarkStart w:id="38" w:name="_Toc24234"/>
      <w:bookmarkStart w:id="39" w:name="_Toc16257"/>
      <w:bookmarkStart w:id="40" w:name="_Toc9239"/>
      <w:bookmarkStart w:id="41" w:name="_Toc770"/>
      <w:bookmarkStart w:id="42" w:name="_Toc4260"/>
      <w:bookmarkStart w:id="43" w:name="_Toc9022"/>
      <w:bookmarkStart w:id="44" w:name="_Toc14154"/>
      <w:bookmarkStart w:id="45" w:name="_Toc28020"/>
      <w:r>
        <w:rPr>
          <w:rFonts w:hint="default" w:ascii="Times New Roman" w:hAnsi="Times New Roman" w:eastAsia="黑体" w:cs="Times New Roman"/>
          <w:sz w:val="28"/>
          <w:szCs w:val="28"/>
        </w:rPr>
        <w:t>2 术语</w:t>
      </w:r>
      <w:bookmarkEnd w:id="38"/>
      <w:bookmarkEnd w:id="39"/>
      <w:bookmarkEnd w:id="40"/>
      <w:bookmarkEnd w:id="41"/>
      <w:bookmarkEnd w:id="42"/>
      <w:bookmarkEnd w:id="43"/>
      <w:bookmarkEnd w:id="44"/>
      <w:bookmarkEnd w:id="45"/>
    </w:p>
    <w:p w14:paraId="06A09353">
      <w:pPr>
        <w:snapToGrid w:val="0"/>
        <w:spacing w:line="300" w:lineRule="auto"/>
        <w:jc w:val="left"/>
        <w:rPr>
          <w:sz w:val="24"/>
        </w:rPr>
      </w:pPr>
      <w:r>
        <w:rPr>
          <w:b/>
          <w:bCs/>
          <w:sz w:val="24"/>
        </w:rPr>
        <w:t>2.</w:t>
      </w:r>
      <w:r>
        <w:rPr>
          <w:rFonts w:hint="default"/>
          <w:b/>
          <w:bCs/>
          <w:sz w:val="24"/>
          <w:lang w:val="en-US"/>
        </w:rPr>
        <w:t>0</w:t>
      </w:r>
      <w:r>
        <w:rPr>
          <w:b/>
          <w:bCs/>
          <w:sz w:val="24"/>
        </w:rPr>
        <w:t>.1</w:t>
      </w:r>
      <w:r>
        <w:rPr>
          <w:rFonts w:hint="eastAsia"/>
          <w:b/>
          <w:bCs/>
          <w:sz w:val="24"/>
        </w:rPr>
        <w:t xml:space="preserve"> </w:t>
      </w:r>
      <w:r>
        <w:rPr>
          <w:sz w:val="24"/>
        </w:rPr>
        <w:t>建筑光伏系统 building mounted photovoltaic (PV) system</w:t>
      </w:r>
    </w:p>
    <w:p w14:paraId="4404C8E7">
      <w:pPr>
        <w:snapToGrid w:val="0"/>
        <w:spacing w:line="300" w:lineRule="auto"/>
        <w:ind w:firstLine="480" w:firstLineChars="200"/>
        <w:jc w:val="left"/>
        <w:rPr>
          <w:sz w:val="24"/>
        </w:rPr>
      </w:pPr>
      <w:r>
        <w:rPr>
          <w:sz w:val="24"/>
        </w:rPr>
        <w:t>安装在建筑物</w:t>
      </w:r>
      <w:r>
        <w:rPr>
          <w:rFonts w:hint="eastAsia"/>
          <w:sz w:val="24"/>
        </w:rPr>
        <w:t>或构筑物</w:t>
      </w:r>
      <w:r>
        <w:rPr>
          <w:sz w:val="24"/>
        </w:rPr>
        <w:t>上，利用太阳能电池的光伏效应将太阳辐射能直接转换成电能的发电系统。</w:t>
      </w:r>
    </w:p>
    <w:p w14:paraId="08F1C4F8">
      <w:pPr>
        <w:snapToGrid w:val="0"/>
        <w:spacing w:line="300" w:lineRule="auto"/>
        <w:jc w:val="left"/>
        <w:rPr>
          <w:sz w:val="24"/>
        </w:rPr>
      </w:pPr>
      <w:r>
        <w:rPr>
          <w:b/>
          <w:bCs/>
          <w:sz w:val="24"/>
        </w:rPr>
        <w:t>2.</w:t>
      </w:r>
      <w:r>
        <w:rPr>
          <w:rFonts w:hint="default"/>
          <w:b/>
          <w:bCs/>
          <w:sz w:val="24"/>
          <w:lang w:val="en-US"/>
        </w:rPr>
        <w:t>0</w:t>
      </w:r>
      <w:r>
        <w:rPr>
          <w:b/>
          <w:bCs/>
          <w:sz w:val="24"/>
        </w:rPr>
        <w:t>.2</w:t>
      </w:r>
      <w:r>
        <w:rPr>
          <w:rFonts w:hint="eastAsia"/>
          <w:b/>
          <w:bCs/>
          <w:sz w:val="24"/>
        </w:rPr>
        <w:t xml:space="preserve"> </w:t>
      </w:r>
      <w:r>
        <w:rPr>
          <w:sz w:val="24"/>
        </w:rPr>
        <w:t>光伏电池PV cell</w:t>
      </w:r>
    </w:p>
    <w:p w14:paraId="44E6AF7F">
      <w:pPr>
        <w:snapToGrid w:val="0"/>
        <w:spacing w:line="300" w:lineRule="auto"/>
        <w:ind w:firstLine="480" w:firstLineChars="200"/>
        <w:jc w:val="left"/>
        <w:rPr>
          <w:sz w:val="24"/>
        </w:rPr>
      </w:pPr>
      <w:r>
        <w:rPr>
          <w:sz w:val="24"/>
        </w:rPr>
        <w:t>将太阳辐射能直接转换成电能的一种器件。也称太阳电池（solar cell）。</w:t>
      </w:r>
    </w:p>
    <w:p w14:paraId="1D87B971">
      <w:pPr>
        <w:snapToGrid w:val="0"/>
        <w:spacing w:line="300" w:lineRule="auto"/>
        <w:jc w:val="left"/>
        <w:rPr>
          <w:sz w:val="24"/>
        </w:rPr>
      </w:pPr>
      <w:r>
        <w:rPr>
          <w:b/>
          <w:bCs/>
          <w:sz w:val="24"/>
        </w:rPr>
        <w:t>2.</w:t>
      </w:r>
      <w:r>
        <w:rPr>
          <w:rFonts w:hint="eastAsia"/>
          <w:b/>
          <w:bCs/>
          <w:sz w:val="24"/>
          <w:lang w:val="en-US" w:eastAsia="zh-CN"/>
        </w:rPr>
        <w:t>0</w:t>
      </w:r>
      <w:r>
        <w:rPr>
          <w:b/>
          <w:bCs/>
          <w:sz w:val="24"/>
        </w:rPr>
        <w:t>.3</w:t>
      </w:r>
      <w:r>
        <w:rPr>
          <w:rFonts w:hint="eastAsia"/>
          <w:b/>
          <w:bCs/>
          <w:sz w:val="24"/>
        </w:rPr>
        <w:t xml:space="preserve"> </w:t>
      </w:r>
      <w:r>
        <w:rPr>
          <w:sz w:val="24"/>
        </w:rPr>
        <w:t>光伏组件PV module</w:t>
      </w:r>
    </w:p>
    <w:p w14:paraId="332B3DB8">
      <w:pPr>
        <w:snapToGrid w:val="0"/>
        <w:spacing w:line="300" w:lineRule="auto"/>
        <w:ind w:firstLine="480" w:firstLineChars="200"/>
        <w:jc w:val="left"/>
        <w:rPr>
          <w:sz w:val="24"/>
        </w:rPr>
      </w:pPr>
      <w:r>
        <w:rPr>
          <w:sz w:val="24"/>
        </w:rPr>
        <w:t>具有封装及内部联结的、能单独提供直流电输出的、最小不可分割的太阳电池组合装置。又称太阳电池组件（solar cell module）。</w:t>
      </w:r>
    </w:p>
    <w:p w14:paraId="162547C6">
      <w:pPr>
        <w:snapToGrid w:val="0"/>
        <w:spacing w:line="300" w:lineRule="auto"/>
        <w:jc w:val="left"/>
        <w:rPr>
          <w:sz w:val="24"/>
        </w:rPr>
      </w:pPr>
      <w:r>
        <w:rPr>
          <w:b/>
          <w:bCs/>
          <w:sz w:val="24"/>
        </w:rPr>
        <w:t>2</w:t>
      </w:r>
      <w:r>
        <w:rPr>
          <w:rFonts w:hint="eastAsia"/>
          <w:b/>
          <w:bCs/>
          <w:sz w:val="24"/>
          <w:lang w:val="en-US" w:eastAsia="zh-CN"/>
        </w:rPr>
        <w:t>.0</w:t>
      </w:r>
      <w:r>
        <w:rPr>
          <w:b/>
          <w:bCs/>
          <w:sz w:val="24"/>
        </w:rPr>
        <w:t>.4</w:t>
      </w:r>
      <w:r>
        <w:rPr>
          <w:rFonts w:hint="eastAsia"/>
          <w:b/>
          <w:bCs/>
          <w:sz w:val="24"/>
        </w:rPr>
        <w:t xml:space="preserve"> </w:t>
      </w:r>
      <w:r>
        <w:rPr>
          <w:rFonts w:hint="eastAsia"/>
          <w:sz w:val="24"/>
        </w:rPr>
        <w:t>晶</w:t>
      </w:r>
      <w:r>
        <w:rPr>
          <w:rFonts w:hint="eastAsia"/>
          <w:sz w:val="24"/>
          <w:lang w:val="en-US" w:eastAsia="zh-CN"/>
        </w:rPr>
        <w:t>体</w:t>
      </w:r>
      <w:r>
        <w:rPr>
          <w:rFonts w:hint="eastAsia"/>
          <w:sz w:val="24"/>
        </w:rPr>
        <w:t>硅光伏组件crystalline silicon PV m</w:t>
      </w:r>
      <w:r>
        <w:rPr>
          <w:rFonts w:hint="eastAsia"/>
          <w:sz w:val="24"/>
          <w:lang w:val="en-US" w:eastAsia="zh-CN"/>
        </w:rPr>
        <w:t>o</w:t>
      </w:r>
      <w:r>
        <w:rPr>
          <w:rFonts w:hint="eastAsia"/>
          <w:sz w:val="24"/>
        </w:rPr>
        <w:t>dule</w:t>
      </w:r>
    </w:p>
    <w:p w14:paraId="04551C7D">
      <w:pPr>
        <w:snapToGrid w:val="0"/>
        <w:spacing w:line="300" w:lineRule="auto"/>
        <w:ind w:firstLine="480" w:firstLineChars="200"/>
        <w:jc w:val="left"/>
        <w:rPr>
          <w:rFonts w:hint="eastAsia" w:eastAsia="宋体"/>
          <w:sz w:val="24"/>
          <w:lang w:val="en-US" w:eastAsia="zh-CN"/>
        </w:rPr>
      </w:pPr>
      <w:r>
        <w:rPr>
          <w:rFonts w:hint="eastAsia"/>
          <w:sz w:val="24"/>
        </w:rPr>
        <w:t>以单</w:t>
      </w:r>
      <w:r>
        <w:rPr>
          <w:rFonts w:hint="eastAsia"/>
          <w:sz w:val="24"/>
          <w:lang w:val="en-US" w:eastAsia="zh-CN"/>
        </w:rPr>
        <w:t>晶</w:t>
      </w:r>
      <w:r>
        <w:rPr>
          <w:rFonts w:hint="eastAsia"/>
          <w:sz w:val="24"/>
        </w:rPr>
        <w:t>硅或多</w:t>
      </w:r>
      <w:r>
        <w:rPr>
          <w:rFonts w:hint="eastAsia"/>
          <w:sz w:val="24"/>
          <w:lang w:val="en-US" w:eastAsia="zh-CN"/>
        </w:rPr>
        <w:t>晶</w:t>
      </w:r>
      <w:r>
        <w:rPr>
          <w:rFonts w:hint="eastAsia"/>
          <w:sz w:val="24"/>
        </w:rPr>
        <w:t>硅光伏电池为基</w:t>
      </w:r>
      <w:r>
        <w:rPr>
          <w:rFonts w:hint="eastAsia"/>
          <w:sz w:val="24"/>
          <w:highlight w:val="none"/>
        </w:rPr>
        <w:t>本单</w:t>
      </w:r>
      <w:r>
        <w:rPr>
          <w:rFonts w:hint="eastAsia"/>
          <w:sz w:val="24"/>
          <w:highlight w:val="none"/>
          <w:lang w:val="en-US" w:eastAsia="zh-CN"/>
        </w:rPr>
        <w:t>元</w:t>
      </w:r>
      <w:r>
        <w:rPr>
          <w:rFonts w:hint="eastAsia"/>
          <w:sz w:val="24"/>
          <w:highlight w:val="none"/>
        </w:rPr>
        <w:t>组</w:t>
      </w:r>
      <w:r>
        <w:rPr>
          <w:rFonts w:hint="eastAsia"/>
          <w:sz w:val="24"/>
        </w:rPr>
        <w:t>合、封装的光伏组件称晶</w:t>
      </w:r>
      <w:r>
        <w:rPr>
          <w:rFonts w:hint="eastAsia"/>
          <w:sz w:val="24"/>
          <w:lang w:val="en-US" w:eastAsia="zh-CN"/>
        </w:rPr>
        <w:t>体</w:t>
      </w:r>
      <w:r>
        <w:rPr>
          <w:rFonts w:hint="eastAsia"/>
          <w:sz w:val="24"/>
        </w:rPr>
        <w:t>硅光伏组件。</w:t>
      </w:r>
    </w:p>
    <w:p w14:paraId="3D334599">
      <w:pPr>
        <w:pStyle w:val="2"/>
        <w:spacing w:line="300" w:lineRule="auto"/>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74287392">
      <w:pPr>
        <w:pStyle w:val="2"/>
        <w:spacing w:line="300" w:lineRule="auto"/>
        <w:rPr>
          <w:rFonts w:hint="eastAsia" w:ascii="仿宋" w:hAnsi="仿宋" w:eastAsia="仿宋" w:cs="仿宋"/>
          <w:i/>
          <w:iCs/>
          <w:color w:val="0623BA"/>
          <w:sz w:val="24"/>
        </w:rPr>
      </w:pPr>
      <w:r>
        <w:rPr>
          <w:rFonts w:hint="eastAsia" w:ascii="仿宋" w:hAnsi="仿宋" w:eastAsia="仿宋" w:cs="仿宋"/>
          <w:b w:val="0"/>
          <w:bCs w:val="0"/>
          <w:i/>
          <w:iCs/>
          <w:color w:val="0623BA"/>
          <w:sz w:val="24"/>
        </w:rPr>
        <w:t>2.</w:t>
      </w:r>
      <w:r>
        <w:rPr>
          <w:rFonts w:hint="eastAsia" w:ascii="仿宋" w:hAnsi="仿宋" w:eastAsia="仿宋" w:cs="仿宋"/>
          <w:b w:val="0"/>
          <w:bCs w:val="0"/>
          <w:i/>
          <w:iCs/>
          <w:color w:val="0623BA"/>
          <w:sz w:val="24"/>
          <w:lang w:eastAsia="zh-CN"/>
        </w:rPr>
        <w:t>0</w:t>
      </w:r>
      <w:r>
        <w:rPr>
          <w:rFonts w:hint="eastAsia" w:ascii="仿宋" w:hAnsi="仿宋" w:eastAsia="仿宋" w:cs="仿宋"/>
          <w:b w:val="0"/>
          <w:bCs w:val="0"/>
          <w:i/>
          <w:iCs/>
          <w:color w:val="0623BA"/>
          <w:sz w:val="24"/>
        </w:rPr>
        <w:t xml:space="preserve">.4 </w:t>
      </w:r>
      <w:r>
        <w:rPr>
          <w:rFonts w:hint="eastAsia" w:ascii="仿宋" w:hAnsi="仿宋" w:eastAsia="仿宋" w:cs="仿宋"/>
          <w:i/>
          <w:iCs/>
          <w:color w:val="0623BA"/>
          <w:sz w:val="24"/>
          <w:lang w:val="en-US" w:eastAsia="zh-CN"/>
        </w:rPr>
        <w:t>单晶硅光伏组件是用单晶硅太阳电池经过封装工艺加工而成的。多晶硅光伏组件主要由多晶硅太阳电池组成。</w:t>
      </w:r>
    </w:p>
    <w:p w14:paraId="03FBBB2C">
      <w:pPr>
        <w:snapToGrid w:val="0"/>
        <w:spacing w:line="300" w:lineRule="auto"/>
        <w:jc w:val="left"/>
        <w:rPr>
          <w:sz w:val="24"/>
        </w:rPr>
      </w:pPr>
      <w:r>
        <w:rPr>
          <w:b/>
          <w:bCs/>
          <w:sz w:val="24"/>
        </w:rPr>
        <w:t>2.</w:t>
      </w:r>
      <w:r>
        <w:rPr>
          <w:rFonts w:hint="eastAsia"/>
          <w:b/>
          <w:bCs/>
          <w:sz w:val="24"/>
          <w:lang w:val="en-US" w:eastAsia="zh-CN"/>
        </w:rPr>
        <w:t>0</w:t>
      </w:r>
      <w:r>
        <w:rPr>
          <w:b/>
          <w:bCs/>
          <w:sz w:val="24"/>
        </w:rPr>
        <w:t>.5</w:t>
      </w:r>
      <w:r>
        <w:rPr>
          <w:rFonts w:hint="eastAsia"/>
          <w:b/>
          <w:bCs/>
          <w:sz w:val="24"/>
        </w:rPr>
        <w:t xml:space="preserve"> </w:t>
      </w:r>
      <w:r>
        <w:rPr>
          <w:rFonts w:hint="eastAsia"/>
          <w:sz w:val="24"/>
        </w:rPr>
        <w:t>薄膜光伏组件</w:t>
      </w:r>
      <w:r>
        <w:rPr>
          <w:sz w:val="24"/>
        </w:rPr>
        <w:t xml:space="preserve"> thin film P</w:t>
      </w:r>
      <w:r>
        <w:rPr>
          <w:rFonts w:hint="eastAsia"/>
          <w:sz w:val="24"/>
        </w:rPr>
        <w:t>V</w:t>
      </w:r>
      <w:r>
        <w:rPr>
          <w:sz w:val="24"/>
        </w:rPr>
        <w:t xml:space="preserve"> module</w:t>
      </w:r>
    </w:p>
    <w:p w14:paraId="193084A7">
      <w:pPr>
        <w:snapToGrid w:val="0"/>
        <w:spacing w:line="300" w:lineRule="auto"/>
        <w:ind w:firstLine="480" w:firstLineChars="200"/>
        <w:jc w:val="left"/>
        <w:rPr>
          <w:sz w:val="24"/>
        </w:rPr>
      </w:pPr>
      <w:r>
        <w:rPr>
          <w:rFonts w:hint="eastAsia"/>
          <w:sz w:val="24"/>
        </w:rPr>
        <w:t>以铜铟镓硒、碲化镉、砷化镓、钙钛矿等薄膜太阳电池组合、封装的光伏组件称薄膜光伏组件。</w:t>
      </w:r>
    </w:p>
    <w:p w14:paraId="7A15BE22">
      <w:pPr>
        <w:pStyle w:val="2"/>
        <w:snapToGrid w:val="0"/>
        <w:spacing w:line="300" w:lineRule="auto"/>
        <w:ind w:firstLine="0" w:firstLineChars="0"/>
        <w:jc w:val="left"/>
        <w:rPr>
          <w:sz w:val="24"/>
        </w:rPr>
      </w:pPr>
      <w:r>
        <w:rPr>
          <w:b/>
          <w:bCs/>
          <w:sz w:val="24"/>
        </w:rPr>
        <w:t>2.</w:t>
      </w:r>
      <w:r>
        <w:rPr>
          <w:rFonts w:hint="eastAsia"/>
          <w:b/>
          <w:bCs/>
          <w:sz w:val="24"/>
          <w:lang w:val="en-US" w:eastAsia="zh-CN"/>
        </w:rPr>
        <w:t>0</w:t>
      </w:r>
      <w:r>
        <w:rPr>
          <w:b/>
          <w:bCs/>
          <w:sz w:val="24"/>
        </w:rPr>
        <w:t>.6</w:t>
      </w:r>
      <w:r>
        <w:rPr>
          <w:rFonts w:hint="eastAsia"/>
          <w:sz w:val="24"/>
        </w:rPr>
        <w:t xml:space="preserve"> 光伏发电系统 </w:t>
      </w:r>
      <w:r>
        <w:rPr>
          <w:rFonts w:hint="eastAsia"/>
          <w:sz w:val="24"/>
          <w:lang w:val="en-US" w:eastAsia="zh-CN"/>
        </w:rPr>
        <w:t xml:space="preserve">PV </w:t>
      </w:r>
      <w:r>
        <w:rPr>
          <w:rFonts w:hint="eastAsia"/>
          <w:sz w:val="24"/>
        </w:rPr>
        <w:t>Power system</w:t>
      </w:r>
    </w:p>
    <w:p w14:paraId="0A693D9D">
      <w:pPr>
        <w:snapToGrid w:val="0"/>
        <w:spacing w:line="300" w:lineRule="auto"/>
        <w:ind w:firstLine="480" w:firstLineChars="200"/>
        <w:jc w:val="left"/>
        <w:rPr>
          <w:sz w:val="24"/>
        </w:rPr>
      </w:pPr>
      <w:r>
        <w:rPr>
          <w:rFonts w:hint="eastAsia"/>
          <w:sz w:val="24"/>
        </w:rPr>
        <w:t>利用太阳能电池的光生伏特效应将</w:t>
      </w:r>
      <w:r>
        <w:rPr>
          <w:rFonts w:hint="eastAsia"/>
          <w:sz w:val="24"/>
          <w:highlight w:val="none"/>
          <w:lang w:val="en-US" w:eastAsia="zh-CN"/>
        </w:rPr>
        <w:t>太阳</w:t>
      </w:r>
      <w:r>
        <w:rPr>
          <w:rFonts w:hint="eastAsia"/>
          <w:sz w:val="24"/>
        </w:rPr>
        <w:t>辐射能直接转换成电能的发电系统。</w:t>
      </w:r>
    </w:p>
    <w:p w14:paraId="145B5B1A">
      <w:pPr>
        <w:snapToGrid w:val="0"/>
        <w:spacing w:line="300" w:lineRule="auto"/>
        <w:jc w:val="left"/>
        <w:rPr>
          <w:sz w:val="24"/>
        </w:rPr>
      </w:pPr>
      <w:r>
        <w:rPr>
          <w:b/>
          <w:bCs/>
          <w:sz w:val="24"/>
        </w:rPr>
        <w:t>2.</w:t>
      </w:r>
      <w:r>
        <w:rPr>
          <w:rFonts w:hint="eastAsia"/>
          <w:b/>
          <w:bCs/>
          <w:sz w:val="24"/>
          <w:lang w:val="en-US" w:eastAsia="zh-CN"/>
        </w:rPr>
        <w:t>0</w:t>
      </w:r>
      <w:r>
        <w:rPr>
          <w:b/>
          <w:bCs/>
          <w:sz w:val="24"/>
        </w:rPr>
        <w:t>.7</w:t>
      </w:r>
      <w:r>
        <w:rPr>
          <w:rFonts w:hint="eastAsia"/>
          <w:sz w:val="24"/>
        </w:rPr>
        <w:t xml:space="preserve"> </w:t>
      </w:r>
      <w:r>
        <w:rPr>
          <w:sz w:val="24"/>
        </w:rPr>
        <w:t>光伏方阵PV array</w:t>
      </w:r>
    </w:p>
    <w:p w14:paraId="18BF35DB">
      <w:pPr>
        <w:snapToGrid w:val="0"/>
        <w:spacing w:line="300" w:lineRule="auto"/>
        <w:ind w:firstLine="480" w:firstLineChars="200"/>
        <w:jc w:val="left"/>
        <w:rPr>
          <w:sz w:val="24"/>
        </w:rPr>
      </w:pPr>
      <w:r>
        <w:rPr>
          <w:sz w:val="24"/>
        </w:rPr>
        <w:t>将若干个光伏组件在机械和</w:t>
      </w:r>
      <w:r>
        <w:rPr>
          <w:rFonts w:hint="eastAsia"/>
          <w:sz w:val="24"/>
        </w:rPr>
        <w:t>电气上按一定方式组装在一起并且有固定的支撑结构而构成的直流发电单元。又称光伏阵列。</w:t>
      </w:r>
    </w:p>
    <w:p w14:paraId="238DA338">
      <w:pPr>
        <w:pStyle w:val="2"/>
        <w:spacing w:line="300" w:lineRule="auto"/>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63E6744A">
      <w:pPr>
        <w:snapToGrid w:val="0"/>
        <w:spacing w:line="300" w:lineRule="auto"/>
        <w:jc w:val="left"/>
        <w:rPr>
          <w:rFonts w:hint="eastAsia" w:eastAsia="仿宋"/>
          <w:lang w:val="en-US" w:eastAsia="zh-CN"/>
        </w:rPr>
      </w:pPr>
      <w:r>
        <w:rPr>
          <w:rFonts w:hint="eastAsia" w:ascii="仿宋" w:hAnsi="仿宋" w:eastAsia="仿宋" w:cs="仿宋"/>
          <w:b w:val="0"/>
          <w:bCs w:val="0"/>
          <w:i/>
          <w:iCs/>
          <w:color w:val="0623BA"/>
          <w:sz w:val="24"/>
        </w:rPr>
        <w:t>2.</w:t>
      </w:r>
      <w:r>
        <w:rPr>
          <w:rFonts w:hint="eastAsia" w:ascii="仿宋" w:hAnsi="仿宋" w:eastAsia="仿宋" w:cs="仿宋"/>
          <w:b w:val="0"/>
          <w:bCs w:val="0"/>
          <w:i/>
          <w:iCs/>
          <w:color w:val="0623BA"/>
          <w:sz w:val="24"/>
          <w:lang w:eastAsia="zh-CN"/>
        </w:rPr>
        <w:t>0</w:t>
      </w:r>
      <w:r>
        <w:rPr>
          <w:rFonts w:hint="eastAsia" w:ascii="仿宋" w:hAnsi="仿宋" w:eastAsia="仿宋" w:cs="仿宋"/>
          <w:b w:val="0"/>
          <w:bCs w:val="0"/>
          <w:i/>
          <w:iCs/>
          <w:color w:val="0623BA"/>
          <w:sz w:val="24"/>
        </w:rPr>
        <w:t xml:space="preserve">.7 </w:t>
      </w:r>
      <w:r>
        <w:rPr>
          <w:rFonts w:hint="eastAsia" w:ascii="仿宋" w:hAnsi="仿宋" w:eastAsia="仿宋" w:cs="仿宋"/>
          <w:i/>
          <w:iCs/>
          <w:color w:val="0623BA"/>
          <w:sz w:val="24"/>
        </w:rPr>
        <w:t>光伏方阵不包括基座、太阳跟踪器、温度控制器等类似的部件。如果一个方阵中有不同结构类型的组件或组件的连接方式不同，一般将结构和连接方式相同的部分方阵称为子方阵。</w:t>
      </w:r>
    </w:p>
    <w:p w14:paraId="729EB1B4">
      <w:pPr>
        <w:snapToGrid w:val="0"/>
        <w:spacing w:line="300" w:lineRule="auto"/>
        <w:jc w:val="left"/>
        <w:rPr>
          <w:sz w:val="24"/>
        </w:rPr>
      </w:pPr>
      <w:r>
        <w:rPr>
          <w:b/>
          <w:bCs/>
          <w:sz w:val="24"/>
        </w:rPr>
        <w:t>2.</w:t>
      </w:r>
      <w:r>
        <w:rPr>
          <w:rFonts w:hint="eastAsia"/>
          <w:b/>
          <w:bCs/>
          <w:sz w:val="24"/>
          <w:lang w:val="en-US" w:eastAsia="zh-CN"/>
        </w:rPr>
        <w:t>0</w:t>
      </w:r>
      <w:r>
        <w:rPr>
          <w:b/>
          <w:bCs/>
          <w:sz w:val="24"/>
        </w:rPr>
        <w:t>.</w:t>
      </w:r>
      <w:r>
        <w:rPr>
          <w:rFonts w:hint="eastAsia"/>
          <w:b/>
          <w:bCs/>
          <w:sz w:val="24"/>
          <w:lang w:val="en-US" w:eastAsia="zh-CN"/>
        </w:rPr>
        <w:t>8</w:t>
      </w:r>
      <w:r>
        <w:rPr>
          <w:rFonts w:hint="eastAsia"/>
          <w:b/>
          <w:bCs/>
          <w:sz w:val="24"/>
        </w:rPr>
        <w:t xml:space="preserve"> </w:t>
      </w:r>
      <w:r>
        <w:rPr>
          <w:sz w:val="24"/>
        </w:rPr>
        <w:t>建筑附加光伏发电系统building attached photovoltaic (BAPV)</w:t>
      </w:r>
    </w:p>
    <w:p w14:paraId="1D2DA39D">
      <w:pPr>
        <w:snapToGrid w:val="0"/>
        <w:spacing w:line="300" w:lineRule="auto"/>
        <w:ind w:firstLine="480" w:firstLineChars="200"/>
        <w:jc w:val="left"/>
        <w:rPr>
          <w:sz w:val="24"/>
        </w:rPr>
      </w:pPr>
      <w:r>
        <w:rPr>
          <w:sz w:val="24"/>
        </w:rPr>
        <w:t>光伏发电设备不作为建筑材料或构件在建筑上安装的形式。</w:t>
      </w:r>
    </w:p>
    <w:p w14:paraId="6AAB0C37">
      <w:pPr>
        <w:snapToGrid w:val="0"/>
        <w:spacing w:line="300" w:lineRule="auto"/>
        <w:ind w:firstLine="0" w:firstLineChars="0"/>
        <w:jc w:val="left"/>
        <w:rPr>
          <w:rFonts w:hint="default"/>
          <w:b w:val="0"/>
          <w:bCs w:val="0"/>
          <w:sz w:val="24"/>
          <w:lang w:val="en-US" w:eastAsia="zh-CN"/>
        </w:rPr>
      </w:pPr>
      <w:r>
        <w:rPr>
          <w:b/>
          <w:bCs/>
          <w:sz w:val="24"/>
        </w:rPr>
        <w:t>2.</w:t>
      </w:r>
      <w:r>
        <w:rPr>
          <w:rFonts w:hint="eastAsia"/>
          <w:b/>
          <w:bCs/>
          <w:sz w:val="24"/>
          <w:lang w:val="en-US" w:eastAsia="zh-CN"/>
        </w:rPr>
        <w:t>0</w:t>
      </w:r>
      <w:r>
        <w:rPr>
          <w:b/>
          <w:bCs/>
          <w:sz w:val="24"/>
        </w:rPr>
        <w:t>.</w:t>
      </w:r>
      <w:r>
        <w:rPr>
          <w:rFonts w:hint="eastAsia"/>
          <w:b/>
          <w:bCs/>
          <w:sz w:val="24"/>
          <w:lang w:val="en-US" w:eastAsia="zh-CN"/>
        </w:rPr>
        <w:t>9</w:t>
      </w:r>
      <w:r>
        <w:rPr>
          <w:rFonts w:hint="eastAsia"/>
          <w:b/>
          <w:bCs/>
          <w:sz w:val="24"/>
        </w:rPr>
        <w:t xml:space="preserve"> </w:t>
      </w:r>
      <w:r>
        <w:rPr>
          <w:rFonts w:hint="eastAsia"/>
          <w:b w:val="0"/>
          <w:bCs w:val="0"/>
          <w:sz w:val="24"/>
          <w:lang w:val="en-US" w:eastAsia="zh-CN"/>
        </w:rPr>
        <w:t>建</w:t>
      </w:r>
      <w:r>
        <w:rPr>
          <w:rFonts w:hint="default"/>
          <w:b w:val="0"/>
          <w:bCs w:val="0"/>
          <w:sz w:val="24"/>
          <w:lang w:val="en-US" w:eastAsia="zh-CN"/>
        </w:rPr>
        <w:t>筑集成光伏发电系统 building integrated photovoltaic （BIPV）</w:t>
      </w:r>
    </w:p>
    <w:p w14:paraId="34B4D6D1">
      <w:pPr>
        <w:snapToGrid w:val="0"/>
        <w:spacing w:line="300" w:lineRule="auto"/>
        <w:ind w:firstLine="480" w:firstLineChars="200"/>
        <w:jc w:val="left"/>
        <w:rPr>
          <w:rFonts w:hint="default" w:ascii="Times New Roman" w:hAnsi="Times New Roman"/>
          <w:b w:val="0"/>
          <w:bCs w:val="0"/>
          <w:sz w:val="24"/>
          <w:szCs w:val="24"/>
          <w:lang w:val="en-US" w:eastAsia="zh-CN"/>
        </w:rPr>
      </w:pPr>
      <w:r>
        <w:rPr>
          <w:rFonts w:hint="default" w:ascii="Times New Roman" w:hAnsi="Times New Roman"/>
          <w:b w:val="0"/>
          <w:bCs w:val="0"/>
          <w:sz w:val="24"/>
          <w:szCs w:val="24"/>
          <w:lang w:val="en-US" w:eastAsia="zh-CN"/>
        </w:rPr>
        <w:t>光伏发电设备作为建筑材料或构件，在建筑上应用的形式也称光伏建筑一体化。</w:t>
      </w:r>
    </w:p>
    <w:p w14:paraId="196C3246">
      <w:pPr>
        <w:snapToGrid w:val="0"/>
        <w:spacing w:line="300" w:lineRule="auto"/>
        <w:jc w:val="left"/>
        <w:rPr>
          <w:sz w:val="24"/>
        </w:rPr>
      </w:pPr>
      <w:r>
        <w:rPr>
          <w:b/>
          <w:bCs/>
          <w:sz w:val="24"/>
        </w:rPr>
        <w:t>2.</w:t>
      </w:r>
      <w:r>
        <w:rPr>
          <w:rFonts w:hint="eastAsia"/>
          <w:b/>
          <w:bCs/>
          <w:sz w:val="24"/>
          <w:lang w:val="en-US" w:eastAsia="zh-CN"/>
        </w:rPr>
        <w:t>0</w:t>
      </w:r>
      <w:r>
        <w:rPr>
          <w:b/>
          <w:bCs/>
          <w:sz w:val="24"/>
        </w:rPr>
        <w:t>.1</w:t>
      </w:r>
      <w:r>
        <w:rPr>
          <w:rFonts w:hint="eastAsia"/>
          <w:b/>
          <w:bCs/>
          <w:sz w:val="24"/>
          <w:lang w:val="en-US" w:eastAsia="zh-CN"/>
        </w:rPr>
        <w:t>0</w:t>
      </w:r>
      <w:r>
        <w:rPr>
          <w:rFonts w:hint="eastAsia"/>
          <w:sz w:val="24"/>
        </w:rPr>
        <w:t xml:space="preserve"> </w:t>
      </w:r>
      <w:r>
        <w:rPr>
          <w:sz w:val="24"/>
        </w:rPr>
        <w:t>独立光伏发电系统stand-alone photovoltaic system</w:t>
      </w:r>
    </w:p>
    <w:p w14:paraId="110CC6D5">
      <w:pPr>
        <w:snapToGrid w:val="0"/>
        <w:spacing w:line="300" w:lineRule="auto"/>
        <w:ind w:firstLine="480" w:firstLineChars="200"/>
        <w:jc w:val="left"/>
        <w:rPr>
          <w:sz w:val="24"/>
        </w:rPr>
      </w:pPr>
      <w:r>
        <w:rPr>
          <w:sz w:val="24"/>
        </w:rPr>
        <w:t>不与公共电网连接的光伏系统，也称离网光伏系统。</w:t>
      </w:r>
      <w:r>
        <w:rPr>
          <w:rFonts w:hint="eastAsia"/>
          <w:sz w:val="24"/>
        </w:rPr>
        <w:t>系统一般由光伏组件、储能蓄电池、控制器和离网逆变器组成。</w:t>
      </w:r>
    </w:p>
    <w:p w14:paraId="35C976A8">
      <w:pPr>
        <w:snapToGrid w:val="0"/>
        <w:spacing w:line="300" w:lineRule="auto"/>
        <w:jc w:val="left"/>
        <w:rPr>
          <w:sz w:val="24"/>
        </w:rPr>
      </w:pPr>
      <w:r>
        <w:rPr>
          <w:b/>
          <w:bCs/>
          <w:sz w:val="24"/>
        </w:rPr>
        <w:t>2.</w:t>
      </w:r>
      <w:r>
        <w:rPr>
          <w:rFonts w:hint="eastAsia"/>
          <w:b/>
          <w:bCs/>
          <w:sz w:val="24"/>
          <w:lang w:val="en-US" w:eastAsia="zh-CN"/>
        </w:rPr>
        <w:t>0</w:t>
      </w:r>
      <w:r>
        <w:rPr>
          <w:b/>
          <w:bCs/>
          <w:sz w:val="24"/>
        </w:rPr>
        <w:t>.1</w:t>
      </w:r>
      <w:r>
        <w:rPr>
          <w:rFonts w:hint="eastAsia"/>
          <w:b/>
          <w:bCs/>
          <w:sz w:val="24"/>
          <w:lang w:val="en-US" w:eastAsia="zh-CN"/>
        </w:rPr>
        <w:t>1</w:t>
      </w:r>
      <w:r>
        <w:rPr>
          <w:rFonts w:hint="eastAsia"/>
          <w:sz w:val="24"/>
        </w:rPr>
        <w:t xml:space="preserve"> </w:t>
      </w:r>
      <w:r>
        <w:rPr>
          <w:sz w:val="24"/>
        </w:rPr>
        <w:t>并网光伏</w:t>
      </w:r>
      <w:r>
        <w:rPr>
          <w:rFonts w:hint="eastAsia"/>
          <w:sz w:val="24"/>
        </w:rPr>
        <w:t>发电</w:t>
      </w:r>
      <w:r>
        <w:rPr>
          <w:sz w:val="24"/>
        </w:rPr>
        <w:t>系统grid-connected PV system</w:t>
      </w:r>
    </w:p>
    <w:p w14:paraId="7311B5A4">
      <w:pPr>
        <w:snapToGrid w:val="0"/>
        <w:spacing w:line="300" w:lineRule="auto"/>
        <w:ind w:firstLine="480" w:firstLineChars="200"/>
        <w:jc w:val="left"/>
        <w:rPr>
          <w:sz w:val="24"/>
        </w:rPr>
      </w:pPr>
      <w:r>
        <w:rPr>
          <w:sz w:val="24"/>
        </w:rPr>
        <w:t>与公共电网</w:t>
      </w:r>
      <w:r>
        <w:rPr>
          <w:rFonts w:hint="eastAsia"/>
          <w:sz w:val="24"/>
          <w:lang w:val="en-US" w:eastAsia="zh-CN"/>
        </w:rPr>
        <w:t>连</w:t>
      </w:r>
      <w:r>
        <w:rPr>
          <w:sz w:val="24"/>
        </w:rPr>
        <w:t>接的光伏系统。</w:t>
      </w:r>
      <w:r>
        <w:rPr>
          <w:rFonts w:hint="eastAsia"/>
          <w:sz w:val="24"/>
        </w:rPr>
        <w:t>系统一般由光伏阵列、逆变器和电网接入设备组成</w:t>
      </w:r>
      <w:r>
        <w:rPr>
          <w:rFonts w:hint="eastAsia"/>
          <w:sz w:val="24"/>
          <w:lang w:eastAsia="zh-CN"/>
        </w:rPr>
        <w:t>，</w:t>
      </w:r>
      <w:r>
        <w:rPr>
          <w:rFonts w:hint="eastAsia"/>
          <w:sz w:val="24"/>
        </w:rPr>
        <w:t>高压接入需有升压装置。</w:t>
      </w:r>
    </w:p>
    <w:p w14:paraId="1F886C5C">
      <w:pPr>
        <w:snapToGrid w:val="0"/>
        <w:spacing w:line="300" w:lineRule="auto"/>
        <w:jc w:val="left"/>
        <w:rPr>
          <w:rFonts w:hint="default"/>
          <w:sz w:val="24"/>
          <w:lang w:val="en-US" w:eastAsia="zh-CN"/>
        </w:rPr>
      </w:pPr>
      <w:r>
        <w:rPr>
          <w:b/>
          <w:bCs/>
          <w:sz w:val="24"/>
        </w:rPr>
        <w:t>2.</w:t>
      </w:r>
      <w:r>
        <w:rPr>
          <w:rFonts w:hint="eastAsia"/>
          <w:b/>
          <w:bCs/>
          <w:sz w:val="24"/>
          <w:lang w:val="en-US" w:eastAsia="zh-CN"/>
        </w:rPr>
        <w:t>0</w:t>
      </w:r>
      <w:r>
        <w:rPr>
          <w:b/>
          <w:bCs/>
          <w:sz w:val="24"/>
        </w:rPr>
        <w:t>.1</w:t>
      </w:r>
      <w:r>
        <w:rPr>
          <w:rFonts w:hint="eastAsia"/>
          <w:b/>
          <w:bCs/>
          <w:sz w:val="24"/>
          <w:lang w:val="en-US" w:eastAsia="zh-CN"/>
        </w:rPr>
        <w:t>2</w:t>
      </w:r>
      <w:r>
        <w:rPr>
          <w:rFonts w:hint="eastAsia"/>
          <w:sz w:val="24"/>
        </w:rPr>
        <w:t xml:space="preserve"> </w:t>
      </w:r>
      <w:r>
        <w:rPr>
          <w:rFonts w:hint="eastAsia"/>
          <w:sz w:val="24"/>
          <w:lang w:val="en-US" w:eastAsia="zh-CN"/>
        </w:rPr>
        <w:t>光伏构件</w:t>
      </w:r>
      <w:r>
        <w:rPr>
          <w:rFonts w:hint="eastAsia"/>
          <w:lang w:val="en-US" w:eastAsia="zh-CN"/>
        </w:rPr>
        <w:t xml:space="preserve">PV </w:t>
      </w:r>
      <w:r>
        <w:rPr>
          <w:rFonts w:hint="default"/>
          <w:sz w:val="24"/>
          <w:lang w:val="en-US" w:eastAsia="zh-CN"/>
        </w:rPr>
        <w:t>components</w:t>
      </w:r>
    </w:p>
    <w:p w14:paraId="1071CC22">
      <w:pPr>
        <w:snapToGrid w:val="0"/>
        <w:spacing w:line="300" w:lineRule="auto"/>
        <w:ind w:firstLine="480" w:firstLineChars="200"/>
        <w:jc w:val="left"/>
        <w:rPr>
          <w:rFonts w:hint="default" w:cs="Times New Roman"/>
          <w:b w:val="0"/>
          <w:bCs w:val="0"/>
          <w:i w:val="0"/>
          <w:iCs w:val="0"/>
          <w:sz w:val="24"/>
          <w:szCs w:val="24"/>
          <w:lang w:eastAsia="zh-CN"/>
        </w:rPr>
      </w:pPr>
      <w:r>
        <w:rPr>
          <w:rFonts w:hint="default" w:ascii="Times New Roman" w:hAnsi="Times New Roman" w:eastAsia="宋体" w:cs="Times New Roman"/>
          <w:b w:val="0"/>
          <w:bCs w:val="0"/>
          <w:i w:val="0"/>
          <w:iCs w:val="0"/>
          <w:sz w:val="24"/>
          <w:szCs w:val="24"/>
        </w:rPr>
        <w:t>经过模块化预制，具备光伏发电功能的建筑材料或构件，包括建材型光伏构件（如光伏瓦、光伏墙板、光伏砖等</w:t>
      </w:r>
      <w:r>
        <w:rPr>
          <w:rFonts w:hint="default" w:cs="Times New Roman"/>
          <w:b w:val="0"/>
          <w:bCs w:val="0"/>
          <w:i w:val="0"/>
          <w:iCs w:val="0"/>
          <w:sz w:val="24"/>
          <w:szCs w:val="24"/>
          <w:lang w:eastAsia="zh-CN"/>
        </w:rPr>
        <w:t>）</w:t>
      </w:r>
      <w:r>
        <w:rPr>
          <w:rFonts w:hint="default" w:ascii="Times New Roman" w:hAnsi="Times New Roman" w:eastAsia="宋体" w:cs="Times New Roman"/>
          <w:b w:val="0"/>
          <w:bCs w:val="0"/>
          <w:i w:val="0"/>
          <w:iCs w:val="0"/>
          <w:sz w:val="24"/>
          <w:szCs w:val="24"/>
        </w:rPr>
        <w:t>和普通型光伏构件</w:t>
      </w:r>
      <w:r>
        <w:rPr>
          <w:rFonts w:hint="default" w:cs="Times New Roman"/>
          <w:b w:val="0"/>
          <w:bCs w:val="0"/>
          <w:i w:val="0"/>
          <w:iCs w:val="0"/>
          <w:sz w:val="24"/>
          <w:szCs w:val="24"/>
          <w:lang w:eastAsia="zh-CN"/>
        </w:rPr>
        <w:t>。</w:t>
      </w:r>
    </w:p>
    <w:p w14:paraId="0A8B705A">
      <w:pPr>
        <w:snapToGrid w:val="0"/>
        <w:spacing w:line="300" w:lineRule="auto"/>
        <w:jc w:val="left"/>
        <w:rPr>
          <w:rFonts w:hint="eastAsia" w:eastAsia="宋体"/>
          <w:sz w:val="24"/>
          <w:lang w:eastAsia="zh-CN"/>
        </w:rPr>
      </w:pPr>
      <w:r>
        <w:rPr>
          <w:b/>
          <w:bCs/>
          <w:sz w:val="24"/>
        </w:rPr>
        <w:t>2.</w:t>
      </w:r>
      <w:r>
        <w:rPr>
          <w:rFonts w:hint="eastAsia"/>
          <w:b/>
          <w:bCs/>
          <w:sz w:val="24"/>
          <w:lang w:val="en-US" w:eastAsia="zh-CN"/>
        </w:rPr>
        <w:t>0</w:t>
      </w:r>
      <w:r>
        <w:rPr>
          <w:b/>
          <w:bCs/>
          <w:sz w:val="24"/>
        </w:rPr>
        <w:t>.1</w:t>
      </w:r>
      <w:r>
        <w:rPr>
          <w:rFonts w:hint="eastAsia"/>
          <w:b/>
          <w:bCs/>
          <w:sz w:val="24"/>
          <w:lang w:val="en-US" w:eastAsia="zh-CN"/>
        </w:rPr>
        <w:t>3</w:t>
      </w:r>
      <w:r>
        <w:rPr>
          <w:rFonts w:hint="eastAsia"/>
          <w:sz w:val="24"/>
        </w:rPr>
        <w:t xml:space="preserve"> </w:t>
      </w:r>
      <w:r>
        <w:rPr>
          <w:rFonts w:hint="eastAsia"/>
          <w:sz w:val="24"/>
          <w:lang w:val="en-US" w:eastAsia="zh-CN"/>
        </w:rPr>
        <w:t>光伏组件</w:t>
      </w:r>
      <w:r>
        <w:rPr>
          <w:sz w:val="24"/>
        </w:rPr>
        <w:t xml:space="preserve">倾角tilt angle of PV </w:t>
      </w:r>
      <w:r>
        <w:rPr>
          <w:rFonts w:hint="eastAsia"/>
          <w:sz w:val="24"/>
          <w:lang w:val="en-US" w:eastAsia="zh-CN"/>
        </w:rPr>
        <w:t>module</w:t>
      </w:r>
    </w:p>
    <w:p w14:paraId="7124969C">
      <w:pPr>
        <w:snapToGrid w:val="0"/>
        <w:spacing w:line="300" w:lineRule="auto"/>
        <w:ind w:firstLine="480" w:firstLineChars="200"/>
        <w:jc w:val="left"/>
        <w:rPr>
          <w:sz w:val="24"/>
        </w:rPr>
      </w:pPr>
      <w:r>
        <w:rPr>
          <w:sz w:val="24"/>
        </w:rPr>
        <w:t>光伏</w:t>
      </w:r>
      <w:r>
        <w:rPr>
          <w:rFonts w:hint="eastAsia"/>
          <w:sz w:val="24"/>
          <w:lang w:val="en-US" w:eastAsia="zh-CN"/>
        </w:rPr>
        <w:t>组件</w:t>
      </w:r>
      <w:r>
        <w:rPr>
          <w:sz w:val="24"/>
        </w:rPr>
        <w:t>所在平面与水平面的夹角。</w:t>
      </w:r>
    </w:p>
    <w:p w14:paraId="7FFCF7F2">
      <w:pPr>
        <w:snapToGrid w:val="0"/>
        <w:spacing w:line="300" w:lineRule="auto"/>
        <w:jc w:val="left"/>
        <w:rPr>
          <w:rFonts w:hint="default" w:eastAsia="宋体"/>
          <w:sz w:val="24"/>
          <w:lang w:val="en-US" w:eastAsia="zh-CN"/>
        </w:rPr>
      </w:pPr>
      <w:r>
        <w:rPr>
          <w:b/>
          <w:bCs/>
          <w:sz w:val="24"/>
        </w:rPr>
        <w:t>2.</w:t>
      </w:r>
      <w:r>
        <w:rPr>
          <w:rFonts w:hint="eastAsia"/>
          <w:b/>
          <w:bCs/>
          <w:sz w:val="24"/>
          <w:lang w:val="en-US" w:eastAsia="zh-CN"/>
        </w:rPr>
        <w:t>0</w:t>
      </w:r>
      <w:r>
        <w:rPr>
          <w:b/>
          <w:bCs/>
          <w:sz w:val="24"/>
        </w:rPr>
        <w:t>.1</w:t>
      </w:r>
      <w:r>
        <w:rPr>
          <w:rFonts w:hint="eastAsia"/>
          <w:b/>
          <w:bCs/>
          <w:sz w:val="24"/>
          <w:lang w:val="en-US" w:eastAsia="zh-CN"/>
        </w:rPr>
        <w:t>4</w:t>
      </w:r>
      <w:r>
        <w:rPr>
          <w:rFonts w:hint="eastAsia"/>
          <w:b/>
          <w:bCs/>
          <w:sz w:val="24"/>
        </w:rPr>
        <w:t xml:space="preserve"> </w:t>
      </w:r>
      <w:r>
        <w:rPr>
          <w:rFonts w:hint="eastAsia"/>
          <w:sz w:val="24"/>
          <w:lang w:val="en-US" w:eastAsia="zh-CN"/>
        </w:rPr>
        <w:t>光储直柔系统solar DC system with energy storage for flexibility improvement (PEDF)</w:t>
      </w:r>
    </w:p>
    <w:p w14:paraId="67D84CB6">
      <w:pPr>
        <w:snapToGrid w:val="0"/>
        <w:spacing w:line="300" w:lineRule="auto"/>
        <w:ind w:firstLine="480" w:firstLineChars="200"/>
        <w:jc w:val="left"/>
        <w:rPr>
          <w:sz w:val="24"/>
        </w:rPr>
      </w:pPr>
      <w:r>
        <w:rPr>
          <w:rFonts w:hint="eastAsia"/>
          <w:sz w:val="24"/>
        </w:rPr>
        <w:t>配置建筑光伏或其他可再生电力设备和建筑储能，采用直流配电系统且具备功率主动响应功能的新型建筑供配电系统。</w:t>
      </w:r>
    </w:p>
    <w:p w14:paraId="2C0D69F6">
      <w:pPr>
        <w:snapToGrid w:val="0"/>
        <w:spacing w:line="300" w:lineRule="auto"/>
        <w:jc w:val="left"/>
        <w:rPr>
          <w:sz w:val="24"/>
        </w:rPr>
      </w:pPr>
      <w:r>
        <w:rPr>
          <w:b/>
          <w:bCs/>
          <w:sz w:val="24"/>
        </w:rPr>
        <w:t>2.</w:t>
      </w:r>
      <w:r>
        <w:rPr>
          <w:rFonts w:hint="eastAsia"/>
          <w:b/>
          <w:bCs/>
          <w:sz w:val="24"/>
          <w:lang w:val="en-US" w:eastAsia="zh-CN"/>
        </w:rPr>
        <w:t>0</w:t>
      </w:r>
      <w:r>
        <w:rPr>
          <w:b/>
          <w:bCs/>
          <w:sz w:val="24"/>
        </w:rPr>
        <w:t>.</w:t>
      </w:r>
      <w:r>
        <w:rPr>
          <w:rFonts w:hint="eastAsia"/>
          <w:b/>
          <w:bCs/>
          <w:sz w:val="24"/>
          <w:lang w:val="en-US" w:eastAsia="zh-CN"/>
        </w:rPr>
        <w:t>15</w:t>
      </w:r>
      <w:r>
        <w:rPr>
          <w:rFonts w:hint="eastAsia"/>
          <w:sz w:val="24"/>
        </w:rPr>
        <w:t xml:space="preserve"> </w:t>
      </w:r>
      <w:r>
        <w:rPr>
          <w:sz w:val="24"/>
        </w:rPr>
        <w:t>并网逆变器grid-connected inverter</w:t>
      </w:r>
    </w:p>
    <w:p w14:paraId="1E4D2869">
      <w:pPr>
        <w:snapToGrid w:val="0"/>
        <w:spacing w:line="300" w:lineRule="auto"/>
        <w:ind w:firstLine="480" w:firstLineChars="200"/>
        <w:jc w:val="left"/>
        <w:rPr>
          <w:sz w:val="24"/>
        </w:rPr>
      </w:pPr>
      <w:r>
        <w:rPr>
          <w:sz w:val="24"/>
        </w:rPr>
        <w:t>将来自</w:t>
      </w:r>
      <w:r>
        <w:rPr>
          <w:rFonts w:hint="eastAsia"/>
          <w:sz w:val="24"/>
          <w:lang w:val="en-US" w:eastAsia="zh-CN"/>
        </w:rPr>
        <w:t>光伏</w:t>
      </w:r>
      <w:r>
        <w:rPr>
          <w:sz w:val="24"/>
        </w:rPr>
        <w:t>方阵的直流电流变换为符合电网要求的交流电流的装置。</w:t>
      </w:r>
    </w:p>
    <w:p w14:paraId="314B6103">
      <w:pPr>
        <w:pStyle w:val="2"/>
        <w:spacing w:line="300" w:lineRule="auto"/>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248BD274">
      <w:pPr>
        <w:pStyle w:val="2"/>
        <w:spacing w:line="300" w:lineRule="auto"/>
        <w:rPr>
          <w:rFonts w:hint="eastAsia" w:ascii="仿宋" w:hAnsi="仿宋" w:eastAsia="仿宋" w:cs="仿宋"/>
          <w:i/>
          <w:iCs/>
          <w:color w:val="0623BA"/>
          <w:sz w:val="24"/>
        </w:rPr>
      </w:pPr>
      <w:r>
        <w:rPr>
          <w:rFonts w:hint="eastAsia" w:ascii="仿宋" w:hAnsi="仿宋" w:eastAsia="仿宋" w:cs="仿宋"/>
          <w:b w:val="0"/>
          <w:bCs w:val="0"/>
          <w:i/>
          <w:iCs/>
          <w:color w:val="0623BA"/>
          <w:sz w:val="24"/>
        </w:rPr>
        <w:t>2.</w:t>
      </w:r>
      <w:r>
        <w:rPr>
          <w:rFonts w:hint="eastAsia" w:ascii="仿宋" w:hAnsi="仿宋" w:eastAsia="仿宋" w:cs="仿宋"/>
          <w:b w:val="0"/>
          <w:bCs w:val="0"/>
          <w:i/>
          <w:iCs/>
          <w:color w:val="0623BA"/>
          <w:sz w:val="24"/>
          <w:lang w:eastAsia="zh-CN"/>
        </w:rPr>
        <w:t>0</w:t>
      </w:r>
      <w:r>
        <w:rPr>
          <w:rFonts w:hint="eastAsia" w:ascii="仿宋" w:hAnsi="仿宋" w:eastAsia="仿宋" w:cs="仿宋"/>
          <w:b w:val="0"/>
          <w:bCs w:val="0"/>
          <w:i/>
          <w:iCs/>
          <w:color w:val="0623BA"/>
          <w:sz w:val="24"/>
        </w:rPr>
        <w:t>.</w:t>
      </w:r>
      <w:r>
        <w:rPr>
          <w:rFonts w:hint="eastAsia" w:ascii="仿宋" w:hAnsi="仿宋" w:eastAsia="仿宋" w:cs="仿宋"/>
          <w:b w:val="0"/>
          <w:bCs w:val="0"/>
          <w:i/>
          <w:iCs/>
          <w:color w:val="0623BA"/>
          <w:sz w:val="24"/>
          <w:lang w:val="en-US" w:eastAsia="zh-CN"/>
        </w:rPr>
        <w:t>15</w:t>
      </w:r>
      <w:r>
        <w:rPr>
          <w:rFonts w:hint="eastAsia" w:ascii="仿宋" w:hAnsi="仿宋" w:eastAsia="仿宋" w:cs="仿宋"/>
          <w:i/>
          <w:iCs/>
          <w:color w:val="0623BA"/>
          <w:sz w:val="24"/>
        </w:rPr>
        <w:t xml:space="preserve"> 并网逆变器可将电能变换成一种或多种电能形式，以供后续电网使用。并网逆变器一般包括最大功率跟踪等功能。</w:t>
      </w:r>
    </w:p>
    <w:p w14:paraId="40BF8BB8">
      <w:pPr>
        <w:snapToGrid w:val="0"/>
        <w:spacing w:line="300" w:lineRule="auto"/>
        <w:jc w:val="left"/>
        <w:rPr>
          <w:sz w:val="24"/>
        </w:rPr>
      </w:pPr>
      <w:r>
        <w:rPr>
          <w:b/>
          <w:bCs/>
          <w:sz w:val="24"/>
        </w:rPr>
        <w:t>2.</w:t>
      </w:r>
      <w:r>
        <w:rPr>
          <w:rFonts w:hint="eastAsia"/>
          <w:b/>
          <w:bCs/>
          <w:sz w:val="24"/>
          <w:lang w:val="en-US" w:eastAsia="zh-CN"/>
        </w:rPr>
        <w:t>0</w:t>
      </w:r>
      <w:r>
        <w:rPr>
          <w:b/>
          <w:bCs/>
          <w:sz w:val="24"/>
        </w:rPr>
        <w:t>.</w:t>
      </w:r>
      <w:r>
        <w:rPr>
          <w:rFonts w:hint="eastAsia"/>
          <w:b/>
          <w:bCs/>
          <w:sz w:val="24"/>
          <w:lang w:val="en-US" w:eastAsia="zh-CN"/>
        </w:rPr>
        <w:t>16</w:t>
      </w:r>
      <w:r>
        <w:rPr>
          <w:rFonts w:hint="eastAsia"/>
          <w:sz w:val="24"/>
        </w:rPr>
        <w:t xml:space="preserve"> </w:t>
      </w:r>
      <w:r>
        <w:rPr>
          <w:sz w:val="24"/>
        </w:rPr>
        <w:t>孤岛效应islanding effect</w:t>
      </w:r>
    </w:p>
    <w:p w14:paraId="06179933">
      <w:pPr>
        <w:snapToGrid w:val="0"/>
        <w:spacing w:line="300" w:lineRule="auto"/>
        <w:ind w:firstLine="480" w:firstLineChars="200"/>
        <w:jc w:val="left"/>
        <w:rPr>
          <w:sz w:val="24"/>
        </w:rPr>
      </w:pPr>
      <w:r>
        <w:rPr>
          <w:sz w:val="24"/>
        </w:rPr>
        <w:t>在电网失压时，并网光伏系统仍保持对失压电网中的某一部分线路继续供电的状态。</w:t>
      </w:r>
    </w:p>
    <w:p w14:paraId="3C51DE18">
      <w:pPr>
        <w:snapToGrid w:val="0"/>
        <w:spacing w:line="300" w:lineRule="auto"/>
        <w:jc w:val="left"/>
        <w:rPr>
          <w:sz w:val="24"/>
        </w:rPr>
      </w:pPr>
      <w:r>
        <w:rPr>
          <w:b/>
          <w:bCs/>
          <w:sz w:val="24"/>
        </w:rPr>
        <w:t>2.</w:t>
      </w:r>
      <w:r>
        <w:rPr>
          <w:rFonts w:hint="eastAsia"/>
          <w:b/>
          <w:bCs/>
          <w:sz w:val="24"/>
          <w:lang w:val="en-US" w:eastAsia="zh-CN"/>
        </w:rPr>
        <w:t>0</w:t>
      </w:r>
      <w:r>
        <w:rPr>
          <w:b/>
          <w:bCs/>
          <w:sz w:val="24"/>
        </w:rPr>
        <w:t>.</w:t>
      </w:r>
      <w:r>
        <w:rPr>
          <w:rFonts w:hint="eastAsia"/>
          <w:b/>
          <w:bCs/>
          <w:sz w:val="24"/>
          <w:lang w:val="en-US" w:eastAsia="zh-CN"/>
        </w:rPr>
        <w:t>17</w:t>
      </w:r>
      <w:r>
        <w:rPr>
          <w:rFonts w:hint="eastAsia"/>
          <w:sz w:val="24"/>
        </w:rPr>
        <w:t xml:space="preserve"> </w:t>
      </w:r>
      <w:r>
        <w:rPr>
          <w:sz w:val="24"/>
        </w:rPr>
        <w:t>电网保护装置protection device for grid</w:t>
      </w:r>
    </w:p>
    <w:p w14:paraId="46145FCC">
      <w:pPr>
        <w:snapToGrid w:val="0"/>
        <w:spacing w:line="300" w:lineRule="auto"/>
        <w:ind w:firstLine="480" w:firstLineChars="200"/>
        <w:jc w:val="left"/>
        <w:rPr>
          <w:sz w:val="24"/>
        </w:rPr>
      </w:pPr>
      <w:r>
        <w:rPr>
          <w:sz w:val="24"/>
        </w:rPr>
        <w:t>监测光伏系统并网的运行状态，在技术指标越限情况下将光伏系统与电网安全解列的装置。</w:t>
      </w:r>
    </w:p>
    <w:p w14:paraId="154DA76B">
      <w:pPr>
        <w:snapToGrid w:val="0"/>
        <w:spacing w:line="300" w:lineRule="auto"/>
        <w:jc w:val="left"/>
        <w:rPr>
          <w:sz w:val="24"/>
        </w:rPr>
      </w:pPr>
      <w:r>
        <w:rPr>
          <w:b/>
          <w:bCs/>
          <w:sz w:val="24"/>
        </w:rPr>
        <w:t>2.</w:t>
      </w:r>
      <w:r>
        <w:rPr>
          <w:rFonts w:hint="eastAsia"/>
          <w:b/>
          <w:bCs/>
          <w:sz w:val="24"/>
          <w:lang w:val="en-US" w:eastAsia="zh-CN"/>
        </w:rPr>
        <w:t>0</w:t>
      </w:r>
      <w:r>
        <w:rPr>
          <w:b/>
          <w:bCs/>
          <w:sz w:val="24"/>
        </w:rPr>
        <w:t>.</w:t>
      </w:r>
      <w:r>
        <w:rPr>
          <w:rFonts w:hint="eastAsia"/>
          <w:b/>
          <w:bCs/>
          <w:sz w:val="24"/>
          <w:lang w:val="en-US" w:eastAsia="zh-CN"/>
        </w:rPr>
        <w:t>18</w:t>
      </w:r>
      <w:r>
        <w:rPr>
          <w:rFonts w:hint="eastAsia"/>
          <w:sz w:val="24"/>
        </w:rPr>
        <w:t>热斑效应</w:t>
      </w:r>
      <w:r>
        <w:rPr>
          <w:sz w:val="24"/>
        </w:rPr>
        <w:t xml:space="preserve"> hot spot effect</w:t>
      </w:r>
    </w:p>
    <w:p w14:paraId="7F291DCF">
      <w:pPr>
        <w:snapToGrid w:val="0"/>
        <w:spacing w:line="300" w:lineRule="auto"/>
        <w:ind w:firstLine="480" w:firstLineChars="200"/>
        <w:jc w:val="left"/>
        <w:rPr>
          <w:rFonts w:hint="eastAsia"/>
        </w:rPr>
      </w:pPr>
      <w:r>
        <w:rPr>
          <w:rFonts w:hint="eastAsia"/>
          <w:sz w:val="24"/>
        </w:rPr>
        <w:t>光伏电池因被遮蔽而成为其它光伏电池的负载，导致发热的现象。</w:t>
      </w:r>
    </w:p>
    <w:p w14:paraId="118673FF">
      <w:pPr>
        <w:pStyle w:val="5"/>
        <w:spacing w:line="300" w:lineRule="auto"/>
        <w:jc w:val="center"/>
        <w:rPr>
          <w:rFonts w:hint="default" w:ascii="Times New Roman" w:hAnsi="Times New Roman" w:eastAsia="黑体" w:cs="Times New Roman"/>
          <w:sz w:val="28"/>
          <w:szCs w:val="28"/>
        </w:rPr>
        <w:sectPr>
          <w:footerReference r:id="rId11" w:type="default"/>
          <w:pgSz w:w="11906" w:h="16838"/>
          <w:pgMar w:top="1440" w:right="1800" w:bottom="1440" w:left="1800" w:header="851" w:footer="850" w:gutter="0"/>
          <w:pgNumType w:fmt="decimal" w:start="1"/>
          <w:cols w:space="720" w:num="1"/>
          <w:docGrid w:type="lines" w:linePitch="312" w:charSpace="0"/>
        </w:sectPr>
      </w:pPr>
      <w:bookmarkStart w:id="46" w:name="_Toc23023"/>
      <w:bookmarkStart w:id="47" w:name="_Toc4520"/>
      <w:bookmarkStart w:id="48" w:name="_Toc20340"/>
    </w:p>
    <w:p w14:paraId="36DA7E98">
      <w:pPr>
        <w:pStyle w:val="5"/>
        <w:spacing w:line="300" w:lineRule="auto"/>
        <w:jc w:val="center"/>
        <w:rPr>
          <w:rFonts w:hint="default" w:ascii="Times New Roman" w:hAnsi="Times New Roman" w:eastAsia="黑体" w:cs="Times New Roman"/>
          <w:sz w:val="28"/>
          <w:szCs w:val="28"/>
        </w:rPr>
      </w:pPr>
      <w:bookmarkStart w:id="49" w:name="_Toc18584"/>
      <w:bookmarkStart w:id="50" w:name="_Toc23236"/>
      <w:bookmarkStart w:id="51" w:name="_Toc15567"/>
      <w:bookmarkStart w:id="52" w:name="_Toc20075"/>
      <w:bookmarkStart w:id="53" w:name="_Toc26617"/>
      <w:r>
        <w:rPr>
          <w:rFonts w:hint="default" w:ascii="Times New Roman" w:hAnsi="Times New Roman" w:eastAsia="黑体" w:cs="Times New Roman"/>
          <w:sz w:val="28"/>
          <w:szCs w:val="28"/>
        </w:rPr>
        <w:t>3 基本规定</w:t>
      </w:r>
      <w:bookmarkEnd w:id="46"/>
      <w:bookmarkEnd w:id="47"/>
      <w:bookmarkEnd w:id="48"/>
      <w:bookmarkEnd w:id="49"/>
      <w:bookmarkEnd w:id="50"/>
      <w:bookmarkEnd w:id="51"/>
      <w:bookmarkEnd w:id="52"/>
      <w:bookmarkEnd w:id="53"/>
    </w:p>
    <w:p w14:paraId="0797DD58">
      <w:pPr>
        <w:snapToGrid w:val="0"/>
        <w:spacing w:line="300" w:lineRule="auto"/>
        <w:jc w:val="left"/>
        <w:rPr>
          <w:rFonts w:hint="default"/>
          <w:b w:val="0"/>
          <w:bCs w:val="0"/>
          <w:sz w:val="24"/>
          <w:lang w:val="en-US" w:eastAsia="zh-CN"/>
        </w:rPr>
      </w:pPr>
      <w:r>
        <w:rPr>
          <w:b/>
          <w:bCs/>
          <w:sz w:val="24"/>
        </w:rPr>
        <w:t>3.0.1</w:t>
      </w:r>
      <w:r>
        <w:rPr>
          <w:rFonts w:hint="eastAsia"/>
          <w:b/>
          <w:bCs/>
          <w:sz w:val="24"/>
          <w:lang w:val="en-US" w:eastAsia="zh-CN"/>
        </w:rPr>
        <w:t xml:space="preserve"> </w:t>
      </w:r>
      <w:r>
        <w:rPr>
          <w:rFonts w:hint="default"/>
          <w:b w:val="0"/>
          <w:bCs w:val="0"/>
          <w:sz w:val="24"/>
          <w:lang w:val="en-US" w:eastAsia="zh-CN"/>
        </w:rPr>
        <w:t>建筑光伏系统的开发利用，应综合考虑</w:t>
      </w:r>
      <w:r>
        <w:rPr>
          <w:rFonts w:hint="eastAsia"/>
          <w:b w:val="0"/>
          <w:bCs w:val="0"/>
          <w:sz w:val="24"/>
          <w:lang w:val="en-US" w:eastAsia="zh-CN"/>
        </w:rPr>
        <w:t>广东省总体规划、</w:t>
      </w:r>
      <w:r>
        <w:rPr>
          <w:rFonts w:hint="default"/>
          <w:b w:val="0"/>
          <w:bCs w:val="0"/>
          <w:sz w:val="24"/>
          <w:lang w:val="en-US" w:eastAsia="zh-CN"/>
        </w:rPr>
        <w:t>新能源发展规划、电网基础设施、区域电网消纳</w:t>
      </w:r>
      <w:r>
        <w:rPr>
          <w:rFonts w:hint="eastAsia"/>
          <w:b w:val="0"/>
          <w:bCs w:val="0"/>
          <w:sz w:val="24"/>
          <w:lang w:val="en-US" w:eastAsia="zh-CN"/>
        </w:rPr>
        <w:t>及接入</w:t>
      </w:r>
      <w:r>
        <w:rPr>
          <w:rFonts w:hint="default"/>
          <w:b w:val="0"/>
          <w:bCs w:val="0"/>
          <w:sz w:val="24"/>
          <w:lang w:val="en-US" w:eastAsia="zh-CN"/>
        </w:rPr>
        <w:t>能力等因素。</w:t>
      </w:r>
    </w:p>
    <w:p w14:paraId="2C7B563A">
      <w:pPr>
        <w:snapToGrid w:val="0"/>
        <w:spacing w:line="300" w:lineRule="auto"/>
        <w:jc w:val="left"/>
        <w:rPr>
          <w:rFonts w:hint="eastAsia" w:eastAsia="宋体"/>
          <w:b/>
          <w:bCs/>
          <w:sz w:val="24"/>
          <w:lang w:val="en-US" w:eastAsia="zh-CN"/>
        </w:rPr>
      </w:pPr>
      <w:r>
        <w:rPr>
          <w:rFonts w:hint="eastAsia"/>
          <w:b/>
          <w:bCs/>
          <w:sz w:val="24"/>
          <w:lang w:val="en-US" w:eastAsia="zh-CN"/>
        </w:rPr>
        <w:t xml:space="preserve">3.0.2 </w:t>
      </w:r>
      <w:r>
        <w:rPr>
          <w:rFonts w:hint="default"/>
          <w:b w:val="0"/>
          <w:bCs w:val="0"/>
          <w:sz w:val="24"/>
          <w:lang w:val="en-US" w:eastAsia="zh-CN"/>
        </w:rPr>
        <w:t>建筑光伏系统的发电规模和形式应结合广东省</w:t>
      </w:r>
      <w:r>
        <w:rPr>
          <w:rFonts w:hint="eastAsia"/>
          <w:b w:val="0"/>
          <w:bCs w:val="0"/>
          <w:sz w:val="24"/>
          <w:lang w:val="en-US" w:eastAsia="zh-CN"/>
        </w:rPr>
        <w:t>当地</w:t>
      </w:r>
      <w:r>
        <w:rPr>
          <w:rFonts w:hint="default"/>
          <w:b w:val="0"/>
          <w:bCs w:val="0"/>
          <w:sz w:val="24"/>
          <w:lang w:val="en-US" w:eastAsia="zh-CN"/>
        </w:rPr>
        <w:t>太阳能资源、建筑条件、安装条件、用电需求、电气接入条件等因素确定并应满足安全可靠、经济适用、环保美观，便于安装和维护的要求。</w:t>
      </w:r>
    </w:p>
    <w:p w14:paraId="2A059B97">
      <w:pPr>
        <w:pStyle w:val="2"/>
        <w:spacing w:line="300" w:lineRule="auto"/>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26EE0282">
      <w:pPr>
        <w:snapToGrid w:val="0"/>
        <w:spacing w:line="300" w:lineRule="auto"/>
        <w:jc w:val="left"/>
        <w:rPr>
          <w:rFonts w:hint="eastAsia" w:ascii="仿宋" w:hAnsi="仿宋" w:eastAsia="仿宋" w:cs="仿宋"/>
          <w:b w:val="0"/>
          <w:bCs w:val="0"/>
          <w:i/>
          <w:iCs/>
          <w:color w:val="0623BA"/>
          <w:sz w:val="24"/>
          <w:lang w:val="en-US" w:eastAsia="zh-CN"/>
        </w:rPr>
      </w:pPr>
      <w:r>
        <w:rPr>
          <w:rFonts w:hint="eastAsia" w:ascii="仿宋" w:hAnsi="仿宋" w:eastAsia="仿宋" w:cs="仿宋"/>
          <w:b w:val="0"/>
          <w:bCs w:val="0"/>
          <w:i/>
          <w:iCs/>
          <w:color w:val="0623BA"/>
          <w:sz w:val="24"/>
          <w:lang w:val="en-US" w:eastAsia="zh-CN"/>
        </w:rPr>
        <w:t>3.0.2</w:t>
      </w:r>
      <w:r>
        <w:rPr>
          <w:rFonts w:hint="eastAsia"/>
          <w:b/>
          <w:bCs/>
          <w:sz w:val="24"/>
          <w:lang w:val="en-US" w:eastAsia="zh-CN"/>
        </w:rPr>
        <w:t xml:space="preserve"> </w:t>
      </w:r>
      <w:r>
        <w:rPr>
          <w:rFonts w:hint="eastAsia" w:ascii="仿宋" w:hAnsi="仿宋" w:eastAsia="仿宋" w:cs="仿宋"/>
          <w:b w:val="0"/>
          <w:bCs w:val="0"/>
          <w:i/>
          <w:iCs/>
          <w:color w:val="0623BA"/>
          <w:sz w:val="24"/>
          <w:lang w:val="en-US" w:eastAsia="zh-CN"/>
        </w:rPr>
        <w:t>广东省气候特征为高温高湿、冬暖夏热，</w:t>
      </w:r>
      <w:r>
        <w:rPr>
          <w:rFonts w:hint="eastAsia" w:ascii="仿宋" w:hAnsi="仿宋" w:eastAsia="仿宋" w:cs="仿宋"/>
          <w:i/>
          <w:iCs/>
          <w:color w:val="0623BA"/>
          <w:sz w:val="24"/>
        </w:rPr>
        <w:t>太阳能资源丰富，夏天空调负荷大等地域特点</w:t>
      </w:r>
      <w:r>
        <w:rPr>
          <w:rFonts w:hint="eastAsia" w:ascii="仿宋" w:hAnsi="仿宋" w:eastAsia="仿宋" w:cs="仿宋"/>
          <w:b w:val="0"/>
          <w:bCs w:val="0"/>
          <w:i/>
          <w:iCs/>
          <w:color w:val="0623BA"/>
          <w:sz w:val="24"/>
          <w:lang w:val="en-US" w:eastAsia="zh-CN"/>
        </w:rPr>
        <w:t>对建筑光伏系统发电量、用能需求等因素的影响，需充分考虑光伏和负荷的匹配度以及考虑储能的设置等。</w:t>
      </w:r>
    </w:p>
    <w:p w14:paraId="27F829FF">
      <w:pPr>
        <w:snapToGrid w:val="0"/>
        <w:spacing w:line="300" w:lineRule="auto"/>
        <w:jc w:val="left"/>
      </w:pPr>
      <w:r>
        <w:rPr>
          <w:b/>
          <w:bCs/>
          <w:sz w:val="24"/>
        </w:rPr>
        <w:t>3.0.</w:t>
      </w:r>
      <w:r>
        <w:rPr>
          <w:rFonts w:hint="eastAsia"/>
          <w:b/>
          <w:bCs/>
          <w:sz w:val="24"/>
          <w:lang w:val="en-US" w:eastAsia="zh-CN"/>
        </w:rPr>
        <w:t>3</w:t>
      </w:r>
      <w:r>
        <w:rPr>
          <w:sz w:val="24"/>
        </w:rPr>
        <w:t xml:space="preserve"> </w:t>
      </w:r>
      <w:r>
        <w:rPr>
          <w:rFonts w:hint="default" w:ascii="Times New Roman" w:hAnsi="Times New Roman" w:eastAsia="宋体" w:cs="Times New Roman"/>
          <w:b w:val="0"/>
          <w:bCs w:val="0"/>
          <w:sz w:val="24"/>
          <w:szCs w:val="24"/>
          <w:u w:val="none"/>
          <w:vertAlign w:val="baseline"/>
          <w:lang w:val="en-US" w:eastAsia="zh-CN"/>
        </w:rPr>
        <w:t>建筑光伏系统的发电规模和形式应结合广东省内不同地区的太阳能资源条件、建筑条件、安装条件、用电需求及电气接入条件等因素综合确定，广东省太阳辐射资源可参见本标准附录A，确保系统安全可靠、经济适用、环保美观并便于安装和维护。特别注意，粤东、粤西沿海地区应考虑盐雾腐蚀对光伏组件的影响，选择耐腐蚀性能好的组件材料。</w:t>
      </w:r>
    </w:p>
    <w:p w14:paraId="23E4ECB4">
      <w:pPr>
        <w:snapToGrid w:val="0"/>
        <w:spacing w:line="300" w:lineRule="auto"/>
        <w:jc w:val="left"/>
        <w:rPr>
          <w:rFonts w:hint="eastAsia" w:eastAsia="宋体"/>
          <w:sz w:val="24"/>
        </w:rPr>
      </w:pPr>
      <w:r>
        <w:rPr>
          <w:b/>
          <w:bCs/>
          <w:sz w:val="24"/>
        </w:rPr>
        <w:t>3.0.</w:t>
      </w:r>
      <w:r>
        <w:rPr>
          <w:rFonts w:hint="eastAsia"/>
          <w:b/>
          <w:bCs/>
          <w:sz w:val="24"/>
          <w:lang w:val="en-US" w:eastAsia="zh-CN"/>
        </w:rPr>
        <w:t>4</w:t>
      </w:r>
      <w:r>
        <w:rPr>
          <w:sz w:val="24"/>
        </w:rPr>
        <w:t xml:space="preserve"> </w:t>
      </w:r>
      <w:r>
        <w:rPr>
          <w:rFonts w:hint="eastAsia"/>
          <w:sz w:val="24"/>
        </w:rPr>
        <w:t xml:space="preserve"> 新建的工业与民用建筑中的太阳能光伏系统工程设计应纳入建筑工程设计，统一规划、同步设计、同步施工、同步验收。在既有建筑上改造或安装光伏系统</w:t>
      </w:r>
      <w:r>
        <w:rPr>
          <w:rFonts w:hint="eastAsia" w:eastAsia="宋体"/>
          <w:sz w:val="24"/>
        </w:rPr>
        <w:t>应</w:t>
      </w:r>
      <w:r>
        <w:rPr>
          <w:rFonts w:hint="eastAsia" w:eastAsia="宋体"/>
          <w:sz w:val="24"/>
          <w:lang w:val="en-US" w:eastAsia="zh-CN"/>
        </w:rPr>
        <w:t>做</w:t>
      </w:r>
      <w:r>
        <w:rPr>
          <w:rFonts w:hint="eastAsia" w:eastAsia="宋体"/>
          <w:sz w:val="24"/>
        </w:rPr>
        <w:t>设计方案或评估报告。</w:t>
      </w:r>
    </w:p>
    <w:p w14:paraId="59EB241A">
      <w:pPr>
        <w:pStyle w:val="2"/>
        <w:spacing w:line="300" w:lineRule="auto"/>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57C8B950">
      <w:pPr>
        <w:pStyle w:val="2"/>
        <w:spacing w:line="300" w:lineRule="auto"/>
        <w:rPr>
          <w:rFonts w:hint="eastAsia" w:ascii="仿宋" w:hAnsi="仿宋" w:eastAsia="仿宋" w:cs="仿宋"/>
          <w:i/>
          <w:iCs/>
          <w:color w:val="0623BA"/>
          <w:sz w:val="24"/>
        </w:rPr>
      </w:pPr>
      <w:r>
        <w:rPr>
          <w:rFonts w:hint="eastAsia" w:ascii="仿宋" w:hAnsi="仿宋" w:eastAsia="仿宋" w:cs="仿宋"/>
          <w:i/>
          <w:iCs/>
          <w:color w:val="0623BA"/>
          <w:sz w:val="24"/>
          <w:lang w:val="en-US" w:eastAsia="zh-CN"/>
        </w:rPr>
        <w:t>3.0.4</w:t>
      </w:r>
      <w:r>
        <w:rPr>
          <w:rFonts w:hint="eastAsia" w:ascii="仿宋" w:hAnsi="仿宋" w:eastAsia="仿宋" w:cs="仿宋"/>
          <w:i/>
          <w:iCs/>
          <w:color w:val="0623BA"/>
          <w:sz w:val="24"/>
        </w:rPr>
        <w:t xml:space="preserve"> 新建</w:t>
      </w:r>
      <w:r>
        <w:rPr>
          <w:rFonts w:hint="eastAsia" w:ascii="仿宋" w:hAnsi="仿宋" w:eastAsia="仿宋" w:cs="仿宋"/>
          <w:i/>
          <w:iCs/>
          <w:color w:val="0623BA"/>
          <w:sz w:val="24"/>
          <w:lang w:val="en-US" w:eastAsia="zh-CN"/>
        </w:rPr>
        <w:t>的</w:t>
      </w:r>
      <w:r>
        <w:rPr>
          <w:rFonts w:hint="eastAsia" w:ascii="仿宋" w:hAnsi="仿宋" w:eastAsia="仿宋" w:cs="仿宋"/>
          <w:i/>
          <w:iCs/>
          <w:color w:val="0623BA"/>
          <w:sz w:val="24"/>
        </w:rPr>
        <w:t>工业与民用建筑安装光伏系统时，光伏系统设计应纳入建筑工程设计</w:t>
      </w:r>
      <w:r>
        <w:rPr>
          <w:rFonts w:hint="eastAsia" w:ascii="仿宋" w:hAnsi="仿宋" w:eastAsia="仿宋" w:cs="仿宋"/>
          <w:i/>
          <w:iCs/>
          <w:color w:val="0623BA"/>
          <w:sz w:val="24"/>
          <w:lang w:val="en-US" w:eastAsia="zh-CN"/>
        </w:rPr>
        <w:t>并</w:t>
      </w:r>
      <w:r>
        <w:rPr>
          <w:rFonts w:hint="eastAsia" w:ascii="仿宋" w:hAnsi="仿宋" w:eastAsia="仿宋" w:cs="仿宋"/>
          <w:i/>
          <w:iCs/>
          <w:color w:val="0623BA"/>
          <w:sz w:val="24"/>
        </w:rPr>
        <w:t>应为将来安装光伏系统预留条件。在既有建筑上改造或安装光伏系统，容易影响房屋结构安全和电气系统的安全同时可能造成对房屋其他使用功能的破坏。因此要求按照建筑工程审批程序，进行专项工程的设计、施工和验收。</w:t>
      </w:r>
    </w:p>
    <w:p w14:paraId="504AC9CA">
      <w:pPr>
        <w:snapToGrid w:val="0"/>
        <w:spacing w:line="300" w:lineRule="auto"/>
        <w:jc w:val="left"/>
        <w:rPr>
          <w:sz w:val="24"/>
          <w:highlight w:val="none"/>
        </w:rPr>
      </w:pPr>
      <w:r>
        <w:rPr>
          <w:b/>
          <w:bCs/>
          <w:sz w:val="24"/>
          <w:highlight w:val="none"/>
        </w:rPr>
        <w:t>3.0.</w:t>
      </w:r>
      <w:r>
        <w:rPr>
          <w:rFonts w:hint="eastAsia"/>
          <w:b/>
          <w:bCs/>
          <w:sz w:val="24"/>
          <w:highlight w:val="none"/>
          <w:lang w:val="en-US" w:eastAsia="zh-CN"/>
        </w:rPr>
        <w:t>5</w:t>
      </w:r>
      <w:r>
        <w:rPr>
          <w:sz w:val="24"/>
          <w:highlight w:val="none"/>
        </w:rPr>
        <w:t xml:space="preserve"> 建筑光伏系统应纳入建筑主体结构和围护结构的荷载计算</w:t>
      </w:r>
      <w:r>
        <w:rPr>
          <w:rFonts w:hint="eastAsia"/>
          <w:sz w:val="24"/>
          <w:highlight w:val="none"/>
          <w:lang w:eastAsia="zh-CN"/>
        </w:rPr>
        <w:t>，</w:t>
      </w:r>
      <w:r>
        <w:rPr>
          <w:rFonts w:hint="eastAsia"/>
          <w:sz w:val="24"/>
          <w:highlight w:val="none"/>
          <w:lang w:val="en-US" w:eastAsia="zh-CN"/>
        </w:rPr>
        <w:t>应符合《建筑结构荷载规范》DBJ/T 15-101的规定</w:t>
      </w:r>
      <w:r>
        <w:rPr>
          <w:sz w:val="24"/>
          <w:highlight w:val="none"/>
        </w:rPr>
        <w:t>。</w:t>
      </w:r>
    </w:p>
    <w:p w14:paraId="14875D29">
      <w:pPr>
        <w:snapToGrid w:val="0"/>
        <w:spacing w:line="300" w:lineRule="auto"/>
        <w:jc w:val="left"/>
        <w:rPr>
          <w:sz w:val="24"/>
          <w:highlight w:val="none"/>
        </w:rPr>
      </w:pPr>
      <w:r>
        <w:rPr>
          <w:b/>
          <w:bCs/>
          <w:sz w:val="24"/>
          <w:highlight w:val="none"/>
        </w:rPr>
        <w:t>3.0.</w:t>
      </w:r>
      <w:r>
        <w:rPr>
          <w:rFonts w:hint="eastAsia"/>
          <w:b/>
          <w:bCs/>
          <w:sz w:val="24"/>
          <w:highlight w:val="none"/>
          <w:lang w:val="en-US" w:eastAsia="zh-CN"/>
        </w:rPr>
        <w:t>6</w:t>
      </w:r>
      <w:r>
        <w:rPr>
          <w:sz w:val="24"/>
          <w:highlight w:val="none"/>
        </w:rPr>
        <w:t xml:space="preserve"> 既有建筑上</w:t>
      </w:r>
      <w:r>
        <w:rPr>
          <w:rFonts w:hint="eastAsia"/>
          <w:sz w:val="24"/>
          <w:highlight w:val="none"/>
          <w:lang w:val="en-US" w:eastAsia="zh-CN"/>
        </w:rPr>
        <w:t>增设</w:t>
      </w:r>
      <w:r>
        <w:rPr>
          <w:sz w:val="24"/>
          <w:highlight w:val="none"/>
        </w:rPr>
        <w:t>建筑光伏系统时，</w:t>
      </w:r>
      <w:r>
        <w:rPr>
          <w:rFonts w:ascii="宋体" w:hAnsi="宋体" w:eastAsia="宋体" w:cs="宋体"/>
          <w:sz w:val="24"/>
          <w:szCs w:val="24"/>
          <w:highlight w:val="none"/>
        </w:rPr>
        <w:t>应对建筑物按照《既有建筑维护与改造通用规范》GB55022</w:t>
      </w:r>
      <w:r>
        <w:rPr>
          <w:rFonts w:hint="eastAsia" w:ascii="宋体" w:hAnsi="宋体" w:cs="宋体"/>
          <w:sz w:val="24"/>
          <w:szCs w:val="24"/>
          <w:highlight w:val="none"/>
          <w:lang w:eastAsia="zh-CN"/>
        </w:rPr>
        <w:t>、《既有建筑改造技术管理规范》DBJ∕T 15-178、</w:t>
      </w:r>
      <w:r>
        <w:rPr>
          <w:rFonts w:hint="eastAsia"/>
          <w:sz w:val="24"/>
          <w:highlight w:val="none"/>
          <w:lang w:val="en-US" w:eastAsia="zh-CN"/>
        </w:rPr>
        <w:t>《建筑结构荷载规范》DBJ/T 15-101</w:t>
      </w:r>
      <w:r>
        <w:rPr>
          <w:rFonts w:ascii="宋体" w:hAnsi="宋体" w:eastAsia="宋体" w:cs="宋体"/>
          <w:sz w:val="24"/>
          <w:szCs w:val="24"/>
          <w:highlight w:val="none"/>
        </w:rPr>
        <w:t>进行复核</w:t>
      </w:r>
      <w:r>
        <w:rPr>
          <w:rFonts w:hint="eastAsia" w:ascii="宋体" w:hAnsi="宋体" w:cs="宋体"/>
          <w:sz w:val="24"/>
          <w:szCs w:val="24"/>
          <w:highlight w:val="none"/>
          <w:lang w:eastAsia="zh-CN"/>
        </w:rPr>
        <w:t>，</w:t>
      </w:r>
      <w:r>
        <w:rPr>
          <w:sz w:val="24"/>
          <w:highlight w:val="none"/>
        </w:rPr>
        <w:t>不得影响建筑原有的使用功能、安全及消防性能。</w:t>
      </w:r>
    </w:p>
    <w:p w14:paraId="553890B5">
      <w:pPr>
        <w:pStyle w:val="2"/>
        <w:spacing w:line="300" w:lineRule="auto"/>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5568EF0D">
      <w:pPr>
        <w:pStyle w:val="2"/>
        <w:spacing w:after="0" w:line="300" w:lineRule="auto"/>
        <w:rPr>
          <w:rFonts w:hint="eastAsia" w:ascii="仿宋" w:hAnsi="仿宋" w:eastAsia="仿宋" w:cs="仿宋"/>
          <w:i/>
          <w:iCs/>
          <w:color w:val="0623BA"/>
          <w:sz w:val="24"/>
        </w:rPr>
      </w:pPr>
      <w:r>
        <w:rPr>
          <w:rFonts w:hint="eastAsia" w:ascii="仿宋" w:hAnsi="仿宋" w:eastAsia="仿宋" w:cs="仿宋"/>
          <w:i/>
          <w:iCs/>
          <w:color w:val="0623BA"/>
          <w:sz w:val="24"/>
        </w:rPr>
        <w:t>3.0.</w:t>
      </w:r>
      <w:r>
        <w:rPr>
          <w:rFonts w:hint="eastAsia" w:ascii="仿宋" w:hAnsi="仿宋" w:eastAsia="仿宋" w:cs="仿宋"/>
          <w:i/>
          <w:iCs/>
          <w:color w:val="0623BA"/>
          <w:sz w:val="24"/>
          <w:lang w:val="en-US" w:eastAsia="zh-CN"/>
        </w:rPr>
        <w:t>6</w:t>
      </w:r>
      <w:r>
        <w:rPr>
          <w:rFonts w:hint="eastAsia" w:ascii="仿宋" w:hAnsi="仿宋" w:eastAsia="仿宋" w:cs="仿宋"/>
          <w:i/>
          <w:iCs/>
          <w:color w:val="0623BA"/>
          <w:sz w:val="24"/>
        </w:rPr>
        <w:t>对于新建的建筑光伏系统，在进行结构设计时，应将光伏发电系统纳入建筑主体结构和围护结构的荷载计算中。对于在既有建筑物上附加光伏发电系统时，应考虑建筑使用年限及功能的要求，对既有建筑进行结构及电气安全复核。复核可由原设计单位或其他有资质的设计单位根据原设计施工图、竣工图、计算书等文件进行，以及委托法定检测机构检测，确认不存在结构安全问题；否则，应进行结构加固，以确保建筑结构安全和其他相应的安全性要求。</w:t>
      </w:r>
    </w:p>
    <w:p w14:paraId="5CA0D78E">
      <w:pPr>
        <w:pStyle w:val="2"/>
        <w:spacing w:after="0" w:line="300" w:lineRule="auto"/>
        <w:ind w:firstLine="480" w:firstLineChars="200"/>
        <w:rPr>
          <w:rFonts w:hint="eastAsia" w:ascii="仿宋" w:hAnsi="仿宋" w:eastAsia="仿宋" w:cs="仿宋"/>
          <w:i/>
          <w:iCs/>
          <w:color w:val="0623BA"/>
          <w:sz w:val="24"/>
          <w:lang w:eastAsia="zh-CN"/>
        </w:rPr>
      </w:pPr>
      <w:r>
        <w:rPr>
          <w:rFonts w:hint="eastAsia" w:ascii="仿宋" w:hAnsi="仿宋" w:eastAsia="仿宋" w:cs="仿宋"/>
          <w:i/>
          <w:iCs/>
          <w:color w:val="0623BA"/>
          <w:sz w:val="24"/>
        </w:rPr>
        <w:t>下列建筑物不宜建设光伏系统</w:t>
      </w:r>
      <w:r>
        <w:rPr>
          <w:rFonts w:hint="eastAsia" w:ascii="仿宋" w:hAnsi="仿宋" w:eastAsia="仿宋" w:cs="仿宋"/>
          <w:i/>
          <w:iCs/>
          <w:color w:val="0623BA"/>
          <w:sz w:val="24"/>
          <w:lang w:eastAsia="zh-CN"/>
        </w:rPr>
        <w:t>：</w:t>
      </w:r>
    </w:p>
    <w:p w14:paraId="7207FA1B">
      <w:pPr>
        <w:pStyle w:val="2"/>
        <w:spacing w:after="0" w:line="300" w:lineRule="auto"/>
        <w:ind w:firstLine="480" w:firstLineChars="200"/>
        <w:rPr>
          <w:rFonts w:hint="eastAsia" w:ascii="仿宋" w:hAnsi="仿宋" w:eastAsia="仿宋" w:cs="仿宋"/>
          <w:i/>
          <w:iCs/>
          <w:color w:val="0623BA"/>
          <w:sz w:val="24"/>
          <w:lang w:eastAsia="zh-CN"/>
        </w:rPr>
      </w:pPr>
      <w:r>
        <w:rPr>
          <w:rFonts w:hint="eastAsia" w:ascii="仿宋" w:hAnsi="仿宋" w:eastAsia="仿宋" w:cs="仿宋"/>
          <w:i/>
          <w:iCs/>
          <w:color w:val="0623BA"/>
          <w:sz w:val="24"/>
        </w:rPr>
        <w:t>1 参照《危险房屋鉴定标准》JGJ 125 建议房屋危险性已被鉴定为C级、D级的建筑物列不宜建设范围</w:t>
      </w:r>
      <w:r>
        <w:rPr>
          <w:rFonts w:hint="eastAsia" w:ascii="仿宋" w:hAnsi="仿宋" w:eastAsia="仿宋" w:cs="仿宋"/>
          <w:i/>
          <w:iCs/>
          <w:color w:val="0623BA"/>
          <w:sz w:val="24"/>
          <w:lang w:eastAsia="zh-CN"/>
        </w:rPr>
        <w:t>：</w:t>
      </w:r>
    </w:p>
    <w:p w14:paraId="71AF8CF6">
      <w:pPr>
        <w:pStyle w:val="2"/>
        <w:spacing w:after="0" w:line="300" w:lineRule="auto"/>
        <w:ind w:firstLine="480" w:firstLineChars="200"/>
        <w:rPr>
          <w:rFonts w:hint="eastAsia" w:ascii="仿宋" w:hAnsi="仿宋" w:eastAsia="仿宋" w:cs="仿宋"/>
          <w:i/>
          <w:iCs/>
          <w:color w:val="0623BA"/>
          <w:sz w:val="24"/>
          <w:lang w:eastAsia="zh-CN"/>
        </w:rPr>
      </w:pPr>
      <w:r>
        <w:rPr>
          <w:rFonts w:hint="eastAsia" w:ascii="仿宋" w:hAnsi="仿宋" w:eastAsia="仿宋" w:cs="仿宋"/>
          <w:i/>
          <w:iCs/>
          <w:color w:val="0623BA"/>
          <w:sz w:val="24"/>
        </w:rPr>
        <w:t>2 参照《建筑设计防火规范》GB 50016 建议建筑物火灾危险类为甲级或乙级或建筑物火灾危险类为丙级且消防单位不推荐建设的列为不宜建设范围</w:t>
      </w:r>
      <w:r>
        <w:rPr>
          <w:rFonts w:hint="eastAsia" w:ascii="仿宋" w:hAnsi="仿宋" w:eastAsia="仿宋" w:cs="仿宋"/>
          <w:i/>
          <w:iCs/>
          <w:color w:val="0623BA"/>
          <w:sz w:val="24"/>
          <w:lang w:eastAsia="zh-CN"/>
        </w:rPr>
        <w:t>：</w:t>
      </w:r>
    </w:p>
    <w:p w14:paraId="7DA4BF46">
      <w:pPr>
        <w:pStyle w:val="2"/>
        <w:spacing w:after="0" w:line="300" w:lineRule="auto"/>
        <w:ind w:firstLine="480" w:firstLineChars="200"/>
        <w:rPr>
          <w:rFonts w:hint="eastAsia" w:ascii="仿宋" w:hAnsi="仿宋" w:eastAsia="仿宋" w:cs="仿宋"/>
          <w:i/>
          <w:iCs/>
          <w:color w:val="0623BA"/>
          <w:sz w:val="24"/>
        </w:rPr>
      </w:pPr>
      <w:r>
        <w:rPr>
          <w:rFonts w:hint="eastAsia" w:ascii="仿宋" w:hAnsi="仿宋" w:eastAsia="仿宋" w:cs="仿宋"/>
          <w:i/>
          <w:iCs/>
          <w:color w:val="0623BA"/>
          <w:sz w:val="24"/>
        </w:rPr>
        <w:t>3 生产酸、碱、有机溶剂、尿素,及生产中排施酸性、碱性、腐蚀气体,以及有排施污染粉末、烟气、扬尘、碎屑工业建筑物列为不宜建设范围。</w:t>
      </w:r>
    </w:p>
    <w:p w14:paraId="2DE95ADE">
      <w:pPr>
        <w:snapToGrid w:val="0"/>
        <w:spacing w:line="300" w:lineRule="auto"/>
        <w:jc w:val="left"/>
        <w:rPr>
          <w:sz w:val="24"/>
        </w:rPr>
      </w:pPr>
      <w:r>
        <w:rPr>
          <w:b/>
          <w:bCs/>
          <w:sz w:val="24"/>
        </w:rPr>
        <w:t>3.0.</w:t>
      </w:r>
      <w:r>
        <w:rPr>
          <w:rFonts w:hint="eastAsia"/>
          <w:b/>
          <w:bCs/>
          <w:sz w:val="24"/>
          <w:lang w:val="en-US" w:eastAsia="zh-CN"/>
        </w:rPr>
        <w:t>7</w:t>
      </w:r>
      <w:r>
        <w:rPr>
          <w:rFonts w:hint="eastAsia"/>
          <w:sz w:val="24"/>
        </w:rPr>
        <w:t xml:space="preserve"> 建筑光伏设计时应根据适用条件和投资规模确定光伏发电系统可提供的用能比例、系统费效比</w:t>
      </w:r>
      <w:r>
        <w:rPr>
          <w:rFonts w:hint="eastAsia"/>
          <w:sz w:val="24"/>
          <w:lang w:val="en-US" w:eastAsia="zh-CN"/>
        </w:rPr>
        <w:t>并</w:t>
      </w:r>
      <w:r>
        <w:rPr>
          <w:rFonts w:hint="eastAsia"/>
          <w:sz w:val="24"/>
        </w:rPr>
        <w:t>应根据项目特点和当地资源条件进行适宜性分析，合理选用光伏组件。</w:t>
      </w:r>
    </w:p>
    <w:p w14:paraId="616108E5">
      <w:pPr>
        <w:pStyle w:val="2"/>
        <w:spacing w:line="300" w:lineRule="auto"/>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6DD0C42A">
      <w:pPr>
        <w:pStyle w:val="2"/>
        <w:spacing w:line="300" w:lineRule="auto"/>
        <w:rPr>
          <w:rFonts w:hint="eastAsia" w:ascii="仿宋" w:hAnsi="仿宋" w:eastAsia="仿宋" w:cs="仿宋"/>
          <w:i/>
          <w:iCs/>
          <w:color w:val="0623BA"/>
          <w:sz w:val="24"/>
        </w:rPr>
      </w:pPr>
      <w:r>
        <w:rPr>
          <w:rFonts w:hint="eastAsia" w:ascii="仿宋" w:hAnsi="仿宋" w:eastAsia="仿宋" w:cs="仿宋"/>
          <w:i/>
          <w:iCs/>
          <w:color w:val="0623BA"/>
          <w:sz w:val="24"/>
        </w:rPr>
        <w:t>3.0.</w:t>
      </w:r>
      <w:r>
        <w:rPr>
          <w:rFonts w:hint="eastAsia" w:ascii="仿宋" w:hAnsi="仿宋" w:eastAsia="仿宋" w:cs="仿宋"/>
          <w:i/>
          <w:iCs/>
          <w:color w:val="0623BA"/>
          <w:sz w:val="24"/>
          <w:lang w:val="en-US" w:eastAsia="zh-CN"/>
        </w:rPr>
        <w:t>7</w:t>
      </w:r>
      <w:r>
        <w:rPr>
          <w:rFonts w:hint="eastAsia" w:ascii="仿宋" w:hAnsi="仿宋" w:eastAsia="仿宋" w:cs="仿宋"/>
          <w:i/>
          <w:iCs/>
          <w:color w:val="0623BA"/>
          <w:sz w:val="24"/>
        </w:rPr>
        <w:t xml:space="preserve"> 可再生能源的利用，其具体形式的选用，要充分依据当</w:t>
      </w:r>
      <w:r>
        <w:rPr>
          <w:rFonts w:hint="eastAsia" w:ascii="仿宋" w:hAnsi="仿宋" w:eastAsia="仿宋" w:cs="仿宋"/>
          <w:i/>
          <w:iCs/>
          <w:color w:val="0623BA"/>
          <w:sz w:val="24"/>
          <w:lang w:val="en-US" w:eastAsia="zh-CN"/>
        </w:rPr>
        <w:t>地</w:t>
      </w:r>
      <w:r>
        <w:rPr>
          <w:rFonts w:hint="eastAsia" w:ascii="仿宋" w:hAnsi="仿宋" w:eastAsia="仿宋" w:cs="仿宋"/>
          <w:i/>
          <w:iCs/>
          <w:color w:val="0623BA"/>
          <w:sz w:val="24"/>
        </w:rPr>
        <w:t>资源条件和系统末端需求，进行适宜性分析，当技术可行</w:t>
      </w:r>
      <w:r>
        <w:rPr>
          <w:rFonts w:hint="eastAsia" w:ascii="仿宋" w:hAnsi="仿宋" w:eastAsia="仿宋" w:cs="仿宋"/>
          <w:i/>
          <w:iCs/>
          <w:color w:val="0623BA"/>
          <w:sz w:val="24"/>
          <w:lang w:val="en-US" w:eastAsia="zh-CN"/>
        </w:rPr>
        <w:t>且</w:t>
      </w:r>
      <w:r>
        <w:rPr>
          <w:rFonts w:hint="eastAsia" w:ascii="仿宋" w:hAnsi="仿宋" w:eastAsia="仿宋" w:cs="仿宋"/>
          <w:i/>
          <w:iCs/>
          <w:color w:val="0623BA"/>
          <w:sz w:val="24"/>
        </w:rPr>
        <w:t>经济合理性同时满足时，方可采用。太阳能光伏发电系统的应用与项目所在地的资源条件密切相关，应根据资源禀赋，以可再生能源的高效利用为目标，选择经济适用的技术方式和系统形式；应对实施项目进行负荷分析、系统能效比较，明确其具有技术可行、经济合理的应用前景时，才能确保实现节能、环保、高效的运行效果。</w:t>
      </w:r>
    </w:p>
    <w:p w14:paraId="47C54F75">
      <w:pPr>
        <w:pStyle w:val="2"/>
        <w:spacing w:line="300" w:lineRule="auto"/>
        <w:rPr>
          <w:sz w:val="24"/>
          <w:highlight w:val="yellow"/>
        </w:rPr>
      </w:pPr>
      <w:r>
        <w:rPr>
          <w:b/>
          <w:bCs/>
          <w:sz w:val="24"/>
        </w:rPr>
        <w:t>3.0.</w:t>
      </w:r>
      <w:r>
        <w:rPr>
          <w:rFonts w:hint="eastAsia"/>
          <w:b/>
          <w:bCs/>
          <w:sz w:val="24"/>
          <w:lang w:val="en-US" w:eastAsia="zh-CN"/>
        </w:rPr>
        <w:t>8</w:t>
      </w:r>
      <w:r>
        <w:rPr>
          <w:b/>
          <w:bCs/>
          <w:sz w:val="24"/>
        </w:rPr>
        <w:t xml:space="preserve"> </w:t>
      </w:r>
      <w:r>
        <w:rPr>
          <w:rFonts w:hint="eastAsia"/>
          <w:sz w:val="24"/>
        </w:rPr>
        <w:t>应用光伏发电系统的建筑，在土建施工阶段，应按光伏发电系统设计施工图要求预留、预埋相关构件，不应影响建筑物的使用功能且应满足建筑性能和技术要求。</w:t>
      </w:r>
    </w:p>
    <w:p w14:paraId="25612274">
      <w:pPr>
        <w:pStyle w:val="2"/>
        <w:spacing w:line="300" w:lineRule="auto"/>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752652DD">
      <w:pPr>
        <w:pStyle w:val="2"/>
        <w:spacing w:line="300" w:lineRule="auto"/>
        <w:rPr>
          <w:rFonts w:hint="eastAsia" w:ascii="仿宋" w:hAnsi="仿宋" w:eastAsia="仿宋" w:cs="仿宋"/>
          <w:i/>
          <w:iCs/>
          <w:color w:val="0623BA"/>
          <w:sz w:val="24"/>
        </w:rPr>
      </w:pPr>
      <w:r>
        <w:rPr>
          <w:rFonts w:hint="eastAsia" w:ascii="仿宋" w:hAnsi="仿宋" w:eastAsia="仿宋" w:cs="仿宋"/>
          <w:i/>
          <w:iCs/>
          <w:color w:val="0623BA"/>
          <w:sz w:val="24"/>
        </w:rPr>
        <w:t>3.0.</w:t>
      </w:r>
      <w:r>
        <w:rPr>
          <w:rFonts w:hint="eastAsia" w:ascii="仿宋" w:hAnsi="仿宋" w:eastAsia="仿宋" w:cs="仿宋"/>
          <w:i/>
          <w:iCs/>
          <w:color w:val="0623BA"/>
          <w:sz w:val="24"/>
          <w:lang w:val="en-US" w:eastAsia="zh-CN"/>
        </w:rPr>
        <w:t>8</w:t>
      </w:r>
      <w:r>
        <w:rPr>
          <w:rFonts w:hint="eastAsia" w:ascii="仿宋" w:hAnsi="仿宋" w:eastAsia="仿宋" w:cs="仿宋"/>
          <w:i/>
          <w:iCs/>
          <w:color w:val="0623BA"/>
          <w:sz w:val="24"/>
        </w:rPr>
        <w:t xml:space="preserve"> 进行结构设计时，不但要校核安装部位结构的强度和变形，而且需要计算支架、支撑金属件及各个连接节点的承载能力。光伏方阵与主体结构的连接和锚固必须牢固可靠，主体结构的承载力必须经过计算予以确认并要留有余地，防止偶然因素产生破坏。</w:t>
      </w:r>
    </w:p>
    <w:p w14:paraId="2F9772AB">
      <w:pPr>
        <w:spacing w:line="300" w:lineRule="auto"/>
        <w:rPr>
          <w:rFonts w:hint="default" w:ascii="Times New Roman" w:hAnsi="Times New Roman"/>
          <w:b w:val="0"/>
          <w:bCs w:val="0"/>
          <w:color w:val="auto"/>
          <w:kern w:val="0"/>
          <w:sz w:val="24"/>
          <w:szCs w:val="24"/>
        </w:rPr>
      </w:pPr>
      <w:bookmarkStart w:id="54" w:name="_Toc12173"/>
      <w:r>
        <w:rPr>
          <w:rFonts w:hint="default" w:ascii="Times New Roman" w:hAnsi="Times New Roman"/>
          <w:b/>
          <w:bCs/>
          <w:sz w:val="24"/>
          <w:szCs w:val="24"/>
        </w:rPr>
        <w:t>3.0.</w:t>
      </w:r>
      <w:r>
        <w:rPr>
          <w:rFonts w:hint="default"/>
          <w:b/>
          <w:bCs/>
          <w:sz w:val="24"/>
          <w:szCs w:val="24"/>
          <w:lang w:val="en-US" w:eastAsia="zh-CN"/>
        </w:rPr>
        <w:t>9</w:t>
      </w:r>
      <w:r>
        <w:rPr>
          <w:rFonts w:hint="default" w:ascii="Times New Roman" w:hAnsi="Times New Roman"/>
          <w:b/>
          <w:bCs/>
          <w:sz w:val="24"/>
          <w:szCs w:val="24"/>
        </w:rPr>
        <w:t xml:space="preserve"> </w:t>
      </w:r>
      <w:r>
        <w:rPr>
          <w:rFonts w:hint="default" w:ascii="Times New Roman" w:hAnsi="Times New Roman"/>
          <w:b w:val="0"/>
          <w:bCs w:val="0"/>
          <w:color w:val="auto"/>
          <w:kern w:val="0"/>
          <w:sz w:val="24"/>
          <w:szCs w:val="24"/>
        </w:rPr>
        <w:t>建筑光伏系统设计时，</w:t>
      </w:r>
      <w:r>
        <w:rPr>
          <w:rFonts w:hint="eastAsia"/>
          <w:b w:val="0"/>
          <w:bCs w:val="0"/>
          <w:color w:val="auto"/>
          <w:kern w:val="0"/>
          <w:sz w:val="24"/>
          <w:szCs w:val="24"/>
          <w:lang w:val="en-US" w:eastAsia="zh-CN"/>
        </w:rPr>
        <w:t>可</w:t>
      </w:r>
      <w:r>
        <w:rPr>
          <w:rFonts w:hint="default" w:ascii="Times New Roman" w:hAnsi="Times New Roman"/>
          <w:b w:val="0"/>
          <w:bCs w:val="0"/>
          <w:color w:val="auto"/>
          <w:kern w:val="0"/>
          <w:sz w:val="24"/>
          <w:szCs w:val="24"/>
        </w:rPr>
        <w:t>采用光储直柔建筑配电技术，提高系统发电利</w:t>
      </w:r>
      <w:bookmarkEnd w:id="54"/>
    </w:p>
    <w:p w14:paraId="49FB6DA4">
      <w:pPr>
        <w:spacing w:line="300" w:lineRule="auto"/>
        <w:rPr>
          <w:rFonts w:hint="default" w:ascii="Times New Roman" w:hAnsi="Times New Roman" w:eastAsia="宋体" w:cs="Times New Roman"/>
          <w:b w:val="0"/>
          <w:bCs w:val="0"/>
          <w:i w:val="0"/>
          <w:iCs w:val="0"/>
          <w:color w:val="auto"/>
          <w:kern w:val="0"/>
          <w:sz w:val="24"/>
          <w:szCs w:val="24"/>
        </w:rPr>
      </w:pPr>
      <w:r>
        <w:rPr>
          <w:rFonts w:hint="default" w:ascii="Times New Roman" w:hAnsi="Times New Roman"/>
          <w:b w:val="0"/>
          <w:bCs w:val="0"/>
          <w:color w:val="auto"/>
          <w:kern w:val="0"/>
          <w:sz w:val="24"/>
          <w:szCs w:val="24"/>
        </w:rPr>
        <w:t>用率。</w:t>
      </w:r>
      <w:r>
        <w:rPr>
          <w:rFonts w:hint="default"/>
          <w:color w:val="auto"/>
          <w:kern w:val="0"/>
          <w:sz w:val="24"/>
        </w:rPr>
        <w:t>建筑光伏系统配置的储能宜采用电化学储能系统</w:t>
      </w:r>
      <w:r>
        <w:rPr>
          <w:rFonts w:hint="eastAsia"/>
          <w:color w:val="auto"/>
          <w:kern w:val="0"/>
          <w:sz w:val="24"/>
          <w:lang w:eastAsia="zh-CN"/>
        </w:rPr>
        <w:t>，</w:t>
      </w:r>
      <w:r>
        <w:rPr>
          <w:rFonts w:hint="default"/>
          <w:color w:val="auto"/>
          <w:kern w:val="0"/>
          <w:sz w:val="24"/>
        </w:rPr>
        <w:t>电化学储能系统设计应符合现行国家标准《电化学储能电站设计规范》 GB51048的规定。</w:t>
      </w:r>
    </w:p>
    <w:p w14:paraId="7F9E02A1">
      <w:pPr>
        <w:spacing w:line="300" w:lineRule="auto"/>
        <w:rPr>
          <w:rFonts w:hint="default" w:ascii="仿宋" w:hAnsi="仿宋" w:eastAsia="仿宋" w:cs="仿宋"/>
          <w:i/>
          <w:iCs/>
          <w:color w:val="0623BA"/>
          <w:sz w:val="24"/>
        </w:rPr>
      </w:pPr>
      <w:r>
        <w:rPr>
          <w:rFonts w:hint="eastAsia" w:ascii="Times New Roman" w:hAnsi="Times New Roman" w:eastAsia="宋体" w:cs="Times New Roman"/>
          <w:b w:val="0"/>
          <w:bCs w:val="0"/>
          <w:i/>
          <w:iCs/>
          <w:color w:val="0623BA"/>
          <w:sz w:val="24"/>
          <w:lang w:val="en-US" w:eastAsia="zh-CN"/>
        </w:rPr>
        <w:t>3.0.</w:t>
      </w:r>
      <w:r>
        <w:rPr>
          <w:rFonts w:hint="eastAsia" w:cs="Times New Roman"/>
          <w:b w:val="0"/>
          <w:bCs w:val="0"/>
          <w:i/>
          <w:iCs/>
          <w:color w:val="0623BA"/>
          <w:sz w:val="24"/>
          <w:lang w:val="en-US" w:eastAsia="zh-CN"/>
        </w:rPr>
        <w:t>9</w:t>
      </w:r>
      <w:r>
        <w:rPr>
          <w:rFonts w:hint="eastAsia" w:ascii="Times New Roman" w:hAnsi="Times New Roman" w:eastAsia="宋体" w:cs="Times New Roman"/>
          <w:b w:val="0"/>
          <w:bCs w:val="0"/>
          <w:i/>
          <w:iCs/>
          <w:color w:val="0623BA"/>
          <w:sz w:val="24"/>
          <w:lang w:val="en-US" w:eastAsia="zh-CN"/>
        </w:rPr>
        <w:t xml:space="preserve"> </w:t>
      </w:r>
      <w:r>
        <w:rPr>
          <w:rFonts w:hint="default" w:ascii="仿宋" w:hAnsi="仿宋" w:eastAsia="仿宋" w:cs="仿宋"/>
          <w:i/>
          <w:iCs/>
          <w:color w:val="0623BA"/>
          <w:sz w:val="24"/>
        </w:rPr>
        <w:t>“光储直柔”建筑配电技术是指在建筑领域应用太阳能光伏、储能、直流和柔性四项技术的简称，即在建筑中通过直流母线连接分布式光伏、储能和可调用电负荷实现市电功率柔性控制。“光”、“储”分别指分布式光伏、分布式储能应用于建筑场景内外部，成为其配电系统重要组成部分:“直”指的是将建筑配用电网由交流电改为直流电</w:t>
      </w:r>
      <w:r>
        <w:rPr>
          <w:rFonts w:hint="eastAsia" w:ascii="仿宋" w:hAnsi="仿宋" w:eastAsia="仿宋" w:cs="仿宋"/>
          <w:i/>
          <w:iCs/>
          <w:color w:val="0623BA"/>
          <w:sz w:val="24"/>
          <w:lang w:eastAsia="zh-CN"/>
        </w:rPr>
        <w:t>：</w:t>
      </w:r>
      <w:r>
        <w:rPr>
          <w:rFonts w:hint="default" w:ascii="仿宋" w:hAnsi="仿宋" w:eastAsia="仿宋" w:cs="仿宋"/>
          <w:i/>
          <w:iCs/>
          <w:color w:val="0623BA"/>
          <w:sz w:val="24"/>
        </w:rPr>
        <w:t>“柔”则为柔性用电，即建筑用电设备需具备中断调节能力。</w:t>
      </w:r>
    </w:p>
    <w:p w14:paraId="6DDD99EC">
      <w:pPr>
        <w:spacing w:line="300" w:lineRule="auto"/>
        <w:ind w:firstLine="480" w:firstLineChars="200"/>
        <w:rPr>
          <w:rFonts w:hint="eastAsia" w:ascii="仿宋" w:hAnsi="仿宋" w:eastAsia="仿宋" w:cs="仿宋"/>
          <w:i/>
          <w:iCs/>
          <w:color w:val="0623BA"/>
          <w:sz w:val="24"/>
        </w:rPr>
      </w:pPr>
      <w:r>
        <w:rPr>
          <w:rFonts w:hint="default" w:ascii="仿宋" w:hAnsi="仿宋" w:eastAsia="仿宋" w:cs="仿宋"/>
          <w:i/>
          <w:iCs/>
          <w:color w:val="0623BA"/>
          <w:sz w:val="24"/>
        </w:rPr>
        <w:t>目前，建筑用能与太阳能光伏发电量在时序上匹配度不高，在一些时段光伏发电量大于建筑用电量，居住建筑应用光伏时较为常见，公共建筑中节假日一定程度存在。从建筑光伏最大化利用的角度出发，可采取的措施包括负荷柔性调节、储能、能量管理等手段提高匹配度。采取负荷调节和储能等措施时，应考虑技术合理性与经济性。</w:t>
      </w:r>
      <w:r>
        <w:rPr>
          <w:rFonts w:hint="eastAsia" w:ascii="仿宋" w:hAnsi="仿宋" w:eastAsia="仿宋" w:cs="仿宋"/>
          <w:i/>
          <w:iCs/>
          <w:color w:val="0623BA"/>
          <w:sz w:val="24"/>
        </w:rPr>
        <w:t>储能可以在光伏系统发电量过剩时储存多余的电能，在发电量不足时释放储存的电能，从而实现能源的平稳供应。对于家庭用户，储能系统可以确保在停电或电网故障时仍能有电力供应，提高用电的可靠性和安全性。对于企业用户，储能系统可以帮助降低用电成本，提高能源利用效率。</w:t>
      </w:r>
    </w:p>
    <w:p w14:paraId="10D3142E">
      <w:pPr>
        <w:spacing w:line="300" w:lineRule="auto"/>
        <w:ind w:firstLine="480" w:firstLineChars="200"/>
        <w:rPr>
          <w:rFonts w:hint="default" w:ascii="仿宋" w:hAnsi="仿宋" w:eastAsia="仿宋" w:cs="仿宋"/>
          <w:i/>
          <w:iCs/>
          <w:color w:val="0623BA"/>
          <w:sz w:val="24"/>
        </w:rPr>
      </w:pPr>
      <w:r>
        <w:rPr>
          <w:rFonts w:hint="default" w:ascii="仿宋" w:hAnsi="仿宋" w:eastAsia="仿宋" w:cs="仿宋"/>
          <w:i/>
          <w:iCs/>
          <w:color w:val="0623BA"/>
          <w:sz w:val="24"/>
        </w:rPr>
        <w:t>建筑内的各类用电设备而言，照明装置采用LED光源，是直流驱动:电脑、显示器等IT设备，其内部为直流驱动</w:t>
      </w:r>
      <w:r>
        <w:rPr>
          <w:rFonts w:hint="eastAsia" w:ascii="仿宋" w:hAnsi="仿宋" w:eastAsia="仿宋" w:cs="仿宋"/>
          <w:i/>
          <w:iCs/>
          <w:color w:val="0623BA"/>
          <w:sz w:val="24"/>
          <w:lang w:eastAsia="zh-CN"/>
        </w:rPr>
        <w:t>：</w:t>
      </w:r>
      <w:r>
        <w:rPr>
          <w:rFonts w:hint="default" w:ascii="仿宋" w:hAnsi="仿宋" w:eastAsia="仿宋" w:cs="仿宋"/>
          <w:i/>
          <w:iCs/>
          <w:color w:val="0623BA"/>
          <w:sz w:val="24"/>
        </w:rPr>
        <w:t>空调、</w:t>
      </w:r>
      <w:r>
        <w:rPr>
          <w:rFonts w:hint="eastAsia" w:ascii="仿宋" w:hAnsi="仿宋" w:eastAsia="仿宋" w:cs="仿宋"/>
          <w:i/>
          <w:iCs/>
          <w:color w:val="0623BA"/>
          <w:sz w:val="24"/>
          <w:lang w:val="en-US" w:eastAsia="zh-CN"/>
        </w:rPr>
        <w:t>冰箱等</w:t>
      </w:r>
      <w:r>
        <w:rPr>
          <w:rFonts w:hint="default" w:ascii="仿宋" w:hAnsi="仿宋" w:eastAsia="仿宋" w:cs="仿宋"/>
          <w:i/>
          <w:iCs/>
          <w:color w:val="0623BA"/>
          <w:sz w:val="24"/>
        </w:rPr>
        <w:t>白色家电，现在的发展方向是变频器驱动同步电机，实现对电机转速的高效精准控制,其内部也是直流驱动; 电梯、风机、水泵等建筑中大功率装置，高效节能发展方向也是直流驱动的变频控制。各种建筑用电装置的发展和技术进步方向都是由交流驱动转为直流驱动，光伏和蓄电池也要求直流接入。</w:t>
      </w:r>
    </w:p>
    <w:p w14:paraId="3E4D64E3">
      <w:pPr>
        <w:spacing w:line="300" w:lineRule="auto"/>
        <w:ind w:firstLine="480" w:firstLineChars="200"/>
        <w:rPr>
          <w:rFonts w:hint="default" w:ascii="仿宋" w:hAnsi="仿宋" w:eastAsia="仿宋" w:cs="仿宋"/>
          <w:i/>
          <w:iCs/>
          <w:color w:val="0623BA"/>
          <w:sz w:val="24"/>
        </w:rPr>
      </w:pPr>
      <w:r>
        <w:rPr>
          <w:rFonts w:hint="default" w:ascii="仿宋" w:hAnsi="仿宋" w:eastAsia="仿宋" w:cs="仿宋"/>
          <w:i/>
          <w:iCs/>
          <w:color w:val="0623BA"/>
          <w:sz w:val="24"/>
        </w:rPr>
        <w:t>发展零能耗建筑是时代所需，“光储直柔”作为发展零碳能源的重要技术，是实现建筑全面电气化和用电零碳化可采用的有效措施，不仅为实现碳达峰、碳中和目标提供了可靠的技术路径，也为推动建筑产业转型升级、绿色建筑高质量发展提供了重要保障。</w:t>
      </w:r>
    </w:p>
    <w:p w14:paraId="2C6A5DE4">
      <w:pPr>
        <w:pStyle w:val="2"/>
        <w:spacing w:line="300" w:lineRule="auto"/>
        <w:rPr>
          <w:rFonts w:hint="default" w:ascii="Times New Roman" w:hAnsi="Times New Roman" w:eastAsia="宋体" w:cs="Times New Roman"/>
          <w:b w:val="0"/>
          <w:bCs w:val="0"/>
          <w:i w:val="0"/>
          <w:iCs w:val="0"/>
          <w:color w:val="auto"/>
          <w:kern w:val="0"/>
          <w:sz w:val="24"/>
        </w:rPr>
      </w:pPr>
      <w:r>
        <w:rPr>
          <w:rFonts w:hint="eastAsia" w:cs="Times New Roman"/>
          <w:b/>
          <w:bCs/>
          <w:i w:val="0"/>
          <w:iCs w:val="0"/>
          <w:kern w:val="0"/>
          <w:sz w:val="24"/>
          <w:lang w:val="en-US" w:eastAsia="zh-CN"/>
        </w:rPr>
        <w:t xml:space="preserve">3.0.10 </w:t>
      </w:r>
      <w:r>
        <w:rPr>
          <w:rFonts w:hint="default" w:ascii="Times New Roman" w:hAnsi="Times New Roman" w:eastAsia="宋体" w:cs="Times New Roman"/>
          <w:b w:val="0"/>
          <w:bCs w:val="0"/>
          <w:i w:val="0"/>
          <w:iCs w:val="0"/>
          <w:color w:val="auto"/>
          <w:kern w:val="0"/>
          <w:sz w:val="24"/>
        </w:rPr>
        <w:t>建设建筑光伏系统</w:t>
      </w:r>
      <w:r>
        <w:rPr>
          <w:rFonts w:hint="eastAsia" w:cs="Times New Roman"/>
          <w:b w:val="0"/>
          <w:bCs w:val="0"/>
          <w:i w:val="0"/>
          <w:iCs w:val="0"/>
          <w:color w:val="auto"/>
          <w:kern w:val="0"/>
          <w:sz w:val="24"/>
          <w:lang w:eastAsia="zh-CN"/>
        </w:rPr>
        <w:t>，</w:t>
      </w:r>
      <w:r>
        <w:rPr>
          <w:rFonts w:hint="default" w:ascii="Times New Roman" w:hAnsi="Times New Roman" w:eastAsia="宋体" w:cs="Times New Roman"/>
          <w:b w:val="0"/>
          <w:bCs w:val="0"/>
          <w:i w:val="0"/>
          <w:iCs w:val="0"/>
          <w:color w:val="auto"/>
          <w:kern w:val="0"/>
          <w:sz w:val="24"/>
        </w:rPr>
        <w:t>应充分</w:t>
      </w:r>
      <w:r>
        <w:rPr>
          <w:rFonts w:hint="eastAsia" w:cs="Times New Roman"/>
          <w:b w:val="0"/>
          <w:bCs w:val="0"/>
          <w:i w:val="0"/>
          <w:iCs w:val="0"/>
          <w:kern w:val="0"/>
          <w:sz w:val="24"/>
          <w:lang w:val="en-US" w:eastAsia="zh-CN"/>
        </w:rPr>
        <w:t>考虑广东</w:t>
      </w:r>
      <w:r>
        <w:rPr>
          <w:rFonts w:hint="default" w:ascii="Times New Roman" w:hAnsi="Times New Roman" w:eastAsia="宋体" w:cs="Times New Roman"/>
          <w:b w:val="0"/>
          <w:bCs w:val="0"/>
          <w:i w:val="0"/>
          <w:iCs w:val="0"/>
          <w:color w:val="auto"/>
          <w:kern w:val="0"/>
          <w:sz w:val="24"/>
        </w:rPr>
        <w:t>省建筑风貌要求,不得破坏当地特色建筑的风格及形式。</w:t>
      </w:r>
    </w:p>
    <w:p w14:paraId="76CB93FC">
      <w:pPr>
        <w:pStyle w:val="2"/>
        <w:spacing w:line="300" w:lineRule="auto"/>
        <w:rPr>
          <w:rFonts w:hint="eastAsia" w:ascii="仿宋" w:hAnsi="仿宋" w:eastAsia="仿宋" w:cs="仿宋"/>
          <w:b w:val="0"/>
          <w:bCs w:val="0"/>
          <w:i/>
          <w:iCs/>
          <w:color w:val="0623BA"/>
          <w:sz w:val="24"/>
        </w:rPr>
      </w:pPr>
      <w:r>
        <w:rPr>
          <w:rFonts w:hint="eastAsia" w:ascii="仿宋" w:hAnsi="仿宋" w:eastAsia="仿宋" w:cs="仿宋"/>
          <w:b w:val="0"/>
          <w:bCs w:val="0"/>
          <w:i/>
          <w:iCs/>
          <w:color w:val="0623BA"/>
          <w:sz w:val="24"/>
        </w:rPr>
        <w:t>【条文说明】</w:t>
      </w:r>
    </w:p>
    <w:p w14:paraId="6174D223">
      <w:pPr>
        <w:pStyle w:val="2"/>
        <w:spacing w:line="300" w:lineRule="auto"/>
        <w:ind w:firstLine="0" w:firstLineChars="0"/>
        <w:rPr>
          <w:rFonts w:hint="eastAsia" w:ascii="仿宋" w:hAnsi="仿宋" w:eastAsia="仿宋" w:cs="仿宋"/>
          <w:i/>
          <w:iCs/>
          <w:color w:val="0623BA"/>
          <w:sz w:val="24"/>
        </w:rPr>
      </w:pPr>
      <w:r>
        <w:rPr>
          <w:rFonts w:hint="eastAsia" w:ascii="仿宋" w:hAnsi="仿宋" w:eastAsia="仿宋" w:cs="仿宋"/>
          <w:i/>
          <w:iCs/>
          <w:color w:val="0623BA"/>
          <w:sz w:val="24"/>
        </w:rPr>
        <w:t>3.0.1</w:t>
      </w:r>
      <w:r>
        <w:rPr>
          <w:rFonts w:hint="eastAsia" w:ascii="仿宋" w:hAnsi="仿宋" w:eastAsia="仿宋" w:cs="仿宋"/>
          <w:i/>
          <w:iCs/>
          <w:color w:val="0623BA"/>
          <w:sz w:val="24"/>
          <w:lang w:val="en-US" w:eastAsia="zh-CN"/>
        </w:rPr>
        <w:t>0</w:t>
      </w:r>
      <w:r>
        <w:rPr>
          <w:rFonts w:hint="eastAsia" w:ascii="仿宋" w:hAnsi="仿宋" w:eastAsia="仿宋" w:cs="仿宋"/>
          <w:i/>
          <w:iCs/>
          <w:color w:val="0623BA"/>
          <w:sz w:val="24"/>
        </w:rPr>
        <w:t xml:space="preserve"> 本条对</w:t>
      </w:r>
      <w:r>
        <w:rPr>
          <w:rFonts w:hint="eastAsia" w:ascii="仿宋" w:hAnsi="仿宋" w:eastAsia="仿宋" w:cs="仿宋"/>
          <w:i/>
          <w:iCs/>
          <w:color w:val="0623BA"/>
          <w:sz w:val="24"/>
          <w:lang w:val="en-US" w:eastAsia="zh-CN"/>
        </w:rPr>
        <w:t>广东省</w:t>
      </w:r>
      <w:r>
        <w:rPr>
          <w:rFonts w:hint="eastAsia" w:ascii="仿宋" w:hAnsi="仿宋" w:eastAsia="仿宋" w:cs="仿宋"/>
          <w:i/>
          <w:iCs/>
          <w:color w:val="0623BA"/>
          <w:sz w:val="24"/>
        </w:rPr>
        <w:t>建筑光伏系统与建筑风貌的关系提出要求。在建设光伏系统时</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建筑风貌是不可忽视的重要影响因素</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不得破坏当地特色建筑的风格及形式。如外立面采用碲化镉光伏薄膜玻璃幕墙，屋面采用碲化镉光伏薄膜玻璃和多</w:t>
      </w:r>
      <w:r>
        <w:rPr>
          <w:rFonts w:hint="eastAsia" w:ascii="仿宋" w:hAnsi="仿宋" w:eastAsia="仿宋" w:cs="仿宋"/>
          <w:i/>
          <w:iCs/>
          <w:color w:val="0623BA"/>
          <w:sz w:val="24"/>
          <w:lang w:val="en-US" w:eastAsia="zh-CN"/>
        </w:rPr>
        <w:t>晶</w:t>
      </w:r>
      <w:r>
        <w:rPr>
          <w:rFonts w:hint="eastAsia" w:ascii="仿宋" w:hAnsi="仿宋" w:eastAsia="仿宋" w:cs="仿宋"/>
          <w:i/>
          <w:iCs/>
          <w:color w:val="0623BA"/>
          <w:sz w:val="24"/>
        </w:rPr>
        <w:t>硅光伏板组合形式</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如将光伏百叶与建筑完美结合</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如定制 BIPV 多功能建筑构件等取代部分传统建筑结构如屋顶板、瓦、窗户、建筑立面、遮雨棚等。</w:t>
      </w:r>
    </w:p>
    <w:p w14:paraId="7CF1DDBB">
      <w:pPr>
        <w:widowControl/>
        <w:spacing w:line="300" w:lineRule="auto"/>
        <w:rPr>
          <w:rFonts w:hint="default"/>
          <w:color w:val="auto"/>
          <w:kern w:val="0"/>
          <w:sz w:val="24"/>
          <w:u w:val="none" w:color="auto"/>
          <w:lang w:val="en-US" w:eastAsia="zh-CN"/>
        </w:rPr>
      </w:pPr>
      <w:r>
        <w:rPr>
          <w:rFonts w:hint="eastAsia"/>
          <w:b/>
          <w:bCs/>
          <w:sz w:val="24"/>
          <w:lang w:val="en-US" w:eastAsia="zh-CN"/>
        </w:rPr>
        <w:t>3.0.11</w:t>
      </w:r>
      <w:r>
        <w:rPr>
          <w:b/>
          <w:bCs/>
          <w:sz w:val="24"/>
        </w:rPr>
        <w:t xml:space="preserve"> </w:t>
      </w:r>
      <w:r>
        <w:rPr>
          <w:rFonts w:hint="default"/>
          <w:color w:val="auto"/>
          <w:kern w:val="0"/>
          <w:sz w:val="24"/>
          <w:u w:val="none" w:color="auto"/>
        </w:rPr>
        <w:t>光伏发电系统分类应符合</w:t>
      </w:r>
      <w:r>
        <w:rPr>
          <w:rFonts w:hint="default"/>
          <w:color w:val="auto"/>
          <w:kern w:val="0"/>
          <w:sz w:val="24"/>
          <w:u w:val="none" w:color="auto"/>
          <w:lang w:val="en-US" w:eastAsia="zh-CN"/>
        </w:rPr>
        <w:t>下列</w:t>
      </w:r>
      <w:r>
        <w:rPr>
          <w:rFonts w:hint="eastAsia"/>
          <w:color w:val="auto"/>
          <w:kern w:val="0"/>
          <w:sz w:val="24"/>
          <w:u w:val="none" w:color="auto"/>
          <w:lang w:val="en-US" w:eastAsia="zh-CN"/>
        </w:rPr>
        <w:t>要求：</w:t>
      </w:r>
    </w:p>
    <w:p w14:paraId="5EDDD66A">
      <w:pPr>
        <w:widowControl/>
        <w:spacing w:line="300" w:lineRule="auto"/>
        <w:ind w:firstLine="482" w:firstLineChars="200"/>
        <w:rPr>
          <w:rFonts w:hint="eastAsia" w:ascii="Times New Roman" w:hAnsi="Times New Roman" w:eastAsia="宋体" w:cs="Times New Roman"/>
          <w:b w:val="0"/>
          <w:bCs w:val="0"/>
          <w:i w:val="0"/>
          <w:iCs w:val="0"/>
          <w:color w:val="auto"/>
          <w:kern w:val="0"/>
          <w:sz w:val="24"/>
          <w:szCs w:val="24"/>
          <w:lang w:eastAsia="zh-CN"/>
        </w:rPr>
      </w:pPr>
      <w:r>
        <w:rPr>
          <w:rFonts w:hint="default" w:ascii="Times New Roman" w:hAnsi="Times New Roman" w:eastAsia="宋体" w:cs="Times New Roman"/>
          <w:b/>
          <w:bCs/>
          <w:i w:val="0"/>
          <w:iCs w:val="0"/>
          <w:color w:val="auto"/>
          <w:kern w:val="0"/>
          <w:sz w:val="24"/>
          <w:szCs w:val="24"/>
          <w:lang w:val="en-US" w:eastAsia="zh-CN"/>
        </w:rPr>
        <w:t>1</w:t>
      </w:r>
      <w:r>
        <w:rPr>
          <w:rFonts w:hint="eastAsia" w:cs="Times New Roman"/>
          <w:b/>
          <w:bCs/>
          <w:i w:val="0"/>
          <w:iCs w:val="0"/>
          <w:color w:val="auto"/>
          <w:kern w:val="0"/>
          <w:sz w:val="24"/>
          <w:szCs w:val="24"/>
          <w:lang w:val="en-US" w:eastAsia="zh-CN"/>
        </w:rPr>
        <w:t xml:space="preserve"> </w:t>
      </w:r>
      <w:r>
        <w:rPr>
          <w:rFonts w:ascii="Times New Roman" w:hAnsi="Times New Roman" w:eastAsia="宋体" w:cs="Times New Roman"/>
          <w:b w:val="0"/>
          <w:bCs w:val="0"/>
          <w:i w:val="0"/>
          <w:iCs w:val="0"/>
          <w:color w:val="auto"/>
          <w:kern w:val="0"/>
          <w:sz w:val="24"/>
          <w:szCs w:val="24"/>
        </w:rPr>
        <w:t>建筑光伏系统按与公共电网连接情况可分为并网光伏发电系统及独立光伏发电系统</w:t>
      </w:r>
      <w:r>
        <w:rPr>
          <w:rFonts w:hint="eastAsia" w:cs="Times New Roman"/>
          <w:b w:val="0"/>
          <w:bCs w:val="0"/>
          <w:i w:val="0"/>
          <w:iCs w:val="0"/>
          <w:color w:val="auto"/>
          <w:kern w:val="0"/>
          <w:sz w:val="24"/>
          <w:szCs w:val="24"/>
          <w:lang w:eastAsia="zh-CN"/>
        </w:rPr>
        <w:t>；</w:t>
      </w:r>
    </w:p>
    <w:p w14:paraId="66D86294">
      <w:pPr>
        <w:widowControl/>
        <w:spacing w:line="300" w:lineRule="auto"/>
        <w:ind w:firstLine="482" w:firstLineChars="200"/>
        <w:rPr>
          <w:rFonts w:hint="eastAsia" w:ascii="Times New Roman" w:hAnsi="Times New Roman" w:eastAsia="宋体" w:cs="Times New Roman"/>
          <w:b w:val="0"/>
          <w:bCs w:val="0"/>
          <w:i w:val="0"/>
          <w:iCs w:val="0"/>
          <w:color w:val="auto"/>
          <w:kern w:val="0"/>
          <w:sz w:val="24"/>
          <w:szCs w:val="24"/>
          <w:lang w:eastAsia="zh-CN"/>
        </w:rPr>
      </w:pPr>
      <w:r>
        <w:rPr>
          <w:rFonts w:hint="default" w:ascii="Times New Roman" w:hAnsi="Times New Roman" w:eastAsia="宋体" w:cs="Times New Roman"/>
          <w:b/>
          <w:bCs/>
          <w:i w:val="0"/>
          <w:iCs w:val="0"/>
          <w:color w:val="auto"/>
          <w:kern w:val="0"/>
          <w:sz w:val="24"/>
          <w:szCs w:val="24"/>
          <w:lang w:val="en-US" w:eastAsia="zh-CN"/>
        </w:rPr>
        <w:t>2</w:t>
      </w:r>
      <w:r>
        <w:rPr>
          <w:rFonts w:ascii="Times New Roman" w:hAnsi="Times New Roman" w:eastAsia="宋体" w:cs="Times New Roman"/>
          <w:b/>
          <w:bCs/>
          <w:i w:val="0"/>
          <w:iCs w:val="0"/>
          <w:color w:val="auto"/>
          <w:kern w:val="0"/>
          <w:sz w:val="24"/>
          <w:szCs w:val="24"/>
        </w:rPr>
        <w:t xml:space="preserve"> </w:t>
      </w:r>
      <w:r>
        <w:rPr>
          <w:rFonts w:ascii="Times New Roman" w:hAnsi="Times New Roman" w:eastAsia="宋体" w:cs="Times New Roman"/>
          <w:b w:val="0"/>
          <w:bCs w:val="0"/>
          <w:i w:val="0"/>
          <w:iCs w:val="0"/>
          <w:color w:val="auto"/>
          <w:kern w:val="0"/>
          <w:sz w:val="24"/>
          <w:szCs w:val="24"/>
        </w:rPr>
        <w:t>并网光伏发电系统按并网点位置可分为用户侧并网光伏发电系统及电网侧并网光伏发电系统</w:t>
      </w:r>
      <w:r>
        <w:rPr>
          <w:rFonts w:hint="eastAsia" w:cs="Times New Roman"/>
          <w:b w:val="0"/>
          <w:bCs w:val="0"/>
          <w:i w:val="0"/>
          <w:iCs w:val="0"/>
          <w:color w:val="auto"/>
          <w:kern w:val="0"/>
          <w:sz w:val="24"/>
          <w:szCs w:val="24"/>
          <w:lang w:eastAsia="zh-CN"/>
        </w:rPr>
        <w:t>；</w:t>
      </w:r>
    </w:p>
    <w:p w14:paraId="2131E6BB">
      <w:pPr>
        <w:widowControl/>
        <w:spacing w:line="300" w:lineRule="auto"/>
        <w:ind w:firstLine="482" w:firstLineChars="200"/>
        <w:rPr>
          <w:rFonts w:hint="eastAsia" w:ascii="Times New Roman" w:hAnsi="Times New Roman" w:eastAsia="宋体" w:cs="Times New Roman"/>
          <w:b w:val="0"/>
          <w:bCs w:val="0"/>
          <w:i w:val="0"/>
          <w:iCs w:val="0"/>
          <w:color w:val="auto"/>
          <w:kern w:val="0"/>
          <w:sz w:val="24"/>
          <w:szCs w:val="24"/>
          <w:lang w:eastAsia="zh-CN"/>
        </w:rPr>
      </w:pPr>
      <w:r>
        <w:rPr>
          <w:rFonts w:hint="default" w:ascii="Times New Roman" w:hAnsi="Times New Roman" w:eastAsia="宋体" w:cs="Times New Roman"/>
          <w:b/>
          <w:bCs/>
          <w:i w:val="0"/>
          <w:iCs w:val="0"/>
          <w:color w:val="auto"/>
          <w:kern w:val="0"/>
          <w:sz w:val="24"/>
          <w:szCs w:val="24"/>
          <w:lang w:val="en-US" w:eastAsia="zh-CN"/>
        </w:rPr>
        <w:t>3</w:t>
      </w:r>
      <w:r>
        <w:rPr>
          <w:rFonts w:hint="eastAsia" w:cs="Times New Roman"/>
          <w:b/>
          <w:bCs/>
          <w:i w:val="0"/>
          <w:iCs w:val="0"/>
          <w:color w:val="auto"/>
          <w:kern w:val="0"/>
          <w:sz w:val="24"/>
          <w:szCs w:val="24"/>
          <w:lang w:val="en-US" w:eastAsia="zh-CN"/>
        </w:rPr>
        <w:t xml:space="preserve"> </w:t>
      </w:r>
      <w:r>
        <w:rPr>
          <w:rFonts w:ascii="Times New Roman" w:hAnsi="Times New Roman" w:eastAsia="宋体" w:cs="Times New Roman"/>
          <w:b w:val="0"/>
          <w:bCs w:val="0"/>
          <w:i w:val="0"/>
          <w:iCs w:val="0"/>
          <w:color w:val="auto"/>
          <w:kern w:val="0"/>
          <w:sz w:val="24"/>
          <w:szCs w:val="24"/>
        </w:rPr>
        <w:t>光伏发电系统按带储能装置情况可分为带有储能装置光伏发电系统及不带储能装置光伏发电系统</w:t>
      </w:r>
      <w:r>
        <w:rPr>
          <w:rFonts w:hint="eastAsia" w:cs="Times New Roman"/>
          <w:b w:val="0"/>
          <w:bCs w:val="0"/>
          <w:i w:val="0"/>
          <w:iCs w:val="0"/>
          <w:color w:val="auto"/>
          <w:kern w:val="0"/>
          <w:sz w:val="24"/>
          <w:szCs w:val="24"/>
          <w:lang w:eastAsia="zh-CN"/>
        </w:rPr>
        <w:t>；</w:t>
      </w:r>
    </w:p>
    <w:p w14:paraId="34EE7D98">
      <w:pPr>
        <w:widowControl/>
        <w:spacing w:line="300" w:lineRule="auto"/>
        <w:ind w:firstLine="482" w:firstLineChars="200"/>
        <w:rPr>
          <w:rFonts w:ascii="Times New Roman" w:hAnsi="Times New Roman" w:eastAsia="宋体" w:cs="Times New Roman"/>
          <w:color w:val="auto"/>
          <w:kern w:val="0"/>
          <w:sz w:val="24"/>
          <w:szCs w:val="24"/>
        </w:rPr>
      </w:pPr>
      <w:r>
        <w:rPr>
          <w:rFonts w:hint="default" w:ascii="Times New Roman" w:hAnsi="Times New Roman" w:eastAsia="宋体" w:cs="Times New Roman"/>
          <w:b/>
          <w:bCs/>
          <w:i w:val="0"/>
          <w:iCs w:val="0"/>
          <w:color w:val="auto"/>
          <w:kern w:val="0"/>
          <w:sz w:val="24"/>
          <w:szCs w:val="24"/>
          <w:lang w:val="en-US" w:eastAsia="zh-CN"/>
        </w:rPr>
        <w:t>4</w:t>
      </w:r>
      <w:r>
        <w:rPr>
          <w:rFonts w:ascii="Times New Roman" w:hAnsi="Times New Roman" w:eastAsia="宋体" w:cs="Times New Roman"/>
          <w:b/>
          <w:bCs/>
          <w:i w:val="0"/>
          <w:iCs w:val="0"/>
          <w:color w:val="auto"/>
          <w:kern w:val="0"/>
          <w:sz w:val="24"/>
          <w:szCs w:val="24"/>
        </w:rPr>
        <w:t xml:space="preserve"> </w:t>
      </w:r>
      <w:r>
        <w:rPr>
          <w:rFonts w:ascii="Times New Roman" w:hAnsi="Times New Roman" w:eastAsia="宋体" w:cs="Times New Roman"/>
          <w:b w:val="0"/>
          <w:bCs w:val="0"/>
          <w:i w:val="0"/>
          <w:iCs w:val="0"/>
          <w:color w:val="auto"/>
          <w:kern w:val="0"/>
          <w:sz w:val="24"/>
          <w:szCs w:val="24"/>
        </w:rPr>
        <w:t>光伏发电系统按所带用电负荷形式. 可分为直流光伏发电系统、交流光伏发电系统及交直流混合光伏发电系统</w:t>
      </w:r>
      <w:r>
        <w:rPr>
          <w:rFonts w:hint="eastAsia" w:cs="Times New Roman"/>
          <w:b w:val="0"/>
          <w:bCs w:val="0"/>
          <w:i w:val="0"/>
          <w:iCs w:val="0"/>
          <w:color w:val="auto"/>
          <w:kern w:val="0"/>
          <w:sz w:val="24"/>
          <w:szCs w:val="24"/>
          <w:lang w:eastAsia="zh-CN"/>
        </w:rPr>
        <w:t>；</w:t>
      </w:r>
      <w:r>
        <w:rPr>
          <w:rFonts w:ascii="Times New Roman" w:hAnsi="Times New Roman" w:eastAsia="宋体" w:cs="Times New Roman"/>
          <w:color w:val="auto"/>
          <w:kern w:val="0"/>
          <w:sz w:val="24"/>
          <w:szCs w:val="24"/>
        </w:rPr>
        <w:t xml:space="preserve"> </w:t>
      </w:r>
    </w:p>
    <w:p w14:paraId="46E859EA">
      <w:pPr>
        <w:widowControl/>
        <w:spacing w:line="300" w:lineRule="auto"/>
        <w:ind w:firstLine="482" w:firstLineChars="200"/>
        <w:rPr>
          <w:rFonts w:hint="eastAsia" w:eastAsia="宋体"/>
          <w:b w:val="0"/>
          <w:bCs w:val="0"/>
          <w:color w:val="auto"/>
          <w:kern w:val="0"/>
          <w:sz w:val="24"/>
          <w:lang w:eastAsia="zh-CN"/>
        </w:rPr>
      </w:pPr>
      <w:r>
        <w:rPr>
          <w:rFonts w:hint="default" w:cs="Times New Roman"/>
          <w:b/>
          <w:bCs/>
          <w:color w:val="auto"/>
          <w:kern w:val="0"/>
          <w:sz w:val="24"/>
          <w:szCs w:val="24"/>
          <w:lang w:val="en-US" w:eastAsia="zh-CN"/>
        </w:rPr>
        <w:t xml:space="preserve">5 </w:t>
      </w:r>
      <w:r>
        <w:rPr>
          <w:rFonts w:hint="default"/>
          <w:b w:val="0"/>
          <w:bCs w:val="0"/>
          <w:color w:val="auto"/>
          <w:kern w:val="0"/>
          <w:sz w:val="24"/>
        </w:rPr>
        <w:t>光伏发电系统按安装容量可分为小型光伏发电系统</w:t>
      </w:r>
      <w:r>
        <w:rPr>
          <w:rFonts w:hint="default"/>
          <w:b w:val="0"/>
          <w:bCs w:val="0"/>
          <w:color w:val="auto"/>
          <w:kern w:val="0"/>
          <w:sz w:val="24"/>
          <w:lang w:eastAsia="zh-CN"/>
        </w:rPr>
        <w:t>、</w:t>
      </w:r>
      <w:r>
        <w:rPr>
          <w:rFonts w:hint="default"/>
          <w:b w:val="0"/>
          <w:bCs w:val="0"/>
          <w:color w:val="auto"/>
          <w:kern w:val="0"/>
          <w:sz w:val="24"/>
        </w:rPr>
        <w:t>中型光伏发电系统</w:t>
      </w:r>
      <w:r>
        <w:rPr>
          <w:rFonts w:hint="default"/>
          <w:b w:val="0"/>
          <w:bCs w:val="0"/>
          <w:color w:val="auto"/>
          <w:kern w:val="0"/>
          <w:sz w:val="24"/>
          <w:lang w:val="en-US" w:eastAsia="zh-CN"/>
        </w:rPr>
        <w:t>及</w:t>
      </w:r>
      <w:r>
        <w:rPr>
          <w:rFonts w:hint="default"/>
          <w:b w:val="0"/>
          <w:bCs w:val="0"/>
          <w:color w:val="auto"/>
          <w:kern w:val="0"/>
          <w:sz w:val="24"/>
        </w:rPr>
        <w:t>大型光伏发电系统</w:t>
      </w:r>
      <w:r>
        <w:rPr>
          <w:rFonts w:hint="eastAsia"/>
          <w:b w:val="0"/>
          <w:bCs w:val="0"/>
          <w:color w:val="auto"/>
          <w:kern w:val="0"/>
          <w:sz w:val="24"/>
          <w:lang w:eastAsia="zh-CN"/>
        </w:rPr>
        <w:t>。</w:t>
      </w:r>
    </w:p>
    <w:p w14:paraId="38C4DF1F">
      <w:pPr>
        <w:pStyle w:val="2"/>
        <w:spacing w:line="300" w:lineRule="auto"/>
        <w:rPr>
          <w:rFonts w:hint="eastAsia" w:ascii="仿宋" w:hAnsi="仿宋" w:eastAsia="仿宋" w:cs="仿宋"/>
          <w:b w:val="0"/>
          <w:bCs w:val="0"/>
          <w:i/>
          <w:iCs/>
          <w:color w:val="0623BA"/>
          <w:sz w:val="24"/>
          <w:highlight w:val="none"/>
        </w:rPr>
      </w:pPr>
      <w:r>
        <w:rPr>
          <w:rFonts w:hint="eastAsia" w:ascii="仿宋" w:hAnsi="仿宋" w:eastAsia="仿宋" w:cs="仿宋"/>
          <w:b w:val="0"/>
          <w:bCs w:val="0"/>
          <w:i/>
          <w:iCs/>
          <w:color w:val="0623BA"/>
          <w:sz w:val="24"/>
          <w:highlight w:val="none"/>
        </w:rPr>
        <w:t>【条文说明】</w:t>
      </w:r>
    </w:p>
    <w:p w14:paraId="2C66371E">
      <w:pPr>
        <w:widowControl/>
        <w:spacing w:line="300" w:lineRule="auto"/>
        <w:rPr>
          <w:rFonts w:hint="default" w:ascii="仿宋" w:hAnsi="仿宋" w:eastAsia="仿宋" w:cs="仿宋"/>
          <w:b w:val="0"/>
          <w:bCs w:val="0"/>
          <w:i/>
          <w:iCs/>
          <w:color w:val="0623BA"/>
          <w:sz w:val="24"/>
          <w:highlight w:val="none"/>
        </w:rPr>
      </w:pPr>
      <w:r>
        <w:rPr>
          <w:rFonts w:hint="eastAsia" w:ascii="仿宋" w:hAnsi="仿宋" w:eastAsia="仿宋" w:cs="仿宋"/>
          <w:b w:val="0"/>
          <w:bCs w:val="0"/>
          <w:i/>
          <w:iCs/>
          <w:color w:val="0623BA"/>
          <w:kern w:val="2"/>
          <w:sz w:val="24"/>
          <w:highlight w:val="none"/>
          <w:lang w:val="en-US" w:eastAsia="zh-CN"/>
        </w:rPr>
        <w:t xml:space="preserve">3.0.11 </w:t>
      </w:r>
      <w:r>
        <w:rPr>
          <w:rFonts w:hint="default" w:ascii="仿宋" w:hAnsi="仿宋" w:eastAsia="仿宋" w:cs="仿宋"/>
          <w:b w:val="0"/>
          <w:bCs w:val="0"/>
          <w:i/>
          <w:iCs/>
          <w:color w:val="0623BA"/>
          <w:sz w:val="24"/>
          <w:highlight w:val="none"/>
        </w:rPr>
        <w:t>光伏发电系统按安装容量可分</w:t>
      </w:r>
      <w:r>
        <w:rPr>
          <w:rFonts w:hint="eastAsia" w:ascii="仿宋" w:hAnsi="仿宋" w:eastAsia="仿宋" w:cs="仿宋"/>
          <w:b w:val="0"/>
          <w:bCs w:val="0"/>
          <w:i/>
          <w:iCs/>
          <w:color w:val="0623BA"/>
          <w:kern w:val="2"/>
          <w:sz w:val="24"/>
          <w:highlight w:val="none"/>
          <w:lang w:val="en-US" w:eastAsia="zh-CN"/>
        </w:rPr>
        <w:t>为下列三种系统：</w:t>
      </w:r>
    </w:p>
    <w:p w14:paraId="24C1D5A7">
      <w:pPr>
        <w:widowControl/>
        <w:spacing w:line="300" w:lineRule="auto"/>
        <w:ind w:firstLine="482" w:firstLineChars="200"/>
        <w:rPr>
          <w:rFonts w:hint="eastAsia" w:ascii="仿宋" w:hAnsi="仿宋" w:eastAsia="仿宋" w:cs="仿宋"/>
          <w:b w:val="0"/>
          <w:bCs w:val="0"/>
          <w:i/>
          <w:iCs/>
          <w:color w:val="0623BA"/>
          <w:sz w:val="24"/>
          <w:highlight w:val="cyan"/>
        </w:rPr>
      </w:pPr>
      <w:r>
        <w:rPr>
          <w:rFonts w:hint="default" w:ascii="仿宋" w:hAnsi="仿宋" w:eastAsia="仿宋" w:cs="仿宋"/>
          <w:b/>
          <w:bCs/>
          <w:i/>
          <w:iCs/>
          <w:color w:val="0623BA"/>
          <w:sz w:val="24"/>
          <w:highlight w:val="none"/>
        </w:rPr>
        <w:t xml:space="preserve">1 </w:t>
      </w:r>
      <w:r>
        <w:rPr>
          <w:rFonts w:hint="default" w:ascii="仿宋" w:hAnsi="仿宋" w:eastAsia="仿宋" w:cs="仿宋"/>
          <w:b w:val="0"/>
          <w:bCs w:val="0"/>
          <w:i/>
          <w:iCs/>
          <w:color w:val="0623BA"/>
          <w:sz w:val="24"/>
          <w:highlight w:val="none"/>
        </w:rPr>
        <w:t>小型光伏发电系统:安装容量小于或等于1MWP</w:t>
      </w:r>
      <w:r>
        <w:rPr>
          <w:rFonts w:hint="eastAsia" w:ascii="仿宋" w:hAnsi="仿宋" w:eastAsia="仿宋" w:cs="仿宋"/>
          <w:b w:val="0"/>
          <w:bCs w:val="0"/>
          <w:i/>
          <w:iCs/>
          <w:color w:val="0623BA"/>
          <w:sz w:val="24"/>
          <w:highlight w:val="none"/>
          <w:lang w:eastAsia="zh-CN"/>
        </w:rPr>
        <w:t>；</w:t>
      </w:r>
    </w:p>
    <w:p w14:paraId="7A4355C2">
      <w:pPr>
        <w:widowControl/>
        <w:spacing w:line="300" w:lineRule="auto"/>
        <w:ind w:firstLine="482" w:firstLineChars="200"/>
        <w:rPr>
          <w:rFonts w:hint="default" w:ascii="仿宋" w:hAnsi="仿宋" w:eastAsia="仿宋" w:cs="仿宋"/>
          <w:b w:val="0"/>
          <w:bCs w:val="0"/>
          <w:i/>
          <w:iCs/>
          <w:color w:val="0623BA"/>
          <w:sz w:val="24"/>
          <w:highlight w:val="cyan"/>
        </w:rPr>
      </w:pPr>
      <w:r>
        <w:rPr>
          <w:rFonts w:hint="default" w:ascii="仿宋" w:hAnsi="仿宋" w:eastAsia="仿宋" w:cs="仿宋"/>
          <w:b/>
          <w:bCs/>
          <w:i/>
          <w:iCs/>
          <w:color w:val="0623BA"/>
          <w:sz w:val="24"/>
          <w:highlight w:val="none"/>
        </w:rPr>
        <w:t xml:space="preserve">2 </w:t>
      </w:r>
      <w:r>
        <w:rPr>
          <w:rFonts w:hint="default" w:ascii="仿宋" w:hAnsi="仿宋" w:eastAsia="仿宋" w:cs="仿宋"/>
          <w:b w:val="0"/>
          <w:bCs w:val="0"/>
          <w:i/>
          <w:iCs/>
          <w:color w:val="0623BA"/>
          <w:sz w:val="24"/>
          <w:highlight w:val="none"/>
        </w:rPr>
        <w:t>中型光伏发电系统:安装容量大于1MWp和小于或等于30MWP</w:t>
      </w:r>
      <w:r>
        <w:rPr>
          <w:rFonts w:hint="eastAsia" w:ascii="仿宋" w:hAnsi="仿宋" w:eastAsia="仿宋" w:cs="仿宋"/>
          <w:b w:val="0"/>
          <w:bCs w:val="0"/>
          <w:i/>
          <w:iCs/>
          <w:color w:val="0623BA"/>
          <w:kern w:val="2"/>
          <w:sz w:val="24"/>
          <w:highlight w:val="none"/>
          <w:lang w:val="en-US" w:eastAsia="zh-CN"/>
        </w:rPr>
        <w:t>；</w:t>
      </w:r>
    </w:p>
    <w:p w14:paraId="666F83BB">
      <w:pPr>
        <w:widowControl/>
        <w:spacing w:line="300" w:lineRule="auto"/>
        <w:ind w:firstLine="482" w:firstLineChars="200"/>
        <w:rPr>
          <w:rFonts w:hint="default" w:ascii="仿宋" w:hAnsi="仿宋" w:eastAsia="仿宋" w:cs="仿宋"/>
          <w:b w:val="0"/>
          <w:bCs w:val="0"/>
          <w:i/>
          <w:iCs/>
          <w:color w:val="0623BA"/>
          <w:sz w:val="24"/>
          <w:highlight w:val="none"/>
        </w:rPr>
      </w:pPr>
      <w:r>
        <w:rPr>
          <w:rFonts w:hint="default" w:ascii="仿宋" w:hAnsi="仿宋" w:eastAsia="仿宋" w:cs="仿宋"/>
          <w:b/>
          <w:bCs/>
          <w:i/>
          <w:iCs/>
          <w:color w:val="0623BA"/>
          <w:sz w:val="24"/>
          <w:highlight w:val="none"/>
        </w:rPr>
        <w:t xml:space="preserve">3 </w:t>
      </w:r>
      <w:r>
        <w:rPr>
          <w:rFonts w:hint="default" w:ascii="仿宋" w:hAnsi="仿宋" w:eastAsia="仿宋" w:cs="仿宋"/>
          <w:b w:val="0"/>
          <w:bCs w:val="0"/>
          <w:i/>
          <w:iCs/>
          <w:color w:val="0623BA"/>
          <w:sz w:val="24"/>
          <w:highlight w:val="none"/>
        </w:rPr>
        <w:t>大型光伏发电系统:安装容量大于30MWP。</w:t>
      </w:r>
    </w:p>
    <w:p w14:paraId="3C16D8C7">
      <w:pPr>
        <w:pStyle w:val="2"/>
        <w:spacing w:after="0" w:line="360" w:lineRule="auto"/>
        <w:rPr>
          <w:rFonts w:hint="default" w:ascii="Times New Roman" w:hAnsi="Times New Roman" w:eastAsia="宋体" w:cs="Times New Roman"/>
          <w:b/>
          <w:bCs/>
          <w:i w:val="0"/>
          <w:iCs w:val="0"/>
          <w:color w:val="auto"/>
          <w:sz w:val="24"/>
        </w:rPr>
      </w:pPr>
      <w:r>
        <w:rPr>
          <w:rFonts w:hint="eastAsia" w:ascii="Times New Roman" w:hAnsi="Times New Roman" w:eastAsia="宋体" w:cs="Times New Roman"/>
          <w:b/>
          <w:bCs/>
          <w:i w:val="0"/>
          <w:iCs w:val="0"/>
          <w:color w:val="auto"/>
          <w:kern w:val="2"/>
          <w:sz w:val="24"/>
          <w:highlight w:val="none"/>
          <w:lang w:val="en-US" w:eastAsia="zh-CN"/>
        </w:rPr>
        <w:t>3.0.1</w:t>
      </w:r>
      <w:r>
        <w:rPr>
          <w:rFonts w:hint="eastAsia" w:cs="Times New Roman"/>
          <w:b/>
          <w:bCs/>
          <w:i w:val="0"/>
          <w:iCs w:val="0"/>
          <w:color w:val="auto"/>
          <w:kern w:val="2"/>
          <w:sz w:val="24"/>
          <w:highlight w:val="none"/>
          <w:lang w:val="en-US" w:eastAsia="zh-CN"/>
        </w:rPr>
        <w:t>2</w:t>
      </w:r>
      <w:r>
        <w:rPr>
          <w:rFonts w:hint="default" w:cs="Times New Roman"/>
          <w:b w:val="0"/>
          <w:bCs w:val="0"/>
          <w:i w:val="0"/>
          <w:iCs w:val="0"/>
          <w:color w:val="auto"/>
          <w:kern w:val="0"/>
          <w:sz w:val="24"/>
          <w:lang w:val="en-US" w:eastAsia="zh-CN"/>
        </w:rPr>
        <w:t xml:space="preserve"> </w:t>
      </w:r>
      <w:r>
        <w:rPr>
          <w:rFonts w:hint="default" w:ascii="Times New Roman" w:hAnsi="Times New Roman" w:eastAsia="宋体" w:cs="Times New Roman"/>
          <w:b w:val="0"/>
          <w:bCs w:val="0"/>
          <w:color w:val="auto"/>
          <w:kern w:val="0"/>
          <w:sz w:val="24"/>
          <w:szCs w:val="24"/>
          <w:u w:val="none" w:color="auto"/>
          <w:vertAlign w:val="baseline"/>
          <w:lang w:val="en-US" w:eastAsia="zh-CN"/>
        </w:rPr>
        <w:t>已有上人建筑屋顶架设光伏应考虑光伏板和屋面之间足够的使用空间高度，</w:t>
      </w:r>
      <w:r>
        <w:rPr>
          <w:rFonts w:hint="eastAsia" w:cs="Times New Roman"/>
          <w:b w:val="0"/>
          <w:bCs w:val="0"/>
          <w:color w:val="auto"/>
          <w:kern w:val="0"/>
          <w:sz w:val="24"/>
          <w:szCs w:val="24"/>
          <w:u w:val="none" w:color="auto"/>
          <w:vertAlign w:val="baseline"/>
          <w:lang w:val="en-US" w:eastAsia="zh-CN"/>
        </w:rPr>
        <w:t>以</w:t>
      </w:r>
      <w:r>
        <w:rPr>
          <w:rFonts w:hint="default" w:ascii="Times New Roman" w:hAnsi="Times New Roman" w:eastAsia="宋体" w:cs="Times New Roman"/>
          <w:b w:val="0"/>
          <w:bCs w:val="0"/>
          <w:color w:val="auto"/>
          <w:kern w:val="0"/>
          <w:sz w:val="24"/>
          <w:szCs w:val="24"/>
          <w:u w:val="none" w:color="auto"/>
          <w:vertAlign w:val="baseline"/>
          <w:lang w:val="en-US" w:eastAsia="zh-CN"/>
        </w:rPr>
        <w:t>满足光伏的散热和原有屋面的使用的要求</w:t>
      </w:r>
      <w:r>
        <w:rPr>
          <w:rFonts w:hint="eastAsia" w:cs="Times New Roman"/>
          <w:b w:val="0"/>
          <w:bCs w:val="0"/>
          <w:color w:val="auto"/>
          <w:kern w:val="0"/>
          <w:sz w:val="24"/>
          <w:szCs w:val="24"/>
          <w:u w:val="none"/>
          <w:vertAlign w:val="baseline"/>
          <w:lang w:val="en-US" w:eastAsia="zh-CN"/>
        </w:rPr>
        <w:t>。</w:t>
      </w:r>
    </w:p>
    <w:p w14:paraId="657B7D5C">
      <w:pPr>
        <w:widowControl/>
        <w:spacing w:line="300" w:lineRule="auto"/>
        <w:jc w:val="left"/>
        <w:rPr>
          <w:sz w:val="24"/>
        </w:rPr>
      </w:pPr>
      <w:r>
        <w:rPr>
          <w:sz w:val="24"/>
        </w:rPr>
        <w:br w:type="page"/>
      </w:r>
    </w:p>
    <w:p w14:paraId="6504AA23">
      <w:pPr>
        <w:pStyle w:val="5"/>
        <w:spacing w:before="95" w:beforeLines="30" w:after="95" w:afterLines="30" w:line="300" w:lineRule="auto"/>
        <w:jc w:val="center"/>
        <w:rPr>
          <w:rFonts w:hint="default" w:ascii="Times New Roman" w:hAnsi="Times New Roman" w:eastAsia="黑体" w:cs="Times New Roman"/>
          <w:sz w:val="28"/>
          <w:szCs w:val="28"/>
        </w:rPr>
      </w:pPr>
      <w:bookmarkStart w:id="55" w:name="_Toc28402"/>
      <w:bookmarkStart w:id="56" w:name="_Toc8033"/>
      <w:bookmarkStart w:id="57" w:name="_Toc7827"/>
      <w:bookmarkStart w:id="58" w:name="_Toc5210"/>
      <w:bookmarkStart w:id="59" w:name="_Toc7116"/>
      <w:bookmarkStart w:id="60" w:name="_Toc19911"/>
      <w:bookmarkStart w:id="61" w:name="_Toc12047"/>
      <w:bookmarkStart w:id="62" w:name="_Toc7054"/>
      <w:r>
        <w:rPr>
          <w:rFonts w:hint="default" w:ascii="Times New Roman" w:hAnsi="Times New Roman" w:eastAsia="黑体" w:cs="Times New Roman"/>
          <w:sz w:val="28"/>
          <w:szCs w:val="28"/>
        </w:rPr>
        <w:t>4 设备和材料</w:t>
      </w:r>
      <w:bookmarkEnd w:id="55"/>
      <w:bookmarkEnd w:id="56"/>
      <w:bookmarkEnd w:id="57"/>
      <w:bookmarkEnd w:id="58"/>
      <w:bookmarkEnd w:id="59"/>
      <w:bookmarkEnd w:id="60"/>
      <w:bookmarkEnd w:id="61"/>
      <w:bookmarkEnd w:id="62"/>
    </w:p>
    <w:p w14:paraId="445A10C8">
      <w:pPr>
        <w:keepNext/>
        <w:keepLines/>
        <w:snapToGrid w:val="0"/>
        <w:spacing w:before="95" w:beforeLines="30" w:after="95" w:afterLines="30" w:line="300" w:lineRule="auto"/>
        <w:jc w:val="center"/>
        <w:outlineLvl w:val="2"/>
        <w:rPr>
          <w:b/>
          <w:sz w:val="24"/>
          <w:szCs w:val="32"/>
        </w:rPr>
      </w:pPr>
      <w:bookmarkStart w:id="63" w:name="_Toc26885"/>
      <w:bookmarkStart w:id="64" w:name="_Toc26068"/>
      <w:bookmarkStart w:id="65" w:name="_Toc9210"/>
      <w:bookmarkStart w:id="66" w:name="_Toc21"/>
      <w:bookmarkStart w:id="67" w:name="_Toc17362"/>
      <w:bookmarkStart w:id="68" w:name="_Toc19917"/>
      <w:bookmarkStart w:id="69" w:name="_Toc6187"/>
      <w:bookmarkStart w:id="70" w:name="_Toc16303"/>
      <w:r>
        <w:rPr>
          <w:b/>
          <w:sz w:val="24"/>
          <w:szCs w:val="32"/>
        </w:rPr>
        <w:t>4.1一般规定</w:t>
      </w:r>
      <w:bookmarkEnd w:id="63"/>
      <w:bookmarkEnd w:id="64"/>
      <w:bookmarkEnd w:id="65"/>
      <w:bookmarkEnd w:id="66"/>
      <w:bookmarkEnd w:id="67"/>
      <w:bookmarkEnd w:id="68"/>
      <w:bookmarkEnd w:id="69"/>
      <w:bookmarkEnd w:id="70"/>
    </w:p>
    <w:p w14:paraId="0075758E">
      <w:pPr>
        <w:snapToGrid w:val="0"/>
        <w:spacing w:line="300" w:lineRule="auto"/>
        <w:jc w:val="left"/>
        <w:rPr>
          <w:sz w:val="24"/>
        </w:rPr>
      </w:pPr>
      <w:r>
        <w:rPr>
          <w:b/>
          <w:bCs/>
          <w:sz w:val="24"/>
        </w:rPr>
        <w:t>4.1.1</w:t>
      </w:r>
      <w:r>
        <w:rPr>
          <w:sz w:val="24"/>
        </w:rPr>
        <w:t xml:space="preserve"> 建筑光伏系统设备和材料应符合建筑安全规定，作为建筑材料或构件时应满足建筑功能需求。</w:t>
      </w:r>
    </w:p>
    <w:p w14:paraId="1F06F3BB">
      <w:pPr>
        <w:pStyle w:val="2"/>
        <w:spacing w:line="300" w:lineRule="auto"/>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723169D0">
      <w:pPr>
        <w:pStyle w:val="2"/>
        <w:spacing w:line="300" w:lineRule="auto"/>
        <w:rPr>
          <w:rFonts w:hint="eastAsia" w:ascii="仿宋" w:hAnsi="仿宋" w:eastAsia="仿宋" w:cs="仿宋"/>
          <w:i/>
          <w:iCs/>
          <w:color w:val="0623BA"/>
          <w:sz w:val="24"/>
        </w:rPr>
      </w:pPr>
      <w:r>
        <w:rPr>
          <w:rFonts w:hint="eastAsia" w:ascii="仿宋" w:hAnsi="仿宋" w:eastAsia="仿宋" w:cs="仿宋"/>
          <w:i/>
          <w:iCs/>
          <w:color w:val="0623BA"/>
          <w:sz w:val="24"/>
        </w:rPr>
        <w:t>4.1.1 系统设备与材料应符合国家及地方现行相关标准的规定并有出厂合格证书且应满足设计要求。材料及部件的物理和化学性能应符合建筑所在地的气候、环境等要求。建筑光伏发电系统中逆变器、汇流箱、变压器、配电柜、无功补偿装置等应满足环境温度、相对湿度、海拔高度、地震烈度、污秽等级等使用环境条件要求。</w:t>
      </w:r>
    </w:p>
    <w:p w14:paraId="6892039F">
      <w:pPr>
        <w:pStyle w:val="2"/>
        <w:spacing w:after="0" w:line="300" w:lineRule="auto"/>
        <w:rPr>
          <w:sz w:val="24"/>
        </w:rPr>
      </w:pPr>
      <w:r>
        <w:rPr>
          <w:b/>
          <w:bCs/>
          <w:sz w:val="24"/>
        </w:rPr>
        <w:t>4.1.2</w:t>
      </w:r>
      <w:r>
        <w:rPr>
          <w:sz w:val="24"/>
        </w:rPr>
        <w:t xml:space="preserve"> </w:t>
      </w:r>
      <w:r>
        <w:rPr>
          <w:rFonts w:hint="default" w:ascii="Times New Roman" w:hAnsi="Times New Roman" w:eastAsia="宋体" w:cs="Times New Roman"/>
          <w:b w:val="0"/>
          <w:bCs w:val="0"/>
          <w:sz w:val="24"/>
          <w:szCs w:val="24"/>
          <w:u w:val="none"/>
          <w:vertAlign w:val="baseline"/>
          <w:lang w:val="en-US" w:eastAsia="zh-CN"/>
        </w:rPr>
        <w:t>建筑光伏系统设备和材料的选择应满足建筑安全、功能及环境适应性要求，与建筑物外观相协调并具备良好的耐候性、耐腐蚀性和防火性能</w:t>
      </w:r>
      <w:r>
        <w:rPr>
          <w:sz w:val="24"/>
        </w:rPr>
        <w:t>。</w:t>
      </w:r>
    </w:p>
    <w:p w14:paraId="44FD0ACA">
      <w:pPr>
        <w:pStyle w:val="2"/>
        <w:spacing w:after="0" w:line="300" w:lineRule="auto"/>
        <w:rPr>
          <w:sz w:val="24"/>
        </w:rPr>
      </w:pPr>
      <w:r>
        <w:rPr>
          <w:b/>
          <w:bCs/>
          <w:sz w:val="24"/>
        </w:rPr>
        <w:t>4.1.3</w:t>
      </w:r>
      <w:r>
        <w:rPr>
          <w:sz w:val="24"/>
        </w:rPr>
        <w:t xml:space="preserve"> 建筑光伏系统的建筑设计应结合功能要求选用相应的组件类型、结构方案和构造措施。</w:t>
      </w:r>
    </w:p>
    <w:p w14:paraId="143C663E">
      <w:pPr>
        <w:pStyle w:val="2"/>
        <w:spacing w:after="0" w:line="300" w:lineRule="auto"/>
        <w:rPr>
          <w:sz w:val="24"/>
        </w:rPr>
      </w:pPr>
      <w:r>
        <w:rPr>
          <w:b/>
          <w:bCs/>
          <w:sz w:val="24"/>
        </w:rPr>
        <w:t>4.1.4</w:t>
      </w:r>
      <w:r>
        <w:rPr>
          <w:sz w:val="24"/>
        </w:rPr>
        <w:t xml:space="preserve"> 建筑光伏发电设备和构件</w:t>
      </w:r>
      <w:r>
        <w:rPr>
          <w:rFonts w:hint="eastAsia"/>
          <w:sz w:val="24"/>
          <w:lang w:val="en-US" w:eastAsia="zh-CN"/>
        </w:rPr>
        <w:t>及</w:t>
      </w:r>
      <w:r>
        <w:rPr>
          <w:sz w:val="24"/>
        </w:rPr>
        <w:t>原材料进场时应对品种、规格、外观和尺寸进行验收，应有产品合格证书及相关性能的检验报告并应对必要的性能指标现场取样进行复检</w:t>
      </w:r>
      <w:r>
        <w:rPr>
          <w:rFonts w:hint="default"/>
          <w:sz w:val="24"/>
          <w:lang w:val="en-US" w:eastAsia="zh-CN"/>
        </w:rPr>
        <w:t>并</w:t>
      </w:r>
      <w:r>
        <w:rPr>
          <w:sz w:val="24"/>
        </w:rPr>
        <w:t>应符合在运输、安装和使用过程中的强度、刚度以及稳定性规定。</w:t>
      </w:r>
    </w:p>
    <w:p w14:paraId="2FF03801">
      <w:pPr>
        <w:keepNext/>
        <w:keepLines/>
        <w:snapToGrid w:val="0"/>
        <w:spacing w:before="72" w:beforeLines="30" w:after="72" w:afterLines="30" w:line="300" w:lineRule="auto"/>
        <w:jc w:val="center"/>
        <w:outlineLvl w:val="2"/>
        <w:rPr>
          <w:b/>
          <w:sz w:val="24"/>
          <w:szCs w:val="32"/>
        </w:rPr>
      </w:pPr>
      <w:bookmarkStart w:id="71" w:name="_Toc24025"/>
      <w:bookmarkStart w:id="72" w:name="_Toc13924"/>
      <w:bookmarkStart w:id="73" w:name="_Toc17699"/>
      <w:bookmarkStart w:id="74" w:name="_Toc22523"/>
      <w:bookmarkStart w:id="75" w:name="_Toc350"/>
      <w:bookmarkStart w:id="76" w:name="_Toc29343"/>
      <w:bookmarkStart w:id="77" w:name="_Toc22903"/>
      <w:bookmarkStart w:id="78" w:name="_Toc31689"/>
      <w:r>
        <w:rPr>
          <w:b/>
          <w:sz w:val="24"/>
          <w:szCs w:val="32"/>
        </w:rPr>
        <w:t>4.2光伏组件</w:t>
      </w:r>
      <w:bookmarkEnd w:id="71"/>
      <w:bookmarkEnd w:id="72"/>
      <w:bookmarkEnd w:id="73"/>
      <w:bookmarkEnd w:id="74"/>
      <w:bookmarkEnd w:id="75"/>
      <w:bookmarkEnd w:id="76"/>
      <w:bookmarkEnd w:id="77"/>
      <w:bookmarkEnd w:id="78"/>
    </w:p>
    <w:p w14:paraId="79279215">
      <w:pPr>
        <w:snapToGrid w:val="0"/>
        <w:spacing w:line="300" w:lineRule="auto"/>
        <w:jc w:val="left"/>
        <w:rPr>
          <w:sz w:val="24"/>
        </w:rPr>
      </w:pPr>
      <w:r>
        <w:rPr>
          <w:b/>
          <w:bCs/>
          <w:sz w:val="24"/>
        </w:rPr>
        <w:t>4.2.1</w:t>
      </w:r>
      <w:r>
        <w:rPr>
          <w:sz w:val="24"/>
        </w:rPr>
        <w:t xml:space="preserve"> 建筑用光伏组件按不同分类方式可选用下列类型：</w:t>
      </w:r>
    </w:p>
    <w:p w14:paraId="13ED8251">
      <w:pPr>
        <w:snapToGrid w:val="0"/>
        <w:spacing w:line="300" w:lineRule="auto"/>
        <w:ind w:firstLine="482" w:firstLineChars="200"/>
        <w:jc w:val="left"/>
        <w:rPr>
          <w:sz w:val="24"/>
        </w:rPr>
      </w:pPr>
      <w:r>
        <w:rPr>
          <w:b/>
          <w:bCs/>
          <w:sz w:val="24"/>
        </w:rPr>
        <w:t>1</w:t>
      </w:r>
      <w:r>
        <w:rPr>
          <w:rFonts w:hint="eastAsia"/>
          <w:b/>
          <w:bCs/>
          <w:sz w:val="24"/>
          <w:lang w:val="en-US" w:eastAsia="zh-CN"/>
        </w:rPr>
        <w:t xml:space="preserve"> </w:t>
      </w:r>
      <w:r>
        <w:rPr>
          <w:sz w:val="24"/>
        </w:rPr>
        <w:t>根据与建筑结合方式可选用常规光伏组件和光伏构件；</w:t>
      </w:r>
    </w:p>
    <w:p w14:paraId="0DD214A6">
      <w:pPr>
        <w:snapToGrid w:val="0"/>
        <w:spacing w:line="300" w:lineRule="auto"/>
        <w:ind w:firstLine="482" w:firstLineChars="200"/>
        <w:jc w:val="left"/>
        <w:rPr>
          <w:sz w:val="24"/>
        </w:rPr>
      </w:pPr>
      <w:r>
        <w:rPr>
          <w:b/>
          <w:bCs/>
          <w:sz w:val="24"/>
        </w:rPr>
        <w:t>2.</w:t>
      </w:r>
      <w:r>
        <w:rPr>
          <w:rFonts w:hint="eastAsia"/>
          <w:sz w:val="24"/>
          <w:lang w:val="en-US" w:eastAsia="zh-CN"/>
        </w:rPr>
        <w:t xml:space="preserve"> </w:t>
      </w:r>
      <w:r>
        <w:rPr>
          <w:sz w:val="24"/>
        </w:rPr>
        <w:t>根据光伏电池的类型可选用晶硅光伏组件、薄膜光伏组件及</w:t>
      </w:r>
      <w:r>
        <w:rPr>
          <w:rFonts w:hint="eastAsia"/>
          <w:sz w:val="24"/>
          <w:lang w:val="en-US" w:eastAsia="zh-CN"/>
        </w:rPr>
        <w:t>其他类型</w:t>
      </w:r>
      <w:r>
        <w:rPr>
          <w:sz w:val="24"/>
        </w:rPr>
        <w:t>光伏组件。</w:t>
      </w:r>
    </w:p>
    <w:p w14:paraId="4060CEF7">
      <w:pPr>
        <w:pStyle w:val="2"/>
        <w:spacing w:line="300" w:lineRule="auto"/>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580E1276">
      <w:pPr>
        <w:pStyle w:val="2"/>
        <w:spacing w:line="300" w:lineRule="auto"/>
        <w:ind w:firstLine="0" w:firstLineChars="0"/>
        <w:rPr>
          <w:rFonts w:hint="eastAsia" w:ascii="仿宋" w:hAnsi="仿宋" w:eastAsia="仿宋" w:cs="仿宋"/>
          <w:i/>
          <w:iCs/>
          <w:color w:val="0623BA"/>
          <w:sz w:val="24"/>
        </w:rPr>
      </w:pPr>
      <w:r>
        <w:rPr>
          <w:rFonts w:hint="eastAsia" w:ascii="仿宋" w:hAnsi="仿宋" w:eastAsia="仿宋" w:cs="仿宋"/>
          <w:i/>
          <w:iCs/>
          <w:color w:val="0623BA"/>
          <w:sz w:val="24"/>
        </w:rPr>
        <w:t>4.2.1 国家发展改革委、住房城乡建设部在《加快推动建筑领域节能降碳工作方案》提出，支持超低能耗、近零能耗、低碳、零碳等建筑新一代技术研发，持续推进超低能耗建筑构配件、高防火性能外墙保温系统、高效节能低碳设备系统、建筑运行调适等关键技术研究，支持钙钛矿、碲化镉等薄膜电池技术装备在建筑领域应用。钙钛矿和碲化镉太阳能电池作为一种新型清洁能源技术，随着光电转化效率的逐步提高，技术逐渐成熟，应逐步推广新技术、新产品在建筑中的应用。</w:t>
      </w:r>
    </w:p>
    <w:p w14:paraId="781CD573">
      <w:pPr>
        <w:snapToGrid w:val="0"/>
        <w:spacing w:line="300" w:lineRule="auto"/>
        <w:jc w:val="both"/>
        <w:rPr>
          <w:rFonts w:hint="eastAsia"/>
          <w:sz w:val="24"/>
        </w:rPr>
      </w:pPr>
      <w:r>
        <w:rPr>
          <w:rFonts w:hint="eastAsia"/>
          <w:b/>
          <w:bCs/>
          <w:sz w:val="24"/>
          <w:lang w:val="en-US" w:eastAsia="zh-CN"/>
        </w:rPr>
        <w:t>4.2.2</w:t>
      </w:r>
      <w:r>
        <w:rPr>
          <w:rFonts w:hint="eastAsia"/>
          <w:sz w:val="24"/>
        </w:rPr>
        <w:t xml:space="preserve"> 光伏组件设计使用寿命应高于25年，P型单玻组件</w:t>
      </w:r>
      <w:r>
        <w:rPr>
          <w:rFonts w:hint="eastAsia"/>
          <w:sz w:val="24"/>
          <w:lang w:eastAsia="zh-CN"/>
        </w:rPr>
        <w:t>、</w:t>
      </w:r>
      <w:r>
        <w:rPr>
          <w:rFonts w:hint="eastAsia"/>
          <w:sz w:val="24"/>
        </w:rPr>
        <w:t>P型双玻组件</w:t>
      </w:r>
      <w:r>
        <w:rPr>
          <w:rFonts w:hint="eastAsia"/>
          <w:sz w:val="24"/>
          <w:lang w:eastAsia="zh-CN"/>
        </w:rPr>
        <w:t>、</w:t>
      </w:r>
      <w:r>
        <w:rPr>
          <w:rFonts w:hint="eastAsia"/>
          <w:sz w:val="24"/>
        </w:rPr>
        <w:t>N型双玻组件</w:t>
      </w:r>
      <w:r>
        <w:rPr>
          <w:rFonts w:hint="eastAsia"/>
          <w:sz w:val="24"/>
          <w:lang w:eastAsia="zh-CN"/>
        </w:rPr>
        <w:t>、</w:t>
      </w:r>
      <w:r>
        <w:rPr>
          <w:rFonts w:hint="eastAsia"/>
          <w:sz w:val="24"/>
        </w:rPr>
        <w:t>异质结型双玻组件</w:t>
      </w:r>
      <w:r>
        <w:rPr>
          <w:rFonts w:hint="eastAsia"/>
          <w:sz w:val="24"/>
          <w:lang w:eastAsia="zh-CN"/>
        </w:rPr>
        <w:t>、薄膜组件</w:t>
      </w:r>
      <w:r>
        <w:rPr>
          <w:rFonts w:hint="eastAsia"/>
          <w:sz w:val="24"/>
        </w:rPr>
        <w:t>自系统运行之日起，一年内的衰减率应分别低于2%、</w:t>
      </w:r>
      <w:r>
        <w:rPr>
          <w:rFonts w:hint="eastAsia"/>
          <w:sz w:val="24"/>
          <w:lang w:val="en-US" w:eastAsia="zh-CN"/>
        </w:rPr>
        <w:t>2</w:t>
      </w:r>
      <w:r>
        <w:rPr>
          <w:rFonts w:hint="eastAsia"/>
          <w:sz w:val="24"/>
        </w:rPr>
        <w:t>%、</w:t>
      </w:r>
      <w:r>
        <w:rPr>
          <w:rFonts w:hint="eastAsia"/>
          <w:sz w:val="24"/>
          <w:lang w:val="en-US" w:eastAsia="zh-CN"/>
        </w:rPr>
        <w:t>1</w:t>
      </w:r>
      <w:r>
        <w:rPr>
          <w:rFonts w:hint="eastAsia"/>
          <w:sz w:val="24"/>
        </w:rPr>
        <w:t>%</w:t>
      </w:r>
      <w:r>
        <w:rPr>
          <w:rFonts w:hint="eastAsia"/>
          <w:sz w:val="24"/>
          <w:lang w:eastAsia="zh-CN"/>
        </w:rPr>
        <w:t>、</w:t>
      </w:r>
      <w:r>
        <w:rPr>
          <w:rFonts w:hint="eastAsia"/>
          <w:sz w:val="24"/>
          <w:lang w:val="en-US" w:eastAsia="zh-CN"/>
        </w:rPr>
        <w:t>1%、4%</w:t>
      </w:r>
      <w:r>
        <w:rPr>
          <w:rFonts w:hint="eastAsia"/>
          <w:sz w:val="24"/>
        </w:rPr>
        <w:t>，之后每年衰减不应高于0.</w:t>
      </w:r>
      <w:r>
        <w:rPr>
          <w:rFonts w:hint="eastAsia"/>
          <w:sz w:val="24"/>
          <w:lang w:val="en-US" w:eastAsia="zh-CN"/>
        </w:rPr>
        <w:t>55</w:t>
      </w:r>
      <w:r>
        <w:rPr>
          <w:rFonts w:hint="eastAsia"/>
          <w:sz w:val="24"/>
        </w:rPr>
        <w:t>%</w:t>
      </w:r>
      <w:r>
        <w:rPr>
          <w:rFonts w:hint="eastAsia"/>
          <w:sz w:val="24"/>
          <w:lang w:eastAsia="zh-CN"/>
        </w:rPr>
        <w:t>、</w:t>
      </w:r>
      <w:r>
        <w:rPr>
          <w:rFonts w:hint="eastAsia"/>
          <w:sz w:val="24"/>
        </w:rPr>
        <w:t>0.45%</w:t>
      </w:r>
      <w:r>
        <w:rPr>
          <w:rFonts w:hint="eastAsia"/>
          <w:sz w:val="24"/>
          <w:lang w:eastAsia="zh-CN"/>
        </w:rPr>
        <w:t>、</w:t>
      </w:r>
      <w:r>
        <w:rPr>
          <w:rFonts w:hint="eastAsia"/>
          <w:sz w:val="24"/>
        </w:rPr>
        <w:t>0.4</w:t>
      </w:r>
      <w:r>
        <w:rPr>
          <w:rFonts w:hint="eastAsia"/>
          <w:sz w:val="24"/>
          <w:lang w:val="en-US" w:eastAsia="zh-CN"/>
        </w:rPr>
        <w:t>0</w:t>
      </w:r>
      <w:r>
        <w:rPr>
          <w:rFonts w:hint="eastAsia"/>
          <w:sz w:val="24"/>
        </w:rPr>
        <w:t>%</w:t>
      </w:r>
      <w:r>
        <w:rPr>
          <w:rFonts w:hint="eastAsia"/>
          <w:sz w:val="24"/>
          <w:lang w:eastAsia="zh-CN"/>
        </w:rPr>
        <w:t>、</w:t>
      </w:r>
      <w:r>
        <w:rPr>
          <w:rFonts w:hint="eastAsia"/>
          <w:sz w:val="24"/>
        </w:rPr>
        <w:t>0.375%</w:t>
      </w:r>
      <w:r>
        <w:rPr>
          <w:rFonts w:hint="eastAsia"/>
          <w:sz w:val="24"/>
          <w:lang w:eastAsia="zh-CN"/>
        </w:rPr>
        <w:t>、</w:t>
      </w:r>
      <w:r>
        <w:rPr>
          <w:rFonts w:hint="eastAsia"/>
          <w:sz w:val="24"/>
        </w:rPr>
        <w:t>0.4</w:t>
      </w:r>
      <w:r>
        <w:rPr>
          <w:rFonts w:hint="eastAsia"/>
          <w:sz w:val="24"/>
          <w:lang w:val="en-US" w:eastAsia="zh-CN"/>
        </w:rPr>
        <w:t>0</w:t>
      </w:r>
      <w:r>
        <w:rPr>
          <w:rFonts w:hint="eastAsia"/>
          <w:sz w:val="24"/>
        </w:rPr>
        <w:t>%</w:t>
      </w:r>
      <w:r>
        <w:rPr>
          <w:rFonts w:hint="eastAsia"/>
          <w:sz w:val="24"/>
          <w:lang w:eastAsia="zh-CN"/>
        </w:rPr>
        <w:t>，</w:t>
      </w:r>
      <w:r>
        <w:rPr>
          <w:rFonts w:hint="eastAsia"/>
          <w:sz w:val="24"/>
        </w:rPr>
        <w:t>25年期衰减累积不超过15%</w:t>
      </w:r>
      <w:r>
        <w:rPr>
          <w:rFonts w:hint="eastAsia"/>
          <w:sz w:val="24"/>
          <w:lang w:eastAsia="zh-CN"/>
        </w:rPr>
        <w:t>、</w:t>
      </w:r>
      <w:r>
        <w:rPr>
          <w:rFonts w:hint="eastAsia"/>
          <w:sz w:val="24"/>
        </w:rPr>
        <w:t>12.8%</w:t>
      </w:r>
      <w:r>
        <w:rPr>
          <w:rFonts w:hint="eastAsia"/>
          <w:sz w:val="24"/>
          <w:lang w:eastAsia="zh-CN"/>
        </w:rPr>
        <w:t>、</w:t>
      </w:r>
      <w:r>
        <w:rPr>
          <w:rFonts w:hint="eastAsia"/>
          <w:sz w:val="24"/>
        </w:rPr>
        <w:t>10.6%</w:t>
      </w:r>
      <w:r>
        <w:rPr>
          <w:rFonts w:hint="eastAsia"/>
          <w:sz w:val="24"/>
          <w:lang w:eastAsia="zh-CN"/>
        </w:rPr>
        <w:t>、</w:t>
      </w:r>
      <w:r>
        <w:rPr>
          <w:rFonts w:hint="eastAsia"/>
          <w:sz w:val="24"/>
        </w:rPr>
        <w:t>10%</w:t>
      </w:r>
      <w:r>
        <w:rPr>
          <w:rFonts w:hint="eastAsia"/>
          <w:sz w:val="24"/>
          <w:lang w:eastAsia="zh-CN"/>
        </w:rPr>
        <w:t>、</w:t>
      </w:r>
      <w:r>
        <w:rPr>
          <w:rFonts w:hint="eastAsia"/>
          <w:sz w:val="24"/>
          <w:lang w:val="en-US" w:eastAsia="zh-CN"/>
        </w:rPr>
        <w:t>14%</w:t>
      </w:r>
      <w:r>
        <w:rPr>
          <w:rFonts w:hint="eastAsia"/>
          <w:sz w:val="24"/>
        </w:rPr>
        <w:t>。P型双面组件</w:t>
      </w:r>
      <w:r>
        <w:rPr>
          <w:rFonts w:hint="eastAsia"/>
          <w:sz w:val="24"/>
          <w:lang w:eastAsia="zh-CN"/>
        </w:rPr>
        <w:t>、</w:t>
      </w:r>
      <w:r>
        <w:rPr>
          <w:rFonts w:hint="eastAsia"/>
          <w:sz w:val="24"/>
        </w:rPr>
        <w:t>N型双面组件</w:t>
      </w:r>
      <w:r>
        <w:rPr>
          <w:rFonts w:hint="eastAsia"/>
          <w:sz w:val="24"/>
          <w:lang w:eastAsia="zh-CN"/>
        </w:rPr>
        <w:t>、</w:t>
      </w:r>
      <w:r>
        <w:rPr>
          <w:rFonts w:hint="eastAsia"/>
          <w:sz w:val="24"/>
        </w:rPr>
        <w:t>异质结型双面组件双面率不低于70%</w:t>
      </w:r>
      <w:r>
        <w:rPr>
          <w:rFonts w:hint="eastAsia"/>
          <w:sz w:val="24"/>
          <w:lang w:eastAsia="zh-CN"/>
        </w:rPr>
        <w:t>、</w:t>
      </w:r>
      <w:r>
        <w:rPr>
          <w:rFonts w:hint="eastAsia"/>
          <w:sz w:val="24"/>
        </w:rPr>
        <w:t>80%</w:t>
      </w:r>
      <w:r>
        <w:rPr>
          <w:rFonts w:hint="eastAsia"/>
          <w:sz w:val="24"/>
          <w:lang w:eastAsia="zh-CN"/>
        </w:rPr>
        <w:t>、</w:t>
      </w:r>
      <w:r>
        <w:rPr>
          <w:rFonts w:hint="eastAsia"/>
          <w:sz w:val="24"/>
        </w:rPr>
        <w:t>85%。</w:t>
      </w:r>
    </w:p>
    <w:p w14:paraId="691BDF18">
      <w:pPr>
        <w:pStyle w:val="2"/>
        <w:spacing w:line="300" w:lineRule="auto"/>
        <w:rPr>
          <w:rFonts w:hint="eastAsia" w:ascii="仿宋" w:hAnsi="仿宋" w:eastAsia="仿宋" w:cs="仿宋"/>
          <w:b w:val="0"/>
          <w:bCs w:val="0"/>
          <w:i/>
          <w:iCs/>
          <w:color w:val="0623BA"/>
          <w:sz w:val="24"/>
        </w:rPr>
      </w:pPr>
      <w:r>
        <w:rPr>
          <w:rFonts w:hint="eastAsia" w:ascii="仿宋" w:hAnsi="仿宋" w:eastAsia="仿宋" w:cs="仿宋"/>
          <w:b w:val="0"/>
          <w:bCs w:val="0"/>
          <w:i/>
          <w:iCs/>
          <w:color w:val="0623BA"/>
          <w:sz w:val="24"/>
        </w:rPr>
        <w:t>【条文说明】</w:t>
      </w:r>
    </w:p>
    <w:p w14:paraId="312D1C77">
      <w:pPr>
        <w:snapToGrid w:val="0"/>
        <w:spacing w:line="300" w:lineRule="auto"/>
        <w:jc w:val="both"/>
        <w:rPr>
          <w:rFonts w:hint="eastAsia"/>
          <w:sz w:val="24"/>
        </w:rPr>
      </w:pPr>
      <w:r>
        <w:rPr>
          <w:rFonts w:hint="eastAsia" w:ascii="仿宋" w:hAnsi="仿宋" w:eastAsia="仿宋" w:cs="仿宋"/>
          <w:i/>
          <w:iCs/>
          <w:caps w:val="0"/>
          <w:color w:val="0623BA"/>
          <w:spacing w:val="0"/>
          <w:sz w:val="24"/>
          <w:szCs w:val="24"/>
          <w:shd w:val="clear" w:fill="auto"/>
          <w:lang w:val="en-US" w:eastAsia="zh-CN"/>
        </w:rPr>
        <w:t xml:space="preserve">4.2.2 </w:t>
      </w:r>
      <w:r>
        <w:rPr>
          <w:rFonts w:ascii="仿宋" w:hAnsi="仿宋" w:eastAsia="仿宋" w:cs="仿宋"/>
          <w:b w:val="0"/>
          <w:bCs w:val="0"/>
          <w:i w:val="0"/>
          <w:iCs w:val="0"/>
          <w:color w:val="0623BA"/>
          <w:sz w:val="26"/>
          <w:szCs w:val="26"/>
        </w:rPr>
        <w:t>根据</w:t>
      </w:r>
      <w:r>
        <w:rPr>
          <w:rFonts w:hint="eastAsia" w:ascii="仿宋" w:hAnsi="仿宋" w:eastAsia="仿宋" w:cs="仿宋"/>
          <w:b w:val="0"/>
          <w:bCs w:val="0"/>
          <w:i w:val="0"/>
          <w:iCs w:val="0"/>
          <w:color w:val="0623BA"/>
          <w:sz w:val="26"/>
          <w:szCs w:val="26"/>
        </w:rPr>
        <w:t>工业和信息化部印发</w:t>
      </w:r>
      <w:r>
        <w:rPr>
          <w:rFonts w:hint="eastAsia" w:ascii="仿宋" w:hAnsi="仿宋" w:eastAsia="仿宋" w:cs="仿宋"/>
          <w:b w:val="0"/>
          <w:bCs w:val="0"/>
          <w:i w:val="0"/>
          <w:iCs w:val="0"/>
          <w:color w:val="0623BA"/>
          <w:sz w:val="26"/>
          <w:szCs w:val="26"/>
          <w:lang w:val="en-US" w:eastAsia="zh-CN"/>
        </w:rPr>
        <w:t>的</w:t>
      </w:r>
      <w:r>
        <w:rPr>
          <w:rFonts w:hint="eastAsia" w:ascii="仿宋" w:hAnsi="仿宋" w:eastAsia="仿宋" w:cs="仿宋"/>
          <w:b w:val="0"/>
          <w:bCs w:val="0"/>
          <w:i w:val="0"/>
          <w:iCs w:val="0"/>
          <w:color w:val="0623BA"/>
          <w:sz w:val="26"/>
          <w:szCs w:val="26"/>
        </w:rPr>
        <w:t>《光伏制造行业规范条件》（2024年本）</w:t>
      </w:r>
      <w:r>
        <w:rPr>
          <w:rFonts w:hint="eastAsia" w:ascii="仿宋" w:hAnsi="仿宋" w:eastAsia="仿宋" w:cs="仿宋"/>
          <w:b w:val="0"/>
          <w:bCs w:val="0"/>
          <w:i w:val="0"/>
          <w:iCs w:val="0"/>
          <w:color w:val="0623BA"/>
          <w:sz w:val="26"/>
          <w:szCs w:val="26"/>
          <w:lang w:val="en-US" w:eastAsia="zh-CN"/>
        </w:rPr>
        <w:t>并对P型单玻组件和P型双玻组件进行了规定</w:t>
      </w:r>
      <w:r>
        <w:rPr>
          <w:rFonts w:ascii="仿宋" w:hAnsi="仿宋" w:eastAsia="仿宋" w:cs="仿宋"/>
          <w:b w:val="0"/>
          <w:bCs w:val="0"/>
          <w:i w:val="0"/>
          <w:iCs w:val="0"/>
          <w:color w:val="0623BA"/>
          <w:sz w:val="26"/>
          <w:szCs w:val="26"/>
        </w:rPr>
        <w:t xml:space="preserve">。 </w:t>
      </w:r>
    </w:p>
    <w:p w14:paraId="39ADE0B1">
      <w:pPr>
        <w:snapToGrid w:val="0"/>
        <w:spacing w:line="300" w:lineRule="auto"/>
        <w:jc w:val="left"/>
        <w:rPr>
          <w:rFonts w:hint="eastAsia"/>
          <w:sz w:val="24"/>
        </w:rPr>
      </w:pPr>
      <w:r>
        <w:rPr>
          <w:rFonts w:hint="eastAsia"/>
          <w:b/>
          <w:bCs/>
          <w:sz w:val="24"/>
        </w:rPr>
        <w:t>4.2.</w:t>
      </w:r>
      <w:r>
        <w:rPr>
          <w:rFonts w:hint="eastAsia"/>
          <w:b/>
          <w:bCs/>
          <w:sz w:val="24"/>
          <w:lang w:val="en-US" w:eastAsia="zh-CN"/>
        </w:rPr>
        <w:t xml:space="preserve">3 </w:t>
      </w:r>
      <w:r>
        <w:rPr>
          <w:rFonts w:hint="eastAsia"/>
          <w:sz w:val="24"/>
        </w:rPr>
        <w:t>光伏组件抗风性应满足自身抗风性要求</w:t>
      </w:r>
      <w:r>
        <w:rPr>
          <w:rFonts w:hint="eastAsia"/>
          <w:sz w:val="24"/>
          <w:lang w:eastAsia="zh-CN"/>
        </w:rPr>
        <w:t>，</w:t>
      </w:r>
      <w:r>
        <w:rPr>
          <w:rFonts w:hint="eastAsia"/>
          <w:sz w:val="24"/>
          <w:lang w:val="en-US" w:eastAsia="zh-CN"/>
        </w:rPr>
        <w:t>导线应固定并满足抗风要求</w:t>
      </w:r>
      <w:r>
        <w:rPr>
          <w:rFonts w:hint="eastAsia"/>
          <w:sz w:val="24"/>
        </w:rPr>
        <w:t>。</w:t>
      </w:r>
    </w:p>
    <w:p w14:paraId="16029923">
      <w:pPr>
        <w:pStyle w:val="2"/>
        <w:spacing w:line="300" w:lineRule="auto"/>
        <w:rPr>
          <w:rFonts w:hint="eastAsia" w:ascii="仿宋" w:hAnsi="仿宋" w:eastAsia="仿宋" w:cs="仿宋"/>
          <w:b w:val="0"/>
          <w:bCs w:val="0"/>
          <w:i/>
          <w:iCs/>
          <w:color w:val="0623BA"/>
          <w:sz w:val="24"/>
        </w:rPr>
      </w:pPr>
      <w:r>
        <w:rPr>
          <w:rFonts w:hint="eastAsia" w:ascii="仿宋" w:hAnsi="仿宋" w:eastAsia="仿宋" w:cs="仿宋"/>
          <w:b w:val="0"/>
          <w:bCs w:val="0"/>
          <w:i/>
          <w:iCs/>
          <w:color w:val="0623BA"/>
          <w:sz w:val="24"/>
        </w:rPr>
        <w:t>【条文说明】</w:t>
      </w:r>
    </w:p>
    <w:p w14:paraId="3CB02627">
      <w:pPr>
        <w:pStyle w:val="2"/>
        <w:spacing w:line="300" w:lineRule="auto"/>
        <w:rPr>
          <w:rFonts w:hint="eastAsia" w:ascii="仿宋" w:hAnsi="仿宋" w:eastAsia="仿宋" w:cs="仿宋"/>
          <w:i/>
          <w:iCs/>
          <w:color w:val="0623BA"/>
          <w:sz w:val="24"/>
        </w:rPr>
      </w:pPr>
      <w:r>
        <w:rPr>
          <w:rFonts w:hint="eastAsia" w:ascii="仿宋" w:hAnsi="仿宋" w:eastAsia="仿宋" w:cs="仿宋"/>
          <w:i/>
          <w:iCs/>
          <w:caps w:val="0"/>
          <w:color w:val="0623BA"/>
          <w:spacing w:val="0"/>
          <w:sz w:val="24"/>
          <w:szCs w:val="24"/>
          <w:shd w:val="clear" w:fill="auto"/>
          <w:lang w:val="en-US" w:eastAsia="zh-CN"/>
        </w:rPr>
        <w:t>4.2.3</w:t>
      </w:r>
      <w:r>
        <w:rPr>
          <w:rFonts w:hint="eastAsia" w:ascii="仿宋" w:hAnsi="仿宋" w:eastAsia="仿宋" w:cs="仿宋"/>
          <w:i/>
          <w:iCs/>
          <w:caps w:val="0"/>
          <w:color w:val="0623BA"/>
          <w:spacing w:val="0"/>
          <w:sz w:val="24"/>
          <w:szCs w:val="24"/>
          <w:shd w:val="clear" w:fill="auto"/>
        </w:rPr>
        <w:t>在强风条件下，光伏组件可能会受到物理损伤，如支架弯曲、玻璃破裂等。此外，风力过大还可能导致组件之间的连接松动，进而影响整个系统的稳定性和发电效率。</w:t>
      </w:r>
      <w:r>
        <w:rPr>
          <w:rFonts w:hint="eastAsia" w:ascii="仿宋" w:hAnsi="仿宋" w:eastAsia="仿宋" w:cs="仿宋"/>
          <w:i/>
          <w:iCs/>
          <w:caps w:val="0"/>
          <w:color w:val="0623BA"/>
          <w:spacing w:val="0"/>
          <w:sz w:val="24"/>
          <w:szCs w:val="24"/>
          <w:shd w:val="clear"/>
        </w:rPr>
        <w:t>光伏组件抗风性应满足自身抗风性要求</w:t>
      </w:r>
      <w:r>
        <w:rPr>
          <w:rFonts w:hint="eastAsia" w:ascii="仿宋" w:hAnsi="仿宋" w:eastAsia="仿宋" w:cs="仿宋"/>
          <w:i/>
          <w:iCs/>
          <w:caps w:val="0"/>
          <w:color w:val="0623BA"/>
          <w:spacing w:val="0"/>
          <w:sz w:val="24"/>
          <w:szCs w:val="24"/>
          <w:shd w:val="clear"/>
          <w:lang w:val="en-US" w:eastAsia="zh-CN"/>
        </w:rPr>
        <w:t>并</w:t>
      </w:r>
      <w:r>
        <w:rPr>
          <w:rFonts w:hint="eastAsia" w:ascii="仿宋" w:hAnsi="仿宋" w:eastAsia="仿宋" w:cs="仿宋"/>
          <w:i/>
          <w:iCs/>
          <w:caps w:val="0"/>
          <w:color w:val="0623BA"/>
          <w:spacing w:val="0"/>
          <w:sz w:val="24"/>
          <w:szCs w:val="24"/>
          <w:shd w:val="clear" w:fill="auto"/>
        </w:rPr>
        <w:t>定期检查和维护光伏系统，特别是在风暴过后，是确保其长期稳定运行的重要措施。</w:t>
      </w:r>
    </w:p>
    <w:p w14:paraId="3AAFFAD5">
      <w:pPr>
        <w:snapToGrid w:val="0"/>
        <w:spacing w:line="300" w:lineRule="auto"/>
        <w:jc w:val="left"/>
        <w:rPr>
          <w:sz w:val="24"/>
        </w:rPr>
      </w:pPr>
      <w:r>
        <w:rPr>
          <w:rFonts w:hint="default"/>
          <w:b/>
          <w:bCs/>
          <w:sz w:val="24"/>
          <w:lang w:val="en-US" w:eastAsia="zh-CN"/>
        </w:rPr>
        <w:t>4.2.</w:t>
      </w:r>
      <w:r>
        <w:rPr>
          <w:rFonts w:hint="eastAsia"/>
          <w:b/>
          <w:bCs/>
          <w:sz w:val="24"/>
          <w:lang w:val="en-US" w:eastAsia="zh-CN"/>
        </w:rPr>
        <w:t>4</w:t>
      </w:r>
      <w:r>
        <w:rPr>
          <w:rFonts w:hint="default"/>
          <w:b/>
          <w:bCs/>
          <w:sz w:val="24"/>
          <w:lang w:val="en-US" w:eastAsia="zh-CN"/>
        </w:rPr>
        <w:t xml:space="preserve"> </w:t>
      </w:r>
      <w:r>
        <w:rPr>
          <w:rFonts w:hint="eastAsia"/>
          <w:b/>
          <w:bCs/>
          <w:sz w:val="24"/>
          <w:lang w:val="en-US" w:eastAsia="zh-CN"/>
        </w:rPr>
        <w:t xml:space="preserve"> </w:t>
      </w:r>
      <w:r>
        <w:rPr>
          <w:sz w:val="24"/>
        </w:rPr>
        <w:t>光伏组件及光伏构件的安全性能应符合现行国家标准《光伏（</w:t>
      </w:r>
      <w:r>
        <w:rPr>
          <w:rFonts w:hint="eastAsia"/>
          <w:sz w:val="24"/>
        </w:rPr>
        <w:t>PV</w:t>
      </w:r>
      <w:r>
        <w:rPr>
          <w:sz w:val="24"/>
        </w:rPr>
        <w:t>）组件安全鉴定 第１部分：结构要求》</w:t>
      </w:r>
      <w:r>
        <w:rPr>
          <w:rFonts w:hint="eastAsia"/>
          <w:sz w:val="24"/>
        </w:rPr>
        <w:t>GB/T 20047.1</w:t>
      </w:r>
      <w:r>
        <w:rPr>
          <w:sz w:val="24"/>
        </w:rPr>
        <w:t>和行业标准《建筑用光伏构件通用技术要求》</w:t>
      </w:r>
      <w:r>
        <w:rPr>
          <w:rFonts w:hint="eastAsia"/>
          <w:sz w:val="24"/>
        </w:rPr>
        <w:t>JG/T 492</w:t>
      </w:r>
      <w:r>
        <w:rPr>
          <w:sz w:val="24"/>
        </w:rPr>
        <w:t>的有关规定。</w:t>
      </w:r>
    </w:p>
    <w:p w14:paraId="6B010688">
      <w:pPr>
        <w:snapToGrid w:val="0"/>
        <w:spacing w:line="300" w:lineRule="auto"/>
        <w:jc w:val="left"/>
        <w:rPr>
          <w:sz w:val="24"/>
        </w:rPr>
      </w:pPr>
      <w:r>
        <w:rPr>
          <w:b/>
          <w:bCs/>
          <w:sz w:val="24"/>
        </w:rPr>
        <w:t>4.2.</w:t>
      </w:r>
      <w:r>
        <w:rPr>
          <w:rFonts w:hint="eastAsia"/>
          <w:b/>
          <w:bCs/>
          <w:sz w:val="24"/>
          <w:lang w:val="en-US" w:eastAsia="zh-CN"/>
        </w:rPr>
        <w:t>5</w:t>
      </w:r>
      <w:r>
        <w:rPr>
          <w:sz w:val="24"/>
        </w:rPr>
        <w:t xml:space="preserve"> </w:t>
      </w:r>
      <w:r>
        <w:rPr>
          <w:rFonts w:hint="eastAsia"/>
          <w:sz w:val="24"/>
        </w:rPr>
        <w:t>光伏构件在不同应用场景使用时应符合相关标准的规定并应符合下列</w:t>
      </w:r>
      <w:r>
        <w:rPr>
          <w:rFonts w:hint="eastAsia"/>
          <w:sz w:val="24"/>
          <w:lang w:val="en-US" w:eastAsia="zh-CN"/>
        </w:rPr>
        <w:t>要求</w:t>
      </w:r>
      <w:r>
        <w:rPr>
          <w:rFonts w:hint="eastAsia"/>
          <w:sz w:val="24"/>
        </w:rPr>
        <w:t>：</w:t>
      </w:r>
    </w:p>
    <w:p w14:paraId="0EA4A205">
      <w:pPr>
        <w:snapToGrid w:val="0"/>
        <w:spacing w:line="300" w:lineRule="auto"/>
        <w:ind w:firstLine="482" w:firstLineChars="200"/>
        <w:jc w:val="left"/>
        <w:rPr>
          <w:sz w:val="24"/>
        </w:rPr>
      </w:pPr>
      <w:r>
        <w:rPr>
          <w:b/>
          <w:bCs/>
          <w:sz w:val="24"/>
        </w:rPr>
        <w:t xml:space="preserve">1 </w:t>
      </w:r>
      <w:r>
        <w:rPr>
          <w:rFonts w:hint="eastAsia"/>
          <w:sz w:val="24"/>
        </w:rPr>
        <w:t>光伏构件用做建筑玻璃幕墙、护栏等材料时，其质量应符合现行行业标准《玻璃幕墙工程技术规范》JGJ102、《建筑玻璃应用技术规程》JGJ113</w:t>
      </w:r>
      <w:r>
        <w:rPr>
          <w:sz w:val="24"/>
        </w:rPr>
        <w:t xml:space="preserve"> </w:t>
      </w:r>
      <w:r>
        <w:rPr>
          <w:rFonts w:hint="eastAsia"/>
          <w:sz w:val="24"/>
        </w:rPr>
        <w:t>及《建筑用玻璃与金属护栏》GJ/T342的有关规定；</w:t>
      </w:r>
    </w:p>
    <w:p w14:paraId="2DB0E878">
      <w:pPr>
        <w:snapToGrid w:val="0"/>
        <w:spacing w:line="300" w:lineRule="auto"/>
        <w:ind w:firstLine="482" w:firstLineChars="200"/>
        <w:jc w:val="left"/>
        <w:rPr>
          <w:sz w:val="24"/>
        </w:rPr>
      </w:pPr>
      <w:r>
        <w:rPr>
          <w:b/>
          <w:bCs/>
          <w:sz w:val="24"/>
        </w:rPr>
        <w:t xml:space="preserve">2 </w:t>
      </w:r>
      <w:r>
        <w:rPr>
          <w:rFonts w:hint="eastAsia"/>
          <w:sz w:val="24"/>
        </w:rPr>
        <w:t>光伏构件作为采光顶、遮阳棚、雨棚等材料时</w:t>
      </w:r>
      <w:r>
        <w:rPr>
          <w:rFonts w:hint="eastAsia"/>
          <w:sz w:val="24"/>
          <w:lang w:eastAsia="zh-CN"/>
        </w:rPr>
        <w:t>，</w:t>
      </w:r>
      <w:r>
        <w:rPr>
          <w:rFonts w:hint="eastAsia"/>
          <w:sz w:val="24"/>
        </w:rPr>
        <w:t>其质量应符合现行行业标准《采光顶与金属屋面技术规程》JG1255的有关规定；</w:t>
      </w:r>
    </w:p>
    <w:p w14:paraId="6125CF84">
      <w:pPr>
        <w:snapToGrid w:val="0"/>
        <w:spacing w:line="300" w:lineRule="auto"/>
        <w:ind w:firstLine="482" w:firstLineChars="200"/>
        <w:jc w:val="left"/>
        <w:rPr>
          <w:sz w:val="24"/>
        </w:rPr>
      </w:pPr>
      <w:r>
        <w:rPr>
          <w:rFonts w:hint="default"/>
          <w:b/>
          <w:bCs/>
          <w:sz w:val="24"/>
          <w:lang w:val="en-US"/>
        </w:rPr>
        <w:t>3</w:t>
      </w:r>
      <w:r>
        <w:rPr>
          <w:rFonts w:hint="eastAsia"/>
          <w:b/>
          <w:bCs/>
          <w:sz w:val="24"/>
          <w:lang w:val="en-US" w:eastAsia="zh-CN"/>
        </w:rPr>
        <w:t xml:space="preserve"> </w:t>
      </w:r>
      <w:r>
        <w:rPr>
          <w:rFonts w:hint="eastAsia"/>
          <w:sz w:val="24"/>
        </w:rPr>
        <w:t>光伏构件作为建筑物外饰材料时，其结构安全性能和色彩均匀性应符合现行行业标准《建筑用光伏构件通用技术要求》JG/T</w:t>
      </w:r>
      <w:r>
        <w:rPr>
          <w:sz w:val="24"/>
        </w:rPr>
        <w:t xml:space="preserve"> </w:t>
      </w:r>
      <w:r>
        <w:rPr>
          <w:rFonts w:hint="eastAsia"/>
          <w:sz w:val="24"/>
        </w:rPr>
        <w:t>492的有关规定；</w:t>
      </w:r>
    </w:p>
    <w:p w14:paraId="71EFA894">
      <w:pPr>
        <w:snapToGrid w:val="0"/>
        <w:spacing w:line="300" w:lineRule="auto"/>
        <w:ind w:firstLine="482" w:firstLineChars="200"/>
        <w:jc w:val="left"/>
        <w:rPr>
          <w:sz w:val="24"/>
        </w:rPr>
      </w:pPr>
      <w:r>
        <w:rPr>
          <w:rFonts w:hint="default"/>
          <w:b/>
          <w:bCs/>
          <w:sz w:val="24"/>
          <w:lang w:val="en-US"/>
        </w:rPr>
        <w:t>4</w:t>
      </w:r>
      <w:r>
        <w:rPr>
          <w:rFonts w:hint="eastAsia"/>
          <w:b/>
          <w:bCs/>
          <w:sz w:val="24"/>
          <w:lang w:val="en-US" w:eastAsia="zh-CN"/>
        </w:rPr>
        <w:t xml:space="preserve"> </w:t>
      </w:r>
      <w:r>
        <w:rPr>
          <w:rFonts w:hint="eastAsia"/>
          <w:sz w:val="24"/>
        </w:rPr>
        <w:t>光伏夹层玻璃应符合现行国家标准《建筑用太阳能光伏夹层玻璃》GB</w:t>
      </w:r>
      <w:r>
        <w:rPr>
          <w:sz w:val="24"/>
        </w:rPr>
        <w:t xml:space="preserve"> </w:t>
      </w:r>
      <w:r>
        <w:rPr>
          <w:rFonts w:hint="eastAsia"/>
          <w:sz w:val="24"/>
        </w:rPr>
        <w:t>29551的有关规定，光伏中空玻璃应符合现行国家标准《建筑用太阳能光伏中空玻》GB/T</w:t>
      </w:r>
      <w:r>
        <w:rPr>
          <w:sz w:val="24"/>
        </w:rPr>
        <w:t xml:space="preserve"> 29759 </w:t>
      </w:r>
      <w:r>
        <w:rPr>
          <w:rFonts w:hint="eastAsia"/>
          <w:sz w:val="24"/>
        </w:rPr>
        <w:t>的有关规定。</w:t>
      </w:r>
    </w:p>
    <w:p w14:paraId="49C5870D">
      <w:pPr>
        <w:pStyle w:val="2"/>
        <w:spacing w:line="300" w:lineRule="auto"/>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28F92076">
      <w:pPr>
        <w:pStyle w:val="2"/>
        <w:spacing w:line="300" w:lineRule="auto"/>
        <w:rPr>
          <w:rFonts w:hint="eastAsia" w:ascii="仿宋" w:hAnsi="仿宋" w:eastAsia="仿宋" w:cs="仿宋"/>
          <w:i/>
          <w:iCs/>
          <w:color w:val="0623BA"/>
          <w:sz w:val="24"/>
        </w:rPr>
      </w:pPr>
      <w:r>
        <w:rPr>
          <w:rFonts w:hint="eastAsia" w:ascii="仿宋" w:hAnsi="仿宋" w:eastAsia="仿宋" w:cs="仿宋"/>
          <w:i/>
          <w:iCs/>
          <w:color w:val="0623BA"/>
          <w:sz w:val="24"/>
        </w:rPr>
        <w:t>4.2.</w:t>
      </w:r>
      <w:r>
        <w:rPr>
          <w:rFonts w:hint="eastAsia" w:ascii="仿宋" w:hAnsi="仿宋" w:eastAsia="仿宋" w:cs="仿宋"/>
          <w:i/>
          <w:iCs/>
          <w:color w:val="0623BA"/>
          <w:sz w:val="24"/>
          <w:lang w:val="en-US" w:eastAsia="zh-CN"/>
        </w:rPr>
        <w:t>5</w:t>
      </w:r>
      <w:r>
        <w:rPr>
          <w:rFonts w:hint="eastAsia" w:ascii="仿宋" w:hAnsi="仿宋" w:eastAsia="仿宋" w:cs="仿宋"/>
          <w:i/>
          <w:iCs/>
          <w:color w:val="0623BA"/>
          <w:sz w:val="24"/>
        </w:rPr>
        <w:t xml:space="preserve"> 按照现行行业标准《建筑玻璃应用技术规程》JGJ113中第4.1.13条的要求“光伏构件所选用的玻璃应符合下列规定：1面板玻璃应选用超白玻璃，超白玻璃的透光率不宜小于90%。2背板玻璃应选用均质钢化玻璃3面板玻璃应计算确定其厚度，宜在3mm</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6mm选取，其强度设计值可按本规程式（4.1.4）计算，玻璃厚度系数C取1.0。”光伏构件所选用的玻璃应按此要求执行。光伏组件不应低于B级且不应低于所在建筑物部位要求的材料防火等级。</w:t>
      </w:r>
    </w:p>
    <w:p w14:paraId="0408143B">
      <w:pPr>
        <w:snapToGrid w:val="0"/>
        <w:spacing w:line="300" w:lineRule="auto"/>
        <w:jc w:val="left"/>
        <w:rPr>
          <w:b/>
          <w:bCs/>
          <w:sz w:val="24"/>
        </w:rPr>
      </w:pPr>
      <w:r>
        <w:rPr>
          <w:b/>
          <w:bCs/>
          <w:sz w:val="24"/>
        </w:rPr>
        <w:t>4.2.</w:t>
      </w:r>
      <w:r>
        <w:rPr>
          <w:rFonts w:hint="eastAsia"/>
          <w:b/>
          <w:bCs/>
          <w:sz w:val="24"/>
          <w:lang w:val="en-US" w:eastAsia="zh-CN"/>
        </w:rPr>
        <w:t>6</w:t>
      </w:r>
      <w:r>
        <w:rPr>
          <w:sz w:val="24"/>
        </w:rPr>
        <w:t xml:space="preserve"> </w:t>
      </w:r>
      <w:r>
        <w:rPr>
          <w:rFonts w:hint="eastAsia"/>
          <w:sz w:val="24"/>
        </w:rPr>
        <w:t>光伏发电系统中单晶硅、薄膜电池光伏组件的初始效率</w:t>
      </w:r>
      <w:r>
        <w:rPr>
          <w:rFonts w:hint="eastAsia"/>
          <w:sz w:val="24"/>
          <w:lang w:val="en-US" w:eastAsia="zh-CN"/>
        </w:rPr>
        <w:t>宜</w:t>
      </w:r>
      <w:r>
        <w:rPr>
          <w:rFonts w:hint="eastAsia"/>
          <w:sz w:val="24"/>
        </w:rPr>
        <w:t>符合现行国家标准《光伏发电效率技术规范》 GB/T 39857的规定，建议采用高效光伏组件。</w:t>
      </w:r>
    </w:p>
    <w:p w14:paraId="4CEC1F33">
      <w:pPr>
        <w:snapToGrid w:val="0"/>
        <w:spacing w:line="300" w:lineRule="auto"/>
        <w:jc w:val="left"/>
        <w:rPr>
          <w:sz w:val="24"/>
        </w:rPr>
      </w:pPr>
      <w:r>
        <w:rPr>
          <w:b/>
          <w:bCs/>
          <w:sz w:val="24"/>
        </w:rPr>
        <w:t>4.2.</w:t>
      </w:r>
      <w:r>
        <w:rPr>
          <w:rFonts w:hint="eastAsia"/>
          <w:b/>
          <w:bCs/>
          <w:sz w:val="24"/>
          <w:lang w:val="en-US" w:eastAsia="zh-CN"/>
        </w:rPr>
        <w:t>7</w:t>
      </w:r>
      <w:r>
        <w:rPr>
          <w:sz w:val="24"/>
        </w:rPr>
        <w:t xml:space="preserve"> 光伏采光顶、透明光伏幕墙、非透光光伏幕墙、光伏窗、光伏遮阳等采用的光伏组件的寿命不应低于建筑围护结构的寿命并应符合现行行业标准《建筑用光伏构件通用技术要求》JG/T 492的有关规定。</w:t>
      </w:r>
      <w:r>
        <w:rPr>
          <w:rFonts w:hint="eastAsia"/>
          <w:sz w:val="24"/>
        </w:rPr>
        <w:t>光伏构件的支撑材料和附加零部件性能应</w:t>
      </w:r>
      <w:r>
        <w:rPr>
          <w:rFonts w:hint="eastAsia"/>
          <w:sz w:val="24"/>
          <w:lang w:val="en-US" w:eastAsia="zh-CN"/>
        </w:rPr>
        <w:t>与</w:t>
      </w:r>
      <w:r>
        <w:rPr>
          <w:rFonts w:hint="eastAsia"/>
          <w:sz w:val="24"/>
        </w:rPr>
        <w:t>光伏构件使用寿命相匹配。</w:t>
      </w:r>
    </w:p>
    <w:p w14:paraId="611E7A29">
      <w:pPr>
        <w:pStyle w:val="2"/>
        <w:spacing w:line="300" w:lineRule="auto"/>
        <w:rPr>
          <w:sz w:val="24"/>
        </w:rPr>
      </w:pPr>
      <w:r>
        <w:rPr>
          <w:b/>
          <w:bCs/>
          <w:sz w:val="24"/>
        </w:rPr>
        <w:t>4.2.</w:t>
      </w:r>
      <w:r>
        <w:rPr>
          <w:rFonts w:hint="eastAsia"/>
          <w:b/>
          <w:bCs/>
          <w:sz w:val="24"/>
          <w:lang w:val="en-US" w:eastAsia="zh-CN"/>
        </w:rPr>
        <w:t>8</w:t>
      </w:r>
      <w:r>
        <w:rPr>
          <w:sz w:val="24"/>
        </w:rPr>
        <w:t>光伏组件的防火等级不应低于所在建筑物部位要求的材料防火等级。</w:t>
      </w:r>
    </w:p>
    <w:p w14:paraId="68A32341">
      <w:pPr>
        <w:snapToGrid w:val="0"/>
        <w:spacing w:line="300" w:lineRule="auto"/>
        <w:rPr>
          <w:rFonts w:hint="eastAsia"/>
          <w:sz w:val="24"/>
          <w:lang w:val="en-US" w:eastAsia="zh-CN"/>
        </w:rPr>
      </w:pPr>
      <w:bookmarkStart w:id="79" w:name="_Toc31874"/>
      <w:r>
        <w:rPr>
          <w:rFonts w:hint="eastAsia"/>
          <w:b/>
          <w:bCs/>
          <w:sz w:val="24"/>
          <w:lang w:val="en-US" w:eastAsia="zh-CN"/>
        </w:rPr>
        <w:t>4.2.9</w:t>
      </w:r>
      <w:r>
        <w:rPr>
          <w:rFonts w:hint="eastAsia"/>
          <w:sz w:val="24"/>
          <w:lang w:val="en-US" w:eastAsia="zh-CN"/>
        </w:rPr>
        <w:t xml:space="preserve"> 光伏组件的绝缘电阻应不低于200M</w:t>
      </w:r>
      <w:r>
        <w:rPr>
          <w:rFonts w:hint="default" w:ascii="Times New Roman" w:hAnsi="Times New Roman" w:cs="Times New Roman"/>
          <w:sz w:val="24"/>
        </w:rPr>
        <w:t>Ω</w:t>
      </w:r>
      <w:r>
        <w:rPr>
          <w:rFonts w:hint="eastAsia"/>
          <w:sz w:val="24"/>
          <w:lang w:val="en-US" w:eastAsia="zh-CN"/>
        </w:rPr>
        <w:t>。</w:t>
      </w:r>
      <w:bookmarkEnd w:id="79"/>
    </w:p>
    <w:p w14:paraId="3B4FF605">
      <w:pPr>
        <w:pStyle w:val="2"/>
        <w:spacing w:after="0" w:line="300" w:lineRule="auto"/>
        <w:rPr>
          <w:rFonts w:ascii="Times New Roman" w:hAnsi="Times New Roman" w:eastAsia="宋体" w:cs="Times New Roman"/>
          <w:b w:val="0"/>
          <w:bCs w:val="0"/>
          <w:i w:val="0"/>
          <w:iCs w:val="0"/>
          <w:color w:val="auto"/>
          <w:sz w:val="24"/>
          <w:szCs w:val="24"/>
          <w:highlight w:val="none"/>
        </w:rPr>
      </w:pPr>
      <w:r>
        <w:rPr>
          <w:rFonts w:hint="eastAsia" w:cs="Times New Roman"/>
          <w:b/>
          <w:bCs/>
          <w:i w:val="0"/>
          <w:iCs w:val="0"/>
          <w:sz w:val="24"/>
          <w:szCs w:val="24"/>
          <w:lang w:val="en-US" w:eastAsia="zh-CN"/>
        </w:rPr>
        <w:t>4.2.10</w:t>
      </w:r>
      <w:r>
        <w:rPr>
          <w:rFonts w:hint="eastAsia" w:cs="Times New Roman"/>
          <w:b/>
          <w:bCs/>
          <w:i w:val="0"/>
          <w:iCs w:val="0"/>
          <w:sz w:val="24"/>
          <w:szCs w:val="24"/>
          <w:highlight w:val="none"/>
          <w:lang w:val="en-US" w:eastAsia="zh-CN"/>
        </w:rPr>
        <w:t xml:space="preserve"> </w:t>
      </w:r>
      <w:r>
        <w:rPr>
          <w:rFonts w:ascii="Times New Roman" w:hAnsi="Times New Roman" w:eastAsia="宋体" w:cs="Times New Roman"/>
          <w:b w:val="0"/>
          <w:bCs w:val="0"/>
          <w:i w:val="0"/>
          <w:iCs w:val="0"/>
          <w:color w:val="auto"/>
          <w:sz w:val="24"/>
          <w:szCs w:val="24"/>
          <w:highlight w:val="none"/>
        </w:rPr>
        <w:t>建材型光伏构件作为屋顶、外墙使用时，其材料和构造应符合《</w:t>
      </w:r>
      <w:r>
        <w:rPr>
          <w:rFonts w:hint="eastAsia" w:ascii="Times New Roman" w:hAnsi="Times New Roman" w:eastAsia="宋体" w:cs="Times New Roman"/>
          <w:b w:val="0"/>
          <w:bCs w:val="0"/>
          <w:i w:val="0"/>
          <w:iCs w:val="0"/>
          <w:sz w:val="24"/>
          <w:szCs w:val="24"/>
          <w:highlight w:val="none"/>
        </w:rPr>
        <w:t>建筑防水</w:t>
      </w:r>
      <w:r>
        <w:rPr>
          <w:rFonts w:hint="default" w:ascii="Times New Roman" w:hAnsi="Times New Roman" w:eastAsia="宋体" w:cs="Times New Roman"/>
          <w:b w:val="0"/>
          <w:bCs w:val="0"/>
          <w:i w:val="0"/>
          <w:iCs w:val="0"/>
          <w:color w:val="auto"/>
          <w:sz w:val="24"/>
          <w:szCs w:val="24"/>
          <w:highlight w:val="none"/>
        </w:rPr>
        <w:t>工程技术规程</w:t>
      </w:r>
      <w:r>
        <w:rPr>
          <w:rFonts w:hint="default" w:cs="Times New Roman"/>
          <w:b w:val="0"/>
          <w:bCs w:val="0"/>
          <w:i w:val="0"/>
          <w:iCs w:val="0"/>
          <w:color w:val="auto"/>
          <w:sz w:val="24"/>
          <w:szCs w:val="24"/>
          <w:highlight w:val="none"/>
          <w:lang w:eastAsia="zh-CN"/>
        </w:rPr>
        <w:t>》</w:t>
      </w:r>
      <w:r>
        <w:rPr>
          <w:rFonts w:hint="default" w:ascii="Times New Roman" w:hAnsi="Times New Roman" w:eastAsia="宋体" w:cs="Times New Roman"/>
          <w:b w:val="0"/>
          <w:bCs w:val="0"/>
          <w:i w:val="0"/>
          <w:iCs w:val="0"/>
          <w:color w:val="auto"/>
          <w:sz w:val="24"/>
          <w:szCs w:val="24"/>
          <w:highlight w:val="none"/>
        </w:rPr>
        <w:t>DBJ/T 15-1</w:t>
      </w:r>
      <w:r>
        <w:rPr>
          <w:rFonts w:hint="default" w:cs="Times New Roman"/>
          <w:b w:val="0"/>
          <w:bCs w:val="0"/>
          <w:i w:val="0"/>
          <w:iCs w:val="0"/>
          <w:color w:val="auto"/>
          <w:sz w:val="24"/>
          <w:szCs w:val="24"/>
          <w:highlight w:val="none"/>
          <w:lang w:val="en-US" w:eastAsia="zh-CN"/>
        </w:rPr>
        <w:t>9</w:t>
      </w:r>
      <w:r>
        <w:rPr>
          <w:rFonts w:ascii="Times New Roman" w:hAnsi="Times New Roman" w:eastAsia="宋体" w:cs="Times New Roman"/>
          <w:b w:val="0"/>
          <w:bCs w:val="0"/>
          <w:i w:val="0"/>
          <w:iCs w:val="0"/>
          <w:color w:val="auto"/>
          <w:sz w:val="24"/>
          <w:szCs w:val="24"/>
          <w:highlight w:val="none"/>
        </w:rPr>
        <w:t>的防水要求且应进行防潮处理。</w:t>
      </w:r>
    </w:p>
    <w:p w14:paraId="3EE07BAC">
      <w:pPr>
        <w:pStyle w:val="2"/>
        <w:spacing w:after="0" w:line="300" w:lineRule="auto"/>
        <w:rPr>
          <w:rFonts w:ascii="Times New Roman" w:hAnsi="Times New Roman" w:eastAsia="宋体" w:cs="Times New Roman"/>
          <w:color w:val="auto"/>
          <w:sz w:val="24"/>
          <w:szCs w:val="24"/>
          <w:highlight w:val="none"/>
        </w:rPr>
      </w:pPr>
      <w:r>
        <w:rPr>
          <w:rFonts w:hint="default" w:cs="Times New Roman"/>
          <w:b/>
          <w:bCs/>
          <w:i w:val="0"/>
          <w:iCs w:val="0"/>
          <w:color w:val="auto"/>
          <w:sz w:val="24"/>
          <w:szCs w:val="24"/>
          <w:highlight w:val="none"/>
          <w:lang w:val="en-US" w:eastAsia="zh-CN"/>
        </w:rPr>
        <w:t>4.2.11</w:t>
      </w:r>
      <w:r>
        <w:rPr>
          <w:rFonts w:hint="eastAsia" w:cs="Times New Roman"/>
          <w:b w:val="0"/>
          <w:bCs w:val="0"/>
          <w:i w:val="0"/>
          <w:iCs w:val="0"/>
          <w:color w:val="auto"/>
          <w:sz w:val="24"/>
          <w:szCs w:val="24"/>
          <w:highlight w:val="none"/>
          <w:lang w:val="en-US" w:eastAsia="zh-CN"/>
        </w:rPr>
        <w:t xml:space="preserve"> </w:t>
      </w:r>
      <w:r>
        <w:rPr>
          <w:rFonts w:hint="eastAsia"/>
          <w:sz w:val="24"/>
          <w:lang w:val="en-US" w:eastAsia="zh-CN"/>
        </w:rPr>
        <w:t>光伏</w:t>
      </w:r>
      <w:r>
        <w:rPr>
          <w:rFonts w:ascii="宋体" w:hAnsi="宋体" w:eastAsia="宋体"/>
          <w:sz w:val="24"/>
          <w:szCs w:val="24"/>
        </w:rPr>
        <w:t>组件单块重量</w:t>
      </w:r>
      <w:r>
        <w:rPr>
          <w:rFonts w:hint="eastAsia" w:ascii="宋体" w:hAnsi="宋体" w:eastAsia="宋体"/>
          <w:sz w:val="24"/>
          <w:szCs w:val="24"/>
          <w:lang w:val="en-US" w:eastAsia="zh-CN"/>
        </w:rPr>
        <w:t>不应低于</w:t>
      </w:r>
      <w:r>
        <w:rPr>
          <w:rFonts w:ascii="宋体" w:hAnsi="宋体" w:eastAsia="宋体"/>
          <w:sz w:val="24"/>
          <w:szCs w:val="24"/>
        </w:rPr>
        <w:t>35.5KG/块</w:t>
      </w:r>
      <w:r>
        <w:rPr>
          <w:rFonts w:hint="eastAsia" w:ascii="宋体" w:hAnsi="宋体" w:eastAsia="宋体"/>
          <w:sz w:val="24"/>
          <w:szCs w:val="24"/>
          <w:lang w:eastAsia="zh-CN"/>
        </w:rPr>
        <w:t>，</w:t>
      </w:r>
      <w:r>
        <w:rPr>
          <w:rFonts w:hint="eastAsia" w:ascii="宋体" w:hAnsi="宋体" w:eastAsia="宋体"/>
          <w:sz w:val="24"/>
          <w:szCs w:val="24"/>
          <w:lang w:val="en-US" w:eastAsia="zh-CN"/>
        </w:rPr>
        <w:t>面积宜小于2.8m</w:t>
      </w:r>
      <w:r>
        <w:rPr>
          <w:rFonts w:hint="eastAsia" w:ascii="宋体" w:hAnsi="宋体" w:eastAsia="宋体"/>
          <w:sz w:val="24"/>
          <w:szCs w:val="24"/>
          <w:vertAlign w:val="superscript"/>
          <w:lang w:val="en-US" w:eastAsia="zh-CN"/>
        </w:rPr>
        <w:t>2</w:t>
      </w:r>
      <w:r>
        <w:rPr>
          <w:rFonts w:hint="eastAsia" w:ascii="宋体" w:hAnsi="宋体" w:eastAsia="宋体"/>
          <w:sz w:val="24"/>
          <w:szCs w:val="24"/>
          <w:lang w:val="en-US" w:eastAsia="zh-CN"/>
        </w:rPr>
        <w:t>/块</w:t>
      </w:r>
      <w:r>
        <w:rPr>
          <w:rFonts w:hint="eastAsia" w:ascii="宋体" w:hAnsi="宋体" w:eastAsia="宋体"/>
          <w:sz w:val="24"/>
          <w:szCs w:val="24"/>
          <w:lang w:eastAsia="zh-CN"/>
        </w:rPr>
        <w:t>。</w:t>
      </w:r>
      <w:r>
        <w:rPr>
          <w:rFonts w:ascii="Times New Roman" w:hAnsi="Times New Roman" w:eastAsia="宋体" w:cs="Times New Roman"/>
          <w:color w:val="auto"/>
          <w:sz w:val="24"/>
          <w:szCs w:val="24"/>
          <w:highlight w:val="none"/>
        </w:rPr>
        <w:t xml:space="preserve"> </w:t>
      </w:r>
    </w:p>
    <w:p w14:paraId="6EF5C2B8">
      <w:pPr>
        <w:spacing w:line="300" w:lineRule="auto"/>
        <w:rPr>
          <w:rFonts w:hint="default" w:ascii="Times New Roman" w:hAnsi="Times New Roman" w:eastAsia="宋体" w:cs="Times New Roman"/>
          <w:i w:val="0"/>
          <w:iCs w:val="0"/>
          <w:caps w:val="0"/>
          <w:color w:val="auto"/>
          <w:spacing w:val="0"/>
          <w:sz w:val="24"/>
          <w:szCs w:val="24"/>
          <w:highlight w:val="none"/>
          <w:shd w:val="clear"/>
          <w:lang w:val="en-US" w:eastAsia="zh-CN"/>
        </w:rPr>
      </w:pPr>
      <w:r>
        <w:rPr>
          <w:rFonts w:hint="default" w:cs="Times New Roman"/>
          <w:b/>
          <w:bCs/>
          <w:i w:val="0"/>
          <w:iCs w:val="0"/>
          <w:color w:val="auto"/>
          <w:sz w:val="24"/>
          <w:szCs w:val="24"/>
          <w:highlight w:val="none"/>
          <w:lang w:val="en-US" w:eastAsia="zh-CN"/>
        </w:rPr>
        <w:t>4.2.1</w:t>
      </w:r>
      <w:r>
        <w:rPr>
          <w:rFonts w:hint="eastAsia" w:cs="Times New Roman"/>
          <w:b/>
          <w:bCs/>
          <w:i w:val="0"/>
          <w:iCs w:val="0"/>
          <w:color w:val="auto"/>
          <w:sz w:val="24"/>
          <w:szCs w:val="24"/>
          <w:highlight w:val="none"/>
          <w:lang w:val="en-US" w:eastAsia="zh-CN"/>
        </w:rPr>
        <w:t>2</w:t>
      </w:r>
      <w:r>
        <w:rPr>
          <w:rFonts w:hint="default" w:cs="Times New Roman"/>
          <w:b w:val="0"/>
          <w:bCs w:val="0"/>
          <w:i w:val="0"/>
          <w:iCs w:val="0"/>
          <w:color w:val="auto"/>
          <w:sz w:val="24"/>
          <w:szCs w:val="24"/>
          <w:highlight w:val="none"/>
          <w:lang w:val="en-US" w:eastAsia="zh-CN"/>
        </w:rPr>
        <w:t xml:space="preserve"> </w:t>
      </w:r>
      <w:r>
        <w:rPr>
          <w:rFonts w:hint="default" w:ascii="Times New Roman" w:hAnsi="Times New Roman" w:eastAsia="宋体" w:cs="Times New Roman"/>
          <w:b w:val="0"/>
          <w:bCs w:val="0"/>
          <w:i w:val="0"/>
          <w:iCs w:val="0"/>
          <w:color w:val="auto"/>
          <w:sz w:val="24"/>
          <w:szCs w:val="24"/>
          <w:highlight w:val="none"/>
          <w:lang w:val="en-US" w:eastAsia="zh-CN"/>
        </w:rPr>
        <w:t>光伏组件环境适应性</w:t>
      </w:r>
      <w:r>
        <w:rPr>
          <w:rFonts w:hint="eastAsia" w:cs="Times New Roman"/>
          <w:b w:val="0"/>
          <w:bCs w:val="0"/>
          <w:i w:val="0"/>
          <w:iCs w:val="0"/>
          <w:color w:val="auto"/>
          <w:sz w:val="24"/>
          <w:szCs w:val="24"/>
          <w:highlight w:val="none"/>
          <w:lang w:val="en-US" w:eastAsia="zh-CN"/>
        </w:rPr>
        <w:t>应</w:t>
      </w:r>
      <w:r>
        <w:rPr>
          <w:rFonts w:hint="default" w:ascii="Times New Roman" w:hAnsi="Times New Roman" w:eastAsia="宋体" w:cs="Times New Roman"/>
          <w:b w:val="0"/>
          <w:bCs w:val="0"/>
          <w:i w:val="0"/>
          <w:iCs w:val="0"/>
          <w:color w:val="auto"/>
          <w:sz w:val="24"/>
          <w:szCs w:val="24"/>
          <w:highlight w:val="none"/>
          <w:lang w:val="en-US" w:eastAsia="zh-CN"/>
        </w:rPr>
        <w:t>符合《</w:t>
      </w:r>
      <w:r>
        <w:rPr>
          <w:rFonts w:hint="eastAsia" w:ascii="Times New Roman" w:hAnsi="Times New Roman" w:eastAsia="宋体" w:cs="Times New Roman"/>
          <w:i w:val="0"/>
          <w:iCs w:val="0"/>
          <w:caps w:val="0"/>
          <w:color w:val="auto"/>
          <w:spacing w:val="0"/>
          <w:sz w:val="24"/>
          <w:highlight w:val="none"/>
          <w:shd w:val="clear"/>
        </w:rPr>
        <w:t>地面用晶体硅光伏组件环境适应性测试要求 第 1部分：一般气候条件</w:t>
      </w:r>
      <w:r>
        <w:rPr>
          <w:rFonts w:hint="default" w:ascii="Times New Roman" w:hAnsi="Times New Roman" w:eastAsia="宋体" w:cs="Times New Roman"/>
          <w:i w:val="0"/>
          <w:iCs w:val="0"/>
          <w:caps w:val="0"/>
          <w:color w:val="auto"/>
          <w:spacing w:val="0"/>
          <w:sz w:val="24"/>
          <w:highlight w:val="none"/>
          <w:shd w:val="clear"/>
          <w:lang w:eastAsia="zh-CN"/>
        </w:rPr>
        <w:t>》</w:t>
      </w:r>
      <w:r>
        <w:rPr>
          <w:rFonts w:hint="eastAsia" w:ascii="Times New Roman" w:hAnsi="Times New Roman" w:eastAsia="宋体" w:cs="Times New Roman"/>
          <w:i w:val="0"/>
          <w:iCs w:val="0"/>
          <w:caps w:val="0"/>
          <w:color w:val="auto"/>
          <w:spacing w:val="0"/>
          <w:sz w:val="24"/>
          <w:szCs w:val="24"/>
          <w:highlight w:val="none"/>
          <w:shd w:val="clear"/>
        </w:rPr>
        <w:t>NB/T 42104.1</w:t>
      </w:r>
      <w:r>
        <w:rPr>
          <w:rFonts w:hint="default" w:ascii="Times New Roman" w:hAnsi="Times New Roman" w:eastAsia="宋体" w:cs="Times New Roman"/>
          <w:i w:val="0"/>
          <w:iCs w:val="0"/>
          <w:caps w:val="0"/>
          <w:color w:val="auto"/>
          <w:spacing w:val="0"/>
          <w:sz w:val="24"/>
          <w:szCs w:val="24"/>
          <w:highlight w:val="none"/>
          <w:shd w:val="clear"/>
          <w:lang w:val="en-US" w:eastAsia="zh-CN"/>
        </w:rPr>
        <w:t>要求。</w:t>
      </w:r>
    </w:p>
    <w:p w14:paraId="217B089B">
      <w:pPr>
        <w:pStyle w:val="2"/>
        <w:widowControl w:val="0"/>
        <w:spacing w:after="0" w:line="300" w:lineRule="auto"/>
        <w:rPr>
          <w:rFonts w:hint="eastAsia" w:ascii="宋体" w:hAnsi="宋体" w:eastAsia="宋体"/>
          <w:sz w:val="24"/>
          <w:szCs w:val="24"/>
          <w:lang w:eastAsia="zh-CN"/>
        </w:rPr>
      </w:pPr>
      <w:r>
        <w:rPr>
          <w:rFonts w:hint="default" w:cs="Times New Roman"/>
          <w:b/>
          <w:bCs/>
          <w:i w:val="0"/>
          <w:iCs w:val="0"/>
          <w:color w:val="auto"/>
          <w:sz w:val="24"/>
          <w:szCs w:val="24"/>
          <w:highlight w:val="none"/>
          <w:lang w:val="en-US" w:eastAsia="zh-CN"/>
        </w:rPr>
        <w:t>4.2.1</w:t>
      </w:r>
      <w:r>
        <w:rPr>
          <w:rFonts w:hint="eastAsia" w:cs="Times New Roman"/>
          <w:b/>
          <w:bCs/>
          <w:i w:val="0"/>
          <w:iCs w:val="0"/>
          <w:color w:val="auto"/>
          <w:sz w:val="24"/>
          <w:szCs w:val="24"/>
          <w:highlight w:val="none"/>
          <w:lang w:val="en-US" w:eastAsia="zh-CN"/>
        </w:rPr>
        <w:t>3</w:t>
      </w:r>
      <w:r>
        <w:rPr>
          <w:rFonts w:hint="default" w:cs="Times New Roman"/>
          <w:b w:val="0"/>
          <w:bCs w:val="0"/>
          <w:i w:val="0"/>
          <w:iCs w:val="0"/>
          <w:color w:val="auto"/>
          <w:sz w:val="24"/>
          <w:szCs w:val="24"/>
          <w:highlight w:val="none"/>
          <w:lang w:val="en-US" w:eastAsia="zh-CN"/>
        </w:rPr>
        <w:t xml:space="preserve"> </w:t>
      </w:r>
      <w:r>
        <w:rPr>
          <w:rFonts w:hint="eastAsia" w:cs="Times New Roman"/>
          <w:b w:val="0"/>
          <w:bCs w:val="0"/>
          <w:i w:val="0"/>
          <w:iCs w:val="0"/>
          <w:color w:val="auto"/>
          <w:sz w:val="24"/>
          <w:szCs w:val="24"/>
          <w:highlight w:val="none"/>
          <w:lang w:val="en-US" w:eastAsia="zh-CN"/>
        </w:rPr>
        <w:t>光伏组件</w:t>
      </w:r>
      <w:r>
        <w:rPr>
          <w:rFonts w:hint="eastAsia" w:ascii="宋体" w:hAnsi="宋体" w:eastAsia="宋体"/>
          <w:sz w:val="24"/>
          <w:szCs w:val="24"/>
        </w:rPr>
        <w:t>高温抑制温度</w:t>
      </w:r>
      <w:r>
        <w:rPr>
          <w:rFonts w:hint="eastAsia" w:ascii="宋体" w:hAnsi="宋体" w:eastAsia="宋体"/>
          <w:sz w:val="24"/>
          <w:szCs w:val="24"/>
          <w:lang w:val="en-US" w:eastAsia="zh-CN"/>
        </w:rPr>
        <w:t>应低于</w:t>
      </w:r>
      <w:r>
        <w:rPr>
          <w:rFonts w:hint="eastAsia" w:ascii="宋体" w:hAnsi="宋体" w:eastAsia="宋体"/>
          <w:sz w:val="24"/>
          <w:szCs w:val="24"/>
        </w:rPr>
        <w:t>1</w:t>
      </w:r>
      <w:r>
        <w:rPr>
          <w:rFonts w:ascii="宋体" w:hAnsi="宋体" w:eastAsia="宋体"/>
          <w:sz w:val="24"/>
          <w:szCs w:val="24"/>
        </w:rPr>
        <w:t>40</w:t>
      </w:r>
      <w:r>
        <w:rPr>
          <w:rFonts w:hint="eastAsia" w:ascii="宋体" w:hAnsi="宋体" w:eastAsia="宋体"/>
          <w:sz w:val="24"/>
          <w:szCs w:val="24"/>
        </w:rPr>
        <w:t>℃</w:t>
      </w:r>
      <w:r>
        <w:rPr>
          <w:rFonts w:hint="eastAsia" w:ascii="宋体" w:hAnsi="宋体" w:eastAsia="宋体"/>
          <w:sz w:val="24"/>
          <w:szCs w:val="24"/>
          <w:lang w:eastAsia="zh-CN"/>
        </w:rPr>
        <w:t>。</w:t>
      </w:r>
    </w:p>
    <w:p w14:paraId="4552AA79">
      <w:pPr>
        <w:pStyle w:val="2"/>
        <w:spacing w:after="0" w:line="300" w:lineRule="auto"/>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7E5BB3F8">
      <w:pPr>
        <w:rPr>
          <w:rFonts w:hint="default" w:ascii="仿宋" w:hAnsi="仿宋" w:eastAsia="仿宋" w:cs="仿宋"/>
          <w:b w:val="0"/>
          <w:bCs w:val="0"/>
          <w:i/>
          <w:iCs/>
          <w:color w:val="0623BA"/>
          <w:sz w:val="24"/>
          <w:szCs w:val="24"/>
          <w:lang w:eastAsia="zh-CN"/>
        </w:rPr>
      </w:pPr>
      <w:r>
        <w:rPr>
          <w:rFonts w:hint="default" w:ascii="仿宋" w:hAnsi="仿宋" w:eastAsia="仿宋" w:cs="仿宋"/>
          <w:b w:val="0"/>
          <w:bCs w:val="0"/>
          <w:i/>
          <w:iCs/>
          <w:color w:val="0623BA"/>
          <w:sz w:val="24"/>
          <w:szCs w:val="24"/>
          <w:lang w:val="en-US" w:eastAsia="zh-CN"/>
        </w:rPr>
        <w:t>4.2.13 光伏组件应具有</w:t>
      </w:r>
      <w:r>
        <w:rPr>
          <w:rFonts w:hint="default" w:ascii="仿宋" w:hAnsi="仿宋" w:eastAsia="仿宋" w:cs="仿宋"/>
          <w:i/>
          <w:iCs/>
          <w:color w:val="0623BA"/>
          <w:sz w:val="24"/>
          <w:szCs w:val="24"/>
        </w:rPr>
        <w:t>高温抑制功能，当产生热斑、隐裂等情况</w:t>
      </w:r>
      <w:r>
        <w:rPr>
          <w:rFonts w:hint="default" w:ascii="仿宋" w:hAnsi="仿宋" w:eastAsia="仿宋" w:cs="仿宋"/>
          <w:i/>
          <w:iCs/>
          <w:color w:val="0623BA"/>
          <w:sz w:val="24"/>
          <w:szCs w:val="24"/>
          <w:lang w:val="en-US" w:eastAsia="zh-CN"/>
        </w:rPr>
        <w:t>时</w:t>
      </w:r>
      <w:r>
        <w:rPr>
          <w:rFonts w:hint="default" w:ascii="仿宋" w:hAnsi="仿宋" w:eastAsia="仿宋" w:cs="仿宋"/>
          <w:i/>
          <w:iCs/>
          <w:color w:val="0623BA"/>
          <w:sz w:val="24"/>
          <w:szCs w:val="24"/>
        </w:rPr>
        <w:t>，组件温度最高不能高于1</w:t>
      </w:r>
      <w:r>
        <w:rPr>
          <w:rFonts w:hint="eastAsia" w:ascii="仿宋" w:hAnsi="仿宋" w:eastAsia="仿宋" w:cs="仿宋"/>
          <w:i/>
          <w:iCs/>
          <w:color w:val="0623BA"/>
          <w:sz w:val="24"/>
          <w:szCs w:val="24"/>
        </w:rPr>
        <w:t>40</w:t>
      </w:r>
      <w:r>
        <w:rPr>
          <w:rFonts w:hint="default" w:ascii="仿宋" w:hAnsi="仿宋" w:eastAsia="仿宋" w:cs="仿宋"/>
          <w:i/>
          <w:iCs/>
          <w:color w:val="0623BA"/>
          <w:sz w:val="24"/>
          <w:szCs w:val="24"/>
        </w:rPr>
        <w:t>℃</w:t>
      </w:r>
      <w:r>
        <w:rPr>
          <w:rFonts w:hint="default" w:ascii="仿宋" w:hAnsi="仿宋" w:eastAsia="仿宋" w:cs="仿宋"/>
          <w:i/>
          <w:iCs/>
          <w:color w:val="0623BA"/>
          <w:sz w:val="24"/>
          <w:szCs w:val="24"/>
          <w:lang w:eastAsia="zh-CN"/>
        </w:rPr>
        <w:t>。</w:t>
      </w:r>
    </w:p>
    <w:p w14:paraId="3D90B67D">
      <w:pPr>
        <w:spacing w:line="300" w:lineRule="auto"/>
        <w:rPr>
          <w:rFonts w:hint="default" w:ascii="Times New Roman" w:hAnsi="Times New Roman" w:eastAsia="宋体" w:cs="Times New Roman"/>
          <w:b w:val="0"/>
          <w:bCs w:val="0"/>
          <w:i w:val="0"/>
          <w:iCs w:val="0"/>
          <w:color w:val="auto"/>
          <w:sz w:val="24"/>
          <w:szCs w:val="24"/>
          <w:highlight w:val="none"/>
          <w:lang w:val="en-US" w:eastAsia="zh-CN"/>
        </w:rPr>
      </w:pPr>
      <w:r>
        <w:rPr>
          <w:rFonts w:hint="default" w:ascii="Times New Roman" w:hAnsi="Times New Roman" w:eastAsia="宋体" w:cs="Times New Roman"/>
          <w:b/>
          <w:bCs/>
          <w:i w:val="0"/>
          <w:iCs w:val="0"/>
          <w:color w:val="auto"/>
          <w:sz w:val="24"/>
          <w:szCs w:val="24"/>
          <w:highlight w:val="none"/>
          <w:lang w:val="en-US" w:eastAsia="zh-CN"/>
        </w:rPr>
        <w:t>4.2.14</w:t>
      </w:r>
      <w:r>
        <w:rPr>
          <w:rFonts w:hint="eastAsia" w:cs="Times New Roman"/>
          <w:b w:val="0"/>
          <w:bCs w:val="0"/>
          <w:i w:val="0"/>
          <w:iCs w:val="0"/>
          <w:color w:val="auto"/>
          <w:sz w:val="24"/>
          <w:szCs w:val="24"/>
          <w:highlight w:val="none"/>
          <w:lang w:val="en-US" w:eastAsia="zh-CN"/>
        </w:rPr>
        <w:t xml:space="preserve"> 多晶硅电池、P型单晶硅电池和N型单晶硅电池（双面电池按正面效率计算）的平均光电转换效率应分别不低于21.4%、23.2%和25%。</w:t>
      </w:r>
    </w:p>
    <w:p w14:paraId="49EB15F0">
      <w:pPr>
        <w:keepNext w:val="0"/>
        <w:keepLines w:val="0"/>
        <w:widowControl/>
        <w:suppressLineNumbers w:val="0"/>
        <w:shd w:val="clear" w:fill="FFFFFF"/>
        <w:spacing w:line="300" w:lineRule="auto"/>
        <w:ind w:left="0" w:firstLine="0"/>
        <w:rPr>
          <w:rFonts w:hint="default" w:ascii="Times New Roman" w:hAnsi="Times New Roman" w:eastAsia="宋体" w:cs="Times New Roman"/>
          <w:b w:val="0"/>
          <w:bCs w:val="0"/>
          <w:i w:val="0"/>
          <w:iCs w:val="0"/>
          <w:caps w:val="0"/>
          <w:color w:val="auto"/>
          <w:spacing w:val="0"/>
          <w:sz w:val="24"/>
          <w:highlight w:val="none"/>
          <w:lang w:val="en-US" w:eastAsia="zh-CN"/>
        </w:rPr>
      </w:pPr>
      <w:r>
        <w:rPr>
          <w:rFonts w:hint="default" w:ascii="Times New Roman" w:hAnsi="Times New Roman" w:eastAsia="宋体" w:cs="Times New Roman"/>
          <w:b/>
          <w:bCs/>
          <w:i w:val="0"/>
          <w:iCs w:val="0"/>
          <w:color w:val="auto"/>
          <w:sz w:val="24"/>
          <w:szCs w:val="24"/>
          <w:highlight w:val="none"/>
          <w:lang w:val="en-US" w:eastAsia="zh-CN"/>
        </w:rPr>
        <w:t>4.2.1</w:t>
      </w:r>
      <w:r>
        <w:rPr>
          <w:rFonts w:hint="eastAsia" w:cs="Times New Roman"/>
          <w:b/>
          <w:bCs/>
          <w:i w:val="0"/>
          <w:iCs w:val="0"/>
          <w:color w:val="auto"/>
          <w:sz w:val="24"/>
          <w:szCs w:val="24"/>
          <w:highlight w:val="none"/>
          <w:lang w:val="en-US" w:eastAsia="zh-CN"/>
        </w:rPr>
        <w:t>5</w:t>
      </w:r>
      <w:r>
        <w:rPr>
          <w:rFonts w:hint="eastAsia" w:cs="Times New Roman"/>
          <w:b w:val="0"/>
          <w:bCs w:val="0"/>
          <w:i w:val="0"/>
          <w:iCs w:val="0"/>
          <w:color w:val="auto"/>
          <w:sz w:val="24"/>
          <w:szCs w:val="24"/>
          <w:highlight w:val="none"/>
          <w:lang w:val="en-US" w:eastAsia="zh-CN"/>
        </w:rPr>
        <w:t xml:space="preserve"> 多晶硅组件、P型单晶硅组件和N型单晶硅组件（双面组件按正面效率计算）的平均光电转换效率应分别不低于19.4%、21.2%和22.3%。</w:t>
      </w:r>
    </w:p>
    <w:p w14:paraId="49651992">
      <w:pPr>
        <w:keepNext w:val="0"/>
        <w:keepLines w:val="0"/>
        <w:widowControl/>
        <w:suppressLineNumbers w:val="0"/>
        <w:shd w:val="clear" w:fill="FFFFFF"/>
        <w:spacing w:line="300" w:lineRule="auto"/>
        <w:ind w:left="0" w:firstLine="0"/>
        <w:rPr>
          <w:rFonts w:hint="default" w:ascii="Times New Roman" w:hAnsi="Times New Roman" w:eastAsia="宋体" w:cs="Times New Roman"/>
          <w:b w:val="0"/>
          <w:bCs w:val="0"/>
          <w:i w:val="0"/>
          <w:iCs w:val="0"/>
          <w:caps w:val="0"/>
          <w:color w:val="auto"/>
          <w:spacing w:val="0"/>
          <w:sz w:val="24"/>
          <w:highlight w:val="none"/>
          <w:lang w:val="en-US" w:eastAsia="zh-CN"/>
        </w:rPr>
      </w:pPr>
      <w:r>
        <w:rPr>
          <w:rFonts w:hint="default" w:ascii="Times New Roman" w:hAnsi="Times New Roman" w:eastAsia="宋体" w:cs="Times New Roman"/>
          <w:b/>
          <w:bCs/>
          <w:i w:val="0"/>
          <w:iCs w:val="0"/>
          <w:color w:val="auto"/>
          <w:sz w:val="24"/>
          <w:szCs w:val="24"/>
          <w:highlight w:val="none"/>
          <w:lang w:val="en-US" w:eastAsia="zh-CN"/>
        </w:rPr>
        <w:t>4.2.1</w:t>
      </w:r>
      <w:r>
        <w:rPr>
          <w:rFonts w:hint="eastAsia" w:cs="Times New Roman"/>
          <w:b/>
          <w:bCs/>
          <w:i w:val="0"/>
          <w:iCs w:val="0"/>
          <w:color w:val="auto"/>
          <w:sz w:val="24"/>
          <w:szCs w:val="24"/>
          <w:highlight w:val="none"/>
          <w:lang w:val="en-US" w:eastAsia="zh-CN"/>
        </w:rPr>
        <w:t>6</w:t>
      </w:r>
      <w:r>
        <w:rPr>
          <w:rFonts w:hint="eastAsia" w:cs="Times New Roman"/>
          <w:b w:val="0"/>
          <w:bCs w:val="0"/>
          <w:i w:val="0"/>
          <w:iCs w:val="0"/>
          <w:color w:val="auto"/>
          <w:sz w:val="24"/>
          <w:szCs w:val="24"/>
          <w:highlight w:val="none"/>
          <w:lang w:val="en-US" w:eastAsia="zh-CN"/>
        </w:rPr>
        <w:t xml:space="preserve"> 硅基、铜铟镓硒（CIGS）、碲化镉（CdTe）及钙钛矿等其他薄膜组件的平均光电转换效率应分别不低于12%、15%、15%、14%。</w:t>
      </w:r>
    </w:p>
    <w:p w14:paraId="46405C31">
      <w:pPr>
        <w:pStyle w:val="2"/>
        <w:spacing w:after="0" w:line="300" w:lineRule="auto"/>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0F56772A">
      <w:pPr>
        <w:rPr>
          <w:rFonts w:hint="default" w:ascii="仿宋" w:hAnsi="仿宋" w:eastAsia="仿宋" w:cs="仿宋"/>
          <w:b w:val="0"/>
          <w:bCs w:val="0"/>
          <w:i/>
          <w:iCs/>
          <w:color w:val="0623BA"/>
          <w:sz w:val="24"/>
          <w:szCs w:val="24"/>
          <w:lang w:eastAsia="zh-CN"/>
        </w:rPr>
      </w:pPr>
      <w:r>
        <w:rPr>
          <w:rFonts w:hint="default" w:ascii="仿宋" w:hAnsi="仿宋" w:eastAsia="仿宋" w:cs="仿宋"/>
          <w:b w:val="0"/>
          <w:bCs w:val="0"/>
          <w:i/>
          <w:iCs/>
          <w:color w:val="0623BA"/>
          <w:sz w:val="24"/>
          <w:szCs w:val="24"/>
          <w:lang w:val="en-US" w:eastAsia="zh-CN"/>
        </w:rPr>
        <w:t>4.2.14~4.2.16组件光电转换效率应符合工业和信息化部对《光伏制造行业规范条件（2021年本）》要求</w:t>
      </w:r>
      <w:r>
        <w:rPr>
          <w:rFonts w:hint="default" w:ascii="仿宋" w:hAnsi="仿宋" w:eastAsia="仿宋" w:cs="仿宋"/>
          <w:b w:val="0"/>
          <w:bCs w:val="0"/>
          <w:i/>
          <w:iCs/>
          <w:color w:val="0623BA"/>
          <w:sz w:val="24"/>
          <w:szCs w:val="24"/>
          <w:lang w:eastAsia="zh-CN"/>
        </w:rPr>
        <w:t>。</w:t>
      </w:r>
    </w:p>
    <w:p w14:paraId="7E1F1FBD">
      <w:pPr>
        <w:keepNext/>
        <w:keepLines/>
        <w:snapToGrid w:val="0"/>
        <w:spacing w:before="72" w:beforeLines="30" w:after="72" w:afterLines="30" w:line="300" w:lineRule="auto"/>
        <w:jc w:val="center"/>
        <w:outlineLvl w:val="2"/>
        <w:rPr>
          <w:b/>
          <w:sz w:val="24"/>
          <w:szCs w:val="32"/>
        </w:rPr>
      </w:pPr>
      <w:bookmarkStart w:id="80" w:name="_Toc32317"/>
      <w:bookmarkStart w:id="81" w:name="_Toc28717"/>
      <w:bookmarkStart w:id="82" w:name="_Toc27515"/>
      <w:bookmarkStart w:id="83" w:name="_Toc23356"/>
      <w:bookmarkStart w:id="84" w:name="_Toc31068"/>
      <w:bookmarkStart w:id="85" w:name="_Toc17592"/>
      <w:bookmarkStart w:id="86" w:name="_Toc32584"/>
      <w:bookmarkStart w:id="87" w:name="_Toc4387"/>
      <w:r>
        <w:rPr>
          <w:b/>
          <w:sz w:val="24"/>
          <w:szCs w:val="32"/>
        </w:rPr>
        <w:t>4.3材料</w:t>
      </w:r>
      <w:bookmarkEnd w:id="80"/>
      <w:bookmarkEnd w:id="81"/>
      <w:bookmarkEnd w:id="82"/>
      <w:bookmarkEnd w:id="83"/>
      <w:bookmarkEnd w:id="84"/>
      <w:bookmarkEnd w:id="85"/>
      <w:bookmarkEnd w:id="86"/>
      <w:bookmarkEnd w:id="87"/>
    </w:p>
    <w:p w14:paraId="06627CCA">
      <w:pPr>
        <w:snapToGrid w:val="0"/>
        <w:spacing w:line="300" w:lineRule="auto"/>
        <w:jc w:val="left"/>
        <w:rPr>
          <w:rFonts w:hint="default" w:eastAsia="宋体"/>
          <w:sz w:val="24"/>
          <w:lang w:val="en-US" w:eastAsia="zh-CN"/>
        </w:rPr>
      </w:pPr>
      <w:r>
        <w:rPr>
          <w:b/>
          <w:bCs/>
          <w:sz w:val="24"/>
        </w:rPr>
        <w:t>4.3.1</w:t>
      </w:r>
      <w:r>
        <w:rPr>
          <w:rFonts w:hint="eastAsia"/>
          <w:sz w:val="24"/>
        </w:rPr>
        <w:t xml:space="preserve"> </w:t>
      </w:r>
      <w:r>
        <w:rPr>
          <w:rFonts w:ascii="Times New Roman" w:hAnsi="Times New Roman" w:eastAsia="宋体" w:cs="Times New Roman"/>
          <w:b w:val="0"/>
          <w:bCs w:val="0"/>
          <w:i w:val="0"/>
          <w:iCs w:val="0"/>
          <w:color w:val="auto"/>
          <w:sz w:val="24"/>
          <w:szCs w:val="24"/>
          <w:highlight w:val="none"/>
        </w:rPr>
        <w:t>建筑光伏系统用</w:t>
      </w:r>
      <w:r>
        <w:rPr>
          <w:rFonts w:hint="default" w:ascii="Times New Roman" w:hAnsi="Times New Roman" w:cs="Times New Roman"/>
          <w:b w:val="0"/>
          <w:bCs w:val="0"/>
          <w:i w:val="0"/>
          <w:iCs w:val="0"/>
          <w:color w:val="auto"/>
          <w:sz w:val="24"/>
          <w:szCs w:val="24"/>
          <w:highlight w:val="none"/>
          <w:lang w:val="en-US" w:eastAsia="zh-CN"/>
        </w:rPr>
        <w:t>铝合金、钢材、硅酮胶、密封材料应符合国家及地方现行标准的有关规定。</w:t>
      </w:r>
    </w:p>
    <w:p w14:paraId="6CC76547">
      <w:pPr>
        <w:pStyle w:val="2"/>
        <w:spacing w:line="300" w:lineRule="auto"/>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3BA20098">
      <w:pPr>
        <w:pStyle w:val="2"/>
        <w:spacing w:line="300" w:lineRule="auto"/>
        <w:rPr>
          <w:rFonts w:hint="eastAsia" w:ascii="仿宋" w:hAnsi="仿宋" w:eastAsia="仿宋" w:cs="仿宋"/>
          <w:i/>
          <w:iCs/>
          <w:color w:val="0623BA"/>
          <w:sz w:val="24"/>
        </w:rPr>
      </w:pPr>
      <w:r>
        <w:rPr>
          <w:rFonts w:hint="eastAsia" w:ascii="仿宋" w:hAnsi="仿宋" w:eastAsia="仿宋" w:cs="仿宋"/>
          <w:i/>
          <w:iCs/>
          <w:color w:val="0623BA"/>
          <w:sz w:val="24"/>
        </w:rPr>
        <w:t>4.3.1 建筑光伏系统用铝合金及钢材</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硅酮胶及密封材料相关标准主要包括：</w:t>
      </w:r>
    </w:p>
    <w:p w14:paraId="299B33E0">
      <w:pPr>
        <w:pStyle w:val="2"/>
        <w:spacing w:line="300" w:lineRule="auto"/>
        <w:ind w:firstLine="480" w:firstLineChars="200"/>
        <w:rPr>
          <w:rFonts w:hint="eastAsia" w:ascii="仿宋" w:hAnsi="仿宋" w:eastAsia="仿宋" w:cs="仿宋"/>
          <w:i/>
          <w:iCs/>
          <w:color w:val="0623BA"/>
          <w:sz w:val="24"/>
          <w:lang w:eastAsia="zh-CN"/>
        </w:rPr>
      </w:pPr>
      <w:r>
        <w:rPr>
          <w:rFonts w:hint="eastAsia" w:ascii="仿宋" w:hAnsi="仿宋" w:eastAsia="仿宋" w:cs="仿宋"/>
          <w:i/>
          <w:iCs/>
          <w:color w:val="0623BA"/>
          <w:sz w:val="24"/>
        </w:rPr>
        <w:t>1 铝合金型材和板材应符合国家现行标准《铝合金建筑型材》GB 5237、《一般工业用铝及铝合金板、带材》GB 3880、《铝及铝合金阳极氧化与有机聚合物膜》GB/T8013、《建筑用铝型材、铝板氟碳涂层》JG/T 133的规定</w:t>
      </w:r>
      <w:r>
        <w:rPr>
          <w:rFonts w:hint="eastAsia" w:ascii="仿宋" w:hAnsi="仿宋" w:eastAsia="仿宋" w:cs="仿宋"/>
          <w:i/>
          <w:iCs/>
          <w:color w:val="0623BA"/>
          <w:sz w:val="24"/>
          <w:lang w:eastAsia="zh-CN"/>
        </w:rPr>
        <w:t>；</w:t>
      </w:r>
    </w:p>
    <w:p w14:paraId="7502BA4F">
      <w:pPr>
        <w:pStyle w:val="2"/>
        <w:spacing w:line="300" w:lineRule="auto"/>
        <w:ind w:firstLine="480" w:firstLineChars="200"/>
        <w:rPr>
          <w:rFonts w:hint="eastAsia" w:ascii="仿宋" w:hAnsi="仿宋" w:eastAsia="仿宋" w:cs="仿宋"/>
          <w:i/>
          <w:iCs/>
          <w:color w:val="0623BA"/>
          <w:sz w:val="24"/>
          <w:lang w:eastAsia="zh-CN"/>
        </w:rPr>
      </w:pPr>
      <w:r>
        <w:rPr>
          <w:rFonts w:hint="eastAsia" w:ascii="仿宋" w:hAnsi="仿宋" w:eastAsia="仿宋" w:cs="仿宋"/>
          <w:i/>
          <w:iCs/>
          <w:color w:val="0623BA"/>
          <w:sz w:val="24"/>
        </w:rPr>
        <w:t>2 铝合金材料的化学成分应符合现行国家标准《变形铝及铝合金化学成分》GB/T 3190的有关规定。型材表面处理层厚度、外观质量和尺寸偏差应符合现行国家标准《铝合金建筑型材》GB/T 5237.1  GB/T 5237. 5的规定</w:t>
      </w:r>
      <w:r>
        <w:rPr>
          <w:rFonts w:hint="eastAsia" w:ascii="仿宋" w:hAnsi="仿宋" w:eastAsia="仿宋" w:cs="仿宋"/>
          <w:i/>
          <w:iCs/>
          <w:color w:val="0623BA"/>
          <w:sz w:val="24"/>
          <w:lang w:eastAsia="zh-CN"/>
        </w:rPr>
        <w:t>；</w:t>
      </w:r>
    </w:p>
    <w:p w14:paraId="312E247D">
      <w:pPr>
        <w:pStyle w:val="2"/>
        <w:spacing w:line="300" w:lineRule="auto"/>
        <w:ind w:firstLine="480" w:firstLineChars="200"/>
        <w:rPr>
          <w:rFonts w:hint="eastAsia" w:ascii="仿宋" w:hAnsi="仿宋" w:eastAsia="仿宋" w:cs="仿宋"/>
          <w:i/>
          <w:iCs/>
          <w:color w:val="0623BA"/>
          <w:sz w:val="24"/>
          <w:lang w:eastAsia="zh-CN"/>
        </w:rPr>
      </w:pPr>
      <w:r>
        <w:rPr>
          <w:rFonts w:hint="eastAsia" w:ascii="仿宋" w:hAnsi="仿宋" w:eastAsia="仿宋" w:cs="仿宋"/>
          <w:i/>
          <w:iCs/>
          <w:color w:val="0623BA"/>
          <w:sz w:val="24"/>
        </w:rPr>
        <w:t>3 建筑光伏系统隔热铝合金型材应符合现行国家标准《铝合金建筑型材隔热型材》GB 5237. 6的规定。采用穿条工艺生产的隔热铝型材，其隔热材料应符合现行国家标准《铝合金建筑型材用辅助材料 第1部分：聚酰胺隔热条》GB 23615.1的规定。采用浇注工艺生产的隔热铝型材，其隔热材料应符合现行国家标准《铝合金建筑型材用辅助材料 第2部分：聚氨酯隔热胶材料》GB 23615. 2的规定</w:t>
      </w:r>
      <w:r>
        <w:rPr>
          <w:rFonts w:hint="eastAsia" w:ascii="仿宋" w:hAnsi="仿宋" w:eastAsia="仿宋" w:cs="仿宋"/>
          <w:i/>
          <w:iCs/>
          <w:color w:val="0623BA"/>
          <w:sz w:val="24"/>
          <w:lang w:eastAsia="zh-CN"/>
        </w:rPr>
        <w:t>；</w:t>
      </w:r>
    </w:p>
    <w:p w14:paraId="1A3319E6">
      <w:pPr>
        <w:pStyle w:val="2"/>
        <w:spacing w:line="300" w:lineRule="auto"/>
        <w:ind w:firstLine="480" w:firstLineChars="200"/>
        <w:rPr>
          <w:rFonts w:hint="eastAsia" w:ascii="仿宋" w:hAnsi="仿宋" w:eastAsia="仿宋" w:cs="仿宋"/>
          <w:i/>
          <w:iCs/>
          <w:color w:val="0623BA"/>
          <w:sz w:val="24"/>
          <w:lang w:eastAsia="zh-CN"/>
        </w:rPr>
      </w:pPr>
      <w:r>
        <w:rPr>
          <w:rFonts w:hint="eastAsia" w:ascii="仿宋" w:hAnsi="仿宋" w:eastAsia="仿宋" w:cs="仿宋"/>
          <w:i/>
          <w:iCs/>
          <w:color w:val="0623BA"/>
          <w:sz w:val="24"/>
        </w:rPr>
        <w:t>4 建筑光伏系统的支撑系统常用钢结构材料，可能采用到的钢材种类、牌号繁多，应根据</w:t>
      </w:r>
      <w:r>
        <w:rPr>
          <w:rFonts w:hint="eastAsia" w:ascii="仿宋" w:hAnsi="仿宋" w:eastAsia="仿宋" w:cs="仿宋"/>
          <w:i/>
          <w:iCs/>
          <w:color w:val="0623BA"/>
          <w:sz w:val="24"/>
          <w:lang w:val="en-US" w:eastAsia="zh-CN"/>
        </w:rPr>
        <w:t>各</w:t>
      </w:r>
      <w:r>
        <w:rPr>
          <w:rFonts w:hint="eastAsia" w:ascii="仿宋" w:hAnsi="仿宋" w:eastAsia="仿宋" w:cs="仿宋"/>
          <w:i/>
          <w:iCs/>
          <w:color w:val="0623BA"/>
          <w:sz w:val="24"/>
        </w:rPr>
        <w:t>材料</w:t>
      </w:r>
      <w:r>
        <w:rPr>
          <w:rFonts w:hint="eastAsia" w:ascii="仿宋" w:hAnsi="仿宋" w:eastAsia="仿宋" w:cs="仿宋"/>
          <w:i/>
          <w:iCs/>
          <w:color w:val="0623BA"/>
          <w:sz w:val="24"/>
          <w:lang w:val="en-US" w:eastAsia="zh-CN"/>
        </w:rPr>
        <w:t>应</w:t>
      </w:r>
      <w:r>
        <w:rPr>
          <w:rFonts w:hint="eastAsia" w:ascii="仿宋" w:hAnsi="仿宋" w:eastAsia="仿宋" w:cs="仿宋"/>
          <w:i/>
          <w:iCs/>
          <w:color w:val="0623BA"/>
          <w:sz w:val="24"/>
        </w:rPr>
        <w:t>符合相应的国家现行标准：《碳素结构钢》GB/T 700、《耐候结构钢》GB/T4171、《结构用无缝钢管》GB/T8162、《钢的成品化学成分允许偏差》GB/T 222、《优质碳素结构钢》GB/T 699、《碳素结构钢和低合金结构钢热轧薄钢板及钢带》GB/T 912、《不锈钢棒》GB/T1220、《合金结构钢》GB/T 3077、《低合金高强度结构钢》GB/T 1591、《碳素结构钢和低合金结构钢热轧厚钢板及钢带》GB/T 3274、《不锈钢冷轧钢板和钢带》GB/T 3280、《不锈钢冷加工棒》GB/T 4226、《不锈钢热轧钢板和钢带》GB/T 4237、《不锈钢复合钢板和钢带》GB/T 8165、《热轧 H 型钢和部分 T型钢》GB/T 11263、《钢拉杆》GB/T 20934、《不锈钢建筑型材》JG/T 73等</w:t>
      </w:r>
      <w:r>
        <w:rPr>
          <w:rFonts w:hint="eastAsia" w:ascii="仿宋" w:hAnsi="仿宋" w:eastAsia="仿宋" w:cs="仿宋"/>
          <w:i/>
          <w:iCs/>
          <w:color w:val="0623BA"/>
          <w:sz w:val="24"/>
          <w:lang w:eastAsia="zh-CN"/>
        </w:rPr>
        <w:t>；</w:t>
      </w:r>
    </w:p>
    <w:p w14:paraId="1AC59807">
      <w:pPr>
        <w:pStyle w:val="2"/>
        <w:spacing w:line="300" w:lineRule="auto"/>
        <w:ind w:firstLine="480" w:firstLineChars="200"/>
        <w:rPr>
          <w:rFonts w:hint="eastAsia" w:ascii="仿宋" w:hAnsi="仿宋" w:eastAsia="仿宋" w:cs="仿宋"/>
          <w:i/>
          <w:iCs/>
          <w:color w:val="0623BA"/>
          <w:sz w:val="24"/>
          <w:lang w:eastAsia="zh-CN"/>
        </w:rPr>
      </w:pPr>
      <w:r>
        <w:rPr>
          <w:rFonts w:hint="eastAsia" w:ascii="仿宋" w:hAnsi="仿宋" w:eastAsia="仿宋" w:cs="仿宋"/>
          <w:i/>
          <w:iCs/>
          <w:color w:val="0623BA"/>
          <w:sz w:val="24"/>
        </w:rPr>
        <w:t>5 钢构件表面除锈处理应符合现行国家标准《钢结构工程施工质量验收标准》GB 50205和《涂覆涂料前钢材表面处理表面清洁度的目视评定》GB/T 8923的有关规定</w:t>
      </w:r>
      <w:r>
        <w:rPr>
          <w:rFonts w:hint="eastAsia" w:ascii="仿宋" w:hAnsi="仿宋" w:eastAsia="仿宋" w:cs="仿宋"/>
          <w:i/>
          <w:iCs/>
          <w:color w:val="0623BA"/>
          <w:sz w:val="24"/>
          <w:lang w:eastAsia="zh-CN"/>
        </w:rPr>
        <w:t>；</w:t>
      </w:r>
    </w:p>
    <w:p w14:paraId="123EE54C">
      <w:pPr>
        <w:pStyle w:val="2"/>
        <w:spacing w:line="300" w:lineRule="auto"/>
        <w:ind w:firstLine="480" w:firstLineChars="200"/>
        <w:rPr>
          <w:rFonts w:hint="eastAsia" w:ascii="仿宋" w:hAnsi="仿宋" w:eastAsia="仿宋" w:cs="仿宋"/>
          <w:i/>
          <w:iCs/>
          <w:color w:val="0623BA"/>
          <w:sz w:val="24"/>
          <w:lang w:eastAsia="zh-CN"/>
        </w:rPr>
      </w:pPr>
      <w:r>
        <w:rPr>
          <w:rFonts w:hint="eastAsia" w:ascii="仿宋" w:hAnsi="仿宋" w:eastAsia="仿宋" w:cs="仿宋"/>
          <w:i/>
          <w:iCs/>
          <w:color w:val="0623BA"/>
          <w:sz w:val="24"/>
        </w:rPr>
        <w:t>6 裸露在室外的光伏支架多数采用钢结构作为支架材料，如附加式屋面光伏系统、光伏遮阳系统、光伏雨篷等，需采取一定的防腐措施，尤其是运行维护时不便于检查或补漆的部位，应该严格控制防腐层厚度并注意施工破坏处的防腐修补，除密闭的闭口型材的内表面外，防腐涂层应完全覆盖钢材表面，包括型材端面，断面，焊接面；整个支架系统应符合25年系统寿命的要求。当采用热浸镀锌防腐处理时，锌膜厚度应符合现行国家标准《金属覆盖层钢铁制件热浸镀锌层技术要求及试验方法》GB/T13912 的规定；当采用氟碳漆喷涂或聚氨酯漆喷涂时，漆膜的厚度不宜小于35</w:t>
      </w:r>
      <w:r>
        <w:rPr>
          <w:rFonts w:hint="eastAsia" w:ascii="仿宋" w:hAnsi="仿宋" w:eastAsia="仿宋" w:cs="仿宋"/>
          <w:i/>
          <w:iCs/>
          <w:color w:val="0623BA"/>
          <w:sz w:val="24"/>
          <w:lang w:val="en-US" w:eastAsia="zh-CN"/>
        </w:rPr>
        <w:t>m</w:t>
      </w:r>
      <w:r>
        <w:rPr>
          <w:rFonts w:hint="eastAsia" w:ascii="仿宋" w:hAnsi="仿宋" w:eastAsia="仿宋" w:cs="仿宋"/>
          <w:i/>
          <w:iCs/>
          <w:color w:val="0623BA"/>
          <w:sz w:val="24"/>
        </w:rPr>
        <w:t>m。在空气污染严重及海滨地区，涂膜厚度不宜小于45km</w:t>
      </w:r>
      <w:r>
        <w:rPr>
          <w:rFonts w:hint="eastAsia" w:ascii="仿宋" w:hAnsi="仿宋" w:eastAsia="仿宋" w:cs="仿宋"/>
          <w:i/>
          <w:iCs/>
          <w:color w:val="0623BA"/>
          <w:sz w:val="24"/>
          <w:lang w:eastAsia="zh-CN"/>
        </w:rPr>
        <w:t>；</w:t>
      </w:r>
    </w:p>
    <w:p w14:paraId="1EF392FB">
      <w:pPr>
        <w:pStyle w:val="2"/>
        <w:spacing w:line="300" w:lineRule="auto"/>
        <w:ind w:firstLine="480" w:firstLineChars="200"/>
        <w:rPr>
          <w:rFonts w:hint="eastAsia" w:ascii="仿宋" w:hAnsi="仿宋" w:eastAsia="仿宋" w:cs="仿宋"/>
          <w:i/>
          <w:iCs/>
          <w:color w:val="0623BA"/>
          <w:sz w:val="24"/>
          <w:lang w:eastAsia="zh-CN"/>
        </w:rPr>
      </w:pPr>
      <w:r>
        <w:rPr>
          <w:rFonts w:hint="eastAsia" w:ascii="仿宋" w:hAnsi="仿宋" w:eastAsia="仿宋" w:cs="仿宋"/>
          <w:i/>
          <w:iCs/>
          <w:color w:val="0623BA"/>
          <w:sz w:val="24"/>
        </w:rPr>
        <w:t>7 钢材焊接时，采用的焊条应符合现行国家标准《碳钢焊条》GB/T5117、《低合金钢焊条》GB/T 5118的规定，焊缝、边缘和其他区域的表面缺陷的处理应符合国家现行标准《碳钢焊条》GB/T5117、《低合金钢焊条》GB/T5118、《涂覆涂料前钢材表面处理表面清</w:t>
      </w:r>
      <w:r>
        <w:rPr>
          <w:rFonts w:hint="eastAsia" w:ascii="仿宋" w:hAnsi="仿宋" w:eastAsia="仿宋" w:cs="仿宋"/>
          <w:i/>
          <w:iCs/>
          <w:color w:val="0623BA"/>
          <w:sz w:val="24"/>
          <w:lang w:val="en-US" w:eastAsia="zh-CN"/>
        </w:rPr>
        <w:t>洁</w:t>
      </w:r>
      <w:r>
        <w:rPr>
          <w:rFonts w:hint="eastAsia" w:ascii="仿宋" w:hAnsi="仿宋" w:eastAsia="仿宋" w:cs="仿宋"/>
          <w:i/>
          <w:iCs/>
          <w:color w:val="0623BA"/>
          <w:sz w:val="24"/>
        </w:rPr>
        <w:t>度的目视评定 第3部分：焊缝、边缘和其他区域的表面缺陷的处理等级》GB/T 8923.3及《建筑钢结构焊接技术规程》JGJ 81的规定</w:t>
      </w:r>
      <w:r>
        <w:rPr>
          <w:rFonts w:hint="eastAsia" w:ascii="仿宋" w:hAnsi="仿宋" w:eastAsia="仿宋" w:cs="仿宋"/>
          <w:i/>
          <w:iCs/>
          <w:color w:val="0623BA"/>
          <w:sz w:val="24"/>
          <w:lang w:eastAsia="zh-CN"/>
        </w:rPr>
        <w:t>；</w:t>
      </w:r>
    </w:p>
    <w:p w14:paraId="2E9858B0">
      <w:pPr>
        <w:pStyle w:val="2"/>
        <w:spacing w:line="300" w:lineRule="auto"/>
        <w:ind w:firstLine="480" w:firstLineChars="200"/>
        <w:rPr>
          <w:rFonts w:hint="eastAsia" w:ascii="仿宋" w:hAnsi="仿宋" w:eastAsia="仿宋" w:cs="仿宋"/>
          <w:i/>
          <w:iCs/>
          <w:color w:val="0623BA"/>
          <w:sz w:val="24"/>
          <w:lang w:eastAsia="zh-CN"/>
        </w:rPr>
      </w:pPr>
      <w:r>
        <w:rPr>
          <w:rFonts w:hint="eastAsia" w:ascii="仿宋" w:hAnsi="仿宋" w:eastAsia="仿宋" w:cs="仿宋"/>
          <w:i/>
          <w:iCs/>
          <w:color w:val="0623BA"/>
          <w:sz w:val="24"/>
        </w:rPr>
        <w:t>8 钢铸件采用的铸钢材质应符合现行国家标准《一般工程用铸造碳钢件》GB/T 11352的规定</w:t>
      </w:r>
      <w:r>
        <w:rPr>
          <w:rFonts w:hint="eastAsia" w:ascii="仿宋" w:hAnsi="仿宋" w:eastAsia="仿宋" w:cs="仿宋"/>
          <w:i/>
          <w:iCs/>
          <w:color w:val="0623BA"/>
          <w:sz w:val="24"/>
          <w:lang w:eastAsia="zh-CN"/>
        </w:rPr>
        <w:t>；</w:t>
      </w:r>
    </w:p>
    <w:p w14:paraId="09FA2126">
      <w:pPr>
        <w:pStyle w:val="2"/>
        <w:spacing w:line="300" w:lineRule="auto"/>
        <w:ind w:firstLine="480" w:firstLineChars="200"/>
        <w:rPr>
          <w:rFonts w:hint="eastAsia" w:ascii="仿宋" w:hAnsi="仿宋" w:eastAsia="仿宋" w:cs="仿宋"/>
          <w:i/>
          <w:iCs/>
          <w:color w:val="0623BA"/>
          <w:sz w:val="24"/>
          <w:lang w:eastAsia="zh-CN"/>
        </w:rPr>
      </w:pPr>
      <w:r>
        <w:rPr>
          <w:rFonts w:hint="eastAsia" w:ascii="仿宋" w:hAnsi="仿宋" w:eastAsia="仿宋" w:cs="仿宋"/>
          <w:i/>
          <w:iCs/>
          <w:color w:val="0623BA"/>
          <w:sz w:val="24"/>
          <w:lang w:val="en-US" w:eastAsia="zh-CN"/>
        </w:rPr>
        <w:t>9</w:t>
      </w:r>
      <w:r>
        <w:rPr>
          <w:rFonts w:hint="eastAsia" w:ascii="仿宋" w:hAnsi="仿宋" w:eastAsia="仿宋" w:cs="仿宋"/>
          <w:i/>
          <w:iCs/>
          <w:color w:val="0623BA"/>
          <w:sz w:val="24"/>
        </w:rPr>
        <w:t xml:space="preserve"> 建筑光伏系统应采用中性硅酮结构密封胶。硅酮结构密封胶的性能应符合现行国家标准《建筑用硅酮结构密封胶》GB16776的规定</w:t>
      </w:r>
      <w:r>
        <w:rPr>
          <w:rFonts w:hint="eastAsia" w:ascii="仿宋" w:hAnsi="仿宋" w:eastAsia="仿宋" w:cs="仿宋"/>
          <w:i/>
          <w:iCs/>
          <w:color w:val="0623BA"/>
          <w:sz w:val="24"/>
          <w:lang w:eastAsia="zh-CN"/>
        </w:rPr>
        <w:t>；</w:t>
      </w:r>
    </w:p>
    <w:p w14:paraId="1B56EB12">
      <w:pPr>
        <w:pStyle w:val="2"/>
        <w:spacing w:line="300" w:lineRule="auto"/>
        <w:ind w:firstLine="480" w:firstLineChars="200"/>
        <w:rPr>
          <w:rFonts w:hint="eastAsia" w:ascii="仿宋" w:hAnsi="仿宋" w:eastAsia="仿宋" w:cs="仿宋"/>
          <w:i/>
          <w:iCs/>
          <w:color w:val="0623BA"/>
          <w:sz w:val="24"/>
          <w:lang w:eastAsia="zh-CN"/>
        </w:rPr>
      </w:pPr>
      <w:r>
        <w:rPr>
          <w:rFonts w:hint="eastAsia" w:ascii="仿宋" w:hAnsi="仿宋" w:eastAsia="仿宋" w:cs="仿宋"/>
          <w:i/>
          <w:iCs/>
          <w:color w:val="0623BA"/>
          <w:sz w:val="24"/>
          <w:lang w:val="en-US" w:eastAsia="zh-CN"/>
        </w:rPr>
        <w:t>10</w:t>
      </w:r>
      <w:r>
        <w:rPr>
          <w:rFonts w:hint="eastAsia" w:ascii="仿宋" w:hAnsi="仿宋" w:eastAsia="仿宋" w:cs="仿宋"/>
          <w:i/>
          <w:iCs/>
          <w:color w:val="0623BA"/>
          <w:sz w:val="24"/>
        </w:rPr>
        <w:t xml:space="preserve"> 同一建筑光伏系统工程宜采用同一品牌的硅酮结构密封胶和硅酮耐候密封胶</w:t>
      </w:r>
      <w:r>
        <w:rPr>
          <w:rFonts w:hint="eastAsia" w:ascii="仿宋" w:hAnsi="仿宋" w:eastAsia="仿宋" w:cs="仿宋"/>
          <w:i/>
          <w:iCs/>
          <w:color w:val="0623BA"/>
          <w:sz w:val="24"/>
          <w:lang w:eastAsia="zh-CN"/>
        </w:rPr>
        <w:t>；</w:t>
      </w:r>
    </w:p>
    <w:p w14:paraId="44554A45">
      <w:pPr>
        <w:pStyle w:val="2"/>
        <w:spacing w:line="300" w:lineRule="auto"/>
        <w:ind w:firstLine="480" w:firstLineChars="200"/>
        <w:rPr>
          <w:rFonts w:hint="eastAsia" w:ascii="仿宋" w:hAnsi="仿宋" w:eastAsia="仿宋" w:cs="仿宋"/>
          <w:i/>
          <w:iCs/>
          <w:color w:val="0623BA"/>
          <w:sz w:val="24"/>
          <w:lang w:eastAsia="zh-CN"/>
        </w:rPr>
      </w:pPr>
      <w:r>
        <w:rPr>
          <w:rFonts w:hint="eastAsia" w:ascii="仿宋" w:hAnsi="仿宋" w:eastAsia="仿宋" w:cs="仿宋"/>
          <w:i/>
          <w:iCs/>
          <w:color w:val="0623BA"/>
          <w:sz w:val="24"/>
          <w:lang w:val="en-US" w:eastAsia="zh-CN"/>
        </w:rPr>
        <w:t>11</w:t>
      </w:r>
      <w:r>
        <w:rPr>
          <w:rFonts w:hint="eastAsia" w:ascii="仿宋" w:hAnsi="仿宋" w:eastAsia="仿宋" w:cs="仿宋"/>
          <w:i/>
          <w:iCs/>
          <w:color w:val="0623BA"/>
          <w:sz w:val="24"/>
        </w:rPr>
        <w:t xml:space="preserve"> 用于密封无边框的光伏构件的安装缝隙处的耐候密封胶应采用中性硅酮建筑密封胶，其性能应符合现行行业标准《幕墙玻璃接缝用密封胶》JC/T 882 的规定</w:t>
      </w:r>
      <w:r>
        <w:rPr>
          <w:rFonts w:hint="eastAsia" w:ascii="仿宋" w:hAnsi="仿宋" w:eastAsia="仿宋" w:cs="仿宋"/>
          <w:i/>
          <w:iCs/>
          <w:color w:val="0623BA"/>
          <w:sz w:val="24"/>
          <w:lang w:eastAsia="zh-CN"/>
        </w:rPr>
        <w:t>；</w:t>
      </w:r>
    </w:p>
    <w:p w14:paraId="2B04135F">
      <w:pPr>
        <w:pStyle w:val="2"/>
        <w:spacing w:line="300" w:lineRule="auto"/>
        <w:ind w:firstLine="480" w:firstLineChars="200"/>
        <w:rPr>
          <w:rFonts w:hint="eastAsia" w:ascii="仿宋" w:hAnsi="仿宋" w:eastAsia="仿宋" w:cs="仿宋"/>
          <w:i/>
          <w:iCs/>
          <w:color w:val="0623BA"/>
          <w:sz w:val="24"/>
          <w:lang w:eastAsia="zh-CN"/>
        </w:rPr>
      </w:pPr>
      <w:r>
        <w:rPr>
          <w:rFonts w:hint="eastAsia" w:ascii="仿宋" w:hAnsi="仿宋" w:eastAsia="仿宋" w:cs="仿宋"/>
          <w:i/>
          <w:iCs/>
          <w:color w:val="0623BA"/>
          <w:sz w:val="24"/>
          <w:lang w:val="en-US" w:eastAsia="zh-CN"/>
        </w:rPr>
        <w:t>12</w:t>
      </w:r>
      <w:r>
        <w:rPr>
          <w:rFonts w:hint="eastAsia" w:ascii="仿宋" w:hAnsi="仿宋" w:eastAsia="仿宋" w:cs="仿宋"/>
          <w:i/>
          <w:iCs/>
          <w:color w:val="0623BA"/>
          <w:sz w:val="24"/>
        </w:rPr>
        <w:t xml:space="preserve"> 建筑光伏系统的橡胶制品，宜采用三元乙丙橡胶、氯丁橡胶及硅橡胶，并应符合现行国家标准《建筑门窗、幕墙用密封胶条》GB/T 24498 的规定</w:t>
      </w:r>
      <w:r>
        <w:rPr>
          <w:rFonts w:hint="eastAsia" w:ascii="仿宋" w:hAnsi="仿宋" w:eastAsia="仿宋" w:cs="仿宋"/>
          <w:i/>
          <w:iCs/>
          <w:color w:val="0623BA"/>
          <w:sz w:val="24"/>
          <w:lang w:eastAsia="zh-CN"/>
        </w:rPr>
        <w:t>；</w:t>
      </w:r>
    </w:p>
    <w:p w14:paraId="14387801">
      <w:pPr>
        <w:pStyle w:val="2"/>
        <w:spacing w:line="300" w:lineRule="auto"/>
        <w:ind w:firstLine="480" w:firstLineChars="200"/>
        <w:rPr>
          <w:rFonts w:hint="eastAsia" w:ascii="仿宋" w:hAnsi="仿宋" w:eastAsia="仿宋" w:cs="仿宋"/>
          <w:i/>
          <w:iCs/>
          <w:color w:val="0623BA"/>
          <w:sz w:val="24"/>
        </w:rPr>
      </w:pPr>
      <w:r>
        <w:rPr>
          <w:rFonts w:hint="eastAsia" w:ascii="仿宋" w:hAnsi="仿宋" w:eastAsia="仿宋" w:cs="仿宋"/>
          <w:i/>
          <w:iCs/>
          <w:color w:val="0623BA"/>
          <w:sz w:val="24"/>
          <w:lang w:val="en-US" w:eastAsia="zh-CN"/>
        </w:rPr>
        <w:t>13</w:t>
      </w:r>
      <w:r>
        <w:rPr>
          <w:rFonts w:hint="eastAsia" w:ascii="仿宋" w:hAnsi="仿宋" w:eastAsia="仿宋" w:cs="仿宋"/>
          <w:i/>
          <w:iCs/>
          <w:color w:val="0623BA"/>
          <w:sz w:val="24"/>
        </w:rPr>
        <w:t xml:space="preserve"> 密封胶垫应符合国家现行标准《工业用橡胶板》GB/T5574 的规定。 </w:t>
      </w:r>
    </w:p>
    <w:p w14:paraId="2777B99A">
      <w:pPr>
        <w:snapToGrid w:val="0"/>
        <w:spacing w:line="300" w:lineRule="auto"/>
        <w:jc w:val="left"/>
        <w:rPr>
          <w:sz w:val="24"/>
        </w:rPr>
      </w:pPr>
      <w:r>
        <w:rPr>
          <w:b/>
          <w:bCs/>
          <w:sz w:val="24"/>
        </w:rPr>
        <w:t>4.3.</w:t>
      </w:r>
      <w:r>
        <w:rPr>
          <w:rFonts w:hint="eastAsia"/>
          <w:b/>
          <w:bCs/>
          <w:sz w:val="24"/>
          <w:lang w:val="en-US" w:eastAsia="zh-CN"/>
        </w:rPr>
        <w:t>2</w:t>
      </w:r>
      <w:r>
        <w:rPr>
          <w:rFonts w:hint="eastAsia"/>
          <w:sz w:val="24"/>
        </w:rPr>
        <w:t xml:space="preserve"> </w:t>
      </w:r>
      <w:r>
        <w:rPr>
          <w:sz w:val="24"/>
        </w:rPr>
        <w:t>建筑光伏系统用其他材料应符合下列</w:t>
      </w:r>
      <w:r>
        <w:rPr>
          <w:rFonts w:hint="eastAsia"/>
          <w:sz w:val="24"/>
          <w:lang w:val="en-US" w:eastAsia="zh-CN"/>
        </w:rPr>
        <w:t>要求</w:t>
      </w:r>
      <w:r>
        <w:rPr>
          <w:rFonts w:hint="eastAsia"/>
          <w:sz w:val="24"/>
        </w:rPr>
        <w:t>：</w:t>
      </w:r>
    </w:p>
    <w:p w14:paraId="17751635">
      <w:pPr>
        <w:snapToGrid w:val="0"/>
        <w:spacing w:line="300" w:lineRule="auto"/>
        <w:ind w:firstLine="482" w:firstLineChars="200"/>
        <w:jc w:val="left"/>
        <w:rPr>
          <w:rFonts w:hint="default"/>
          <w:sz w:val="24"/>
          <w:lang w:eastAsia="zh-CN"/>
        </w:rPr>
      </w:pPr>
      <w:r>
        <w:rPr>
          <w:rFonts w:hint="eastAsia"/>
          <w:b/>
          <w:bCs/>
          <w:sz w:val="24"/>
          <w:lang w:eastAsia="zh-CN"/>
        </w:rPr>
        <w:t>1</w:t>
      </w:r>
      <w:r>
        <w:rPr>
          <w:rFonts w:hint="eastAsia"/>
          <w:b/>
          <w:bCs/>
          <w:sz w:val="24"/>
          <w:lang w:val="en-US" w:eastAsia="zh-CN"/>
        </w:rPr>
        <w:t xml:space="preserve"> </w:t>
      </w:r>
      <w:r>
        <w:rPr>
          <w:sz w:val="24"/>
        </w:rPr>
        <w:t>建筑光伏系统用连接件、紧固件、组合配件宜选用不锈钢或铝合金材质</w:t>
      </w:r>
      <w:r>
        <w:rPr>
          <w:rFonts w:hint="default"/>
          <w:sz w:val="24"/>
          <w:lang w:eastAsia="zh-CN"/>
        </w:rPr>
        <w:t>；</w:t>
      </w:r>
    </w:p>
    <w:p w14:paraId="77C17B9A">
      <w:pPr>
        <w:snapToGrid w:val="0"/>
        <w:spacing w:line="300" w:lineRule="auto"/>
        <w:ind w:firstLine="482" w:firstLineChars="200"/>
        <w:jc w:val="left"/>
        <w:rPr>
          <w:rFonts w:hint="default"/>
          <w:sz w:val="24"/>
          <w:lang w:val="en-US" w:eastAsia="zh-CN"/>
        </w:rPr>
      </w:pPr>
      <w:r>
        <w:rPr>
          <w:rFonts w:hint="eastAsia"/>
          <w:b/>
          <w:bCs/>
          <w:sz w:val="24"/>
          <w:lang w:val="en-US" w:eastAsia="zh-CN"/>
        </w:rPr>
        <w:t>2</w:t>
      </w:r>
      <w:r>
        <w:rPr>
          <w:rFonts w:hint="default"/>
          <w:sz w:val="24"/>
          <w:lang w:val="en-US" w:eastAsia="zh-CN"/>
        </w:rPr>
        <w:t xml:space="preserve"> 光伏支架宜选用标准化构件，其强度、刚度、稳定性应符合相关标准规定；</w:t>
      </w:r>
    </w:p>
    <w:p w14:paraId="35B6AC66">
      <w:pPr>
        <w:snapToGrid w:val="0"/>
        <w:spacing w:line="300" w:lineRule="auto"/>
        <w:ind w:firstLine="482" w:firstLineChars="200"/>
        <w:jc w:val="left"/>
        <w:rPr>
          <w:rFonts w:hint="default"/>
          <w:sz w:val="24"/>
          <w:lang w:val="en-US" w:eastAsia="zh-CN"/>
        </w:rPr>
      </w:pPr>
      <w:r>
        <w:rPr>
          <w:rFonts w:hint="eastAsia"/>
          <w:b/>
          <w:bCs/>
          <w:sz w:val="24"/>
          <w:lang w:val="en-US" w:eastAsia="zh-CN"/>
        </w:rPr>
        <w:t>3</w:t>
      </w:r>
      <w:r>
        <w:rPr>
          <w:rFonts w:hint="default"/>
          <w:sz w:val="24"/>
          <w:lang w:val="en-US" w:eastAsia="zh-CN"/>
        </w:rPr>
        <w:t xml:space="preserve"> 电缆桥架和电缆保护管的选择与敷设应符合现行国家标准《电力工程电缆设计标准》GB 50217及《建筑电气与智能化通用规范》 GB 55024的有关规定。</w:t>
      </w:r>
    </w:p>
    <w:p w14:paraId="3D4263B8">
      <w:pPr>
        <w:pStyle w:val="2"/>
        <w:spacing w:line="300" w:lineRule="auto"/>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16ADB590">
      <w:pPr>
        <w:pStyle w:val="2"/>
        <w:spacing w:line="300" w:lineRule="auto"/>
        <w:rPr>
          <w:rFonts w:hint="eastAsia" w:ascii="仿宋" w:hAnsi="仿宋" w:eastAsia="仿宋" w:cs="仿宋"/>
          <w:i/>
          <w:iCs/>
          <w:color w:val="0623BA"/>
          <w:sz w:val="24"/>
        </w:rPr>
      </w:pPr>
      <w:r>
        <w:rPr>
          <w:rFonts w:hint="eastAsia" w:ascii="仿宋" w:hAnsi="仿宋" w:eastAsia="仿宋" w:cs="仿宋"/>
          <w:i/>
          <w:iCs/>
          <w:color w:val="0623BA"/>
          <w:sz w:val="24"/>
        </w:rPr>
        <w:t>4.3.</w:t>
      </w:r>
      <w:r>
        <w:rPr>
          <w:rFonts w:hint="eastAsia" w:ascii="仿宋" w:hAnsi="仿宋" w:eastAsia="仿宋" w:cs="仿宋"/>
          <w:i/>
          <w:iCs/>
          <w:color w:val="0623BA"/>
          <w:sz w:val="24"/>
          <w:lang w:val="en-US" w:eastAsia="zh-CN"/>
        </w:rPr>
        <w:t>2</w:t>
      </w:r>
      <w:r>
        <w:rPr>
          <w:rFonts w:hint="eastAsia" w:ascii="仿宋" w:hAnsi="仿宋" w:eastAsia="仿宋" w:cs="仿宋"/>
          <w:i/>
          <w:iCs/>
          <w:color w:val="0623BA"/>
          <w:sz w:val="24"/>
        </w:rPr>
        <w:t xml:space="preserve"> 建筑硅酮结构密封胶在使用前，应经国家认可的检测机构进行与其相接触材料的相容性和剥离粘结性试验并应对邵氏硬度、标准状态拉伸粘结性能进行复验。禁止在现场灌注硅酮结构密封胶。由于酸性硅酮密封胶可能会腐蚀没有封边的光伏构件边缘，因此，应采用中性硅酮建筑密封胶。建筑光伏系统用紧固件螺栓、螺钉、螺柱等的机械性能、化学成分应符合现行国家标准《紧固件机械性能》GB/T 3098. 1 GB/T 3098. 21的规定。 </w:t>
      </w:r>
    </w:p>
    <w:p w14:paraId="6D67506B">
      <w:pPr>
        <w:snapToGrid w:val="0"/>
        <w:spacing w:line="300" w:lineRule="auto"/>
        <w:ind w:firstLine="0" w:firstLineChars="0"/>
        <w:jc w:val="left"/>
        <w:rPr>
          <w:rFonts w:hint="eastAsia"/>
          <w:sz w:val="24"/>
          <w:lang w:val="en-US" w:eastAsia="zh-CN"/>
        </w:rPr>
      </w:pPr>
      <w:r>
        <w:rPr>
          <w:rFonts w:hint="eastAsia"/>
          <w:b/>
          <w:bCs/>
          <w:sz w:val="24"/>
          <w:lang w:val="en-US" w:eastAsia="zh-CN"/>
        </w:rPr>
        <w:t>4.3</w:t>
      </w:r>
      <w:r>
        <w:rPr>
          <w:rFonts w:hint="default"/>
          <w:b/>
          <w:bCs/>
          <w:sz w:val="24"/>
          <w:lang w:val="en-US" w:eastAsia="zh-CN"/>
        </w:rPr>
        <w:t xml:space="preserve">.3 </w:t>
      </w:r>
      <w:r>
        <w:rPr>
          <w:rFonts w:hint="default"/>
          <w:sz w:val="24"/>
          <w:lang w:val="en-US" w:eastAsia="zh-CN"/>
        </w:rPr>
        <w:t>电缆、电缆桥架和电缆保护管应符合</w:t>
      </w:r>
      <w:r>
        <w:rPr>
          <w:rFonts w:hint="eastAsia"/>
          <w:sz w:val="24"/>
          <w:lang w:val="en-US" w:eastAsia="zh-CN"/>
        </w:rPr>
        <w:t>现行</w:t>
      </w:r>
      <w:r>
        <w:rPr>
          <w:rFonts w:hint="default"/>
          <w:sz w:val="24"/>
          <w:lang w:val="en-US" w:eastAsia="zh-CN"/>
        </w:rPr>
        <w:t>《</w:t>
      </w:r>
      <w:r>
        <w:rPr>
          <w:rFonts w:hint="default" w:ascii="Times New Roman" w:hAnsi="Times New Roman" w:cs="Times New Roman"/>
          <w:caps w:val="0"/>
          <w:spacing w:val="0"/>
          <w:sz w:val="24"/>
          <w:szCs w:val="24"/>
          <w:u w:val="none"/>
          <w:shd w:val="clear"/>
        </w:rPr>
        <w:fldChar w:fldCharType="begin"/>
      </w:r>
      <w:r>
        <w:rPr>
          <w:rFonts w:hint="default" w:ascii="Times New Roman" w:hAnsi="Times New Roman" w:cs="Times New Roman"/>
          <w:caps w:val="0"/>
          <w:spacing w:val="0"/>
          <w:sz w:val="24"/>
          <w:szCs w:val="24"/>
          <w:u w:val="none"/>
          <w:shd w:val="clear"/>
        </w:rPr>
        <w:instrText xml:space="preserve"> HYPERLINK "https://www.baidu.com/link?url=-YtM0SIL09bC9RRy5H6dDxzC1yy0ZaF4XRS74UMJdMHtY-2oGnq2ds09pfGaR7yk0sQmXrw3sav9vRgoTT8DZ_&amp;wd=&amp;eqid=b37202910027220e0000000667232b43" \t "https://www.baidu.com/_blank" </w:instrText>
      </w:r>
      <w:r>
        <w:rPr>
          <w:rFonts w:hint="default" w:ascii="Times New Roman" w:hAnsi="Times New Roman" w:cs="Times New Roman"/>
          <w:caps w:val="0"/>
          <w:spacing w:val="0"/>
          <w:sz w:val="24"/>
          <w:szCs w:val="24"/>
          <w:u w:val="none"/>
          <w:shd w:val="clear"/>
        </w:rPr>
        <w:fldChar w:fldCharType="separate"/>
      </w:r>
      <w:r>
        <w:rPr>
          <w:rFonts w:hint="default" w:ascii="Times New Roman" w:hAnsi="Times New Roman" w:cs="Times New Roman"/>
          <w:caps w:val="0"/>
          <w:spacing w:val="0"/>
          <w:sz w:val="24"/>
          <w:szCs w:val="24"/>
          <w:u w:val="none"/>
          <w:shd w:val="clear"/>
        </w:rPr>
        <w:t>建筑光伏系统应用技术标准</w:t>
      </w:r>
      <w:r>
        <w:rPr>
          <w:rFonts w:hint="default" w:ascii="Times New Roman" w:hAnsi="Times New Roman" w:cs="Times New Roman"/>
          <w:caps w:val="0"/>
          <w:spacing w:val="0"/>
          <w:sz w:val="24"/>
          <w:szCs w:val="24"/>
          <w:u w:val="none"/>
          <w:shd w:val="clear"/>
        </w:rPr>
        <w:fldChar w:fldCharType="end"/>
      </w:r>
      <w:r>
        <w:rPr>
          <w:rFonts w:hint="default"/>
          <w:sz w:val="24"/>
          <w:lang w:val="en-US" w:eastAsia="zh-CN"/>
        </w:rPr>
        <w:t>》</w:t>
      </w:r>
      <w:r>
        <w:rPr>
          <w:rFonts w:hint="default"/>
          <w:sz w:val="24"/>
          <w:highlight w:val="none"/>
        </w:rPr>
        <w:t>GB</w:t>
      </w:r>
      <w:r>
        <w:rPr>
          <w:rFonts w:hint="default"/>
          <w:sz w:val="24"/>
          <w:highlight w:val="none"/>
          <w:lang w:val="en-US" w:eastAsia="zh-CN"/>
        </w:rPr>
        <w:t>/</w:t>
      </w:r>
      <w:r>
        <w:rPr>
          <w:rFonts w:hint="default"/>
          <w:sz w:val="24"/>
          <w:highlight w:val="none"/>
        </w:rPr>
        <w:t>T</w:t>
      </w:r>
      <w:r>
        <w:rPr>
          <w:rFonts w:hint="default"/>
          <w:sz w:val="24"/>
          <w:highlight w:val="none"/>
          <w:lang w:val="en-US" w:eastAsia="zh-CN"/>
        </w:rPr>
        <w:t xml:space="preserve"> </w:t>
      </w:r>
      <w:r>
        <w:rPr>
          <w:rFonts w:hint="default"/>
          <w:sz w:val="24"/>
          <w:highlight w:val="none"/>
        </w:rPr>
        <w:t>51368</w:t>
      </w:r>
      <w:r>
        <w:rPr>
          <w:rFonts w:hint="eastAsia"/>
          <w:sz w:val="24"/>
          <w:highlight w:val="none"/>
          <w:lang w:val="en-US" w:eastAsia="zh-CN"/>
        </w:rPr>
        <w:t>的有关</w:t>
      </w:r>
      <w:r>
        <w:rPr>
          <w:rFonts w:hint="eastAsia"/>
          <w:sz w:val="24"/>
          <w:lang w:val="en-US" w:eastAsia="zh-CN"/>
        </w:rPr>
        <w:t>规定。</w:t>
      </w:r>
    </w:p>
    <w:p w14:paraId="513E2806">
      <w:pPr>
        <w:pStyle w:val="2"/>
        <w:spacing w:line="300" w:lineRule="auto"/>
        <w:rPr>
          <w:rFonts w:hint="eastAsia" w:ascii="仿宋" w:hAnsi="仿宋" w:eastAsia="仿宋" w:cs="仿宋"/>
          <w:i/>
          <w:iCs/>
          <w:color w:val="0623BA"/>
          <w:sz w:val="24"/>
          <w:lang w:val="en-US" w:eastAsia="zh-CN"/>
        </w:rPr>
      </w:pPr>
      <w:r>
        <w:rPr>
          <w:rFonts w:hint="eastAsia" w:ascii="仿宋" w:hAnsi="仿宋" w:eastAsia="仿宋" w:cs="仿宋"/>
          <w:b/>
          <w:bCs/>
          <w:i/>
          <w:iCs/>
          <w:color w:val="0623BA"/>
          <w:sz w:val="24"/>
        </w:rPr>
        <w:t>【条文说明】</w:t>
      </w:r>
      <w:r>
        <w:rPr>
          <w:rFonts w:hint="eastAsia" w:ascii="仿宋" w:hAnsi="仿宋" w:eastAsia="仿宋" w:cs="仿宋"/>
          <w:b/>
          <w:bCs/>
          <w:i/>
          <w:iCs/>
          <w:color w:val="0623BA"/>
          <w:sz w:val="24"/>
          <w:lang w:val="en-US" w:eastAsia="zh-CN"/>
        </w:rPr>
        <w:t xml:space="preserve">4.3.3 </w:t>
      </w:r>
      <w:r>
        <w:rPr>
          <w:rFonts w:hint="eastAsia" w:ascii="仿宋" w:hAnsi="仿宋" w:eastAsia="仿宋" w:cs="仿宋"/>
          <w:i/>
          <w:iCs/>
          <w:color w:val="0623BA"/>
          <w:sz w:val="24"/>
          <w:lang w:val="en-US" w:eastAsia="zh-CN"/>
        </w:rPr>
        <w:t>《</w:t>
      </w:r>
      <w:r>
        <w:rPr>
          <w:rFonts w:hint="eastAsia" w:ascii="仿宋" w:hAnsi="仿宋" w:eastAsia="仿宋" w:cs="仿宋"/>
          <w:i/>
          <w:iCs/>
          <w:caps w:val="0"/>
          <w:color w:val="0623BA"/>
          <w:spacing w:val="0"/>
          <w:sz w:val="24"/>
          <w:szCs w:val="24"/>
          <w:u w:val="none"/>
          <w:shd w:val="clear"/>
        </w:rPr>
        <w:fldChar w:fldCharType="begin"/>
      </w:r>
      <w:r>
        <w:rPr>
          <w:rFonts w:hint="eastAsia" w:ascii="仿宋" w:hAnsi="仿宋" w:eastAsia="仿宋" w:cs="仿宋"/>
          <w:i/>
          <w:iCs/>
          <w:caps w:val="0"/>
          <w:color w:val="0623BA"/>
          <w:spacing w:val="0"/>
          <w:sz w:val="24"/>
          <w:szCs w:val="24"/>
          <w:u w:val="none"/>
          <w:shd w:val="clear"/>
        </w:rPr>
        <w:instrText xml:space="preserve"> HYPERLINK "https://www.baidu.com/link?url=-YtM0SIL09bC9RRy5H6dDxzC1yy0ZaF4XRS74UMJdMHtY-2oGnq2ds09pfGaR7yk0sQmXrw3sav9vRgoTT8DZ_&amp;wd=&amp;eqid=b37202910027220e0000000667232b43" \t "https://www.baidu.com/_blank" </w:instrText>
      </w:r>
      <w:r>
        <w:rPr>
          <w:rFonts w:hint="eastAsia" w:ascii="仿宋" w:hAnsi="仿宋" w:eastAsia="仿宋" w:cs="仿宋"/>
          <w:i/>
          <w:iCs/>
          <w:caps w:val="0"/>
          <w:color w:val="0623BA"/>
          <w:spacing w:val="0"/>
          <w:sz w:val="24"/>
          <w:szCs w:val="24"/>
          <w:u w:val="none"/>
          <w:shd w:val="clear"/>
        </w:rPr>
        <w:fldChar w:fldCharType="separate"/>
      </w:r>
      <w:r>
        <w:rPr>
          <w:rFonts w:hint="eastAsia" w:ascii="仿宋" w:hAnsi="仿宋" w:eastAsia="仿宋" w:cs="仿宋"/>
          <w:i/>
          <w:iCs/>
          <w:caps w:val="0"/>
          <w:color w:val="0623BA"/>
          <w:spacing w:val="0"/>
          <w:sz w:val="24"/>
          <w:szCs w:val="24"/>
          <w:u w:val="none"/>
          <w:shd w:val="clear"/>
        </w:rPr>
        <w:t>建筑光伏系统应用技术标准</w:t>
      </w:r>
      <w:r>
        <w:rPr>
          <w:rFonts w:hint="eastAsia" w:ascii="仿宋" w:hAnsi="仿宋" w:eastAsia="仿宋" w:cs="仿宋"/>
          <w:i/>
          <w:iCs/>
          <w:caps w:val="0"/>
          <w:color w:val="0623BA"/>
          <w:spacing w:val="0"/>
          <w:sz w:val="24"/>
          <w:szCs w:val="24"/>
          <w:u w:val="none"/>
          <w:shd w:val="clear"/>
        </w:rPr>
        <w:fldChar w:fldCharType="end"/>
      </w:r>
      <w:r>
        <w:rPr>
          <w:rFonts w:hint="eastAsia" w:ascii="仿宋" w:hAnsi="仿宋" w:eastAsia="仿宋" w:cs="仿宋"/>
          <w:i/>
          <w:iCs/>
          <w:color w:val="0623BA"/>
          <w:sz w:val="24"/>
          <w:lang w:val="en-US" w:eastAsia="zh-CN"/>
        </w:rPr>
        <w:t>》</w:t>
      </w:r>
      <w:r>
        <w:rPr>
          <w:rFonts w:hint="eastAsia" w:ascii="仿宋" w:hAnsi="仿宋" w:eastAsia="仿宋" w:cs="仿宋"/>
          <w:i/>
          <w:iCs/>
          <w:color w:val="0623BA"/>
          <w:sz w:val="24"/>
        </w:rPr>
        <w:t>GB</w:t>
      </w:r>
      <w:r>
        <w:rPr>
          <w:rFonts w:hint="eastAsia" w:ascii="仿宋" w:hAnsi="仿宋" w:eastAsia="仿宋" w:cs="仿宋"/>
          <w:i/>
          <w:iCs/>
          <w:color w:val="0623BA"/>
          <w:sz w:val="24"/>
          <w:lang w:val="en-US" w:eastAsia="zh-CN"/>
        </w:rPr>
        <w:t>/</w:t>
      </w:r>
      <w:r>
        <w:rPr>
          <w:rFonts w:hint="eastAsia" w:ascii="仿宋" w:hAnsi="仿宋" w:eastAsia="仿宋" w:cs="仿宋"/>
          <w:i/>
          <w:iCs/>
          <w:color w:val="0623BA"/>
          <w:sz w:val="24"/>
        </w:rPr>
        <w:t>T</w:t>
      </w:r>
      <w:r>
        <w:rPr>
          <w:rFonts w:hint="eastAsia" w:ascii="仿宋" w:hAnsi="仿宋" w:eastAsia="仿宋" w:cs="仿宋"/>
          <w:i/>
          <w:iCs/>
          <w:color w:val="0623BA"/>
          <w:sz w:val="24"/>
          <w:lang w:val="en-US" w:eastAsia="zh-CN"/>
        </w:rPr>
        <w:t xml:space="preserve"> </w:t>
      </w:r>
      <w:r>
        <w:rPr>
          <w:rFonts w:hint="eastAsia" w:ascii="仿宋" w:hAnsi="仿宋" w:eastAsia="仿宋" w:cs="仿宋"/>
          <w:i/>
          <w:iCs/>
          <w:color w:val="0623BA"/>
          <w:sz w:val="24"/>
        </w:rPr>
        <w:t>51368</w:t>
      </w:r>
      <w:r>
        <w:rPr>
          <w:rFonts w:hint="eastAsia" w:ascii="仿宋" w:hAnsi="仿宋" w:eastAsia="仿宋" w:cs="仿宋"/>
          <w:i/>
          <w:iCs/>
          <w:color w:val="0623BA"/>
          <w:sz w:val="24"/>
          <w:lang w:val="en-US" w:eastAsia="zh-CN"/>
        </w:rPr>
        <w:t>对光伏系统电缆进行了相关的规定：</w:t>
      </w:r>
    </w:p>
    <w:p w14:paraId="648EDD92">
      <w:pPr>
        <w:pStyle w:val="2"/>
        <w:spacing w:line="300" w:lineRule="auto"/>
        <w:ind w:firstLine="480" w:firstLineChars="200"/>
        <w:rPr>
          <w:rFonts w:hint="eastAsia" w:ascii="仿宋" w:hAnsi="仿宋" w:eastAsia="仿宋" w:cs="仿宋"/>
          <w:i/>
          <w:iCs/>
          <w:color w:val="0623BA"/>
          <w:sz w:val="24"/>
          <w:lang w:val="en-US" w:eastAsia="zh-CN"/>
        </w:rPr>
      </w:pPr>
      <w:r>
        <w:rPr>
          <w:rFonts w:hint="eastAsia" w:ascii="仿宋" w:hAnsi="仿宋" w:eastAsia="仿宋" w:cs="仿宋"/>
          <w:i/>
          <w:iCs/>
          <w:color w:val="0623BA"/>
          <w:sz w:val="24"/>
          <w:lang w:val="en-US" w:eastAsia="zh-CN"/>
        </w:rPr>
        <w:t>1</w:t>
      </w:r>
      <w:r>
        <w:rPr>
          <w:rFonts w:hint="eastAsia" w:ascii="仿宋" w:hAnsi="仿宋" w:eastAsia="仿宋" w:cs="仿宋"/>
          <w:i/>
          <w:iCs/>
          <w:color w:val="0623BA"/>
          <w:sz w:val="24"/>
        </w:rPr>
        <w:t>建筑光伏系统宜采用铜芯电缆</w:t>
      </w:r>
      <w:r>
        <w:rPr>
          <w:rFonts w:hint="eastAsia" w:ascii="仿宋" w:hAnsi="仿宋" w:eastAsia="仿宋" w:cs="仿宋"/>
          <w:i/>
          <w:iCs/>
          <w:color w:val="0623BA"/>
          <w:sz w:val="24"/>
          <w:lang w:eastAsia="zh-CN"/>
        </w:rPr>
        <w:t>；</w:t>
      </w:r>
    </w:p>
    <w:p w14:paraId="600E957B">
      <w:pPr>
        <w:pStyle w:val="2"/>
        <w:snapToGrid/>
        <w:spacing w:line="300" w:lineRule="auto"/>
        <w:ind w:firstLine="480" w:firstLineChars="200"/>
        <w:jc w:val="left"/>
        <w:rPr>
          <w:rFonts w:hint="eastAsia" w:ascii="仿宋" w:hAnsi="仿宋" w:eastAsia="仿宋" w:cs="仿宋"/>
          <w:i/>
          <w:iCs/>
          <w:color w:val="0623BA"/>
          <w:sz w:val="24"/>
          <w:lang w:eastAsia="zh-CN"/>
        </w:rPr>
      </w:pPr>
      <w:r>
        <w:rPr>
          <w:rFonts w:hint="eastAsia" w:ascii="仿宋" w:hAnsi="仿宋" w:eastAsia="仿宋" w:cs="仿宋"/>
          <w:i/>
          <w:iCs/>
          <w:color w:val="0623BA"/>
          <w:sz w:val="24"/>
          <w:lang w:val="en-US" w:eastAsia="zh-CN"/>
        </w:rPr>
        <w:t>2</w:t>
      </w:r>
      <w:r>
        <w:rPr>
          <w:rFonts w:hint="eastAsia" w:ascii="仿宋" w:hAnsi="仿宋" w:eastAsia="仿宋" w:cs="仿宋"/>
          <w:i/>
          <w:iCs/>
          <w:color w:val="0623BA"/>
          <w:sz w:val="24"/>
        </w:rPr>
        <w:t>电缆选型应符合现行国家标准《电力工程电缆设计标准》GB50217的有关规定</w:t>
      </w:r>
      <w:r>
        <w:rPr>
          <w:rFonts w:hint="eastAsia" w:ascii="仿宋" w:hAnsi="仿宋" w:eastAsia="仿宋" w:cs="仿宋"/>
          <w:i/>
          <w:iCs/>
          <w:color w:val="0623BA"/>
          <w:sz w:val="24"/>
          <w:lang w:eastAsia="zh-CN"/>
        </w:rPr>
        <w:t>；</w:t>
      </w:r>
    </w:p>
    <w:p w14:paraId="3D987CE0">
      <w:pPr>
        <w:pStyle w:val="2"/>
        <w:spacing w:line="300" w:lineRule="auto"/>
        <w:ind w:firstLine="480" w:firstLineChars="200"/>
        <w:rPr>
          <w:rFonts w:hint="eastAsia" w:ascii="仿宋" w:hAnsi="仿宋" w:eastAsia="仿宋" w:cs="仿宋"/>
          <w:i/>
          <w:iCs/>
          <w:color w:val="0623BA"/>
          <w:sz w:val="24"/>
          <w:lang w:val="en-US" w:eastAsia="zh-CN"/>
        </w:rPr>
      </w:pPr>
      <w:r>
        <w:rPr>
          <w:rFonts w:hint="eastAsia" w:ascii="仿宋" w:hAnsi="仿宋" w:eastAsia="仿宋" w:cs="仿宋"/>
          <w:i/>
          <w:iCs/>
          <w:color w:val="0623BA"/>
          <w:sz w:val="24"/>
          <w:lang w:val="en-US" w:eastAsia="zh-CN"/>
        </w:rPr>
        <w:t>3</w:t>
      </w:r>
      <w:r>
        <w:rPr>
          <w:rFonts w:hint="eastAsia" w:ascii="仿宋" w:hAnsi="仿宋" w:eastAsia="仿宋" w:cs="仿宋"/>
          <w:i/>
          <w:iCs/>
          <w:color w:val="0623BA"/>
          <w:sz w:val="24"/>
        </w:rPr>
        <w:t>当电缆长期暴露在户外时，应根据抗臭氧、抗紫外线、耐酸碱、耐高温、耐湿热、耐严寒、耐凹痕、无卤、阻燃、经受机械冲击等环境要求进行选择</w:t>
      </w:r>
      <w:r>
        <w:rPr>
          <w:rFonts w:hint="eastAsia" w:ascii="仿宋" w:hAnsi="仿宋" w:eastAsia="仿宋" w:cs="仿宋"/>
          <w:i/>
          <w:iCs/>
          <w:color w:val="0623BA"/>
          <w:sz w:val="24"/>
          <w:lang w:eastAsia="zh-CN"/>
        </w:rPr>
        <w:t>；</w:t>
      </w:r>
    </w:p>
    <w:p w14:paraId="13877712">
      <w:pPr>
        <w:pStyle w:val="2"/>
        <w:spacing w:line="300" w:lineRule="auto"/>
        <w:ind w:firstLine="480" w:firstLineChars="200"/>
        <w:rPr>
          <w:rFonts w:hint="eastAsia" w:ascii="仿宋" w:hAnsi="仿宋" w:eastAsia="仿宋" w:cs="仿宋"/>
          <w:i/>
          <w:iCs/>
          <w:color w:val="0623BA"/>
          <w:sz w:val="24"/>
          <w:lang w:val="en-US" w:eastAsia="zh-CN"/>
        </w:rPr>
      </w:pPr>
      <w:r>
        <w:rPr>
          <w:rFonts w:hint="eastAsia" w:ascii="仿宋" w:hAnsi="仿宋" w:eastAsia="仿宋" w:cs="仿宋"/>
          <w:i/>
          <w:iCs/>
          <w:color w:val="0623BA"/>
          <w:sz w:val="24"/>
          <w:lang w:val="en-US" w:eastAsia="zh-CN"/>
        </w:rPr>
        <w:t>4</w:t>
      </w:r>
      <w:r>
        <w:rPr>
          <w:rFonts w:hint="eastAsia" w:ascii="仿宋" w:hAnsi="仿宋" w:eastAsia="仿宋" w:cs="仿宋"/>
          <w:i/>
          <w:iCs/>
          <w:color w:val="0623BA"/>
          <w:sz w:val="24"/>
        </w:rPr>
        <w:t>光伏组件及方阵连接电缆应符合现行行业标准《光伏发电系统用电缆》NB/T 42073的有关规定。</w:t>
      </w:r>
    </w:p>
    <w:p w14:paraId="70E6669B">
      <w:pPr>
        <w:pStyle w:val="2"/>
        <w:snapToGrid/>
        <w:spacing w:line="300" w:lineRule="auto"/>
        <w:ind w:firstLine="480" w:firstLineChars="200"/>
        <w:jc w:val="left"/>
        <w:rPr>
          <w:rFonts w:hint="eastAsia" w:ascii="仿宋" w:hAnsi="仿宋" w:eastAsia="仿宋" w:cs="仿宋"/>
          <w:i/>
          <w:iCs/>
          <w:color w:val="0623BA"/>
          <w:sz w:val="24"/>
          <w:lang w:eastAsia="zh-CN"/>
        </w:rPr>
      </w:pPr>
      <w:r>
        <w:rPr>
          <w:rFonts w:hint="eastAsia" w:ascii="仿宋" w:hAnsi="仿宋" w:eastAsia="仿宋" w:cs="仿宋"/>
          <w:i/>
          <w:iCs/>
          <w:color w:val="0623BA"/>
          <w:sz w:val="24"/>
        </w:rPr>
        <w:t>电缆耐火性能应符合现行国家标准《在火焰条件下电缆或光缆的线路完整性试验 第11部分：试验装置 火焰温度不低于750℃的单独供火》GB/T 19216.11和《在火焰条件下电缆或光缆的线路完整性试验 第21部分：试验步骤和要求 额定电压0.6/1.0kV及以下电缆》GB/T 19216.21的有关规定</w:t>
      </w:r>
      <w:r>
        <w:rPr>
          <w:rFonts w:hint="eastAsia" w:ascii="仿宋" w:hAnsi="仿宋" w:eastAsia="仿宋" w:cs="仿宋"/>
          <w:i/>
          <w:iCs/>
          <w:color w:val="0623BA"/>
          <w:sz w:val="24"/>
          <w:lang w:eastAsia="zh-CN"/>
        </w:rPr>
        <w:t>；</w:t>
      </w:r>
    </w:p>
    <w:p w14:paraId="7EBA793E">
      <w:pPr>
        <w:pStyle w:val="2"/>
        <w:snapToGrid/>
        <w:spacing w:line="300" w:lineRule="auto"/>
        <w:ind w:firstLine="480" w:firstLineChars="200"/>
        <w:jc w:val="left"/>
        <w:rPr>
          <w:rFonts w:hint="eastAsia" w:ascii="仿宋" w:hAnsi="仿宋" w:eastAsia="仿宋" w:cs="仿宋"/>
          <w:i/>
          <w:iCs/>
          <w:color w:val="0623BA"/>
          <w:sz w:val="24"/>
        </w:rPr>
      </w:pPr>
      <w:r>
        <w:rPr>
          <w:rFonts w:hint="eastAsia" w:ascii="仿宋" w:hAnsi="仿宋" w:eastAsia="仿宋" w:cs="仿宋"/>
          <w:b w:val="0"/>
          <w:bCs w:val="0"/>
          <w:i/>
          <w:iCs/>
          <w:color w:val="0623BA"/>
          <w:sz w:val="24"/>
          <w:lang w:eastAsia="zh-CN"/>
        </w:rPr>
        <w:t>5</w:t>
      </w:r>
      <w:r>
        <w:rPr>
          <w:rFonts w:hint="eastAsia" w:ascii="仿宋" w:hAnsi="仿宋" w:eastAsia="仿宋" w:cs="仿宋"/>
          <w:i/>
          <w:iCs/>
          <w:color w:val="0623BA"/>
          <w:sz w:val="24"/>
        </w:rPr>
        <w:t xml:space="preserve"> 电缆绝缘和护套的材料机械性能、热老化性能、低温脆性、耐腐蚀性应符合现行国家标准《电缆和光缆绝缘和护套材料通用试验方法第11部分：通用试验方法 厚度和外形尺寸测量机械性能试验》GB/T 2951.11、《电缆和光缆绝缘和护套材料通用试验方法第12部分：通用试验方法热老化试验方法》GB/T 2951.12和《电缆和光缆绝缘和护套材料通用试验方法第51部分：填充膏专用试验方法 滴点油分离低温脆性总酸值腐蚀性23℃时的介电常数23℃和100℃时的直流电阻率》GB/T2951.51的有关规定。</w:t>
      </w:r>
    </w:p>
    <w:p w14:paraId="4CB6B128">
      <w:pPr>
        <w:snapToGrid/>
        <w:spacing w:line="300" w:lineRule="auto"/>
        <w:jc w:val="left"/>
        <w:rPr>
          <w:rFonts w:hint="default"/>
          <w:sz w:val="24"/>
        </w:rPr>
      </w:pPr>
      <w:r>
        <w:rPr>
          <w:rFonts w:hint="default" w:ascii="Times New Roman" w:hAnsi="Times New Roman" w:eastAsia="宋体" w:cs="Times New Roman"/>
          <w:b/>
          <w:bCs/>
          <w:i w:val="0"/>
          <w:iCs w:val="0"/>
          <w:color w:val="auto"/>
          <w:sz w:val="24"/>
          <w:lang w:val="en-US" w:eastAsia="zh-CN"/>
        </w:rPr>
        <w:t xml:space="preserve">4.3.4 </w:t>
      </w:r>
      <w:r>
        <w:rPr>
          <w:rFonts w:hint="default" w:ascii="Times New Roman" w:hAnsi="Times New Roman" w:eastAsia="宋体" w:cs="Times New Roman"/>
          <w:i w:val="0"/>
          <w:iCs w:val="0"/>
          <w:color w:val="auto"/>
          <w:sz w:val="24"/>
          <w:lang w:val="en-US" w:eastAsia="zh-CN"/>
        </w:rPr>
        <w:t>既有建筑加装光伏系统时，光伏系统的电缆敷设应符合建筑结构安全、电气安全要求并宜建成隐蔽工程，以保持建筑物</w:t>
      </w:r>
      <w:r>
        <w:rPr>
          <w:rFonts w:hint="eastAsia" w:cs="Times New Roman"/>
          <w:i w:val="0"/>
          <w:iCs w:val="0"/>
          <w:color w:val="auto"/>
          <w:sz w:val="24"/>
          <w:lang w:val="en-US" w:eastAsia="zh-CN"/>
        </w:rPr>
        <w:t>内</w:t>
      </w:r>
      <w:r>
        <w:rPr>
          <w:rFonts w:hint="default" w:ascii="Times New Roman" w:hAnsi="Times New Roman" w:eastAsia="宋体" w:cs="Times New Roman"/>
          <w:i w:val="0"/>
          <w:iCs w:val="0"/>
          <w:color w:val="auto"/>
          <w:sz w:val="24"/>
          <w:lang w:val="en-US" w:eastAsia="zh-CN"/>
        </w:rPr>
        <w:t>外观整齐。</w:t>
      </w:r>
    </w:p>
    <w:p w14:paraId="11D6B3C7">
      <w:pPr>
        <w:keepNext/>
        <w:keepLines/>
        <w:snapToGrid w:val="0"/>
        <w:spacing w:before="72" w:beforeLines="30" w:after="72" w:afterLines="30" w:line="300" w:lineRule="auto"/>
        <w:jc w:val="center"/>
        <w:outlineLvl w:val="2"/>
        <w:rPr>
          <w:b/>
          <w:sz w:val="24"/>
          <w:szCs w:val="32"/>
        </w:rPr>
      </w:pPr>
      <w:bookmarkStart w:id="88" w:name="_Toc20286"/>
      <w:bookmarkStart w:id="89" w:name="_Toc18158"/>
      <w:bookmarkStart w:id="90" w:name="_Toc6693"/>
      <w:bookmarkStart w:id="91" w:name="_Toc1142"/>
      <w:bookmarkStart w:id="92" w:name="_Toc24543"/>
      <w:bookmarkStart w:id="93" w:name="_Toc4352"/>
      <w:bookmarkStart w:id="94" w:name="_Toc15111"/>
      <w:bookmarkStart w:id="95" w:name="_Toc19963"/>
      <w:r>
        <w:rPr>
          <w:b/>
          <w:sz w:val="24"/>
          <w:szCs w:val="32"/>
        </w:rPr>
        <w:t>4.</w:t>
      </w:r>
      <w:r>
        <w:rPr>
          <w:rFonts w:hint="default"/>
          <w:b/>
          <w:sz w:val="24"/>
          <w:szCs w:val="32"/>
          <w:lang w:val="en-US" w:eastAsia="zh-CN"/>
        </w:rPr>
        <w:t xml:space="preserve">4 </w:t>
      </w:r>
      <w:r>
        <w:rPr>
          <w:b/>
          <w:sz w:val="24"/>
          <w:szCs w:val="32"/>
        </w:rPr>
        <w:t>逆变器</w:t>
      </w:r>
      <w:bookmarkEnd w:id="88"/>
      <w:bookmarkEnd w:id="89"/>
      <w:bookmarkEnd w:id="90"/>
      <w:bookmarkEnd w:id="91"/>
      <w:bookmarkEnd w:id="92"/>
      <w:bookmarkEnd w:id="93"/>
      <w:bookmarkEnd w:id="94"/>
      <w:bookmarkEnd w:id="95"/>
    </w:p>
    <w:p w14:paraId="3D2F1BCA">
      <w:pPr>
        <w:pStyle w:val="2"/>
        <w:spacing w:line="300" w:lineRule="auto"/>
        <w:rPr>
          <w:sz w:val="24"/>
        </w:rPr>
      </w:pPr>
      <w:r>
        <w:rPr>
          <w:b/>
          <w:bCs/>
          <w:sz w:val="24"/>
        </w:rPr>
        <w:t>4.</w:t>
      </w:r>
      <w:r>
        <w:rPr>
          <w:rFonts w:hint="eastAsia"/>
          <w:b/>
          <w:bCs/>
          <w:sz w:val="24"/>
          <w:lang w:val="en-US" w:eastAsia="zh-CN"/>
        </w:rPr>
        <w:t>4</w:t>
      </w:r>
      <w:r>
        <w:rPr>
          <w:b/>
          <w:bCs/>
          <w:sz w:val="24"/>
        </w:rPr>
        <w:t>.1</w:t>
      </w:r>
      <w:r>
        <w:rPr>
          <w:rFonts w:hint="eastAsia"/>
          <w:sz w:val="24"/>
        </w:rPr>
        <w:t xml:space="preserve"> </w:t>
      </w:r>
      <w:r>
        <w:rPr>
          <w:sz w:val="24"/>
        </w:rPr>
        <w:t>建筑光伏系统用并网逆变器性能应符合国家现行标准的有关规定。</w:t>
      </w:r>
    </w:p>
    <w:p w14:paraId="32B781BA">
      <w:pPr>
        <w:snapToGrid w:val="0"/>
        <w:spacing w:line="300" w:lineRule="auto"/>
        <w:jc w:val="left"/>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63D10BEE">
      <w:pPr>
        <w:snapToGrid w:val="0"/>
        <w:spacing w:line="300" w:lineRule="auto"/>
        <w:jc w:val="left"/>
        <w:rPr>
          <w:sz w:val="24"/>
        </w:rPr>
      </w:pPr>
      <w:r>
        <w:rPr>
          <w:rFonts w:hint="eastAsia" w:ascii="仿宋" w:hAnsi="仿宋" w:eastAsia="仿宋" w:cs="仿宋"/>
          <w:i/>
          <w:iCs/>
          <w:color w:val="0623BA"/>
          <w:sz w:val="24"/>
        </w:rPr>
        <w:t>4.</w:t>
      </w:r>
      <w:r>
        <w:rPr>
          <w:rFonts w:hint="eastAsia" w:ascii="仿宋" w:hAnsi="仿宋" w:eastAsia="仿宋" w:cs="仿宋"/>
          <w:i/>
          <w:iCs/>
          <w:color w:val="0623BA"/>
          <w:sz w:val="24"/>
          <w:lang w:val="en-US" w:eastAsia="zh-CN"/>
        </w:rPr>
        <w:t>4</w:t>
      </w:r>
      <w:r>
        <w:rPr>
          <w:rFonts w:hint="eastAsia" w:ascii="仿宋" w:hAnsi="仿宋" w:eastAsia="仿宋" w:cs="仿宋"/>
          <w:i/>
          <w:iCs/>
          <w:color w:val="0623BA"/>
          <w:sz w:val="24"/>
        </w:rPr>
        <w:t>.1 并网型逆变器的性能应符合现行国家标准《光伏发电并网逆变器技术要求》GB/T 37408及现行行业标准《光伏并网逆变器技术规范》NB/T 32004的有关规定。</w:t>
      </w:r>
    </w:p>
    <w:p w14:paraId="656055C6">
      <w:pPr>
        <w:snapToGrid w:val="0"/>
        <w:spacing w:line="300" w:lineRule="auto"/>
        <w:jc w:val="left"/>
        <w:rPr>
          <w:rFonts w:hint="eastAsia"/>
          <w:sz w:val="24"/>
        </w:rPr>
      </w:pPr>
      <w:r>
        <w:rPr>
          <w:rFonts w:hint="eastAsia"/>
          <w:b/>
          <w:bCs/>
          <w:sz w:val="24"/>
          <w:lang w:val="en-US" w:eastAsia="zh-CN"/>
        </w:rPr>
        <w:t xml:space="preserve">4.4.2 </w:t>
      </w:r>
      <w:r>
        <w:rPr>
          <w:rFonts w:hint="eastAsia"/>
          <w:sz w:val="24"/>
        </w:rPr>
        <w:t>选用逆变器时应该综合考虑如下因素</w:t>
      </w:r>
      <w:r>
        <w:rPr>
          <w:rFonts w:hint="eastAsia"/>
          <w:sz w:val="24"/>
          <w:lang w:eastAsia="zh-CN"/>
        </w:rPr>
        <w:t>：</w:t>
      </w:r>
      <w:r>
        <w:rPr>
          <w:rFonts w:hint="eastAsia"/>
          <w:sz w:val="24"/>
        </w:rPr>
        <w:t>逆变类型要求、容量、相数、频率、冷却方式、功率因数、过载能力、温升、效率、输入输出电压、最大功率点跟踪</w:t>
      </w:r>
      <w:r>
        <w:rPr>
          <w:rFonts w:hint="eastAsia"/>
          <w:sz w:val="24"/>
          <w:lang w:eastAsia="zh-CN"/>
        </w:rPr>
        <w:t>（</w:t>
      </w:r>
      <w:r>
        <w:rPr>
          <w:rFonts w:hint="eastAsia"/>
          <w:sz w:val="24"/>
        </w:rPr>
        <w:t>MPPT</w:t>
      </w:r>
      <w:r>
        <w:rPr>
          <w:rFonts w:hint="eastAsia"/>
          <w:sz w:val="24"/>
          <w:lang w:eastAsia="zh-CN"/>
        </w:rPr>
        <w:t>）</w:t>
      </w:r>
      <w:r>
        <w:rPr>
          <w:rFonts w:hint="eastAsia"/>
          <w:sz w:val="24"/>
        </w:rPr>
        <w:t>、保护和监测功能、通信接口、防护等级等技术条件进行选择。</w:t>
      </w:r>
    </w:p>
    <w:p w14:paraId="431448DD">
      <w:pPr>
        <w:snapToGrid w:val="0"/>
        <w:spacing w:line="300" w:lineRule="auto"/>
        <w:jc w:val="left"/>
        <w:rPr>
          <w:sz w:val="24"/>
        </w:rPr>
      </w:pPr>
      <w:r>
        <w:rPr>
          <w:b/>
          <w:bCs/>
          <w:sz w:val="24"/>
        </w:rPr>
        <w:t>4.</w:t>
      </w:r>
      <w:r>
        <w:rPr>
          <w:rFonts w:hint="eastAsia"/>
          <w:b/>
          <w:bCs/>
          <w:sz w:val="24"/>
          <w:lang w:val="en-US" w:eastAsia="zh-CN"/>
        </w:rPr>
        <w:t>4</w:t>
      </w:r>
      <w:r>
        <w:rPr>
          <w:b/>
          <w:bCs/>
          <w:sz w:val="24"/>
        </w:rPr>
        <w:t>.</w:t>
      </w:r>
      <w:r>
        <w:rPr>
          <w:rFonts w:hint="eastAsia"/>
          <w:b/>
          <w:bCs/>
          <w:sz w:val="24"/>
          <w:lang w:val="en-US" w:eastAsia="zh-CN"/>
        </w:rPr>
        <w:t>3</w:t>
      </w:r>
      <w:r>
        <w:rPr>
          <w:rFonts w:hint="eastAsia"/>
          <w:sz w:val="24"/>
        </w:rPr>
        <w:t xml:space="preserve"> 离网型逆变器除应符合现行国家标准《离网型风能、太阳能发电系统用逆变器 第1部分：技术条件》GB/T 20321.1的有关规定外，还应符合</w:t>
      </w:r>
      <w:r>
        <w:rPr>
          <w:rFonts w:hint="eastAsia"/>
          <w:sz w:val="24"/>
          <w:lang w:val="en-US" w:eastAsia="zh-CN"/>
        </w:rPr>
        <w:t>下</w:t>
      </w:r>
      <w:r>
        <w:rPr>
          <w:rFonts w:hint="eastAsia"/>
          <w:sz w:val="24"/>
        </w:rPr>
        <w:t>列</w:t>
      </w:r>
      <w:r>
        <w:rPr>
          <w:rFonts w:hint="eastAsia"/>
          <w:sz w:val="24"/>
          <w:lang w:val="en-US" w:eastAsia="zh-CN"/>
        </w:rPr>
        <w:t>要求</w:t>
      </w:r>
      <w:r>
        <w:rPr>
          <w:rFonts w:hint="eastAsia"/>
          <w:sz w:val="24"/>
        </w:rPr>
        <w:t>：</w:t>
      </w:r>
    </w:p>
    <w:p w14:paraId="6FA4C117">
      <w:pPr>
        <w:snapToGrid w:val="0"/>
        <w:spacing w:line="300" w:lineRule="auto"/>
        <w:ind w:firstLine="482" w:firstLineChars="200"/>
        <w:jc w:val="left"/>
        <w:rPr>
          <w:sz w:val="24"/>
        </w:rPr>
      </w:pPr>
      <w:r>
        <w:rPr>
          <w:rFonts w:hint="eastAsia"/>
          <w:b/>
          <w:bCs/>
          <w:sz w:val="24"/>
        </w:rPr>
        <w:t xml:space="preserve">1 </w:t>
      </w:r>
      <w:r>
        <w:rPr>
          <w:rFonts w:hint="eastAsia"/>
          <w:sz w:val="24"/>
        </w:rPr>
        <w:t>当逆变器具备充放电控制功能时，还应符合充放电控制器的有关规定；</w:t>
      </w:r>
    </w:p>
    <w:p w14:paraId="13788256">
      <w:pPr>
        <w:snapToGrid w:val="0"/>
        <w:spacing w:line="300" w:lineRule="auto"/>
        <w:ind w:firstLine="482" w:firstLineChars="200"/>
        <w:jc w:val="left"/>
        <w:rPr>
          <w:rFonts w:hint="eastAsia"/>
          <w:sz w:val="24"/>
        </w:rPr>
      </w:pPr>
      <w:r>
        <w:rPr>
          <w:rFonts w:hint="eastAsia"/>
          <w:b/>
          <w:bCs/>
          <w:sz w:val="24"/>
        </w:rPr>
        <w:t xml:space="preserve">2 </w:t>
      </w:r>
      <w:r>
        <w:rPr>
          <w:rFonts w:hint="eastAsia"/>
          <w:sz w:val="24"/>
        </w:rPr>
        <w:t>当逆变器允许市电输入，与光伏发电系统互补供电时，直流经逆变成交流后的系统供电和市电供电的切换过程不应影响交流电气负载的使用。</w:t>
      </w:r>
    </w:p>
    <w:p w14:paraId="52D9DFEC">
      <w:pPr>
        <w:snapToGrid w:val="0"/>
        <w:spacing w:line="300" w:lineRule="auto"/>
        <w:jc w:val="left"/>
        <w:rPr>
          <w:rFonts w:hint="eastAsia" w:eastAsia="宋体"/>
          <w:sz w:val="24"/>
          <w:lang w:val="en-US" w:eastAsia="zh-CN"/>
        </w:rPr>
      </w:pPr>
      <w:r>
        <w:rPr>
          <w:rFonts w:hint="default"/>
          <w:b/>
          <w:bCs/>
          <w:sz w:val="24"/>
          <w:lang w:val="en-US" w:eastAsia="zh-CN"/>
        </w:rPr>
        <w:t xml:space="preserve">4.4.4 </w:t>
      </w:r>
      <w:r>
        <w:rPr>
          <w:rFonts w:hint="eastAsia"/>
          <w:sz w:val="24"/>
          <w:lang w:val="en-US" w:eastAsia="zh-CN"/>
        </w:rPr>
        <w:t>并网型</w:t>
      </w:r>
      <w:r>
        <w:rPr>
          <w:rFonts w:hint="eastAsia"/>
          <w:sz w:val="24"/>
          <w:highlight w:val="none"/>
          <w:lang w:val="en-US" w:eastAsia="zh-CN"/>
        </w:rPr>
        <w:t>逆变器的性能应符合现行国家标准《光伏发电并网逆变器技术要求》GB/T 37408及现行行业标准《光伏并网逆变器技术规范》NB/T 32004的有关规定。</w:t>
      </w:r>
    </w:p>
    <w:p w14:paraId="587DAFDB">
      <w:pPr>
        <w:snapToGrid w:val="0"/>
        <w:spacing w:line="300" w:lineRule="auto"/>
        <w:jc w:val="left"/>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522982C3">
      <w:pPr>
        <w:snapToGrid w:val="0"/>
        <w:spacing w:line="300" w:lineRule="auto"/>
        <w:jc w:val="left"/>
        <w:rPr>
          <w:rFonts w:hint="eastAsia" w:ascii="仿宋" w:hAnsi="仿宋" w:eastAsia="仿宋" w:cs="仿宋"/>
          <w:i/>
          <w:iCs/>
          <w:color w:val="0623BA"/>
          <w:sz w:val="24"/>
        </w:rPr>
      </w:pPr>
      <w:r>
        <w:rPr>
          <w:rFonts w:hint="eastAsia" w:ascii="仿宋" w:hAnsi="仿宋" w:eastAsia="仿宋" w:cs="仿宋"/>
          <w:i/>
          <w:iCs/>
          <w:color w:val="0623BA"/>
          <w:sz w:val="24"/>
        </w:rPr>
        <w:t>4.</w:t>
      </w:r>
      <w:r>
        <w:rPr>
          <w:rFonts w:hint="eastAsia" w:ascii="仿宋" w:hAnsi="仿宋" w:eastAsia="仿宋" w:cs="仿宋"/>
          <w:i/>
          <w:iCs/>
          <w:color w:val="0623BA"/>
          <w:sz w:val="24"/>
          <w:lang w:val="en-US" w:eastAsia="zh-CN"/>
        </w:rPr>
        <w:t>4</w:t>
      </w:r>
      <w:r>
        <w:rPr>
          <w:rFonts w:hint="eastAsia" w:ascii="仿宋" w:hAnsi="仿宋" w:eastAsia="仿宋" w:cs="仿宋"/>
          <w:i/>
          <w:iCs/>
          <w:color w:val="0623BA"/>
          <w:sz w:val="24"/>
        </w:rPr>
        <w:t>.</w:t>
      </w:r>
      <w:r>
        <w:rPr>
          <w:rFonts w:hint="eastAsia" w:ascii="仿宋" w:hAnsi="仿宋" w:eastAsia="仿宋" w:cs="仿宋"/>
          <w:i/>
          <w:iCs/>
          <w:color w:val="0623BA"/>
          <w:sz w:val="24"/>
          <w:lang w:val="en-US" w:eastAsia="zh-CN"/>
        </w:rPr>
        <w:t>3</w:t>
      </w:r>
      <w:r>
        <w:rPr>
          <w:rFonts w:hint="eastAsia" w:ascii="仿宋" w:hAnsi="仿宋" w:eastAsia="仿宋" w:cs="仿宋"/>
          <w:i/>
          <w:iCs/>
          <w:color w:val="0623BA"/>
          <w:sz w:val="24"/>
        </w:rPr>
        <w:t xml:space="preserve"> </w:t>
      </w:r>
      <w:r>
        <w:rPr>
          <w:rFonts w:hint="eastAsia" w:ascii="仿宋" w:hAnsi="仿宋" w:eastAsia="仿宋" w:cs="仿宋"/>
          <w:i/>
          <w:iCs/>
          <w:color w:val="0623BA"/>
          <w:sz w:val="24"/>
          <w:lang w:eastAsia="zh-CN"/>
        </w:rPr>
        <w:t>、</w:t>
      </w:r>
      <w:r>
        <w:rPr>
          <w:rFonts w:hint="eastAsia" w:ascii="仿宋" w:hAnsi="仿宋" w:eastAsia="仿宋" w:cs="仿宋"/>
          <w:i/>
          <w:iCs/>
          <w:color w:val="0623BA"/>
          <w:sz w:val="24"/>
          <w:lang w:val="en-US" w:eastAsia="zh-CN"/>
        </w:rPr>
        <w:t>4.4.4</w:t>
      </w:r>
      <w:r>
        <w:rPr>
          <w:rFonts w:hint="eastAsia" w:ascii="仿宋" w:hAnsi="仿宋" w:eastAsia="仿宋" w:cs="仿宋"/>
          <w:i/>
          <w:iCs/>
          <w:color w:val="0623BA"/>
          <w:sz w:val="24"/>
        </w:rPr>
        <w:t>并网光伏发电系统应采用并网型逆变器,</w:t>
      </w:r>
      <w:r>
        <w:rPr>
          <w:rFonts w:hint="eastAsia" w:ascii="仿宋" w:hAnsi="仿宋" w:eastAsia="仿宋" w:cs="仿宋"/>
          <w:i/>
          <w:iCs/>
          <w:color w:val="0623BA"/>
          <w:sz w:val="24"/>
          <w:lang w:val="en-US" w:eastAsia="zh-CN"/>
        </w:rPr>
        <w:t>独立光</w:t>
      </w:r>
      <w:r>
        <w:rPr>
          <w:rFonts w:hint="eastAsia" w:ascii="仿宋" w:hAnsi="仿宋" w:eastAsia="仿宋" w:cs="仿宋"/>
          <w:i/>
          <w:iCs/>
          <w:color w:val="0623BA"/>
          <w:sz w:val="24"/>
        </w:rPr>
        <w:t>伏发电系统应采用离网型逆变器，逆变器的性能应适配光组件发电特性。</w:t>
      </w:r>
    </w:p>
    <w:p w14:paraId="7F361A9D">
      <w:pPr>
        <w:snapToGrid w:val="0"/>
        <w:spacing w:line="300" w:lineRule="auto"/>
        <w:jc w:val="left"/>
        <w:rPr>
          <w:sz w:val="24"/>
        </w:rPr>
      </w:pPr>
      <w:r>
        <w:rPr>
          <w:b/>
          <w:bCs/>
          <w:sz w:val="24"/>
        </w:rPr>
        <w:t>4.</w:t>
      </w:r>
      <w:r>
        <w:rPr>
          <w:rFonts w:hint="eastAsia"/>
          <w:b/>
          <w:bCs/>
          <w:sz w:val="24"/>
          <w:lang w:val="en-US" w:eastAsia="zh-CN"/>
        </w:rPr>
        <w:t>4</w:t>
      </w:r>
      <w:r>
        <w:rPr>
          <w:b/>
          <w:bCs/>
          <w:sz w:val="24"/>
        </w:rPr>
        <w:t>.</w:t>
      </w:r>
      <w:r>
        <w:rPr>
          <w:rFonts w:hint="eastAsia"/>
          <w:b/>
          <w:bCs/>
          <w:sz w:val="24"/>
          <w:lang w:val="en-US" w:eastAsia="zh-CN"/>
        </w:rPr>
        <w:t>5</w:t>
      </w:r>
      <w:r>
        <w:rPr>
          <w:rFonts w:hint="eastAsia"/>
          <w:sz w:val="24"/>
        </w:rPr>
        <w:t xml:space="preserve"> 逆变器在正常输入、输出工作电压范围内工作时，逆变器能够连续输出的电流不</w:t>
      </w:r>
      <w:r>
        <w:rPr>
          <w:rFonts w:hint="eastAsia"/>
          <w:sz w:val="24"/>
          <w:lang w:val="en-US" w:eastAsia="zh-CN"/>
        </w:rPr>
        <w:t>应</w:t>
      </w:r>
      <w:r>
        <w:rPr>
          <w:rFonts w:hint="eastAsia"/>
          <w:sz w:val="24"/>
        </w:rPr>
        <w:t>超过标称最大连续输出电流的110%</w:t>
      </w:r>
      <w:r>
        <w:rPr>
          <w:rFonts w:hint="eastAsia"/>
          <w:sz w:val="24"/>
          <w:lang w:val="en-US" w:eastAsia="zh-CN"/>
        </w:rPr>
        <w:t>且</w:t>
      </w:r>
      <w:r>
        <w:rPr>
          <w:rFonts w:hint="eastAsia"/>
          <w:sz w:val="24"/>
        </w:rPr>
        <w:t>过流保护装置和过温保护装置不应动作。</w:t>
      </w:r>
    </w:p>
    <w:p w14:paraId="43B80D8B">
      <w:pPr>
        <w:snapToGrid w:val="0"/>
        <w:spacing w:line="300" w:lineRule="auto"/>
        <w:jc w:val="left"/>
        <w:rPr>
          <w:rFonts w:hint="eastAsia"/>
          <w:sz w:val="24"/>
          <w:lang w:val="en-US" w:eastAsia="zh-CN"/>
        </w:rPr>
      </w:pPr>
      <w:r>
        <w:rPr>
          <w:rFonts w:hint="eastAsia"/>
          <w:b/>
          <w:bCs/>
          <w:sz w:val="24"/>
        </w:rPr>
        <w:t>4.</w:t>
      </w:r>
      <w:r>
        <w:rPr>
          <w:rFonts w:hint="eastAsia"/>
          <w:b/>
          <w:bCs/>
          <w:sz w:val="24"/>
          <w:lang w:val="en-US" w:eastAsia="zh-CN"/>
        </w:rPr>
        <w:t>4</w:t>
      </w:r>
      <w:r>
        <w:rPr>
          <w:rFonts w:hint="eastAsia"/>
          <w:b/>
          <w:bCs/>
          <w:sz w:val="24"/>
        </w:rPr>
        <w:t>.</w:t>
      </w:r>
      <w:r>
        <w:rPr>
          <w:rFonts w:hint="eastAsia"/>
          <w:b/>
          <w:bCs/>
          <w:sz w:val="24"/>
          <w:lang w:val="en-US" w:eastAsia="zh-CN"/>
        </w:rPr>
        <w:t>6</w:t>
      </w:r>
      <w:r>
        <w:rPr>
          <w:rFonts w:hint="eastAsia"/>
          <w:b/>
          <w:bCs/>
          <w:sz w:val="24"/>
        </w:rPr>
        <w:t xml:space="preserve"> </w:t>
      </w:r>
      <w:r>
        <w:rPr>
          <w:rFonts w:hint="eastAsia"/>
          <w:sz w:val="24"/>
        </w:rPr>
        <w:t>并网逆变器</w:t>
      </w:r>
      <w:r>
        <w:rPr>
          <w:rFonts w:hint="eastAsia"/>
          <w:sz w:val="24"/>
          <w:lang w:val="en-US" w:eastAsia="zh-CN"/>
        </w:rPr>
        <w:t>宜选择使用组串逆变器和微逆逆变器，</w:t>
      </w:r>
      <w:r>
        <w:rPr>
          <w:rFonts w:hint="eastAsia" w:eastAsia="宋体"/>
          <w:sz w:val="24"/>
          <w:lang w:val="en-US" w:eastAsia="zh-CN"/>
        </w:rPr>
        <w:t>中国加权效率应符合含变压器型的光伏逆变器中国加权效率不得低于96.5%，不含变压器型的光伏逆变器中国加权效率不得低于98%，单相二级拓扑结构的光伏逆变器相关指标分别不低于94.5%和97.3%</w:t>
      </w:r>
      <w:r>
        <w:rPr>
          <w:rFonts w:hint="eastAsia"/>
          <w:sz w:val="24"/>
        </w:rPr>
        <w:t>，</w:t>
      </w:r>
      <w:r>
        <w:rPr>
          <w:rFonts w:hint="eastAsia" w:eastAsia="宋体"/>
          <w:sz w:val="24"/>
          <w:lang w:val="en-US" w:eastAsia="zh-CN"/>
        </w:rPr>
        <w:t>微型逆变器相关指标分别不低于95%和95.5%</w:t>
      </w:r>
    </w:p>
    <w:p w14:paraId="7B6DFA70">
      <w:pPr>
        <w:snapToGrid w:val="0"/>
        <w:spacing w:line="300" w:lineRule="auto"/>
        <w:jc w:val="left"/>
        <w:rPr>
          <w:rFonts w:hint="eastAsia"/>
          <w:sz w:val="24"/>
        </w:rPr>
      </w:pPr>
      <w:r>
        <w:rPr>
          <w:rFonts w:hint="eastAsia"/>
          <w:b/>
          <w:bCs/>
          <w:sz w:val="24"/>
        </w:rPr>
        <w:t>4.</w:t>
      </w:r>
      <w:r>
        <w:rPr>
          <w:rFonts w:hint="eastAsia"/>
          <w:b/>
          <w:bCs/>
          <w:sz w:val="24"/>
          <w:lang w:val="en-US" w:eastAsia="zh-CN"/>
        </w:rPr>
        <w:t>4</w:t>
      </w:r>
      <w:r>
        <w:rPr>
          <w:rFonts w:hint="eastAsia"/>
          <w:b/>
          <w:bCs/>
          <w:sz w:val="24"/>
        </w:rPr>
        <w:t>.</w:t>
      </w:r>
      <w:r>
        <w:rPr>
          <w:rFonts w:hint="eastAsia"/>
          <w:b/>
          <w:bCs/>
          <w:sz w:val="24"/>
          <w:lang w:val="en-US" w:eastAsia="zh-CN"/>
        </w:rPr>
        <w:t>7</w:t>
      </w:r>
      <w:r>
        <w:rPr>
          <w:rFonts w:hint="eastAsia"/>
          <w:b w:val="0"/>
          <w:bCs w:val="0"/>
          <w:sz w:val="24"/>
        </w:rPr>
        <w:t xml:space="preserve"> </w:t>
      </w:r>
      <w:r>
        <w:rPr>
          <w:rFonts w:hint="eastAsia"/>
          <w:sz w:val="24"/>
        </w:rPr>
        <w:t>逆变器正常运行条件下</w:t>
      </w:r>
      <w:r>
        <w:rPr>
          <w:rFonts w:hint="eastAsia"/>
          <w:sz w:val="24"/>
          <w:lang w:eastAsia="zh-CN"/>
        </w:rPr>
        <w:t>，</w:t>
      </w:r>
      <w:r>
        <w:rPr>
          <w:rFonts w:hint="eastAsia"/>
          <w:sz w:val="24"/>
        </w:rPr>
        <w:t>当逆变器输出有功功率大于其额定功率的50%时，功率因数应不小于0.98</w:t>
      </w:r>
      <w:r>
        <w:rPr>
          <w:rFonts w:hint="eastAsia"/>
          <w:sz w:val="24"/>
          <w:lang w:eastAsia="zh-CN"/>
        </w:rPr>
        <w:t>（</w:t>
      </w:r>
      <w:r>
        <w:rPr>
          <w:rFonts w:hint="eastAsia"/>
          <w:sz w:val="24"/>
        </w:rPr>
        <w:t>超前或滞后</w:t>
      </w:r>
      <w:r>
        <w:rPr>
          <w:rFonts w:hint="eastAsia"/>
          <w:sz w:val="24"/>
          <w:lang w:eastAsia="zh-CN"/>
        </w:rPr>
        <w:t>）</w:t>
      </w:r>
      <w:r>
        <w:rPr>
          <w:rFonts w:hint="eastAsia"/>
          <w:sz w:val="24"/>
        </w:rPr>
        <w:t>，输出有功功率在20%~50%之时，功率因数应不小于0.95</w:t>
      </w:r>
      <w:r>
        <w:rPr>
          <w:rFonts w:hint="eastAsia"/>
          <w:sz w:val="24"/>
          <w:lang w:eastAsia="zh-CN"/>
        </w:rPr>
        <w:t>（</w:t>
      </w:r>
      <w:r>
        <w:rPr>
          <w:rFonts w:hint="eastAsia"/>
          <w:sz w:val="24"/>
        </w:rPr>
        <w:t>超前或滞后</w:t>
      </w:r>
      <w:r>
        <w:rPr>
          <w:rFonts w:hint="eastAsia"/>
          <w:sz w:val="24"/>
          <w:lang w:eastAsia="zh-CN"/>
        </w:rPr>
        <w:t>）</w:t>
      </w:r>
      <w:r>
        <w:rPr>
          <w:rFonts w:hint="eastAsia"/>
          <w:sz w:val="24"/>
        </w:rPr>
        <w:t>。</w:t>
      </w:r>
    </w:p>
    <w:p w14:paraId="0A2D9CF3">
      <w:pPr>
        <w:snapToGrid w:val="0"/>
        <w:spacing w:line="300" w:lineRule="auto"/>
        <w:jc w:val="left"/>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61D45E54">
      <w:pPr>
        <w:snapToGrid w:val="0"/>
        <w:spacing w:line="300" w:lineRule="auto"/>
        <w:jc w:val="left"/>
        <w:rPr>
          <w:rFonts w:hint="eastAsia" w:ascii="仿宋" w:hAnsi="仿宋" w:eastAsia="仿宋" w:cs="仿宋"/>
          <w:i/>
          <w:iCs/>
          <w:color w:val="0623BA"/>
          <w:sz w:val="24"/>
        </w:rPr>
      </w:pPr>
      <w:r>
        <w:rPr>
          <w:rFonts w:hint="eastAsia" w:ascii="仿宋" w:hAnsi="仿宋" w:eastAsia="仿宋" w:cs="仿宋"/>
          <w:i/>
          <w:iCs/>
          <w:color w:val="0623BA"/>
          <w:sz w:val="24"/>
        </w:rPr>
        <w:t>4.</w:t>
      </w:r>
      <w:r>
        <w:rPr>
          <w:rFonts w:hint="eastAsia" w:ascii="仿宋" w:hAnsi="仿宋" w:eastAsia="仿宋" w:cs="仿宋"/>
          <w:i/>
          <w:iCs/>
          <w:color w:val="0623BA"/>
          <w:sz w:val="24"/>
          <w:lang w:val="en-US" w:eastAsia="zh-CN"/>
        </w:rPr>
        <w:t>4</w:t>
      </w:r>
      <w:r>
        <w:rPr>
          <w:rFonts w:hint="eastAsia" w:ascii="仿宋" w:hAnsi="仿宋" w:eastAsia="仿宋" w:cs="仿宋"/>
          <w:i/>
          <w:iCs/>
          <w:color w:val="0623BA"/>
          <w:sz w:val="24"/>
        </w:rPr>
        <w:t>.</w:t>
      </w:r>
      <w:r>
        <w:rPr>
          <w:rFonts w:hint="eastAsia" w:ascii="仿宋" w:hAnsi="仿宋" w:eastAsia="仿宋" w:cs="仿宋"/>
          <w:i/>
          <w:iCs/>
          <w:color w:val="0623BA"/>
          <w:sz w:val="24"/>
          <w:lang w:val="en-US" w:eastAsia="zh-CN"/>
        </w:rPr>
        <w:t xml:space="preserve">7 </w:t>
      </w:r>
      <w:r>
        <w:rPr>
          <w:rFonts w:ascii="仿宋" w:hAnsi="仿宋" w:eastAsia="仿宋" w:cs="仿宋"/>
          <w:i/>
          <w:iCs/>
          <w:color w:val="0623BA"/>
          <w:sz w:val="24"/>
        </w:rPr>
        <w:t>逆变器电能质量除应满足功率因数的要求外</w:t>
      </w:r>
      <w:r>
        <w:rPr>
          <w:rFonts w:hint="eastAsia" w:ascii="仿宋" w:hAnsi="仿宋" w:eastAsia="仿宋" w:cs="仿宋"/>
          <w:i/>
          <w:iCs/>
          <w:color w:val="0623BA"/>
          <w:sz w:val="24"/>
        </w:rPr>
        <w:t>，</w:t>
      </w:r>
      <w:r>
        <w:rPr>
          <w:rFonts w:ascii="仿宋" w:hAnsi="仿宋" w:eastAsia="仿宋" w:cs="仿宋"/>
          <w:i/>
          <w:iCs/>
          <w:color w:val="0623BA"/>
          <w:sz w:val="24"/>
        </w:rPr>
        <w:t>还应满足谐波和波形畸变、三相电流不平衡度、直流分量等的要求</w:t>
      </w:r>
      <w:r>
        <w:rPr>
          <w:rFonts w:hint="eastAsia" w:ascii="仿宋" w:hAnsi="仿宋" w:eastAsia="仿宋" w:cs="仿宋"/>
          <w:i/>
          <w:iCs/>
          <w:color w:val="0623BA"/>
          <w:sz w:val="24"/>
        </w:rPr>
        <w:t>，</w:t>
      </w:r>
      <w:r>
        <w:rPr>
          <w:rFonts w:ascii="仿宋" w:hAnsi="仿宋" w:eastAsia="仿宋" w:cs="仿宋"/>
          <w:i/>
          <w:iCs/>
          <w:color w:val="0623BA"/>
          <w:sz w:val="24"/>
        </w:rPr>
        <w:t>其中逆变器正常运行时</w:t>
      </w:r>
      <w:r>
        <w:rPr>
          <w:rFonts w:hint="eastAsia" w:ascii="仿宋" w:hAnsi="仿宋" w:eastAsia="仿宋" w:cs="仿宋"/>
          <w:i/>
          <w:iCs/>
          <w:color w:val="0623BA"/>
          <w:sz w:val="24"/>
        </w:rPr>
        <w:t>，</w:t>
      </w:r>
      <w:r>
        <w:rPr>
          <w:rFonts w:ascii="仿宋" w:hAnsi="仿宋" w:eastAsia="仿宋" w:cs="仿宋"/>
          <w:i/>
          <w:iCs/>
          <w:color w:val="0623BA"/>
          <w:sz w:val="24"/>
        </w:rPr>
        <w:t>负序三相电流不平衡度不应超过2%，短时不应超过4%</w:t>
      </w:r>
      <w:r>
        <w:rPr>
          <w:rFonts w:hint="eastAsia" w:ascii="仿宋" w:hAnsi="仿宋" w:eastAsia="仿宋" w:cs="仿宋"/>
          <w:i/>
          <w:iCs/>
          <w:color w:val="0623BA"/>
          <w:sz w:val="24"/>
        </w:rPr>
        <w:t>；</w:t>
      </w:r>
      <w:r>
        <w:rPr>
          <w:rFonts w:ascii="仿宋" w:hAnsi="仿宋" w:eastAsia="仿宋" w:cs="仿宋"/>
          <w:i/>
          <w:iCs/>
          <w:color w:val="0623BA"/>
          <w:sz w:val="24"/>
        </w:rPr>
        <w:t>逆变器正常运行时</w:t>
      </w:r>
      <w:r>
        <w:rPr>
          <w:rFonts w:hint="eastAsia" w:ascii="仿宋" w:hAnsi="仿宋" w:eastAsia="仿宋" w:cs="仿宋"/>
          <w:i/>
          <w:iCs/>
          <w:color w:val="0623BA"/>
          <w:sz w:val="24"/>
        </w:rPr>
        <w:t>，</w:t>
      </w:r>
      <w:r>
        <w:rPr>
          <w:rFonts w:ascii="仿宋" w:hAnsi="仿宋" w:eastAsia="仿宋" w:cs="仿宋"/>
          <w:i/>
          <w:iCs/>
          <w:color w:val="0623BA"/>
          <w:sz w:val="24"/>
        </w:rPr>
        <w:t>向电网馈送的直流电流分量不应超过其输出电流额定值</w:t>
      </w:r>
      <w:r>
        <w:rPr>
          <w:rFonts w:hint="eastAsia" w:ascii="仿宋" w:hAnsi="仿宋" w:eastAsia="仿宋" w:cs="仿宋"/>
          <w:i/>
          <w:iCs/>
          <w:color w:val="0623BA"/>
          <w:sz w:val="24"/>
          <w:lang w:val="en-US" w:eastAsia="zh-CN"/>
        </w:rPr>
        <w:t>的</w:t>
      </w:r>
      <w:r>
        <w:rPr>
          <w:rFonts w:ascii="仿宋" w:hAnsi="仿宋" w:eastAsia="仿宋" w:cs="仿宋"/>
          <w:i/>
          <w:iCs/>
          <w:color w:val="0623BA"/>
          <w:sz w:val="24"/>
        </w:rPr>
        <w:t>0.5%。</w:t>
      </w:r>
    </w:p>
    <w:p w14:paraId="5EEEC1F6">
      <w:pPr>
        <w:snapToGrid w:val="0"/>
        <w:spacing w:line="300" w:lineRule="auto"/>
        <w:jc w:val="left"/>
        <w:rPr>
          <w:sz w:val="24"/>
        </w:rPr>
      </w:pPr>
      <w:r>
        <w:rPr>
          <w:rFonts w:hint="eastAsia"/>
          <w:b/>
          <w:bCs/>
          <w:sz w:val="24"/>
        </w:rPr>
        <w:t>4.</w:t>
      </w:r>
      <w:r>
        <w:rPr>
          <w:rFonts w:hint="eastAsia"/>
          <w:b/>
          <w:bCs/>
          <w:sz w:val="24"/>
          <w:lang w:val="en-US" w:eastAsia="zh-CN"/>
        </w:rPr>
        <w:t>4</w:t>
      </w:r>
      <w:r>
        <w:rPr>
          <w:rFonts w:hint="eastAsia"/>
          <w:b/>
          <w:bCs/>
          <w:sz w:val="24"/>
        </w:rPr>
        <w:t>.</w:t>
      </w:r>
      <w:r>
        <w:rPr>
          <w:rFonts w:hint="eastAsia"/>
          <w:b/>
          <w:bCs/>
          <w:sz w:val="24"/>
          <w:lang w:val="en-US" w:eastAsia="zh-CN"/>
        </w:rPr>
        <w:t>8</w:t>
      </w:r>
      <w:r>
        <w:rPr>
          <w:rFonts w:hint="eastAsia"/>
          <w:sz w:val="24"/>
        </w:rPr>
        <w:t xml:space="preserve"> 并网光伏发电系统使用光伏组件且需要做负极</w:t>
      </w:r>
      <w:r>
        <w:rPr>
          <w:rFonts w:hint="eastAsia"/>
          <w:sz w:val="24"/>
          <w:lang w:val="en-US" w:eastAsia="zh-CN"/>
        </w:rPr>
        <w:t>接地</w:t>
      </w:r>
      <w:r>
        <w:rPr>
          <w:rFonts w:hint="eastAsia"/>
          <w:sz w:val="24"/>
        </w:rPr>
        <w:t>时，逆变器交流侧与电网间应设置隔离变压器。无隔离变压器的逆变器应具备直流检测及直流接地检测功能。</w:t>
      </w:r>
    </w:p>
    <w:p w14:paraId="43AF54F9">
      <w:pPr>
        <w:snapToGrid w:val="0"/>
        <w:spacing w:line="300" w:lineRule="auto"/>
        <w:jc w:val="left"/>
        <w:rPr>
          <w:sz w:val="24"/>
        </w:rPr>
      </w:pPr>
      <w:r>
        <w:rPr>
          <w:b/>
          <w:bCs/>
          <w:sz w:val="24"/>
        </w:rPr>
        <w:t>4.</w:t>
      </w:r>
      <w:r>
        <w:rPr>
          <w:rFonts w:hint="eastAsia"/>
          <w:b/>
          <w:bCs/>
          <w:sz w:val="24"/>
          <w:lang w:val="en-US" w:eastAsia="zh-CN"/>
        </w:rPr>
        <w:t>4</w:t>
      </w:r>
      <w:r>
        <w:rPr>
          <w:rFonts w:hint="eastAsia"/>
          <w:b/>
          <w:bCs/>
          <w:sz w:val="24"/>
        </w:rPr>
        <w:t>.</w:t>
      </w:r>
      <w:r>
        <w:rPr>
          <w:rFonts w:hint="eastAsia"/>
          <w:b/>
          <w:bCs/>
          <w:sz w:val="24"/>
          <w:lang w:val="en-US" w:eastAsia="zh-CN"/>
        </w:rPr>
        <w:t>9</w:t>
      </w:r>
      <w:r>
        <w:rPr>
          <w:rFonts w:hint="eastAsia"/>
          <w:sz w:val="24"/>
        </w:rPr>
        <w:t xml:space="preserve"> 直流电压高于600V的光伏发电系统，宜采用具备电势诱导衰减</w:t>
      </w:r>
      <w:r>
        <w:rPr>
          <w:rFonts w:hint="eastAsia"/>
          <w:sz w:val="24"/>
          <w:lang w:eastAsia="zh-CN"/>
        </w:rPr>
        <w:t>（</w:t>
      </w:r>
      <w:r>
        <w:rPr>
          <w:rFonts w:hint="eastAsia"/>
          <w:sz w:val="24"/>
        </w:rPr>
        <w:t>PID</w:t>
      </w:r>
      <w:r>
        <w:rPr>
          <w:rFonts w:hint="eastAsia"/>
          <w:sz w:val="24"/>
          <w:lang w:eastAsia="zh-CN"/>
        </w:rPr>
        <w:t>）</w:t>
      </w:r>
      <w:r>
        <w:rPr>
          <w:rFonts w:hint="eastAsia"/>
          <w:sz w:val="24"/>
        </w:rPr>
        <w:t>修复的逆变器或电势诱导衰减</w:t>
      </w:r>
      <w:r>
        <w:rPr>
          <w:rFonts w:hint="eastAsia"/>
          <w:sz w:val="24"/>
          <w:lang w:eastAsia="zh-CN"/>
        </w:rPr>
        <w:t>（</w:t>
      </w:r>
      <w:r>
        <w:rPr>
          <w:rFonts w:hint="eastAsia"/>
          <w:sz w:val="24"/>
        </w:rPr>
        <w:t>PID</w:t>
      </w:r>
      <w:r>
        <w:rPr>
          <w:rFonts w:hint="eastAsia"/>
          <w:sz w:val="24"/>
          <w:lang w:eastAsia="zh-CN"/>
        </w:rPr>
        <w:t>）</w:t>
      </w:r>
      <w:r>
        <w:rPr>
          <w:rFonts w:hint="eastAsia"/>
          <w:sz w:val="24"/>
        </w:rPr>
        <w:t>抑制系统方案。</w:t>
      </w:r>
    </w:p>
    <w:p w14:paraId="1BA1FC34">
      <w:pPr>
        <w:snapToGrid w:val="0"/>
        <w:spacing w:line="300" w:lineRule="auto"/>
        <w:jc w:val="left"/>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252E21E8">
      <w:pPr>
        <w:snapToGrid w:val="0"/>
        <w:spacing w:line="300" w:lineRule="auto"/>
        <w:jc w:val="left"/>
        <w:rPr>
          <w:rFonts w:hint="eastAsia" w:ascii="仿宋" w:hAnsi="仿宋" w:eastAsia="仿宋" w:cs="仿宋"/>
          <w:i/>
          <w:iCs/>
          <w:color w:val="0623BA"/>
          <w:sz w:val="24"/>
        </w:rPr>
      </w:pPr>
      <w:r>
        <w:rPr>
          <w:rFonts w:hint="eastAsia" w:ascii="仿宋" w:hAnsi="仿宋" w:eastAsia="仿宋" w:cs="仿宋"/>
          <w:i/>
          <w:iCs/>
          <w:color w:val="0623BA"/>
          <w:sz w:val="24"/>
        </w:rPr>
        <w:t>4.</w:t>
      </w:r>
      <w:r>
        <w:rPr>
          <w:rFonts w:hint="eastAsia" w:ascii="仿宋" w:hAnsi="仿宋" w:eastAsia="仿宋" w:cs="仿宋"/>
          <w:i/>
          <w:iCs/>
          <w:color w:val="0623BA"/>
          <w:sz w:val="24"/>
          <w:lang w:val="en-US" w:eastAsia="zh-CN"/>
        </w:rPr>
        <w:t>4</w:t>
      </w:r>
      <w:r>
        <w:rPr>
          <w:rFonts w:hint="eastAsia" w:ascii="仿宋" w:hAnsi="仿宋" w:eastAsia="仿宋" w:cs="仿宋"/>
          <w:i/>
          <w:iCs/>
          <w:color w:val="0623BA"/>
          <w:sz w:val="24"/>
        </w:rPr>
        <w:t>.</w:t>
      </w:r>
      <w:r>
        <w:rPr>
          <w:rFonts w:hint="eastAsia" w:ascii="仿宋" w:hAnsi="仿宋" w:eastAsia="仿宋" w:cs="仿宋"/>
          <w:i/>
          <w:iCs/>
          <w:color w:val="0623BA"/>
          <w:sz w:val="24"/>
          <w:lang w:val="en-US" w:eastAsia="zh-CN"/>
        </w:rPr>
        <w:t>9</w:t>
      </w:r>
      <w:r>
        <w:rPr>
          <w:rFonts w:hint="eastAsia" w:ascii="仿宋" w:hAnsi="仿宋" w:eastAsia="仿宋" w:cs="仿宋"/>
          <w:i/>
          <w:iCs/>
          <w:color w:val="0623BA"/>
          <w:sz w:val="24"/>
        </w:rPr>
        <w:t xml:space="preserve"> </w:t>
      </w:r>
      <w:r>
        <w:rPr>
          <w:rFonts w:ascii="仿宋" w:hAnsi="仿宋" w:eastAsia="仿宋" w:cs="仿宋"/>
          <w:i/>
          <w:iCs/>
          <w:color w:val="0623BA"/>
          <w:sz w:val="24"/>
        </w:rPr>
        <w:t>电势诱导衰减</w:t>
      </w:r>
      <w:r>
        <w:rPr>
          <w:rFonts w:hint="eastAsia" w:ascii="仿宋" w:hAnsi="仿宋" w:eastAsia="仿宋" w:cs="仿宋"/>
          <w:i/>
          <w:iCs/>
          <w:color w:val="0623BA"/>
          <w:sz w:val="24"/>
          <w:lang w:eastAsia="zh-CN"/>
        </w:rPr>
        <w:t>（</w:t>
      </w:r>
      <w:r>
        <w:rPr>
          <w:rFonts w:ascii="仿宋" w:hAnsi="仿宋" w:eastAsia="仿宋" w:cs="仿宋"/>
          <w:i/>
          <w:iCs/>
          <w:color w:val="0623BA"/>
          <w:sz w:val="24"/>
        </w:rPr>
        <w:t>PID</w:t>
      </w:r>
      <w:r>
        <w:rPr>
          <w:rFonts w:hint="eastAsia" w:ascii="仿宋" w:hAnsi="仿宋" w:eastAsia="仿宋" w:cs="仿宋"/>
          <w:i/>
          <w:iCs/>
          <w:color w:val="0623BA"/>
          <w:sz w:val="24"/>
          <w:lang w:eastAsia="zh-CN"/>
        </w:rPr>
        <w:t>）</w:t>
      </w:r>
      <w:r>
        <w:rPr>
          <w:rFonts w:ascii="仿宋" w:hAnsi="仿宋" w:eastAsia="仿宋" w:cs="仿宋"/>
          <w:i/>
          <w:iCs/>
          <w:color w:val="0623BA"/>
          <w:sz w:val="24"/>
        </w:rPr>
        <w:t>是指电池组件的封装材料和其上下表面的材料以及电池片与其接地金属边框之间的高电压作用下出现离子迁移</w:t>
      </w:r>
      <w:r>
        <w:rPr>
          <w:rFonts w:hint="eastAsia" w:ascii="仿宋" w:hAnsi="仿宋" w:eastAsia="仿宋" w:cs="仿宋"/>
          <w:i/>
          <w:iCs/>
          <w:color w:val="0623BA"/>
          <w:sz w:val="24"/>
        </w:rPr>
        <w:t>，</w:t>
      </w:r>
      <w:r>
        <w:rPr>
          <w:rFonts w:ascii="仿宋" w:hAnsi="仿宋" w:eastAsia="仿宋" w:cs="仿宋"/>
          <w:i/>
          <w:iCs/>
          <w:color w:val="0623BA"/>
          <w:sz w:val="24"/>
        </w:rPr>
        <w:t>而造成组件性能衰减的现象。组件工作在高温高湿环境下会存在PID问题</w:t>
      </w:r>
      <w:r>
        <w:rPr>
          <w:rFonts w:hint="eastAsia" w:ascii="仿宋" w:hAnsi="仿宋" w:eastAsia="仿宋" w:cs="仿宋"/>
          <w:i/>
          <w:iCs/>
          <w:color w:val="0623BA"/>
          <w:sz w:val="24"/>
        </w:rPr>
        <w:t>，</w:t>
      </w:r>
      <w:r>
        <w:rPr>
          <w:rFonts w:ascii="仿宋" w:hAnsi="仿宋" w:eastAsia="仿宋" w:cs="仿宋"/>
          <w:i/>
          <w:iCs/>
          <w:color w:val="0623BA"/>
          <w:sz w:val="24"/>
        </w:rPr>
        <w:t>导致组件发电量大大降低</w:t>
      </w:r>
      <w:r>
        <w:rPr>
          <w:rFonts w:hint="eastAsia" w:ascii="仿宋" w:hAnsi="仿宋" w:eastAsia="仿宋" w:cs="仿宋"/>
          <w:i/>
          <w:iCs/>
          <w:color w:val="0623BA"/>
          <w:sz w:val="24"/>
        </w:rPr>
        <w:t>，系统设计时，需提供PID修复及抑制解决方案。</w:t>
      </w:r>
    </w:p>
    <w:p w14:paraId="064F716E">
      <w:pPr>
        <w:snapToGrid w:val="0"/>
        <w:spacing w:line="300" w:lineRule="auto"/>
        <w:jc w:val="left"/>
        <w:rPr>
          <w:sz w:val="24"/>
        </w:rPr>
      </w:pPr>
      <w:r>
        <w:rPr>
          <w:b/>
          <w:bCs/>
          <w:sz w:val="24"/>
        </w:rPr>
        <w:t>4.</w:t>
      </w:r>
      <w:r>
        <w:rPr>
          <w:rFonts w:hint="eastAsia"/>
          <w:b/>
          <w:bCs/>
          <w:sz w:val="24"/>
          <w:lang w:val="en-US" w:eastAsia="zh-CN"/>
        </w:rPr>
        <w:t>4</w:t>
      </w:r>
      <w:r>
        <w:rPr>
          <w:rFonts w:hint="eastAsia"/>
          <w:b/>
          <w:bCs/>
          <w:sz w:val="24"/>
        </w:rPr>
        <w:t>.</w:t>
      </w:r>
      <w:r>
        <w:rPr>
          <w:rFonts w:hint="eastAsia"/>
          <w:b/>
          <w:bCs/>
          <w:sz w:val="24"/>
          <w:lang w:val="en-US" w:eastAsia="zh-CN"/>
        </w:rPr>
        <w:t>10</w:t>
      </w:r>
      <w:r>
        <w:rPr>
          <w:sz w:val="24"/>
        </w:rPr>
        <w:t xml:space="preserve"> 逆变器的材料防火要求应符合</w:t>
      </w:r>
      <w:r>
        <w:rPr>
          <w:rFonts w:hint="eastAsia"/>
          <w:sz w:val="24"/>
          <w:lang w:val="en-US" w:eastAsia="zh-CN"/>
        </w:rPr>
        <w:t>国</w:t>
      </w:r>
      <w:r>
        <w:rPr>
          <w:sz w:val="24"/>
        </w:rPr>
        <w:t>家现行标准的有关规定。</w:t>
      </w:r>
    </w:p>
    <w:p w14:paraId="0A4BCC89">
      <w:pPr>
        <w:snapToGrid w:val="0"/>
        <w:spacing w:line="300" w:lineRule="auto"/>
        <w:rPr>
          <w:sz w:val="24"/>
        </w:rPr>
      </w:pPr>
      <w:r>
        <w:rPr>
          <w:b/>
          <w:bCs/>
          <w:sz w:val="24"/>
        </w:rPr>
        <w:t>4.</w:t>
      </w:r>
      <w:r>
        <w:rPr>
          <w:rFonts w:hint="eastAsia"/>
          <w:b/>
          <w:bCs/>
          <w:sz w:val="24"/>
          <w:lang w:val="en-US" w:eastAsia="zh-CN"/>
        </w:rPr>
        <w:t>4</w:t>
      </w:r>
      <w:r>
        <w:rPr>
          <w:rFonts w:hint="eastAsia"/>
          <w:b/>
          <w:bCs/>
          <w:sz w:val="24"/>
        </w:rPr>
        <w:t>.</w:t>
      </w:r>
      <w:r>
        <w:rPr>
          <w:rFonts w:hint="eastAsia"/>
          <w:b/>
          <w:bCs/>
          <w:sz w:val="24"/>
          <w:lang w:val="en-US" w:eastAsia="zh-CN"/>
        </w:rPr>
        <w:t>11</w:t>
      </w:r>
      <w:r>
        <w:rPr>
          <w:sz w:val="24"/>
        </w:rPr>
        <w:t xml:space="preserve"> 逆变器外壳防护等级应符合现行国家标准《外壳防护等级（IP代码）》GB/T 4208的有关规定，室内型不应低于IP20，室外型不应低于IP54。</w:t>
      </w:r>
    </w:p>
    <w:p w14:paraId="181EA0C5">
      <w:pPr>
        <w:snapToGrid w:val="0"/>
        <w:spacing w:line="300" w:lineRule="auto"/>
        <w:jc w:val="left"/>
        <w:rPr>
          <w:sz w:val="24"/>
        </w:rPr>
      </w:pPr>
      <w:r>
        <w:rPr>
          <w:rFonts w:hint="eastAsia"/>
          <w:b/>
          <w:bCs/>
          <w:sz w:val="24"/>
        </w:rPr>
        <w:t>4.</w:t>
      </w:r>
      <w:r>
        <w:rPr>
          <w:rFonts w:hint="eastAsia"/>
          <w:b/>
          <w:bCs/>
          <w:sz w:val="24"/>
          <w:lang w:val="en-US" w:eastAsia="zh-CN"/>
        </w:rPr>
        <w:t>4</w:t>
      </w:r>
      <w:r>
        <w:rPr>
          <w:rFonts w:hint="eastAsia"/>
          <w:b/>
          <w:bCs/>
          <w:sz w:val="24"/>
        </w:rPr>
        <w:t>.</w:t>
      </w:r>
      <w:r>
        <w:rPr>
          <w:rFonts w:hint="eastAsia"/>
          <w:b/>
          <w:bCs/>
          <w:sz w:val="24"/>
          <w:lang w:val="en-US" w:eastAsia="zh-CN"/>
        </w:rPr>
        <w:t>12</w:t>
      </w:r>
      <w:r>
        <w:rPr>
          <w:sz w:val="24"/>
        </w:rPr>
        <w:t xml:space="preserve"> 逆变器交流侧和直流侧电缆接线前应检查电缆绝缘，校对电缆相序和极性。</w:t>
      </w:r>
    </w:p>
    <w:p w14:paraId="1400F0D9">
      <w:pPr>
        <w:snapToGrid w:val="0"/>
        <w:spacing w:line="300" w:lineRule="auto"/>
        <w:jc w:val="left"/>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41672965">
      <w:pPr>
        <w:snapToGrid w:val="0"/>
        <w:spacing w:line="300" w:lineRule="auto"/>
        <w:jc w:val="left"/>
        <w:rPr>
          <w:rFonts w:hint="eastAsia" w:ascii="仿宋" w:hAnsi="仿宋" w:eastAsia="仿宋" w:cs="仿宋"/>
          <w:i/>
          <w:iCs/>
          <w:color w:val="0623BA"/>
          <w:sz w:val="24"/>
        </w:rPr>
      </w:pPr>
      <w:r>
        <w:rPr>
          <w:rFonts w:hint="eastAsia" w:ascii="仿宋" w:hAnsi="仿宋" w:eastAsia="仿宋" w:cs="仿宋"/>
          <w:i/>
          <w:iCs/>
          <w:color w:val="0623BA"/>
          <w:sz w:val="24"/>
        </w:rPr>
        <w:t>4.</w:t>
      </w:r>
      <w:r>
        <w:rPr>
          <w:rFonts w:hint="eastAsia" w:ascii="仿宋" w:hAnsi="仿宋" w:eastAsia="仿宋" w:cs="仿宋"/>
          <w:i/>
          <w:iCs/>
          <w:color w:val="0623BA"/>
          <w:sz w:val="24"/>
          <w:lang w:val="en-US" w:eastAsia="zh-CN"/>
        </w:rPr>
        <w:t>4</w:t>
      </w:r>
      <w:r>
        <w:rPr>
          <w:rFonts w:hint="eastAsia" w:ascii="仿宋" w:hAnsi="仿宋" w:eastAsia="仿宋" w:cs="仿宋"/>
          <w:i/>
          <w:iCs/>
          <w:color w:val="0623BA"/>
          <w:sz w:val="24"/>
        </w:rPr>
        <w:t>.</w:t>
      </w:r>
      <w:r>
        <w:rPr>
          <w:rFonts w:hint="eastAsia" w:ascii="仿宋" w:hAnsi="仿宋" w:eastAsia="仿宋" w:cs="仿宋"/>
          <w:i/>
          <w:iCs/>
          <w:color w:val="0623BA"/>
          <w:sz w:val="24"/>
          <w:lang w:val="en-US" w:eastAsia="zh-CN"/>
        </w:rPr>
        <w:t>12</w:t>
      </w:r>
      <w:r>
        <w:rPr>
          <w:rFonts w:hint="eastAsia" w:ascii="仿宋" w:hAnsi="仿宋" w:eastAsia="仿宋" w:cs="仿宋"/>
          <w:i/>
          <w:iCs/>
          <w:color w:val="0623BA"/>
          <w:sz w:val="24"/>
        </w:rPr>
        <w:t xml:space="preserve"> 由于逆变器交流侧通常由几根电缆组成，与设备接引后不便于电缆绝缘和相序的校验，故要求在此部分电缆接引前仔细检查电缆绝缘，校对电缆相序并做好施工记录。</w:t>
      </w:r>
    </w:p>
    <w:p w14:paraId="58F9EDA1">
      <w:pPr>
        <w:snapToGrid w:val="0"/>
        <w:spacing w:line="300" w:lineRule="auto"/>
        <w:jc w:val="left"/>
        <w:rPr>
          <w:sz w:val="24"/>
        </w:rPr>
      </w:pPr>
      <w:r>
        <w:rPr>
          <w:rFonts w:hint="eastAsia"/>
          <w:b/>
          <w:bCs/>
          <w:sz w:val="24"/>
        </w:rPr>
        <w:t>4.</w:t>
      </w:r>
      <w:r>
        <w:rPr>
          <w:rFonts w:hint="eastAsia"/>
          <w:b/>
          <w:bCs/>
          <w:sz w:val="24"/>
          <w:lang w:val="en-US" w:eastAsia="zh-CN"/>
        </w:rPr>
        <w:t>4</w:t>
      </w:r>
      <w:r>
        <w:rPr>
          <w:rFonts w:hint="eastAsia"/>
          <w:b/>
          <w:bCs/>
          <w:sz w:val="24"/>
        </w:rPr>
        <w:t>.</w:t>
      </w:r>
      <w:r>
        <w:rPr>
          <w:rFonts w:hint="eastAsia"/>
          <w:b/>
          <w:bCs/>
          <w:sz w:val="24"/>
          <w:lang w:val="en-US" w:eastAsia="zh-CN"/>
        </w:rPr>
        <w:t>13</w:t>
      </w:r>
      <w:r>
        <w:rPr>
          <w:sz w:val="24"/>
        </w:rPr>
        <w:t xml:space="preserve"> 逆变器直流侧电缆接线前</w:t>
      </w:r>
      <w:r>
        <w:rPr>
          <w:rFonts w:hint="eastAsia"/>
          <w:sz w:val="24"/>
          <w:lang w:val="en-US" w:eastAsia="zh-CN"/>
        </w:rPr>
        <w:t>应</w:t>
      </w:r>
      <w:r>
        <w:rPr>
          <w:sz w:val="24"/>
        </w:rPr>
        <w:t>确认光伏接线箱侧有明显断开点。</w:t>
      </w:r>
    </w:p>
    <w:p w14:paraId="40A12CC0">
      <w:pPr>
        <w:snapToGrid w:val="0"/>
        <w:spacing w:line="300" w:lineRule="auto"/>
        <w:jc w:val="left"/>
        <w:rPr>
          <w:sz w:val="24"/>
        </w:rPr>
      </w:pPr>
      <w:r>
        <w:rPr>
          <w:rFonts w:hint="eastAsia"/>
          <w:b/>
          <w:bCs/>
          <w:sz w:val="24"/>
        </w:rPr>
        <w:t>4.</w:t>
      </w:r>
      <w:r>
        <w:rPr>
          <w:rFonts w:hint="eastAsia"/>
          <w:b/>
          <w:bCs/>
          <w:sz w:val="24"/>
          <w:lang w:val="en-US" w:eastAsia="zh-CN"/>
        </w:rPr>
        <w:t>4</w:t>
      </w:r>
      <w:r>
        <w:rPr>
          <w:rFonts w:hint="eastAsia"/>
          <w:b/>
          <w:bCs/>
          <w:sz w:val="24"/>
        </w:rPr>
        <w:t>.</w:t>
      </w:r>
      <w:r>
        <w:rPr>
          <w:rFonts w:hint="eastAsia"/>
          <w:b/>
          <w:bCs/>
          <w:sz w:val="24"/>
          <w:lang w:val="en-US" w:eastAsia="zh-CN"/>
        </w:rPr>
        <w:t>14</w:t>
      </w:r>
      <w:r>
        <w:rPr>
          <w:sz w:val="24"/>
        </w:rPr>
        <w:t xml:space="preserve"> 电缆接引完毕后，逆变器本体的预留孔洞及电缆管口应进行防火封堵</w:t>
      </w:r>
      <w:r>
        <w:rPr>
          <w:rFonts w:hint="default"/>
          <w:sz w:val="24"/>
          <w:lang w:eastAsia="zh-CN"/>
        </w:rPr>
        <w:t>，</w:t>
      </w:r>
      <w:r>
        <w:rPr>
          <w:rFonts w:hint="default" w:ascii="Times New Roman" w:hAnsi="Times New Roman" w:eastAsia="宋体" w:cs="Times New Roman"/>
          <w:b w:val="0"/>
          <w:bCs w:val="0"/>
          <w:sz w:val="24"/>
          <w:szCs w:val="24"/>
          <w:u w:val="none" w:color="auto"/>
          <w:vertAlign w:val="baseline"/>
          <w:lang w:val="en-US" w:eastAsia="zh-CN"/>
        </w:rPr>
        <w:t>其防火封堵组件的耐火性能不应低于防火分隔部位的耐火性能要求并应有止水措施。</w:t>
      </w:r>
    </w:p>
    <w:p w14:paraId="422470FF">
      <w:pPr>
        <w:snapToGrid w:val="0"/>
        <w:spacing w:line="300" w:lineRule="auto"/>
        <w:jc w:val="left"/>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4DC33A5C">
      <w:pPr>
        <w:snapToGrid w:val="0"/>
        <w:spacing w:line="300" w:lineRule="auto"/>
        <w:jc w:val="left"/>
        <w:rPr>
          <w:rFonts w:hint="eastAsia" w:ascii="仿宋" w:hAnsi="仿宋" w:eastAsia="仿宋" w:cs="仿宋"/>
          <w:i/>
          <w:iCs/>
          <w:color w:val="0623BA"/>
          <w:sz w:val="24"/>
        </w:rPr>
      </w:pPr>
      <w:r>
        <w:rPr>
          <w:rFonts w:hint="eastAsia" w:ascii="仿宋" w:hAnsi="仿宋" w:eastAsia="仿宋" w:cs="仿宋"/>
          <w:i/>
          <w:iCs/>
          <w:color w:val="0623BA"/>
          <w:sz w:val="24"/>
        </w:rPr>
        <w:t>4.</w:t>
      </w:r>
      <w:r>
        <w:rPr>
          <w:rFonts w:hint="eastAsia" w:ascii="仿宋" w:hAnsi="仿宋" w:eastAsia="仿宋" w:cs="仿宋"/>
          <w:i/>
          <w:iCs/>
          <w:color w:val="0623BA"/>
          <w:sz w:val="24"/>
          <w:lang w:val="en-US" w:eastAsia="zh-CN"/>
        </w:rPr>
        <w:t>4</w:t>
      </w:r>
      <w:r>
        <w:rPr>
          <w:rFonts w:hint="eastAsia" w:ascii="仿宋" w:hAnsi="仿宋" w:eastAsia="仿宋" w:cs="仿宋"/>
          <w:i/>
          <w:iCs/>
          <w:color w:val="0623BA"/>
          <w:sz w:val="24"/>
        </w:rPr>
        <w:t>.</w:t>
      </w:r>
      <w:r>
        <w:rPr>
          <w:rFonts w:hint="eastAsia" w:ascii="仿宋" w:hAnsi="仿宋" w:eastAsia="仿宋" w:cs="仿宋"/>
          <w:i/>
          <w:iCs/>
          <w:color w:val="0623BA"/>
          <w:sz w:val="24"/>
          <w:lang w:val="en-US" w:eastAsia="zh-CN"/>
        </w:rPr>
        <w:t xml:space="preserve">14 </w:t>
      </w:r>
      <w:r>
        <w:rPr>
          <w:rFonts w:hint="eastAsia" w:ascii="仿宋" w:hAnsi="仿宋" w:eastAsia="仿宋" w:cs="仿宋"/>
          <w:i/>
          <w:iCs/>
          <w:color w:val="0623BA"/>
          <w:sz w:val="24"/>
        </w:rPr>
        <w:t>为了防止设备受潮和小动物进入逆变器，在电缆接引完毕后，应及时进行封堵工作。</w:t>
      </w:r>
    </w:p>
    <w:p w14:paraId="0AF164BC">
      <w:pPr>
        <w:keepNext/>
        <w:keepLines/>
        <w:snapToGrid w:val="0"/>
        <w:spacing w:before="72" w:beforeLines="30" w:after="72" w:afterLines="30" w:line="300" w:lineRule="auto"/>
        <w:jc w:val="center"/>
        <w:outlineLvl w:val="2"/>
        <w:rPr>
          <w:b/>
          <w:sz w:val="24"/>
          <w:szCs w:val="32"/>
        </w:rPr>
      </w:pPr>
      <w:bookmarkStart w:id="96" w:name="_Toc14797"/>
      <w:bookmarkStart w:id="97" w:name="_Toc12405"/>
      <w:bookmarkStart w:id="98" w:name="_Toc20536"/>
      <w:bookmarkStart w:id="99" w:name="_Toc11612"/>
      <w:bookmarkStart w:id="100" w:name="_Toc10310"/>
      <w:bookmarkStart w:id="101" w:name="_Toc31728"/>
      <w:bookmarkStart w:id="102" w:name="_Toc1294"/>
      <w:bookmarkStart w:id="103" w:name="_Toc16978"/>
      <w:r>
        <w:rPr>
          <w:b/>
          <w:sz w:val="24"/>
          <w:szCs w:val="32"/>
        </w:rPr>
        <w:t>4.</w:t>
      </w:r>
      <w:r>
        <w:rPr>
          <w:rFonts w:hint="default"/>
          <w:b/>
          <w:sz w:val="24"/>
          <w:szCs w:val="32"/>
          <w:lang w:val="en-US" w:eastAsia="zh-CN"/>
        </w:rPr>
        <w:t xml:space="preserve">5 </w:t>
      </w:r>
      <w:r>
        <w:rPr>
          <w:b/>
          <w:sz w:val="24"/>
          <w:szCs w:val="32"/>
        </w:rPr>
        <w:t>储能系统</w:t>
      </w:r>
      <w:bookmarkEnd w:id="96"/>
      <w:bookmarkEnd w:id="97"/>
      <w:bookmarkEnd w:id="98"/>
      <w:bookmarkEnd w:id="99"/>
      <w:bookmarkEnd w:id="100"/>
      <w:bookmarkEnd w:id="101"/>
      <w:bookmarkEnd w:id="102"/>
      <w:bookmarkEnd w:id="103"/>
    </w:p>
    <w:p w14:paraId="084BB35E">
      <w:pPr>
        <w:snapToGrid w:val="0"/>
        <w:spacing w:line="300" w:lineRule="auto"/>
        <w:jc w:val="left"/>
        <w:rPr>
          <w:sz w:val="24"/>
        </w:rPr>
      </w:pPr>
      <w:r>
        <w:rPr>
          <w:b/>
          <w:bCs/>
          <w:sz w:val="24"/>
        </w:rPr>
        <w:t>4.</w:t>
      </w:r>
      <w:r>
        <w:rPr>
          <w:rFonts w:hint="eastAsia"/>
          <w:b/>
          <w:bCs/>
          <w:sz w:val="24"/>
          <w:lang w:val="en-US" w:eastAsia="zh-CN"/>
        </w:rPr>
        <w:t>5</w:t>
      </w:r>
      <w:r>
        <w:rPr>
          <w:b/>
          <w:bCs/>
          <w:sz w:val="24"/>
        </w:rPr>
        <w:t>.1</w:t>
      </w:r>
      <w:r>
        <w:rPr>
          <w:sz w:val="24"/>
        </w:rPr>
        <w:t xml:space="preserve"> 建筑光伏系统用储能系统宜采用电化学储能方式。电化学储能系统设计应符合现行国家标准《电化学储能电站设计规范》GB 51048的有关规定。电化学储能系统性能应符合现行国家标准《电力系统电化学储能系统通用技术条件》GB/T 36558</w:t>
      </w:r>
      <w:r>
        <w:rPr>
          <w:rFonts w:hint="eastAsia"/>
          <w:sz w:val="24"/>
        </w:rPr>
        <w:t>及《电化学储能电站用锂离子电池管理系统技术规范》</w:t>
      </w:r>
      <w:r>
        <w:rPr>
          <w:sz w:val="24"/>
        </w:rPr>
        <w:t xml:space="preserve">GB/T </w:t>
      </w:r>
      <w:r>
        <w:rPr>
          <w:rFonts w:hint="eastAsia"/>
          <w:sz w:val="24"/>
          <w:lang w:val="en-US" w:eastAsia="zh-CN"/>
        </w:rPr>
        <w:t>34131</w:t>
      </w:r>
      <w:r>
        <w:rPr>
          <w:rFonts w:hint="eastAsia"/>
          <w:sz w:val="24"/>
        </w:rPr>
        <w:t>的有关规定。</w:t>
      </w:r>
    </w:p>
    <w:p w14:paraId="5F5EF80D">
      <w:pPr>
        <w:snapToGrid w:val="0"/>
        <w:spacing w:line="300" w:lineRule="auto"/>
        <w:jc w:val="left"/>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7E672603">
      <w:pPr>
        <w:snapToGrid w:val="0"/>
        <w:spacing w:line="300" w:lineRule="auto"/>
        <w:jc w:val="left"/>
        <w:rPr>
          <w:rFonts w:hint="default" w:ascii="仿宋" w:hAnsi="仿宋" w:eastAsia="仿宋" w:cs="仿宋"/>
          <w:i/>
          <w:iCs/>
          <w:color w:val="0623BA"/>
          <w:sz w:val="24"/>
          <w:lang w:val="en-US" w:eastAsia="zh-CN"/>
        </w:rPr>
      </w:pPr>
      <w:r>
        <w:rPr>
          <w:rFonts w:hint="eastAsia" w:ascii="仿宋" w:hAnsi="仿宋" w:eastAsia="仿宋" w:cs="仿宋"/>
          <w:i/>
          <w:iCs/>
          <w:color w:val="0623BA"/>
          <w:sz w:val="24"/>
          <w:lang w:val="en-US" w:eastAsia="zh-CN"/>
        </w:rPr>
        <w:t>4.5.1</w:t>
      </w:r>
      <w:r>
        <w:rPr>
          <w:rFonts w:hint="eastAsia" w:ascii="仿宋" w:hAnsi="仿宋" w:eastAsia="仿宋" w:cs="仿宋"/>
          <w:i/>
          <w:iCs/>
          <w:color w:val="0623BA"/>
          <w:sz w:val="24"/>
        </w:rPr>
        <w:t xml:space="preserve"> </w:t>
      </w:r>
      <w:r>
        <w:rPr>
          <w:rFonts w:hint="eastAsia" w:ascii="仿宋" w:hAnsi="仿宋" w:eastAsia="仿宋" w:cs="仿宋"/>
          <w:i/>
          <w:iCs/>
          <w:color w:val="0623BA"/>
          <w:sz w:val="24"/>
          <w:lang w:val="en-US" w:eastAsia="zh-CN"/>
        </w:rPr>
        <w:t>储能电池性能指标应符合《储能用铅酸蓄电池》GB/T,22473、《电力储能用铅炭电池》GB/T 36280、《电力储能用锂离子电池》GB/T 36276 等现行国家标准的有关规定。考虑到在建筑内使用的安全性要求,在建筑物内所选用的储能电池应为铅酸电池铅炭电池或安全性能高的锂电池等,不得采用三元锂电池、钠硫电池。</w:t>
      </w:r>
    </w:p>
    <w:p w14:paraId="6A3654ED">
      <w:pPr>
        <w:snapToGrid w:val="0"/>
        <w:spacing w:line="300" w:lineRule="auto"/>
        <w:jc w:val="left"/>
        <w:rPr>
          <w:sz w:val="24"/>
        </w:rPr>
      </w:pPr>
      <w:r>
        <w:rPr>
          <w:b/>
          <w:bCs/>
          <w:sz w:val="24"/>
        </w:rPr>
        <w:t>4.</w:t>
      </w:r>
      <w:r>
        <w:rPr>
          <w:rFonts w:hint="eastAsia"/>
          <w:b/>
          <w:bCs/>
          <w:sz w:val="24"/>
          <w:lang w:val="en-US" w:eastAsia="zh-CN"/>
        </w:rPr>
        <w:t>5</w:t>
      </w:r>
      <w:r>
        <w:rPr>
          <w:b/>
          <w:bCs/>
          <w:sz w:val="24"/>
        </w:rPr>
        <w:t>.</w:t>
      </w:r>
      <w:r>
        <w:rPr>
          <w:rFonts w:hint="eastAsia"/>
          <w:b/>
          <w:bCs/>
          <w:sz w:val="24"/>
          <w:lang w:val="en-US" w:eastAsia="zh-CN"/>
        </w:rPr>
        <w:t>2</w:t>
      </w:r>
      <w:r>
        <w:rPr>
          <w:sz w:val="24"/>
        </w:rPr>
        <w:t xml:space="preserve"> 电化学储能系统宜采用分层安装，多层叠放，同一层上的单体间宜采用有绝缘护套的铜排连接，不同层间宜采用电缆连接。蓄电池组安装应符合现行国家标准《电气装置安装工程蓄电池施工及验收规范》GB 50172的有关规定。</w:t>
      </w:r>
    </w:p>
    <w:p w14:paraId="784410E3">
      <w:pPr>
        <w:snapToGrid w:val="0"/>
        <w:spacing w:line="300" w:lineRule="auto"/>
        <w:jc w:val="left"/>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2D982302">
      <w:pPr>
        <w:snapToGrid w:val="0"/>
        <w:spacing w:line="300" w:lineRule="auto"/>
        <w:jc w:val="left"/>
        <w:rPr>
          <w:rFonts w:hint="eastAsia" w:ascii="仿宋" w:hAnsi="仿宋" w:eastAsia="仿宋" w:cs="仿宋"/>
          <w:i/>
          <w:iCs/>
          <w:color w:val="0623BA"/>
          <w:sz w:val="24"/>
        </w:rPr>
      </w:pPr>
      <w:r>
        <w:rPr>
          <w:rFonts w:hint="eastAsia" w:ascii="仿宋" w:hAnsi="仿宋" w:eastAsia="仿宋" w:cs="仿宋"/>
          <w:i/>
          <w:iCs/>
          <w:color w:val="0623BA"/>
          <w:sz w:val="24"/>
        </w:rPr>
        <w:t>4.</w:t>
      </w:r>
      <w:r>
        <w:rPr>
          <w:rFonts w:hint="eastAsia" w:ascii="仿宋" w:hAnsi="仿宋" w:eastAsia="仿宋" w:cs="仿宋"/>
          <w:i/>
          <w:iCs/>
          <w:color w:val="0623BA"/>
          <w:sz w:val="24"/>
          <w:lang w:val="en-US" w:eastAsia="zh-CN"/>
        </w:rPr>
        <w:t>5</w:t>
      </w:r>
      <w:r>
        <w:rPr>
          <w:rFonts w:hint="eastAsia" w:ascii="仿宋" w:hAnsi="仿宋" w:eastAsia="仿宋" w:cs="仿宋"/>
          <w:i/>
          <w:iCs/>
          <w:color w:val="0623BA"/>
          <w:sz w:val="24"/>
        </w:rPr>
        <w:t>.</w:t>
      </w:r>
      <w:r>
        <w:rPr>
          <w:rFonts w:hint="eastAsia" w:ascii="仿宋" w:hAnsi="仿宋" w:eastAsia="仿宋" w:cs="仿宋"/>
          <w:i/>
          <w:iCs/>
          <w:color w:val="0623BA"/>
          <w:sz w:val="24"/>
          <w:lang w:val="en-US" w:eastAsia="zh-CN"/>
        </w:rPr>
        <w:t>2</w:t>
      </w:r>
      <w:r>
        <w:rPr>
          <w:rFonts w:hint="eastAsia" w:ascii="仿宋" w:hAnsi="仿宋" w:eastAsia="仿宋" w:cs="仿宋"/>
          <w:i/>
          <w:iCs/>
          <w:color w:val="0623BA"/>
          <w:sz w:val="24"/>
        </w:rPr>
        <w:t xml:space="preserve"> 电化学储能系统宜采用分层安装，多层叠放。同一层上的单体间宜采用有绝缘护套的铜排连接，不同层间宜采用电缆连接。蓄电池组安装应符合现行国家标准《电气装置安装工程 蓄电池施工及验收规范》GB 50172 的有关规定。 </w:t>
      </w:r>
    </w:p>
    <w:p w14:paraId="3A2FFB17">
      <w:pPr>
        <w:snapToGrid w:val="0"/>
        <w:spacing w:line="300" w:lineRule="auto"/>
        <w:jc w:val="left"/>
        <w:rPr>
          <w:sz w:val="24"/>
        </w:rPr>
      </w:pPr>
      <w:r>
        <w:rPr>
          <w:b/>
          <w:bCs/>
          <w:sz w:val="24"/>
        </w:rPr>
        <w:t>4.</w:t>
      </w:r>
      <w:r>
        <w:rPr>
          <w:rFonts w:hint="eastAsia"/>
          <w:b/>
          <w:bCs/>
          <w:sz w:val="24"/>
          <w:lang w:val="en-US" w:eastAsia="zh-CN"/>
        </w:rPr>
        <w:t>5.3</w:t>
      </w:r>
      <w:r>
        <w:rPr>
          <w:sz w:val="24"/>
        </w:rPr>
        <w:t xml:space="preserve"> 储能系统应设置无高温、无潮湿、无振动、少灰尘、避免阳光直射且有良好通风的专用储能电池室，储能电池室应安装防爆型照明灯。</w:t>
      </w:r>
    </w:p>
    <w:p w14:paraId="27695600">
      <w:pPr>
        <w:snapToGrid w:val="0"/>
        <w:spacing w:line="300" w:lineRule="auto"/>
        <w:jc w:val="left"/>
        <w:rPr>
          <w:sz w:val="24"/>
        </w:rPr>
      </w:pPr>
      <w:r>
        <w:rPr>
          <w:b/>
          <w:bCs/>
          <w:sz w:val="24"/>
        </w:rPr>
        <w:t>4.</w:t>
      </w:r>
      <w:r>
        <w:rPr>
          <w:rFonts w:hint="eastAsia"/>
          <w:b/>
          <w:bCs/>
          <w:sz w:val="24"/>
          <w:lang w:val="en-US" w:eastAsia="zh-CN"/>
        </w:rPr>
        <w:t>5</w:t>
      </w:r>
      <w:r>
        <w:rPr>
          <w:b/>
          <w:bCs/>
          <w:sz w:val="24"/>
        </w:rPr>
        <w:t>.</w:t>
      </w:r>
      <w:r>
        <w:rPr>
          <w:rFonts w:hint="eastAsia"/>
          <w:b/>
          <w:bCs/>
          <w:sz w:val="24"/>
          <w:lang w:val="en-US" w:eastAsia="zh-CN"/>
        </w:rPr>
        <w:t>4</w:t>
      </w:r>
      <w:r>
        <w:rPr>
          <w:sz w:val="24"/>
        </w:rPr>
        <w:t xml:space="preserve"> </w:t>
      </w:r>
      <w:r>
        <w:rPr>
          <w:rFonts w:hint="eastAsia"/>
          <w:sz w:val="24"/>
        </w:rPr>
        <w:t>储能系统电池管理系统（</w:t>
      </w:r>
      <w:r>
        <w:rPr>
          <w:sz w:val="24"/>
        </w:rPr>
        <w:t>BMS</w:t>
      </w:r>
      <w:r>
        <w:rPr>
          <w:rFonts w:hint="eastAsia"/>
          <w:sz w:val="24"/>
        </w:rPr>
        <w:t>系统）应具有下列功能：</w:t>
      </w:r>
    </w:p>
    <w:p w14:paraId="67E225AF">
      <w:pPr>
        <w:snapToGrid w:val="0"/>
        <w:spacing w:line="300" w:lineRule="auto"/>
        <w:ind w:firstLine="482" w:firstLineChars="200"/>
        <w:jc w:val="left"/>
        <w:rPr>
          <w:sz w:val="24"/>
        </w:rPr>
      </w:pPr>
      <w:r>
        <w:rPr>
          <w:rFonts w:hint="eastAsia"/>
          <w:b/>
          <w:bCs/>
          <w:sz w:val="24"/>
        </w:rPr>
        <w:t>1</w:t>
      </w:r>
      <w:r>
        <w:rPr>
          <w:rFonts w:hint="eastAsia"/>
          <w:b/>
          <w:bCs/>
          <w:sz w:val="24"/>
          <w:lang w:val="en-US" w:eastAsia="zh-CN"/>
        </w:rPr>
        <w:t xml:space="preserve"> </w:t>
      </w:r>
      <w:r>
        <w:rPr>
          <w:rFonts w:hint="eastAsia"/>
          <w:sz w:val="24"/>
        </w:rPr>
        <w:t>实时在线监测功能；</w:t>
      </w:r>
    </w:p>
    <w:p w14:paraId="5DB95285">
      <w:pPr>
        <w:snapToGrid w:val="0"/>
        <w:spacing w:line="300" w:lineRule="auto"/>
        <w:ind w:firstLine="482" w:firstLineChars="200"/>
        <w:jc w:val="left"/>
        <w:rPr>
          <w:sz w:val="24"/>
        </w:rPr>
      </w:pPr>
      <w:r>
        <w:rPr>
          <w:rFonts w:hint="eastAsia"/>
          <w:b/>
          <w:bCs/>
          <w:sz w:val="24"/>
        </w:rPr>
        <w:t>2</w:t>
      </w:r>
      <w:r>
        <w:rPr>
          <w:rFonts w:hint="eastAsia"/>
          <w:b/>
          <w:bCs/>
          <w:sz w:val="24"/>
          <w:lang w:val="en-US" w:eastAsia="zh-CN"/>
        </w:rPr>
        <w:t xml:space="preserve"> </w:t>
      </w:r>
      <w:r>
        <w:rPr>
          <w:rFonts w:hint="eastAsia"/>
          <w:sz w:val="24"/>
        </w:rPr>
        <w:t>对每个单体电池的电压、电池组总电压、充</w:t>
      </w:r>
      <w:r>
        <w:rPr>
          <w:sz w:val="24"/>
        </w:rPr>
        <w:t>/</w:t>
      </w:r>
      <w:r>
        <w:rPr>
          <w:rFonts w:hint="eastAsia"/>
          <w:sz w:val="24"/>
        </w:rPr>
        <w:t>放电电流、电芯温度、板卡温度和环境温度的检测功能；</w:t>
      </w:r>
    </w:p>
    <w:p w14:paraId="78F8FE70">
      <w:pPr>
        <w:snapToGrid w:val="0"/>
        <w:spacing w:line="300" w:lineRule="auto"/>
        <w:ind w:firstLine="482" w:firstLineChars="200"/>
        <w:jc w:val="left"/>
        <w:rPr>
          <w:sz w:val="24"/>
        </w:rPr>
      </w:pPr>
      <w:r>
        <w:rPr>
          <w:rFonts w:hint="eastAsia"/>
          <w:b/>
          <w:bCs/>
          <w:sz w:val="24"/>
        </w:rPr>
        <w:t>3</w:t>
      </w:r>
      <w:r>
        <w:rPr>
          <w:rFonts w:hint="eastAsia"/>
          <w:b/>
          <w:bCs/>
          <w:sz w:val="24"/>
          <w:lang w:val="en-US" w:eastAsia="zh-CN"/>
        </w:rPr>
        <w:t xml:space="preserve"> </w:t>
      </w:r>
      <w:r>
        <w:rPr>
          <w:rFonts w:hint="eastAsia"/>
          <w:sz w:val="24"/>
        </w:rPr>
        <w:t>温度监测、超温报警和保护功能；</w:t>
      </w:r>
    </w:p>
    <w:p w14:paraId="484477C4">
      <w:pPr>
        <w:snapToGrid w:val="0"/>
        <w:spacing w:line="300" w:lineRule="auto"/>
        <w:ind w:firstLine="482" w:firstLineChars="200"/>
        <w:jc w:val="left"/>
        <w:rPr>
          <w:sz w:val="24"/>
        </w:rPr>
      </w:pPr>
      <w:r>
        <w:rPr>
          <w:rFonts w:hint="eastAsia"/>
          <w:b/>
          <w:bCs/>
          <w:sz w:val="24"/>
        </w:rPr>
        <w:t>4</w:t>
      </w:r>
      <w:r>
        <w:rPr>
          <w:rFonts w:hint="eastAsia"/>
          <w:b/>
          <w:bCs/>
          <w:sz w:val="24"/>
          <w:lang w:val="en-US" w:eastAsia="zh-CN"/>
        </w:rPr>
        <w:t xml:space="preserve"> </w:t>
      </w:r>
      <w:r>
        <w:rPr>
          <w:rFonts w:hint="eastAsia"/>
          <w:sz w:val="24"/>
        </w:rPr>
        <w:t>电池系统容量、充（放）电能量统计以及对计算数值的掉电保存功能；</w:t>
      </w:r>
    </w:p>
    <w:p w14:paraId="4D2EA616">
      <w:pPr>
        <w:snapToGrid w:val="0"/>
        <w:spacing w:line="300" w:lineRule="auto"/>
        <w:ind w:firstLine="482" w:firstLineChars="200"/>
        <w:jc w:val="left"/>
        <w:rPr>
          <w:sz w:val="24"/>
        </w:rPr>
      </w:pPr>
      <w:r>
        <w:rPr>
          <w:rFonts w:hint="eastAsia"/>
          <w:b/>
          <w:bCs/>
          <w:sz w:val="24"/>
        </w:rPr>
        <w:t>5</w:t>
      </w:r>
      <w:r>
        <w:rPr>
          <w:rFonts w:hint="eastAsia"/>
          <w:b/>
          <w:bCs/>
          <w:sz w:val="24"/>
          <w:lang w:val="en-US" w:eastAsia="zh-CN"/>
        </w:rPr>
        <w:t xml:space="preserve"> </w:t>
      </w:r>
      <w:r>
        <w:rPr>
          <w:rFonts w:hint="eastAsia"/>
          <w:sz w:val="24"/>
        </w:rPr>
        <w:t>均衡功能并应采用高能效的均衡方式；</w:t>
      </w:r>
    </w:p>
    <w:p w14:paraId="3B69AB74">
      <w:pPr>
        <w:snapToGrid w:val="0"/>
        <w:spacing w:line="300" w:lineRule="auto"/>
        <w:ind w:firstLine="482" w:firstLineChars="200"/>
        <w:jc w:val="left"/>
        <w:rPr>
          <w:rFonts w:hint="eastAsia" w:eastAsia="宋体"/>
          <w:sz w:val="24"/>
          <w:lang w:eastAsia="zh-CN"/>
        </w:rPr>
      </w:pPr>
      <w:r>
        <w:rPr>
          <w:rFonts w:hint="eastAsia"/>
          <w:b/>
          <w:bCs/>
          <w:sz w:val="24"/>
        </w:rPr>
        <w:t>6</w:t>
      </w:r>
      <w:r>
        <w:rPr>
          <w:rFonts w:hint="eastAsia"/>
          <w:b/>
          <w:bCs/>
          <w:sz w:val="24"/>
          <w:lang w:val="en-US" w:eastAsia="zh-CN"/>
        </w:rPr>
        <w:t xml:space="preserve"> </w:t>
      </w:r>
      <w:r>
        <w:rPr>
          <w:b/>
          <w:bCs/>
          <w:sz w:val="24"/>
        </w:rPr>
        <w:t xml:space="preserve"> </w:t>
      </w:r>
      <w:r>
        <w:rPr>
          <w:rFonts w:hint="eastAsia"/>
          <w:sz w:val="24"/>
        </w:rPr>
        <w:t>完善的热管理系统，应及时对故障部件进行隔离，故障模组应具备自动旁路功能</w:t>
      </w:r>
      <w:r>
        <w:rPr>
          <w:rFonts w:hint="eastAsia"/>
          <w:sz w:val="24"/>
          <w:lang w:eastAsia="zh-CN"/>
        </w:rPr>
        <w:t>；</w:t>
      </w:r>
    </w:p>
    <w:p w14:paraId="29DE4221">
      <w:pPr>
        <w:snapToGrid w:val="0"/>
        <w:spacing w:line="300" w:lineRule="auto"/>
        <w:ind w:firstLine="482" w:firstLineChars="200"/>
        <w:jc w:val="left"/>
        <w:rPr>
          <w:rFonts w:hint="eastAsia" w:eastAsia="宋体"/>
          <w:sz w:val="24"/>
          <w:lang w:eastAsia="zh-CN"/>
        </w:rPr>
      </w:pPr>
      <w:r>
        <w:rPr>
          <w:rFonts w:hint="eastAsia"/>
          <w:b/>
          <w:bCs/>
          <w:sz w:val="24"/>
        </w:rPr>
        <w:t xml:space="preserve">7 </w:t>
      </w:r>
      <w:r>
        <w:rPr>
          <w:rFonts w:hint="eastAsia"/>
          <w:b/>
          <w:bCs/>
          <w:sz w:val="24"/>
          <w:lang w:val="en-US" w:eastAsia="zh-CN"/>
        </w:rPr>
        <w:t>两</w:t>
      </w:r>
      <w:r>
        <w:rPr>
          <w:rFonts w:hint="eastAsia"/>
          <w:sz w:val="24"/>
        </w:rPr>
        <w:t>簇及以上电池直流端并联的储能电池系统，应具备簇间防环流控制功能</w:t>
      </w:r>
      <w:r>
        <w:rPr>
          <w:rFonts w:hint="eastAsia"/>
          <w:sz w:val="24"/>
          <w:lang w:eastAsia="zh-CN"/>
        </w:rPr>
        <w:t>；</w:t>
      </w:r>
    </w:p>
    <w:p w14:paraId="24188B48">
      <w:pPr>
        <w:snapToGrid w:val="0"/>
        <w:spacing w:line="300" w:lineRule="auto"/>
        <w:ind w:firstLine="482" w:firstLineChars="200"/>
        <w:jc w:val="left"/>
        <w:rPr>
          <w:rFonts w:hint="eastAsia" w:eastAsia="宋体"/>
          <w:sz w:val="24"/>
          <w:lang w:eastAsia="zh-CN"/>
        </w:rPr>
      </w:pPr>
      <w:r>
        <w:rPr>
          <w:rFonts w:hint="eastAsia"/>
          <w:b/>
          <w:bCs/>
          <w:sz w:val="24"/>
        </w:rPr>
        <w:t xml:space="preserve">8 </w:t>
      </w:r>
      <w:r>
        <w:rPr>
          <w:rFonts w:hint="eastAsia"/>
          <w:sz w:val="24"/>
        </w:rPr>
        <w:t>外接电源的正负极性与电池管理系统（BMS）的供电电源极性接反时，电池管理系统（BMS）不应损坏且应报警并进入切断保护状态</w:t>
      </w:r>
      <w:r>
        <w:rPr>
          <w:rFonts w:hint="eastAsia"/>
          <w:sz w:val="24"/>
          <w:lang w:eastAsia="zh-CN"/>
        </w:rPr>
        <w:t>；</w:t>
      </w:r>
    </w:p>
    <w:p w14:paraId="2EBD2798">
      <w:pPr>
        <w:snapToGrid w:val="0"/>
        <w:spacing w:line="300" w:lineRule="auto"/>
        <w:ind w:firstLine="482" w:firstLineChars="200"/>
        <w:jc w:val="left"/>
        <w:rPr>
          <w:sz w:val="24"/>
        </w:rPr>
      </w:pPr>
      <w:r>
        <w:rPr>
          <w:rFonts w:hint="eastAsia"/>
          <w:b/>
          <w:bCs/>
          <w:sz w:val="24"/>
        </w:rPr>
        <w:t>9</w:t>
      </w:r>
      <w:r>
        <w:rPr>
          <w:rFonts w:hint="eastAsia"/>
          <w:sz w:val="24"/>
        </w:rPr>
        <w:t>电池组输出端正负极发生直接短路时，应瞬间切断电路并报警，电池管理系统（BMS）和电芯不应损坏。</w:t>
      </w:r>
    </w:p>
    <w:p w14:paraId="3383D23A">
      <w:pPr>
        <w:snapToGrid w:val="0"/>
        <w:spacing w:line="300" w:lineRule="auto"/>
        <w:jc w:val="left"/>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33F017D0">
      <w:pPr>
        <w:snapToGrid w:val="0"/>
        <w:spacing w:line="300" w:lineRule="auto"/>
        <w:jc w:val="left"/>
        <w:rPr>
          <w:rFonts w:hint="eastAsia" w:ascii="仿宋" w:hAnsi="仿宋" w:eastAsia="仿宋" w:cs="仿宋"/>
          <w:i/>
          <w:iCs/>
          <w:color w:val="0623BA"/>
          <w:sz w:val="24"/>
        </w:rPr>
      </w:pPr>
      <w:r>
        <w:rPr>
          <w:rFonts w:hint="eastAsia" w:ascii="仿宋" w:hAnsi="仿宋" w:eastAsia="仿宋" w:cs="仿宋"/>
          <w:i/>
          <w:iCs/>
          <w:color w:val="0623BA"/>
          <w:sz w:val="24"/>
        </w:rPr>
        <w:t>4.</w:t>
      </w:r>
      <w:r>
        <w:rPr>
          <w:rFonts w:hint="eastAsia" w:ascii="仿宋" w:hAnsi="仿宋" w:eastAsia="仿宋" w:cs="仿宋"/>
          <w:i/>
          <w:iCs/>
          <w:color w:val="0623BA"/>
          <w:sz w:val="24"/>
          <w:lang w:val="en-US" w:eastAsia="zh-CN"/>
        </w:rPr>
        <w:t>5</w:t>
      </w:r>
      <w:r>
        <w:rPr>
          <w:rFonts w:hint="eastAsia" w:ascii="仿宋" w:hAnsi="仿宋" w:eastAsia="仿宋" w:cs="仿宋"/>
          <w:i/>
          <w:iCs/>
          <w:color w:val="0623BA"/>
          <w:sz w:val="24"/>
        </w:rPr>
        <w:t>.</w:t>
      </w:r>
      <w:r>
        <w:rPr>
          <w:rFonts w:hint="eastAsia" w:ascii="仿宋" w:hAnsi="仿宋" w:eastAsia="仿宋" w:cs="仿宋"/>
          <w:i/>
          <w:iCs/>
          <w:color w:val="0623BA"/>
          <w:sz w:val="24"/>
          <w:lang w:val="en-US" w:eastAsia="zh-CN"/>
        </w:rPr>
        <w:t>4</w:t>
      </w:r>
      <w:r>
        <w:rPr>
          <w:rFonts w:hint="eastAsia" w:ascii="仿宋" w:hAnsi="仿宋" w:eastAsia="仿宋" w:cs="仿宋"/>
          <w:i/>
          <w:iCs/>
          <w:color w:val="0623BA"/>
          <w:sz w:val="24"/>
        </w:rPr>
        <w:t xml:space="preserve"> 储能系统应具有电池管理系统</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BMS系统</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，应采用线检测装置进行智能化实时检测，应具有在线识别电池组落后单体、判断储能电池整体性能、充放电管理等功能，宜具有人机界面和通信接口。充电控制器应具有短路保护、过负荷保护过充</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放</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保护、欠</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过</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压保护、反向放电保护、极性反接保护及防雷保护等功能，应具备温度补偿、数据采集和通信功能。锂离子电化学储能电池管理系统同时应符合现行国家标准《电化学储能电站用锂离子电池管理系统技术规范》GB/T34131的有关规定。</w:t>
      </w:r>
    </w:p>
    <w:p w14:paraId="0485BFBB">
      <w:pPr>
        <w:snapToGrid w:val="0"/>
        <w:spacing w:line="300" w:lineRule="auto"/>
        <w:jc w:val="left"/>
        <w:rPr>
          <w:sz w:val="24"/>
        </w:rPr>
      </w:pPr>
      <w:r>
        <w:rPr>
          <w:b/>
          <w:bCs/>
          <w:sz w:val="24"/>
        </w:rPr>
        <w:t>4.</w:t>
      </w:r>
      <w:r>
        <w:rPr>
          <w:rFonts w:hint="eastAsia"/>
          <w:b/>
          <w:bCs/>
          <w:sz w:val="24"/>
          <w:lang w:val="en-US" w:eastAsia="zh-CN"/>
        </w:rPr>
        <w:t>5</w:t>
      </w:r>
      <w:r>
        <w:rPr>
          <w:b/>
          <w:bCs/>
          <w:sz w:val="24"/>
        </w:rPr>
        <w:t>.</w:t>
      </w:r>
      <w:r>
        <w:rPr>
          <w:rFonts w:hint="eastAsia"/>
          <w:b/>
          <w:bCs/>
          <w:sz w:val="24"/>
          <w:lang w:val="en-US" w:eastAsia="zh-CN"/>
        </w:rPr>
        <w:t>5</w:t>
      </w:r>
      <w:r>
        <w:rPr>
          <w:sz w:val="24"/>
        </w:rPr>
        <w:t xml:space="preserve"> </w:t>
      </w:r>
      <w:r>
        <w:rPr>
          <w:rFonts w:hint="eastAsia"/>
          <w:sz w:val="24"/>
        </w:rPr>
        <w:t>储能电池系统内电芯应优先选择安全经济的电池模组并应具有电池安全预警功能。</w:t>
      </w:r>
    </w:p>
    <w:p w14:paraId="298DCE87">
      <w:pPr>
        <w:pStyle w:val="2"/>
        <w:spacing w:after="0" w:line="300" w:lineRule="auto"/>
        <w:rPr>
          <w:rFonts w:hint="default"/>
          <w:sz w:val="24"/>
          <w:lang w:eastAsia="zh-CN"/>
        </w:rPr>
      </w:pPr>
      <w:r>
        <w:rPr>
          <w:rFonts w:hint="eastAsia"/>
          <w:b/>
          <w:bCs/>
          <w:sz w:val="24"/>
          <w:lang w:val="en-US" w:eastAsia="zh-CN"/>
        </w:rPr>
        <w:t xml:space="preserve">4.5.6 </w:t>
      </w:r>
      <w:r>
        <w:rPr>
          <w:rFonts w:hint="default"/>
          <w:sz w:val="24"/>
          <w:lang w:eastAsia="zh-CN"/>
        </w:rPr>
        <w:t>储能电池容量和性能应可检测和可诊断，使控制系统可在预知电池容量和性能的情况下降低电站接入电网的冲击和依赖，提高电网的可靠性和效率。电池储能系统的监控系统及其子系统</w:t>
      </w:r>
      <w:r>
        <w:rPr>
          <w:rFonts w:hint="eastAsia"/>
          <w:sz w:val="24"/>
          <w:lang w:eastAsia="zh-CN"/>
        </w:rPr>
        <w:t>（</w:t>
      </w:r>
      <w:r>
        <w:rPr>
          <w:rFonts w:hint="default"/>
          <w:sz w:val="24"/>
          <w:lang w:eastAsia="zh-CN"/>
        </w:rPr>
        <w:t>包括电池管理系统、储能系统配套升压变及高低压配电装置监控单元等</w:t>
      </w:r>
      <w:r>
        <w:rPr>
          <w:rFonts w:hint="eastAsia"/>
          <w:sz w:val="24"/>
          <w:lang w:eastAsia="zh-CN"/>
        </w:rPr>
        <w:t>）</w:t>
      </w:r>
      <w:r>
        <w:rPr>
          <w:rFonts w:hint="default"/>
          <w:sz w:val="24"/>
          <w:lang w:eastAsia="zh-CN"/>
        </w:rPr>
        <w:t>所采用的通讯协议应需符合国际通用标准及客户要求。</w:t>
      </w:r>
    </w:p>
    <w:p w14:paraId="7F8C4CA1">
      <w:pPr>
        <w:pStyle w:val="2"/>
        <w:spacing w:after="0" w:line="300" w:lineRule="auto"/>
        <w:rPr>
          <w:rFonts w:hint="default" w:ascii="Times New Roman" w:hAnsi="Times New Roman" w:eastAsia="宋体"/>
          <w:b w:val="0"/>
          <w:bCs w:val="0"/>
          <w:sz w:val="24"/>
          <w:szCs w:val="24"/>
          <w:lang w:eastAsia="zh-CN"/>
        </w:rPr>
      </w:pPr>
      <w:r>
        <w:rPr>
          <w:rFonts w:hint="eastAsia"/>
          <w:b/>
          <w:bCs/>
          <w:sz w:val="24"/>
          <w:lang w:val="en-US" w:eastAsia="zh-CN"/>
        </w:rPr>
        <w:t>4.5.7</w:t>
      </w:r>
      <w:r>
        <w:rPr>
          <w:rFonts w:hint="eastAsia"/>
          <w:sz w:val="24"/>
          <w:lang w:val="en-US" w:eastAsia="zh-CN"/>
        </w:rPr>
        <w:t xml:space="preserve"> </w:t>
      </w:r>
      <w:r>
        <w:rPr>
          <w:rFonts w:hint="default" w:ascii="Times New Roman" w:hAnsi="Times New Roman" w:eastAsia="宋体"/>
          <w:b w:val="0"/>
          <w:bCs w:val="0"/>
          <w:sz w:val="24"/>
          <w:szCs w:val="24"/>
          <w:lang w:eastAsia="zh-CN"/>
        </w:rPr>
        <w:t>储能电池应符合环境保护的要求，在电池生产、使用、回收过程中应符合国家环境保护的有关规定</w:t>
      </w:r>
      <w:r>
        <w:rPr>
          <w:rFonts w:hint="eastAsia" w:ascii="Times New Roman" w:hAnsi="Times New Roman" w:eastAsia="宋体"/>
          <w:b w:val="0"/>
          <w:bCs w:val="0"/>
          <w:sz w:val="24"/>
          <w:szCs w:val="24"/>
          <w:lang w:eastAsia="zh-CN"/>
        </w:rPr>
        <w:t>。</w:t>
      </w:r>
    </w:p>
    <w:p w14:paraId="0F6B4FE8">
      <w:pPr>
        <w:keepNext/>
        <w:keepLines/>
        <w:snapToGrid w:val="0"/>
        <w:spacing w:before="72" w:beforeLines="30" w:after="72" w:afterLines="30" w:line="300" w:lineRule="auto"/>
        <w:jc w:val="center"/>
        <w:outlineLvl w:val="2"/>
        <w:rPr>
          <w:sz w:val="24"/>
        </w:rPr>
      </w:pPr>
      <w:bookmarkStart w:id="104" w:name="_Toc12979"/>
      <w:bookmarkStart w:id="105" w:name="_Toc19266"/>
      <w:bookmarkStart w:id="106" w:name="_Toc18352"/>
      <w:bookmarkStart w:id="107" w:name="_Toc27415"/>
      <w:bookmarkStart w:id="108" w:name="_Toc15070"/>
      <w:bookmarkStart w:id="109" w:name="_Toc3246"/>
      <w:bookmarkStart w:id="110" w:name="_Toc8349"/>
      <w:bookmarkStart w:id="111" w:name="_Toc17158"/>
      <w:r>
        <w:rPr>
          <w:b/>
          <w:sz w:val="24"/>
          <w:szCs w:val="32"/>
        </w:rPr>
        <w:t>4.</w:t>
      </w:r>
      <w:r>
        <w:rPr>
          <w:rFonts w:hint="default"/>
          <w:b/>
          <w:sz w:val="24"/>
          <w:szCs w:val="32"/>
          <w:lang w:val="en-US" w:eastAsia="zh-CN"/>
        </w:rPr>
        <w:t xml:space="preserve">6 </w:t>
      </w:r>
      <w:r>
        <w:rPr>
          <w:b/>
          <w:sz w:val="24"/>
          <w:szCs w:val="32"/>
        </w:rPr>
        <w:t>配电柜</w:t>
      </w:r>
      <w:bookmarkEnd w:id="104"/>
      <w:bookmarkEnd w:id="105"/>
      <w:bookmarkEnd w:id="106"/>
      <w:bookmarkEnd w:id="107"/>
      <w:bookmarkEnd w:id="108"/>
      <w:bookmarkEnd w:id="109"/>
      <w:bookmarkEnd w:id="110"/>
      <w:bookmarkEnd w:id="111"/>
      <w:bookmarkStart w:id="112" w:name="_Toc27015"/>
      <w:r>
        <w:rPr>
          <w:sz w:val="24"/>
        </w:rPr>
        <w:t xml:space="preserve"> </w:t>
      </w:r>
      <w:bookmarkEnd w:id="112"/>
    </w:p>
    <w:p w14:paraId="59FEFAC4">
      <w:pPr>
        <w:snapToGrid w:val="0"/>
        <w:spacing w:line="300" w:lineRule="auto"/>
        <w:jc w:val="left"/>
        <w:rPr>
          <w:sz w:val="24"/>
        </w:rPr>
      </w:pPr>
      <w:r>
        <w:rPr>
          <w:b/>
          <w:bCs/>
          <w:sz w:val="24"/>
        </w:rPr>
        <w:t>4.</w:t>
      </w:r>
      <w:r>
        <w:rPr>
          <w:rFonts w:hint="eastAsia"/>
          <w:b/>
          <w:bCs/>
          <w:sz w:val="24"/>
          <w:lang w:val="en-US" w:eastAsia="zh-CN"/>
        </w:rPr>
        <w:t>6</w:t>
      </w:r>
      <w:r>
        <w:rPr>
          <w:b/>
          <w:bCs/>
          <w:sz w:val="24"/>
        </w:rPr>
        <w:t>.</w:t>
      </w:r>
      <w:r>
        <w:rPr>
          <w:rFonts w:hint="eastAsia"/>
          <w:b/>
          <w:bCs/>
          <w:sz w:val="24"/>
          <w:lang w:val="en-US" w:eastAsia="zh-CN"/>
        </w:rPr>
        <w:t>1</w:t>
      </w:r>
      <w:r>
        <w:rPr>
          <w:sz w:val="24"/>
        </w:rPr>
        <w:t xml:space="preserve"> </w:t>
      </w:r>
      <w:r>
        <w:rPr>
          <w:rFonts w:hint="eastAsia"/>
          <w:sz w:val="24"/>
          <w:lang w:val="en-US" w:eastAsia="zh-CN"/>
        </w:rPr>
        <w:t>光伏</w:t>
      </w:r>
      <w:r>
        <w:rPr>
          <w:rFonts w:hint="eastAsia"/>
          <w:sz w:val="24"/>
        </w:rPr>
        <w:t>配电柜的选择应符合现行国家标准《建筑光伏系统应用技术标准》GB/T 51368的规定。</w:t>
      </w:r>
    </w:p>
    <w:p w14:paraId="5275AC38">
      <w:pPr>
        <w:snapToGrid w:val="0"/>
        <w:spacing w:line="300" w:lineRule="auto"/>
        <w:jc w:val="left"/>
        <w:rPr>
          <w:sz w:val="24"/>
        </w:rPr>
      </w:pPr>
      <w:r>
        <w:rPr>
          <w:b/>
          <w:bCs/>
          <w:sz w:val="24"/>
        </w:rPr>
        <w:t>4.</w:t>
      </w:r>
      <w:r>
        <w:rPr>
          <w:rFonts w:hint="eastAsia"/>
          <w:b/>
          <w:bCs/>
          <w:sz w:val="24"/>
          <w:lang w:val="en-US" w:eastAsia="zh-CN"/>
        </w:rPr>
        <w:t>6</w:t>
      </w:r>
      <w:r>
        <w:rPr>
          <w:b/>
          <w:bCs/>
          <w:sz w:val="24"/>
        </w:rPr>
        <w:t>.</w:t>
      </w:r>
      <w:r>
        <w:rPr>
          <w:rFonts w:hint="eastAsia"/>
          <w:b/>
          <w:bCs/>
          <w:sz w:val="24"/>
          <w:lang w:val="en-US" w:eastAsia="zh-CN"/>
        </w:rPr>
        <w:t>2</w:t>
      </w:r>
      <w:r>
        <w:rPr>
          <w:sz w:val="24"/>
        </w:rPr>
        <w:t xml:space="preserve"> </w:t>
      </w:r>
      <w:r>
        <w:rPr>
          <w:rFonts w:hint="eastAsia"/>
          <w:sz w:val="24"/>
        </w:rPr>
        <w:t>直流配电柜输出回路正极、负极均应设置防雷保护装置，技术性能应符合现行国家标准《光伏发电站防雷技术要求》GB/T 32512 和现行行业标准《光伏发电站防雷技术规程》DLT 1364 的有关规定。</w:t>
      </w:r>
    </w:p>
    <w:p w14:paraId="5CDF573B">
      <w:pPr>
        <w:snapToGrid w:val="0"/>
        <w:spacing w:line="300" w:lineRule="auto"/>
        <w:jc w:val="left"/>
        <w:rPr>
          <w:sz w:val="24"/>
        </w:rPr>
      </w:pPr>
      <w:r>
        <w:rPr>
          <w:b/>
          <w:bCs/>
          <w:sz w:val="24"/>
        </w:rPr>
        <w:t>4.</w:t>
      </w:r>
      <w:r>
        <w:rPr>
          <w:rFonts w:hint="eastAsia"/>
          <w:b/>
          <w:bCs/>
          <w:sz w:val="24"/>
          <w:lang w:val="en-US" w:eastAsia="zh-CN"/>
        </w:rPr>
        <w:t>6</w:t>
      </w:r>
      <w:r>
        <w:rPr>
          <w:b/>
          <w:bCs/>
          <w:sz w:val="24"/>
        </w:rPr>
        <w:t>.</w:t>
      </w:r>
      <w:r>
        <w:rPr>
          <w:rFonts w:hint="eastAsia"/>
          <w:b/>
          <w:bCs/>
          <w:sz w:val="24"/>
          <w:lang w:val="en-US" w:eastAsia="zh-CN"/>
        </w:rPr>
        <w:t>3</w:t>
      </w:r>
      <w:r>
        <w:rPr>
          <w:rFonts w:hint="eastAsia"/>
          <w:sz w:val="24"/>
        </w:rPr>
        <w:t xml:space="preserve"> 配电柜不</w:t>
      </w:r>
      <w:r>
        <w:rPr>
          <w:rFonts w:hint="eastAsia"/>
          <w:sz w:val="24"/>
          <w:lang w:val="en-US" w:eastAsia="zh-CN"/>
        </w:rPr>
        <w:t>应</w:t>
      </w:r>
      <w:r>
        <w:rPr>
          <w:rFonts w:hint="eastAsia"/>
          <w:sz w:val="24"/>
        </w:rPr>
        <w:t>存在影响使用的变形、锈蚀、漏水、积灰，箱体外表面的安全警示标识应完整、无破损。</w:t>
      </w:r>
    </w:p>
    <w:p w14:paraId="077BC418">
      <w:pPr>
        <w:snapToGrid w:val="0"/>
        <w:spacing w:line="300" w:lineRule="auto"/>
        <w:jc w:val="left"/>
        <w:rPr>
          <w:sz w:val="24"/>
        </w:rPr>
      </w:pPr>
      <w:r>
        <w:rPr>
          <w:b/>
          <w:bCs/>
          <w:sz w:val="24"/>
        </w:rPr>
        <w:t>4.</w:t>
      </w:r>
      <w:r>
        <w:rPr>
          <w:rFonts w:hint="eastAsia"/>
          <w:b/>
          <w:bCs/>
          <w:sz w:val="24"/>
          <w:lang w:val="en-US" w:eastAsia="zh-CN"/>
        </w:rPr>
        <w:t>6</w:t>
      </w:r>
      <w:r>
        <w:rPr>
          <w:b/>
          <w:bCs/>
          <w:sz w:val="24"/>
        </w:rPr>
        <w:t>.</w:t>
      </w:r>
      <w:r>
        <w:rPr>
          <w:rFonts w:hint="eastAsia"/>
          <w:b/>
          <w:bCs/>
          <w:sz w:val="24"/>
          <w:lang w:val="en-US" w:eastAsia="zh-CN"/>
        </w:rPr>
        <w:t>4</w:t>
      </w:r>
      <w:r>
        <w:rPr>
          <w:sz w:val="24"/>
        </w:rPr>
        <w:t xml:space="preserve"> 交/直流配电柜（箱）设计应符合现行国家标准《低压配电设计规范》GB 50054和《低压成套开关设备和控制设备 第1部分：总则》GB 7251.1的有关规定。</w:t>
      </w:r>
    </w:p>
    <w:p w14:paraId="18062495">
      <w:pPr>
        <w:spacing w:line="300" w:lineRule="auto"/>
      </w:pPr>
    </w:p>
    <w:p w14:paraId="18EA229F">
      <w:pPr>
        <w:widowControl/>
        <w:snapToGrid w:val="0"/>
        <w:spacing w:line="300" w:lineRule="auto"/>
        <w:jc w:val="left"/>
        <w:rPr>
          <w:sz w:val="24"/>
        </w:rPr>
      </w:pPr>
      <w:r>
        <w:rPr>
          <w:sz w:val="24"/>
        </w:rPr>
        <w:br w:type="page"/>
      </w:r>
    </w:p>
    <w:p w14:paraId="225F50FE">
      <w:pPr>
        <w:pStyle w:val="5"/>
        <w:spacing w:before="95" w:beforeLines="30" w:after="95" w:afterLines="30" w:line="300" w:lineRule="auto"/>
        <w:jc w:val="center"/>
        <w:rPr>
          <w:rFonts w:hint="default" w:ascii="Times New Roman" w:hAnsi="Times New Roman" w:eastAsia="黑体" w:cs="Times New Roman"/>
          <w:sz w:val="28"/>
          <w:szCs w:val="28"/>
        </w:rPr>
      </w:pPr>
      <w:bookmarkStart w:id="113" w:name="_Toc1324"/>
      <w:bookmarkStart w:id="114" w:name="_Toc20864"/>
      <w:bookmarkStart w:id="115" w:name="_Toc18445"/>
      <w:bookmarkStart w:id="116" w:name="_Toc7192"/>
      <w:bookmarkStart w:id="117" w:name="_Toc11920"/>
      <w:bookmarkStart w:id="118" w:name="_Toc21508"/>
      <w:bookmarkStart w:id="119" w:name="_Toc14456"/>
      <w:bookmarkStart w:id="120" w:name="_Toc7672"/>
      <w:r>
        <w:rPr>
          <w:rFonts w:hint="default" w:ascii="Times New Roman" w:hAnsi="Times New Roman" w:eastAsia="黑体" w:cs="Times New Roman"/>
          <w:sz w:val="28"/>
          <w:szCs w:val="28"/>
        </w:rPr>
        <w:t>5 设计</w:t>
      </w:r>
      <w:bookmarkEnd w:id="113"/>
      <w:bookmarkEnd w:id="114"/>
      <w:bookmarkEnd w:id="115"/>
      <w:bookmarkEnd w:id="116"/>
      <w:bookmarkEnd w:id="117"/>
      <w:bookmarkEnd w:id="118"/>
      <w:bookmarkEnd w:id="119"/>
      <w:bookmarkEnd w:id="120"/>
    </w:p>
    <w:p w14:paraId="3A175DB6">
      <w:pPr>
        <w:keepNext/>
        <w:keepLines/>
        <w:snapToGrid w:val="0"/>
        <w:spacing w:before="95" w:beforeLines="30" w:after="95" w:afterLines="30" w:line="300" w:lineRule="auto"/>
        <w:jc w:val="center"/>
        <w:outlineLvl w:val="2"/>
        <w:rPr>
          <w:b/>
          <w:sz w:val="24"/>
          <w:szCs w:val="32"/>
        </w:rPr>
      </w:pPr>
      <w:bookmarkStart w:id="121" w:name="_Toc7505"/>
      <w:bookmarkStart w:id="122" w:name="_Toc4412"/>
      <w:bookmarkStart w:id="123" w:name="_Toc16892"/>
      <w:bookmarkStart w:id="124" w:name="_Toc2071"/>
      <w:bookmarkStart w:id="125" w:name="_Toc28112"/>
      <w:bookmarkStart w:id="126" w:name="_Toc23037"/>
      <w:bookmarkStart w:id="127" w:name="_Toc25070"/>
      <w:bookmarkStart w:id="128" w:name="_Toc1754"/>
      <w:r>
        <w:rPr>
          <w:b/>
          <w:sz w:val="24"/>
          <w:szCs w:val="32"/>
        </w:rPr>
        <w:t>5.1一般规定</w:t>
      </w:r>
      <w:bookmarkEnd w:id="121"/>
      <w:bookmarkEnd w:id="122"/>
      <w:bookmarkEnd w:id="123"/>
      <w:bookmarkEnd w:id="124"/>
      <w:bookmarkEnd w:id="125"/>
      <w:bookmarkEnd w:id="126"/>
      <w:bookmarkEnd w:id="127"/>
      <w:bookmarkEnd w:id="128"/>
    </w:p>
    <w:p w14:paraId="789AD227">
      <w:pPr>
        <w:snapToGrid w:val="0"/>
        <w:spacing w:line="300" w:lineRule="auto"/>
        <w:jc w:val="left"/>
        <w:rPr>
          <w:sz w:val="24"/>
        </w:rPr>
      </w:pPr>
      <w:r>
        <w:rPr>
          <w:b/>
          <w:bCs/>
          <w:sz w:val="24"/>
        </w:rPr>
        <w:t xml:space="preserve">5.1.1 </w:t>
      </w:r>
      <w:r>
        <w:rPr>
          <w:sz w:val="24"/>
        </w:rPr>
        <w:t>光伏</w:t>
      </w:r>
      <w:r>
        <w:rPr>
          <w:rFonts w:hint="eastAsia"/>
          <w:sz w:val="24"/>
        </w:rPr>
        <w:t>组件</w:t>
      </w:r>
      <w:r>
        <w:rPr>
          <w:sz w:val="24"/>
        </w:rPr>
        <w:t>的类型、安装位置、安装方式和色泽的选择，应结合建筑功能、建筑外观以及周围环境条件进行</w:t>
      </w:r>
      <w:r>
        <w:rPr>
          <w:rFonts w:hint="eastAsia"/>
          <w:sz w:val="24"/>
        </w:rPr>
        <w:t>并与建筑外观和周边环境相协调</w:t>
      </w:r>
      <w:r>
        <w:rPr>
          <w:sz w:val="24"/>
        </w:rPr>
        <w:t>。</w:t>
      </w:r>
    </w:p>
    <w:p w14:paraId="5F75826E">
      <w:pPr>
        <w:snapToGrid w:val="0"/>
        <w:spacing w:line="300" w:lineRule="auto"/>
        <w:jc w:val="left"/>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7942E52A">
      <w:pPr>
        <w:snapToGrid w:val="0"/>
        <w:spacing w:line="300" w:lineRule="auto"/>
        <w:jc w:val="left"/>
        <w:rPr>
          <w:rFonts w:hint="eastAsia" w:ascii="仿宋" w:hAnsi="仿宋" w:eastAsia="仿宋" w:cs="仿宋"/>
          <w:i/>
          <w:iCs/>
          <w:color w:val="0623BA"/>
          <w:sz w:val="24"/>
        </w:rPr>
      </w:pPr>
      <w:r>
        <w:rPr>
          <w:rFonts w:hint="eastAsia" w:ascii="仿宋" w:hAnsi="仿宋" w:eastAsia="仿宋" w:cs="仿宋"/>
          <w:i/>
          <w:iCs/>
          <w:color w:val="0623BA"/>
          <w:sz w:val="24"/>
        </w:rPr>
        <w:t>5.1.1 光伏发电系统是建筑的有机组成部分，尤其是采用光伏建筑一体化形式时，光伏发电系统与建筑功能更是密不可分。光伏发电系统不仅要符合光伏系统的发电功能和电气安全性要求，还要符合建筑外围护所必需的物理性能要求。</w:t>
      </w:r>
      <w:r>
        <w:rPr>
          <w:rFonts w:hint="eastAsia" w:ascii="仿宋" w:hAnsi="仿宋" w:eastAsia="仿宋" w:cs="仿宋"/>
          <w:i/>
          <w:iCs/>
          <w:color w:val="0623BA"/>
          <w:sz w:val="24"/>
          <w:lang w:val="en-US" w:eastAsia="zh-CN"/>
        </w:rPr>
        <w:t>同时，和广东各地建筑风貌相协调。</w:t>
      </w:r>
      <w:r>
        <w:rPr>
          <w:rFonts w:hint="eastAsia" w:ascii="仿宋" w:hAnsi="仿宋" w:eastAsia="仿宋" w:cs="仿宋"/>
          <w:i/>
          <w:iCs/>
          <w:color w:val="0623BA"/>
          <w:sz w:val="24"/>
        </w:rPr>
        <w:t>因此，在设计光伏发电系统时应与建筑设计专业密切配合，广泛搜集建筑物所在地的地理、气候、太阳能资源等资料，进行环境分析、日照分析。结合建筑功能、建筑外观与周围环境条件，合理规划光伏发电系统在建筑上的布置方案，统筹布局，做到与建筑风格协调统一。使其在具备良好光伏发电功能的同时达到建筑围护、建筑节能、太阳能利用和建筑装饰多种功能的完美结合。</w:t>
      </w:r>
    </w:p>
    <w:p w14:paraId="1E139CDB">
      <w:pPr>
        <w:snapToGrid w:val="0"/>
        <w:spacing w:line="300" w:lineRule="auto"/>
        <w:jc w:val="left"/>
        <w:rPr>
          <w:rFonts w:hint="eastAsia" w:ascii="仿宋" w:hAnsi="仿宋" w:eastAsia="仿宋" w:cs="仿宋"/>
          <w:i/>
          <w:iCs/>
          <w:color w:val="0623BA"/>
          <w:sz w:val="24"/>
        </w:rPr>
      </w:pPr>
      <w:r>
        <w:rPr>
          <w:rFonts w:hint="eastAsia" w:ascii="仿宋" w:hAnsi="仿宋" w:eastAsia="仿宋" w:cs="仿宋"/>
          <w:i/>
          <w:iCs/>
          <w:color w:val="0623BA"/>
          <w:sz w:val="24"/>
        </w:rPr>
        <w:t>建筑上光伏应用的数量多少取决于建筑设计方案前期能否将光伏作为一个设计条件进行设计，只有充分考虑光伏的各种应用条件并通过与建筑的有机组合，才能形成协调统一的一体化结合整体</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达到最大化应用的目标。</w:t>
      </w:r>
    </w:p>
    <w:p w14:paraId="0CEC2243">
      <w:pPr>
        <w:snapToGrid w:val="0"/>
        <w:spacing w:line="300" w:lineRule="auto"/>
        <w:jc w:val="left"/>
        <w:rPr>
          <w:sz w:val="24"/>
        </w:rPr>
      </w:pPr>
      <w:r>
        <w:rPr>
          <w:b/>
          <w:bCs/>
          <w:sz w:val="24"/>
        </w:rPr>
        <w:t>5.1.2</w:t>
      </w:r>
      <w:r>
        <w:rPr>
          <w:sz w:val="24"/>
        </w:rPr>
        <w:t xml:space="preserve"> 在既有建筑上安装太阳能光伏发电系统，不应影响建筑的采光、通风</w:t>
      </w:r>
      <w:r>
        <w:rPr>
          <w:rFonts w:hint="eastAsia"/>
          <w:sz w:val="24"/>
        </w:rPr>
        <w:t>、防水</w:t>
      </w:r>
      <w:r>
        <w:rPr>
          <w:sz w:val="24"/>
        </w:rPr>
        <w:t>，不应引起建筑能耗的增加。</w:t>
      </w:r>
    </w:p>
    <w:p w14:paraId="1525B710">
      <w:pPr>
        <w:snapToGrid w:val="0"/>
        <w:spacing w:line="300" w:lineRule="auto"/>
        <w:jc w:val="left"/>
        <w:rPr>
          <w:rFonts w:hint="eastAsia" w:ascii="仿宋" w:hAnsi="仿宋" w:eastAsia="仿宋" w:cs="仿宋"/>
          <w:i/>
          <w:iCs/>
          <w:color w:val="0623BA"/>
          <w:sz w:val="24"/>
        </w:rPr>
      </w:pPr>
      <w:r>
        <w:rPr>
          <w:rFonts w:hint="eastAsia" w:ascii="仿宋" w:hAnsi="仿宋" w:eastAsia="仿宋" w:cs="仿宋"/>
          <w:i/>
          <w:iCs/>
          <w:color w:val="0623BA"/>
          <w:sz w:val="24"/>
        </w:rPr>
        <w:t>【条文说明】</w:t>
      </w:r>
    </w:p>
    <w:p w14:paraId="5C9E0457">
      <w:pPr>
        <w:snapToGrid w:val="0"/>
        <w:spacing w:line="300" w:lineRule="auto"/>
        <w:jc w:val="left"/>
        <w:rPr>
          <w:rFonts w:hint="eastAsia" w:ascii="仿宋" w:hAnsi="仿宋" w:eastAsia="仿宋" w:cs="仿宋"/>
          <w:i/>
          <w:iCs/>
          <w:color w:val="0623BA"/>
          <w:sz w:val="24"/>
        </w:rPr>
      </w:pPr>
      <w:r>
        <w:rPr>
          <w:rFonts w:hint="eastAsia" w:ascii="仿宋" w:hAnsi="仿宋" w:eastAsia="仿宋" w:cs="仿宋"/>
          <w:i/>
          <w:iCs/>
          <w:color w:val="0623BA"/>
          <w:sz w:val="24"/>
        </w:rPr>
        <w:t>5.1.2 位于建筑不同部位的光伏方阵应符合建筑使用功能的要求，如：建筑围护功能、遮阳功能、防火功能、装饰功能、防护功能等。当光伏组件作为建筑围护结构且不使用光伏中空玻璃时，有可能影响建筑围护结构的热工性能。因此，可通过对光伏发电系统的发电量与围护结构的热工损失，进行比较和权衡，来判断光伏发电系统对建筑节能的贡献。</w:t>
      </w:r>
      <w:r>
        <w:rPr>
          <w:rFonts w:hint="eastAsia" w:ascii="仿宋" w:hAnsi="仿宋" w:eastAsia="仿宋" w:cs="仿宋"/>
          <w:i/>
          <w:iCs/>
          <w:color w:val="0623BA"/>
          <w:sz w:val="24"/>
          <w:lang w:val="en-US" w:eastAsia="zh-CN"/>
        </w:rPr>
        <w:t>若</w:t>
      </w:r>
      <w:r>
        <w:rPr>
          <w:rFonts w:hint="eastAsia" w:ascii="仿宋" w:hAnsi="仿宋" w:eastAsia="仿宋" w:cs="仿宋"/>
          <w:i/>
          <w:iCs/>
          <w:color w:val="0623BA"/>
          <w:sz w:val="24"/>
        </w:rPr>
        <w:t xml:space="preserve">既有建筑本体功能性的改造，应根据新的建筑功能和围护结构性能要求设计建筑集成光伏发电系统且满足改建建筑的采光、通风、防水等要求。 </w:t>
      </w:r>
    </w:p>
    <w:p w14:paraId="764BE332">
      <w:pPr>
        <w:snapToGrid w:val="0"/>
        <w:spacing w:line="300" w:lineRule="auto"/>
        <w:jc w:val="left"/>
        <w:rPr>
          <w:sz w:val="24"/>
        </w:rPr>
      </w:pPr>
      <w:r>
        <w:rPr>
          <w:b/>
          <w:bCs/>
          <w:sz w:val="24"/>
        </w:rPr>
        <w:t>5.1.3</w:t>
      </w:r>
      <w:r>
        <w:rPr>
          <w:sz w:val="24"/>
        </w:rPr>
        <w:t xml:space="preserve"> 建筑光伏系统的建筑设计应符合建筑构件的各项物理性能要求，根据广东省的特点，作为建筑构件的光伏发电组件应采取相应的防过热、防雷、抗风、抗震、防火、防腐蚀等技术措施。</w:t>
      </w:r>
    </w:p>
    <w:p w14:paraId="1BEBD2D1">
      <w:pPr>
        <w:snapToGrid w:val="0"/>
        <w:spacing w:line="300" w:lineRule="auto"/>
        <w:jc w:val="left"/>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3D49C8A0">
      <w:pPr>
        <w:snapToGrid w:val="0"/>
        <w:spacing w:line="300" w:lineRule="auto"/>
        <w:jc w:val="left"/>
        <w:rPr>
          <w:rFonts w:hint="eastAsia" w:ascii="仿宋" w:hAnsi="仿宋" w:eastAsia="仿宋" w:cs="仿宋"/>
          <w:i/>
          <w:iCs/>
          <w:color w:val="0623BA"/>
          <w:sz w:val="24"/>
        </w:rPr>
      </w:pPr>
      <w:r>
        <w:rPr>
          <w:rFonts w:hint="eastAsia" w:ascii="仿宋" w:hAnsi="仿宋" w:eastAsia="仿宋" w:cs="仿宋"/>
          <w:i/>
          <w:iCs/>
          <w:color w:val="0623BA"/>
          <w:sz w:val="24"/>
        </w:rPr>
        <w:t>5.1.3一般情况下，建筑的设计寿命是光伏系统寿命的2倍</w:t>
      </w:r>
      <w:r>
        <w:rPr>
          <w:rFonts w:hint="default" w:ascii="Times New Roman" w:hAnsi="Times New Roman" w:eastAsia="仿宋" w:cs="Times New Roman"/>
          <w:i/>
          <w:iCs/>
          <w:color w:val="0623BA"/>
          <w:sz w:val="24"/>
          <w:lang w:val="en-US" w:eastAsia="zh-CN"/>
        </w:rPr>
        <w:t>~</w:t>
      </w:r>
      <w:r>
        <w:rPr>
          <w:rFonts w:hint="eastAsia" w:ascii="仿宋" w:hAnsi="仿宋" w:eastAsia="仿宋" w:cs="仿宋"/>
          <w:i/>
          <w:iCs/>
          <w:color w:val="0623BA"/>
          <w:sz w:val="24"/>
        </w:rPr>
        <w:t>3倍，光伏组件及系统其他部件在构造、形式上应利于在建筑围护结构上安装，便于维护、修理、局部更换。因此建筑设计不仅要考虑地震、风荷载、雪荷载、冰雹等自然破坏因素，还应为光伏系统的日常维护，尤其是光伏组件的安装、维护、日常保养、更换提供必要的安全便利条件。布置在金属屋面的光伏发电系统设计应符合现行行业标准《采光顶与金属屋面技术规程》JGJ 255的相关要求；光伏幕墙设计应符合现行行业标准《玻璃幕墙工程技术规范》JGJ 102、《金属与石材幕墙工程技术规范》JGJ 133 的相关要求；光伏遮阳设计应符合现行行业标准《建筑用铝合金遮阳板》JG/T416和《建筑遮阳通用要求》JG/T 274 的相关要求。</w:t>
      </w:r>
    </w:p>
    <w:p w14:paraId="733AD9F9">
      <w:pPr>
        <w:snapToGrid w:val="0"/>
        <w:spacing w:line="300" w:lineRule="auto"/>
        <w:jc w:val="left"/>
        <w:rPr>
          <w:sz w:val="24"/>
        </w:rPr>
      </w:pPr>
      <w:r>
        <w:rPr>
          <w:b/>
          <w:bCs/>
          <w:sz w:val="24"/>
        </w:rPr>
        <w:t>5.1.4</w:t>
      </w:r>
      <w:r>
        <w:rPr>
          <w:sz w:val="24"/>
        </w:rPr>
        <w:t xml:space="preserve"> 建筑光伏系统在安装光伏组件的部位应采取必要的安全防护措施。</w:t>
      </w:r>
    </w:p>
    <w:p w14:paraId="08F9B6A3">
      <w:pPr>
        <w:pStyle w:val="7"/>
        <w:spacing w:line="300" w:lineRule="auto"/>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697146DD">
      <w:pPr>
        <w:pStyle w:val="7"/>
        <w:spacing w:line="300" w:lineRule="auto"/>
      </w:pPr>
      <w:r>
        <w:rPr>
          <w:rFonts w:hint="eastAsia" w:ascii="仿宋" w:hAnsi="仿宋" w:eastAsia="仿宋" w:cs="仿宋"/>
          <w:i/>
          <w:iCs/>
          <w:color w:val="0623BA"/>
          <w:sz w:val="24"/>
        </w:rPr>
        <w:t>5.1.4 结构安全措施、电气安全措施、防火安全措施、防护措施等。</w:t>
      </w:r>
    </w:p>
    <w:p w14:paraId="530D981E">
      <w:pPr>
        <w:snapToGrid w:val="0"/>
        <w:spacing w:line="300" w:lineRule="auto"/>
        <w:jc w:val="left"/>
        <w:rPr>
          <w:sz w:val="24"/>
        </w:rPr>
      </w:pPr>
      <w:r>
        <w:rPr>
          <w:b/>
          <w:bCs/>
          <w:sz w:val="24"/>
        </w:rPr>
        <w:t>5.1.5</w:t>
      </w:r>
      <w:r>
        <w:rPr>
          <w:sz w:val="24"/>
        </w:rPr>
        <w:t xml:space="preserve"> 对光伏组件可能引起的光污染应进行分析并采取相应的措施。</w:t>
      </w:r>
    </w:p>
    <w:p w14:paraId="3A057F95">
      <w:pPr>
        <w:snapToGrid w:val="0"/>
        <w:spacing w:line="300" w:lineRule="auto"/>
        <w:jc w:val="left"/>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6CAE4A08">
      <w:pPr>
        <w:pStyle w:val="7"/>
        <w:snapToGrid/>
        <w:spacing w:line="300" w:lineRule="auto"/>
        <w:jc w:val="center"/>
        <w:rPr>
          <w:rFonts w:hint="default" w:ascii="仿宋" w:hAnsi="仿宋" w:eastAsia="仿宋" w:cs="仿宋"/>
          <w:i/>
          <w:iCs/>
          <w:color w:val="0623BA"/>
          <w:sz w:val="24"/>
        </w:rPr>
      </w:pPr>
      <w:r>
        <w:rPr>
          <w:rFonts w:hint="eastAsia" w:ascii="仿宋" w:hAnsi="仿宋" w:eastAsia="仿宋" w:cs="仿宋"/>
          <w:b/>
          <w:bCs/>
          <w:i/>
          <w:iCs/>
          <w:color w:val="0623BA"/>
          <w:sz w:val="24"/>
        </w:rPr>
        <w:t>5</w:t>
      </w:r>
      <w:r>
        <w:rPr>
          <w:rFonts w:hint="eastAsia" w:ascii="仿宋" w:hAnsi="仿宋" w:eastAsia="仿宋" w:cs="仿宋"/>
          <w:i/>
          <w:iCs/>
          <w:color w:val="0623BA"/>
          <w:sz w:val="24"/>
        </w:rPr>
        <w:t xml:space="preserve">.1.5 </w:t>
      </w:r>
      <w:r>
        <w:rPr>
          <w:rFonts w:hint="default" w:ascii="仿宋" w:hAnsi="仿宋" w:eastAsia="仿宋" w:cs="仿宋"/>
          <w:i/>
          <w:iCs/>
          <w:color w:val="0623BA"/>
          <w:sz w:val="24"/>
        </w:rPr>
        <w:t>建筑上安装的光伏组件应优先选择光反射较低的材料，避免自身引起的太</w:t>
      </w:r>
    </w:p>
    <w:p w14:paraId="4E5DD567">
      <w:pPr>
        <w:pStyle w:val="7"/>
        <w:snapToGrid/>
        <w:spacing w:line="300" w:lineRule="auto"/>
        <w:jc w:val="center"/>
        <w:rPr>
          <w:rFonts w:hint="eastAsia" w:ascii="仿宋" w:hAnsi="仿宋" w:eastAsia="仿宋" w:cs="仿宋"/>
          <w:i/>
          <w:iCs/>
          <w:color w:val="0623BA"/>
          <w:sz w:val="24"/>
        </w:rPr>
      </w:pPr>
      <w:r>
        <w:rPr>
          <w:rFonts w:hint="default" w:ascii="仿宋" w:hAnsi="仿宋" w:eastAsia="仿宋" w:cs="仿宋"/>
          <w:i/>
          <w:iCs/>
          <w:color w:val="0623BA"/>
          <w:sz w:val="24"/>
        </w:rPr>
        <w:t>阳光二次辐射对本栋建筑或周围建筑造成光污染且避免镜面反射，对边框氧化。</w:t>
      </w:r>
    </w:p>
    <w:p w14:paraId="56E507F5">
      <w:pPr>
        <w:snapToGrid w:val="0"/>
        <w:spacing w:line="300" w:lineRule="auto"/>
        <w:jc w:val="left"/>
        <w:rPr>
          <w:sz w:val="24"/>
        </w:rPr>
      </w:pPr>
      <w:r>
        <w:rPr>
          <w:rFonts w:hint="eastAsia"/>
          <w:b/>
          <w:bCs/>
          <w:sz w:val="24"/>
        </w:rPr>
        <w:t xml:space="preserve">5.1.6 </w:t>
      </w:r>
      <w:r>
        <w:rPr>
          <w:rFonts w:hint="eastAsia"/>
          <w:sz w:val="24"/>
        </w:rPr>
        <w:t>光伏组件应在明显位置配置带电警告标识及相应的电气安全防护设施。</w:t>
      </w:r>
    </w:p>
    <w:p w14:paraId="0DD7317F">
      <w:pPr>
        <w:snapToGrid w:val="0"/>
        <w:spacing w:line="300" w:lineRule="auto"/>
        <w:jc w:val="left"/>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7F4397DE">
      <w:pPr>
        <w:numPr>
          <w:ilvl w:val="-1"/>
          <w:numId w:val="0"/>
        </w:numPr>
        <w:snapToGrid w:val="0"/>
        <w:spacing w:line="300" w:lineRule="auto"/>
        <w:jc w:val="left"/>
        <w:rPr>
          <w:rFonts w:hint="eastAsia" w:ascii="仿宋" w:hAnsi="仿宋" w:eastAsia="仿宋" w:cs="仿宋"/>
          <w:b w:val="0"/>
          <w:bCs w:val="0"/>
          <w:i/>
          <w:iCs/>
          <w:color w:val="0623BA"/>
          <w:sz w:val="24"/>
          <w:szCs w:val="24"/>
          <w:u w:val="none" w:color="auto"/>
          <w:vertAlign w:val="baseline"/>
          <w:lang w:val="en-US" w:eastAsia="zh-CN"/>
        </w:rPr>
      </w:pPr>
      <w:r>
        <w:rPr>
          <w:rFonts w:hint="eastAsia" w:ascii="仿宋" w:hAnsi="仿宋" w:eastAsia="仿宋" w:cs="仿宋"/>
          <w:i/>
          <w:iCs/>
          <w:color w:val="0623BA"/>
          <w:sz w:val="24"/>
        </w:rPr>
        <w:t>5.1.6 光伏方阵在平屋面上安装时，要保证安装人员的安全。安装人员为专业人员，应严格遵守生产厂家的说明。在建筑设计时，应为安装人员设计安全的工作环境</w:t>
      </w:r>
      <w:r>
        <w:rPr>
          <w:rFonts w:hint="eastAsia" w:ascii="仿宋" w:hAnsi="仿宋" w:eastAsia="仿宋" w:cs="仿宋"/>
          <w:i/>
          <w:iCs/>
          <w:color w:val="0623BA"/>
          <w:sz w:val="24"/>
          <w:lang w:eastAsia="zh-CN"/>
        </w:rPr>
        <w:t>，</w:t>
      </w:r>
      <w:r>
        <w:rPr>
          <w:rFonts w:hint="eastAsia" w:ascii="仿宋" w:hAnsi="仿宋" w:eastAsia="仿宋" w:cs="仿宋"/>
          <w:i/>
          <w:iCs/>
          <w:color w:val="0623BA"/>
          <w:sz w:val="24"/>
          <w:lang w:val="en-US" w:eastAsia="zh-CN"/>
        </w:rPr>
        <w:t>满足</w:t>
      </w:r>
      <w:r>
        <w:rPr>
          <w:rFonts w:hint="eastAsia" w:ascii="仿宋" w:hAnsi="仿宋" w:eastAsia="仿宋" w:cs="仿宋"/>
          <w:b w:val="0"/>
          <w:bCs w:val="0"/>
          <w:i/>
          <w:iCs/>
          <w:color w:val="0623BA"/>
          <w:sz w:val="24"/>
          <w:szCs w:val="24"/>
          <w:u w:val="none" w:color="auto"/>
          <w:vertAlign w:val="baseline"/>
          <w:lang w:val="en-US" w:eastAsia="zh-CN"/>
        </w:rPr>
        <w:t>《建筑电气与智能化通用规范》 GB 55024-2022第3.1.8</w:t>
      </w:r>
      <w:r>
        <w:rPr>
          <w:rFonts w:hint="eastAsia" w:ascii="仿宋" w:hAnsi="仿宋" w:eastAsia="仿宋" w:cs="仿宋"/>
          <w:b w:val="0"/>
          <w:bCs w:val="0"/>
          <w:i/>
          <w:iCs/>
          <w:color w:val="0623BA"/>
          <w:sz w:val="24"/>
          <w:szCs w:val="24"/>
          <w:u w:val="none"/>
          <w:vertAlign w:val="baseline"/>
          <w:lang w:val="en-US" w:eastAsia="zh-CN"/>
        </w:rPr>
        <w:t>、3.1.9、3.1.</w:t>
      </w:r>
      <w:r>
        <w:rPr>
          <w:rFonts w:hint="eastAsia" w:ascii="仿宋" w:hAnsi="仿宋" w:eastAsia="仿宋" w:cs="仿宋"/>
          <w:b w:val="0"/>
          <w:bCs w:val="0"/>
          <w:i/>
          <w:iCs/>
          <w:color w:val="0623BA"/>
          <w:sz w:val="24"/>
          <w:szCs w:val="24"/>
          <w:u w:val="none" w:color="auto"/>
          <w:vertAlign w:val="baseline"/>
          <w:lang w:val="en-US" w:eastAsia="zh-CN"/>
        </w:rPr>
        <w:t>10条</w:t>
      </w:r>
      <w:r>
        <w:rPr>
          <w:rFonts w:hint="eastAsia" w:ascii="仿宋" w:hAnsi="仿宋" w:eastAsia="仿宋" w:cs="仿宋"/>
          <w:b w:val="0"/>
          <w:bCs w:val="0"/>
          <w:i/>
          <w:iCs/>
          <w:color w:val="0623BA"/>
          <w:sz w:val="24"/>
          <w:szCs w:val="24"/>
          <w:u w:val="none"/>
          <w:vertAlign w:val="baseline"/>
          <w:lang w:val="en-US" w:eastAsia="zh-CN"/>
        </w:rPr>
        <w:t>的</w:t>
      </w:r>
      <w:r>
        <w:rPr>
          <w:rFonts w:hint="eastAsia" w:ascii="仿宋" w:hAnsi="仿宋" w:eastAsia="仿宋" w:cs="仿宋"/>
          <w:b w:val="0"/>
          <w:bCs w:val="0"/>
          <w:i/>
          <w:iCs/>
          <w:color w:val="0623BA"/>
          <w:sz w:val="24"/>
          <w:szCs w:val="24"/>
          <w:u w:val="none" w:color="auto"/>
          <w:vertAlign w:val="baseline"/>
          <w:lang w:val="en-US" w:eastAsia="zh-CN"/>
        </w:rPr>
        <w:t>要求</w:t>
      </w:r>
      <w:r>
        <w:rPr>
          <w:rFonts w:hint="eastAsia" w:ascii="仿宋" w:hAnsi="仿宋" w:eastAsia="仿宋" w:cs="仿宋"/>
          <w:b w:val="0"/>
          <w:bCs w:val="0"/>
          <w:i/>
          <w:iCs/>
          <w:color w:val="0623BA"/>
          <w:sz w:val="24"/>
          <w:szCs w:val="24"/>
          <w:u w:val="none"/>
          <w:vertAlign w:val="baseline"/>
          <w:lang w:val="en-US" w:eastAsia="zh-CN"/>
        </w:rPr>
        <w:t>：</w:t>
      </w:r>
    </w:p>
    <w:p w14:paraId="539278B1">
      <w:pPr>
        <w:numPr>
          <w:ilvl w:val="-1"/>
          <w:numId w:val="0"/>
        </w:numPr>
        <w:snapToGrid w:val="0"/>
        <w:spacing w:line="300" w:lineRule="auto"/>
        <w:ind w:firstLine="240" w:firstLineChars="100"/>
        <w:jc w:val="left"/>
        <w:rPr>
          <w:rFonts w:hint="eastAsia" w:ascii="仿宋" w:hAnsi="仿宋" w:eastAsia="仿宋" w:cs="仿宋"/>
          <w:b w:val="0"/>
          <w:bCs w:val="0"/>
          <w:i/>
          <w:iCs/>
          <w:color w:val="0623BA"/>
          <w:sz w:val="24"/>
          <w:szCs w:val="24"/>
          <w:u w:val="none" w:color="auto"/>
          <w:vertAlign w:val="baseline"/>
          <w:lang w:val="en-US" w:eastAsia="zh-CN"/>
        </w:rPr>
      </w:pPr>
      <w:r>
        <w:rPr>
          <w:rFonts w:hint="eastAsia" w:ascii="仿宋" w:hAnsi="仿宋" w:eastAsia="仿宋" w:cs="仿宋"/>
          <w:b w:val="0"/>
          <w:bCs w:val="0"/>
          <w:i/>
          <w:iCs/>
          <w:color w:val="0623BA"/>
          <w:sz w:val="24"/>
          <w:szCs w:val="24"/>
          <w:u w:val="none"/>
          <w:vertAlign w:val="baseline"/>
          <w:lang w:val="en-US" w:eastAsia="zh-CN"/>
        </w:rPr>
        <w:t xml:space="preserve">1 </w:t>
      </w:r>
      <w:r>
        <w:rPr>
          <w:rFonts w:hint="eastAsia" w:ascii="仿宋" w:hAnsi="仿宋" w:eastAsia="仿宋" w:cs="仿宋"/>
          <w:b w:val="0"/>
          <w:bCs w:val="0"/>
          <w:i/>
          <w:iCs/>
          <w:color w:val="0623BA"/>
          <w:sz w:val="24"/>
          <w:szCs w:val="24"/>
          <w:u w:val="none" w:color="auto"/>
          <w:vertAlign w:val="baseline"/>
          <w:lang w:val="en-US" w:eastAsia="zh-CN"/>
        </w:rPr>
        <w:t>与电网并网的光伏发电系统应具有相应的并网保护及隔离功能；</w:t>
      </w:r>
    </w:p>
    <w:p w14:paraId="3EDD9F7D">
      <w:pPr>
        <w:numPr>
          <w:ilvl w:val="-1"/>
          <w:numId w:val="0"/>
        </w:numPr>
        <w:snapToGrid w:val="0"/>
        <w:spacing w:line="300" w:lineRule="auto"/>
        <w:ind w:firstLine="240" w:firstLineChars="100"/>
        <w:jc w:val="left"/>
        <w:rPr>
          <w:rFonts w:hint="eastAsia" w:ascii="仿宋" w:hAnsi="仿宋" w:eastAsia="仿宋" w:cs="仿宋"/>
          <w:b w:val="0"/>
          <w:bCs w:val="0"/>
          <w:i/>
          <w:iCs/>
          <w:color w:val="0623BA"/>
          <w:sz w:val="24"/>
          <w:szCs w:val="24"/>
          <w:u w:val="none" w:color="auto"/>
          <w:vertAlign w:val="baseline"/>
          <w:lang w:val="en-US" w:eastAsia="zh-CN"/>
        </w:rPr>
      </w:pPr>
      <w:r>
        <w:rPr>
          <w:rFonts w:hint="eastAsia" w:ascii="仿宋" w:hAnsi="仿宋" w:eastAsia="仿宋" w:cs="仿宋"/>
          <w:b w:val="0"/>
          <w:bCs w:val="0"/>
          <w:i/>
          <w:iCs/>
          <w:color w:val="0623BA"/>
          <w:sz w:val="24"/>
          <w:szCs w:val="24"/>
          <w:u w:val="none"/>
          <w:vertAlign w:val="baseline"/>
          <w:lang w:val="en-US" w:eastAsia="zh-CN"/>
        </w:rPr>
        <w:t xml:space="preserve">2 </w:t>
      </w:r>
      <w:r>
        <w:rPr>
          <w:rFonts w:hint="eastAsia" w:ascii="仿宋" w:hAnsi="仿宋" w:eastAsia="仿宋" w:cs="仿宋"/>
          <w:b w:val="0"/>
          <w:bCs w:val="0"/>
          <w:i/>
          <w:iCs/>
          <w:color w:val="0623BA"/>
          <w:sz w:val="24"/>
          <w:szCs w:val="24"/>
          <w:u w:val="none" w:color="auto"/>
          <w:vertAlign w:val="baseline"/>
          <w:lang w:val="en-US" w:eastAsia="zh-CN"/>
        </w:rPr>
        <w:t>光伏发电系统在并网处应设置并网控制装置并应设置专用标识和提示性文字符号；</w:t>
      </w:r>
    </w:p>
    <w:p w14:paraId="155217BA">
      <w:pPr>
        <w:snapToGrid w:val="0"/>
        <w:spacing w:line="300" w:lineRule="auto"/>
        <w:ind w:firstLine="240" w:firstLineChars="100"/>
        <w:jc w:val="left"/>
        <w:rPr>
          <w:rFonts w:hint="default" w:ascii="仿宋" w:hAnsi="仿宋" w:eastAsia="仿宋" w:cs="仿宋"/>
          <w:i/>
          <w:iCs/>
          <w:color w:val="0623BA"/>
          <w:sz w:val="24"/>
          <w:lang w:val="en-US"/>
        </w:rPr>
      </w:pPr>
      <w:r>
        <w:rPr>
          <w:rFonts w:hint="eastAsia" w:ascii="仿宋" w:hAnsi="仿宋" w:eastAsia="仿宋" w:cs="仿宋"/>
          <w:b w:val="0"/>
          <w:bCs w:val="0"/>
          <w:i/>
          <w:iCs/>
          <w:color w:val="0623BA"/>
          <w:sz w:val="24"/>
          <w:szCs w:val="24"/>
          <w:u w:val="none"/>
          <w:vertAlign w:val="baseline"/>
          <w:lang w:val="en-US" w:eastAsia="zh-CN"/>
        </w:rPr>
        <w:t xml:space="preserve">3 </w:t>
      </w:r>
      <w:r>
        <w:rPr>
          <w:rFonts w:hint="eastAsia" w:ascii="仿宋" w:hAnsi="仿宋" w:eastAsia="仿宋" w:cs="仿宋"/>
          <w:b w:val="0"/>
          <w:bCs w:val="0"/>
          <w:i/>
          <w:iCs/>
          <w:color w:val="0623BA"/>
          <w:sz w:val="24"/>
          <w:szCs w:val="24"/>
          <w:u w:val="none" w:color="auto"/>
          <w:vertAlign w:val="baseline"/>
          <w:lang w:val="en-US" w:eastAsia="zh-CN"/>
        </w:rPr>
        <w:t>人员可触及的可导电的光伏组件部位应采取电击安全防护措施并设警示标识</w:t>
      </w:r>
      <w:r>
        <w:rPr>
          <w:rFonts w:hint="eastAsia" w:ascii="仿宋" w:hAnsi="仿宋" w:eastAsia="仿宋" w:cs="仿宋"/>
          <w:b w:val="0"/>
          <w:bCs w:val="0"/>
          <w:i/>
          <w:iCs/>
          <w:color w:val="0623BA"/>
          <w:sz w:val="24"/>
          <w:szCs w:val="24"/>
          <w:u w:val="none"/>
          <w:vertAlign w:val="baseline"/>
          <w:lang w:val="en-US" w:eastAsia="zh-CN"/>
        </w:rPr>
        <w:t>。</w:t>
      </w:r>
    </w:p>
    <w:p w14:paraId="453F9A09">
      <w:pPr>
        <w:snapToGrid w:val="0"/>
        <w:spacing w:line="300" w:lineRule="auto"/>
        <w:jc w:val="left"/>
        <w:rPr>
          <w:sz w:val="24"/>
        </w:rPr>
      </w:pPr>
      <w:r>
        <w:rPr>
          <w:b/>
          <w:bCs/>
          <w:sz w:val="24"/>
        </w:rPr>
        <w:t>5.1.7</w:t>
      </w:r>
      <w:r>
        <w:rPr>
          <w:sz w:val="24"/>
        </w:rPr>
        <w:t xml:space="preserve"> 安装在建筑各部位或直接构成建筑围护结构的光伏组件，应满足该部位的使用功能、结构安全、电气安全及建筑节能要求。</w:t>
      </w:r>
    </w:p>
    <w:p w14:paraId="34544D8A">
      <w:pPr>
        <w:snapToGrid w:val="0"/>
        <w:spacing w:line="300" w:lineRule="auto"/>
        <w:jc w:val="left"/>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4D9AD1D5">
      <w:pPr>
        <w:snapToGrid w:val="0"/>
        <w:spacing w:line="300" w:lineRule="auto"/>
        <w:jc w:val="left"/>
        <w:rPr>
          <w:rFonts w:hint="eastAsia" w:ascii="仿宋" w:hAnsi="仿宋" w:eastAsia="仿宋" w:cs="仿宋"/>
          <w:i/>
          <w:iCs/>
          <w:color w:val="0623BA"/>
          <w:sz w:val="24"/>
        </w:rPr>
      </w:pPr>
      <w:r>
        <w:rPr>
          <w:rFonts w:hint="eastAsia" w:ascii="仿宋" w:hAnsi="仿宋" w:eastAsia="仿宋" w:cs="仿宋"/>
          <w:i/>
          <w:iCs/>
          <w:color w:val="0623BA"/>
          <w:sz w:val="24"/>
        </w:rPr>
        <w:t>5.1.7 光伏方阵作为屋面板、阳台栏板、幕墙或墙板使用时应满足屋面板、阳台栏板、幕墙及墙板的结构安全，保温、隔热等建筑节能性能，以及防火和防漏电等安全要求和防水等技术要求。</w:t>
      </w:r>
    </w:p>
    <w:p w14:paraId="33C884DE">
      <w:pPr>
        <w:pStyle w:val="2"/>
        <w:snapToGrid w:val="0"/>
        <w:spacing w:line="300" w:lineRule="auto"/>
        <w:jc w:val="left"/>
        <w:rPr>
          <w:rFonts w:hint="eastAsia"/>
          <w:sz w:val="24"/>
          <w:highlight w:val="none"/>
        </w:rPr>
      </w:pPr>
      <w:r>
        <w:rPr>
          <w:b/>
          <w:bCs/>
          <w:sz w:val="24"/>
          <w:highlight w:val="none"/>
        </w:rPr>
        <w:t>5.1.8</w:t>
      </w:r>
      <w:r>
        <w:rPr>
          <w:sz w:val="24"/>
          <w:highlight w:val="none"/>
        </w:rPr>
        <w:t xml:space="preserve"> </w:t>
      </w:r>
      <w:r>
        <w:rPr>
          <w:rFonts w:hint="eastAsia"/>
          <w:sz w:val="24"/>
          <w:highlight w:val="none"/>
        </w:rPr>
        <w:t>支架和光伏组件寿命</w:t>
      </w:r>
      <w:r>
        <w:rPr>
          <w:rFonts w:hint="eastAsia"/>
          <w:sz w:val="24"/>
          <w:highlight w:val="none"/>
          <w:lang w:val="en-US" w:eastAsia="zh-CN"/>
        </w:rPr>
        <w:t>应</w:t>
      </w:r>
      <w:r>
        <w:rPr>
          <w:rFonts w:hint="eastAsia"/>
          <w:sz w:val="24"/>
          <w:highlight w:val="none"/>
        </w:rPr>
        <w:t>匹配。</w:t>
      </w:r>
    </w:p>
    <w:p w14:paraId="721CCEB2">
      <w:pPr>
        <w:snapToGrid w:val="0"/>
        <w:spacing w:line="300" w:lineRule="auto"/>
        <w:jc w:val="left"/>
        <w:rPr>
          <w:sz w:val="24"/>
          <w:highlight w:val="none"/>
        </w:rPr>
      </w:pPr>
      <w:r>
        <w:rPr>
          <w:rFonts w:hint="eastAsia"/>
          <w:b/>
          <w:bCs/>
          <w:sz w:val="24"/>
          <w:highlight w:val="none"/>
        </w:rPr>
        <w:t>5.1.9</w:t>
      </w:r>
      <w:r>
        <w:rPr>
          <w:sz w:val="24"/>
          <w:highlight w:val="none"/>
        </w:rPr>
        <w:t xml:space="preserve"> 光伏方阵宜配置清洗设备并就近预留用于清洁的给水点。</w:t>
      </w:r>
    </w:p>
    <w:p w14:paraId="685CC49D">
      <w:pPr>
        <w:keepNext/>
        <w:keepLines/>
        <w:snapToGrid w:val="0"/>
        <w:spacing w:before="72" w:beforeLines="30" w:after="72" w:afterLines="30" w:line="300" w:lineRule="auto"/>
        <w:jc w:val="center"/>
        <w:outlineLvl w:val="2"/>
        <w:rPr>
          <w:b/>
          <w:sz w:val="24"/>
          <w:szCs w:val="32"/>
        </w:rPr>
      </w:pPr>
      <w:bookmarkStart w:id="129" w:name="_Toc20553"/>
      <w:bookmarkStart w:id="130" w:name="_Toc20865"/>
      <w:bookmarkStart w:id="131" w:name="_Toc0"/>
      <w:bookmarkStart w:id="132" w:name="_Toc3586"/>
      <w:bookmarkStart w:id="133" w:name="_Toc9547"/>
      <w:bookmarkStart w:id="134" w:name="_Toc2574"/>
      <w:bookmarkStart w:id="135" w:name="_Toc1345"/>
      <w:bookmarkStart w:id="136" w:name="_Toc14177"/>
      <w:r>
        <w:rPr>
          <w:b/>
          <w:sz w:val="24"/>
          <w:szCs w:val="32"/>
        </w:rPr>
        <w:t>5.2规划</w:t>
      </w:r>
      <w:r>
        <w:rPr>
          <w:rFonts w:hint="default"/>
          <w:b/>
          <w:sz w:val="24"/>
          <w:szCs w:val="32"/>
          <w:lang w:val="en-US" w:eastAsia="zh-CN"/>
        </w:rPr>
        <w:t>和建筑</w:t>
      </w:r>
      <w:bookmarkEnd w:id="129"/>
      <w:bookmarkEnd w:id="130"/>
      <w:bookmarkEnd w:id="131"/>
      <w:bookmarkEnd w:id="132"/>
      <w:bookmarkEnd w:id="133"/>
      <w:bookmarkEnd w:id="134"/>
      <w:bookmarkEnd w:id="135"/>
      <w:bookmarkEnd w:id="136"/>
    </w:p>
    <w:p w14:paraId="1394AD8B">
      <w:pPr>
        <w:snapToGrid w:val="0"/>
        <w:spacing w:line="300" w:lineRule="auto"/>
        <w:jc w:val="left"/>
        <w:rPr>
          <w:sz w:val="24"/>
          <w:highlight w:val="cyan"/>
        </w:rPr>
      </w:pPr>
      <w:r>
        <w:rPr>
          <w:b/>
          <w:bCs/>
          <w:sz w:val="24"/>
        </w:rPr>
        <w:t>5.2.1</w:t>
      </w:r>
      <w:r>
        <w:rPr>
          <w:sz w:val="24"/>
        </w:rPr>
        <w:t xml:space="preserve"> 光伏系统规划设计应进行太阳能辐射量、建筑物、电网等方面的资源评估</w:t>
      </w:r>
      <w:r>
        <w:rPr>
          <w:rFonts w:hint="eastAsia"/>
          <w:sz w:val="24"/>
        </w:rPr>
        <w:t>。</w:t>
      </w:r>
    </w:p>
    <w:p w14:paraId="3F08BBD0">
      <w:pPr>
        <w:snapToGrid w:val="0"/>
        <w:spacing w:line="300" w:lineRule="auto"/>
        <w:jc w:val="left"/>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174E01D0">
      <w:pPr>
        <w:snapToGrid w:val="0"/>
        <w:spacing w:line="300" w:lineRule="auto"/>
        <w:jc w:val="left"/>
        <w:rPr>
          <w:rFonts w:hint="eastAsia" w:ascii="仿宋" w:hAnsi="仿宋" w:eastAsia="宋体" w:cs="仿宋"/>
          <w:i/>
          <w:iCs/>
          <w:color w:val="0623BA"/>
          <w:sz w:val="24"/>
          <w:lang w:val="en-US" w:eastAsia="zh-CN"/>
        </w:rPr>
      </w:pPr>
      <w:r>
        <w:rPr>
          <w:rFonts w:hint="eastAsia" w:ascii="仿宋" w:hAnsi="仿宋" w:eastAsia="仿宋" w:cs="仿宋"/>
          <w:i/>
          <w:iCs/>
          <w:color w:val="0623BA"/>
          <w:sz w:val="24"/>
        </w:rPr>
        <w:t xml:space="preserve">5.2.1 </w:t>
      </w:r>
      <w:r>
        <w:rPr>
          <w:rFonts w:hint="eastAsia" w:ascii="仿宋" w:hAnsi="仿宋" w:eastAsia="仿宋" w:cs="仿宋"/>
          <w:i/>
          <w:iCs/>
          <w:color w:val="0623BA"/>
          <w:sz w:val="24"/>
          <w:lang w:val="en-US" w:eastAsia="zh-CN"/>
        </w:rPr>
        <w:t>本条要求对</w:t>
      </w:r>
      <w:r>
        <w:rPr>
          <w:rFonts w:hint="eastAsia" w:ascii="仿宋" w:hAnsi="仿宋" w:eastAsia="仿宋" w:cs="仿宋"/>
          <w:i/>
          <w:iCs/>
          <w:color w:val="0623BA"/>
          <w:sz w:val="24"/>
        </w:rPr>
        <w:t>太阳能辐射量、建筑物、电网等方面的资源评估</w:t>
      </w:r>
      <w:r>
        <w:rPr>
          <w:rFonts w:hint="default" w:ascii="仿宋" w:hAnsi="仿宋" w:eastAsia="仿宋" w:cs="仿宋"/>
          <w:i/>
          <w:iCs/>
          <w:color w:val="0623BA"/>
          <w:sz w:val="24"/>
          <w:lang w:eastAsia="zh-CN"/>
        </w:rPr>
        <w:t>：</w:t>
      </w:r>
    </w:p>
    <w:p w14:paraId="4C8B68A1">
      <w:pPr>
        <w:snapToGrid w:val="0"/>
        <w:spacing w:line="300" w:lineRule="auto"/>
        <w:ind w:firstLine="480" w:firstLineChars="200"/>
        <w:jc w:val="left"/>
        <w:rPr>
          <w:rFonts w:hint="eastAsia" w:ascii="仿宋" w:hAnsi="仿宋" w:eastAsia="仿宋" w:cs="仿宋"/>
          <w:i/>
          <w:iCs/>
          <w:color w:val="0623BA"/>
          <w:sz w:val="24"/>
          <w:lang w:eastAsia="zh-CN"/>
        </w:rPr>
      </w:pPr>
      <w:r>
        <w:rPr>
          <w:rFonts w:hint="eastAsia" w:ascii="仿宋" w:hAnsi="仿宋" w:eastAsia="仿宋" w:cs="仿宋"/>
          <w:i/>
          <w:iCs/>
          <w:color w:val="0623BA"/>
          <w:sz w:val="24"/>
        </w:rPr>
        <w:t>1 太阳能辐射资源是测算发电量的基本数据，可以此来判断项目在经济上的可行性。可从当地气象站取得最近10年水平面各月平均总辐射和散射辐射数据或从其它途径获得</w:t>
      </w:r>
      <w:r>
        <w:rPr>
          <w:rFonts w:hint="eastAsia" w:ascii="仿宋" w:hAnsi="仿宋" w:eastAsia="仿宋" w:cs="仿宋"/>
          <w:i/>
          <w:iCs/>
          <w:color w:val="0623BA"/>
          <w:sz w:val="24"/>
          <w:lang w:eastAsia="zh-CN"/>
        </w:rPr>
        <w:t>；</w:t>
      </w:r>
    </w:p>
    <w:p w14:paraId="01B4E738">
      <w:pPr>
        <w:snapToGrid w:val="0"/>
        <w:spacing w:line="300" w:lineRule="auto"/>
        <w:ind w:firstLine="480" w:firstLineChars="200"/>
        <w:jc w:val="left"/>
        <w:rPr>
          <w:rFonts w:hint="eastAsia" w:ascii="仿宋" w:hAnsi="仿宋" w:eastAsia="仿宋" w:cs="仿宋"/>
          <w:i/>
          <w:iCs/>
          <w:color w:val="0623BA"/>
          <w:sz w:val="24"/>
          <w:lang w:eastAsia="zh-CN"/>
        </w:rPr>
      </w:pPr>
      <w:r>
        <w:rPr>
          <w:rFonts w:hint="eastAsia" w:ascii="仿宋" w:hAnsi="仿宋" w:eastAsia="仿宋" w:cs="仿宋"/>
          <w:i/>
          <w:iCs/>
          <w:color w:val="0623BA"/>
          <w:sz w:val="24"/>
        </w:rPr>
        <w:t>2 建筑物资源</w:t>
      </w:r>
      <w:r>
        <w:rPr>
          <w:rFonts w:hint="eastAsia" w:ascii="仿宋" w:hAnsi="仿宋" w:eastAsia="仿宋" w:cs="仿宋"/>
          <w:i/>
          <w:iCs/>
          <w:color w:val="0623BA"/>
          <w:sz w:val="24"/>
          <w:lang w:val="en-US" w:eastAsia="zh-CN"/>
        </w:rPr>
        <w:t>是</w:t>
      </w:r>
      <w:r>
        <w:rPr>
          <w:rFonts w:hint="eastAsia" w:ascii="仿宋" w:hAnsi="仿宋" w:eastAsia="仿宋" w:cs="仿宋"/>
          <w:i/>
          <w:iCs/>
          <w:color w:val="0623BA"/>
          <w:sz w:val="24"/>
        </w:rPr>
        <w:t>建筑物可安装光伏系统的资源是确定光伏系统装机容量的重要依据之一，应根据建筑功能要求确定何处可安装、何种形式安装及选用何种类型太阳能光伏组件</w:t>
      </w:r>
      <w:r>
        <w:rPr>
          <w:rFonts w:hint="eastAsia" w:ascii="仿宋" w:hAnsi="仿宋" w:eastAsia="仿宋" w:cs="仿宋"/>
          <w:i/>
          <w:iCs/>
          <w:color w:val="0623BA"/>
          <w:sz w:val="24"/>
          <w:lang w:eastAsia="zh-CN"/>
        </w:rPr>
        <w:t>；</w:t>
      </w:r>
    </w:p>
    <w:p w14:paraId="06E1FF57">
      <w:pPr>
        <w:snapToGrid w:val="0"/>
        <w:spacing w:line="300" w:lineRule="auto"/>
        <w:ind w:firstLine="480" w:firstLineChars="200"/>
        <w:jc w:val="left"/>
        <w:rPr>
          <w:rFonts w:hint="eastAsia" w:ascii="仿宋" w:hAnsi="仿宋" w:eastAsia="仿宋" w:cs="仿宋"/>
          <w:i/>
          <w:iCs/>
          <w:color w:val="0623BA"/>
          <w:sz w:val="24"/>
        </w:rPr>
      </w:pPr>
      <w:r>
        <w:rPr>
          <w:rFonts w:hint="eastAsia" w:ascii="仿宋" w:hAnsi="仿宋" w:eastAsia="仿宋" w:cs="仿宋"/>
          <w:i/>
          <w:iCs/>
          <w:color w:val="0623BA"/>
          <w:sz w:val="24"/>
        </w:rPr>
        <w:t>3 电网资源主要指建筑配电系统有多大接受光伏系统的能力，及电网线路连接的可行性、合理性。</w:t>
      </w:r>
    </w:p>
    <w:p w14:paraId="6AB43909">
      <w:pPr>
        <w:snapToGrid w:val="0"/>
        <w:spacing w:line="300" w:lineRule="auto"/>
        <w:jc w:val="left"/>
        <w:rPr>
          <w:sz w:val="24"/>
        </w:rPr>
      </w:pPr>
      <w:r>
        <w:rPr>
          <w:b/>
          <w:bCs/>
          <w:sz w:val="24"/>
        </w:rPr>
        <w:t>5.2.</w:t>
      </w:r>
      <w:r>
        <w:rPr>
          <w:rFonts w:hint="eastAsia"/>
          <w:b/>
          <w:bCs/>
          <w:sz w:val="24"/>
          <w:lang w:val="en-US" w:eastAsia="zh-CN"/>
        </w:rPr>
        <w:t>2</w:t>
      </w:r>
      <w:r>
        <w:rPr>
          <w:rFonts w:hint="eastAsia"/>
          <w:b/>
          <w:bCs/>
          <w:sz w:val="24"/>
        </w:rPr>
        <w:t xml:space="preserve"> </w:t>
      </w:r>
      <w:r>
        <w:rPr>
          <w:rFonts w:hint="eastAsia"/>
          <w:sz w:val="24"/>
        </w:rPr>
        <w:t xml:space="preserve"> 建筑太阳能光伏系统的规划设计应根据建筑场地条件、建筑功能、所在地区气候及太阳能资源条件等因素，统筹确定建筑的布局、朝向、间距、群体组合和空间环境，满足光伏系统设计和安装技术要求。</w:t>
      </w:r>
    </w:p>
    <w:p w14:paraId="33C3B01F">
      <w:pPr>
        <w:snapToGrid w:val="0"/>
        <w:spacing w:line="300" w:lineRule="auto"/>
        <w:jc w:val="left"/>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466132EF">
      <w:pPr>
        <w:snapToGrid w:val="0"/>
        <w:spacing w:line="300" w:lineRule="auto"/>
        <w:jc w:val="left"/>
        <w:rPr>
          <w:rFonts w:hint="eastAsia" w:ascii="仿宋" w:hAnsi="仿宋" w:eastAsia="仿宋" w:cs="仿宋"/>
          <w:i/>
          <w:iCs/>
          <w:color w:val="0623BA"/>
          <w:sz w:val="24"/>
        </w:rPr>
      </w:pPr>
      <w:r>
        <w:rPr>
          <w:rFonts w:hint="eastAsia" w:ascii="仿宋" w:hAnsi="仿宋" w:eastAsia="仿宋" w:cs="仿宋"/>
          <w:i/>
          <w:iCs/>
          <w:color w:val="0623BA"/>
          <w:sz w:val="24"/>
        </w:rPr>
        <w:t>5.2.</w:t>
      </w:r>
      <w:r>
        <w:rPr>
          <w:rFonts w:hint="eastAsia" w:ascii="仿宋" w:hAnsi="仿宋" w:eastAsia="仿宋" w:cs="仿宋"/>
          <w:i/>
          <w:iCs/>
          <w:color w:val="0623BA"/>
          <w:sz w:val="24"/>
          <w:lang w:val="en-US" w:eastAsia="zh-CN"/>
        </w:rPr>
        <w:t>2</w:t>
      </w:r>
      <w:r>
        <w:rPr>
          <w:rFonts w:hint="eastAsia" w:ascii="仿宋" w:hAnsi="仿宋" w:eastAsia="仿宋" w:cs="仿宋"/>
          <w:i/>
          <w:iCs/>
          <w:color w:val="0623BA"/>
          <w:sz w:val="24"/>
        </w:rPr>
        <w:t>根据安装光伏系统的区域气候特征及太阳能资源条件，合理进行建筑群体的规划和建筑朝向的选择。建筑群体或建筑单体朝南可为光伏系统接收更多的太阳能创造条件。</w:t>
      </w:r>
    </w:p>
    <w:p w14:paraId="702EF2C4">
      <w:pPr>
        <w:snapToGrid w:val="0"/>
        <w:spacing w:line="300" w:lineRule="auto"/>
        <w:jc w:val="left"/>
        <w:rPr>
          <w:sz w:val="24"/>
        </w:rPr>
      </w:pPr>
      <w:r>
        <w:rPr>
          <w:b/>
          <w:bCs/>
          <w:sz w:val="24"/>
        </w:rPr>
        <w:t>5.2.</w:t>
      </w:r>
      <w:r>
        <w:rPr>
          <w:rFonts w:hint="eastAsia"/>
          <w:b/>
          <w:bCs/>
          <w:sz w:val="24"/>
          <w:lang w:val="en-US" w:eastAsia="zh-CN"/>
        </w:rPr>
        <w:t>3</w:t>
      </w:r>
      <w:r>
        <w:rPr>
          <w:rFonts w:hint="eastAsia"/>
          <w:sz w:val="24"/>
        </w:rPr>
        <w:t xml:space="preserve"> </w:t>
      </w:r>
      <w:r>
        <w:rPr>
          <w:sz w:val="24"/>
        </w:rPr>
        <w:t>安装光伏发电系统的建筑主要朝向不为南向时，光伏组件宜按最佳朝向布置，建筑设计宜为其提供条件 。</w:t>
      </w:r>
    </w:p>
    <w:p w14:paraId="699B8FD7">
      <w:pPr>
        <w:snapToGrid w:val="0"/>
        <w:spacing w:line="300" w:lineRule="auto"/>
        <w:jc w:val="left"/>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5EC7F34B">
      <w:pPr>
        <w:snapToGrid w:val="0"/>
        <w:spacing w:line="300" w:lineRule="auto"/>
        <w:jc w:val="left"/>
        <w:rPr>
          <w:rFonts w:hint="eastAsia" w:ascii="仿宋" w:hAnsi="仿宋" w:eastAsia="仿宋" w:cs="仿宋"/>
          <w:i/>
          <w:iCs/>
          <w:color w:val="0623BA"/>
          <w:sz w:val="24"/>
        </w:rPr>
      </w:pPr>
      <w:r>
        <w:rPr>
          <w:rFonts w:hint="eastAsia" w:ascii="仿宋" w:hAnsi="仿宋" w:eastAsia="仿宋" w:cs="仿宋"/>
          <w:i/>
          <w:iCs/>
          <w:color w:val="0623BA"/>
          <w:sz w:val="24"/>
        </w:rPr>
        <w:t>5.2.</w:t>
      </w:r>
      <w:r>
        <w:rPr>
          <w:rFonts w:hint="eastAsia" w:ascii="仿宋" w:hAnsi="仿宋" w:eastAsia="仿宋" w:cs="仿宋"/>
          <w:i/>
          <w:iCs/>
          <w:color w:val="0623BA"/>
          <w:sz w:val="24"/>
          <w:lang w:val="en-US" w:eastAsia="zh-CN"/>
        </w:rPr>
        <w:t>3</w:t>
      </w:r>
      <w:r>
        <w:rPr>
          <w:rFonts w:hint="eastAsia" w:ascii="仿宋" w:hAnsi="仿宋" w:eastAsia="仿宋" w:cs="仿宋"/>
          <w:i/>
          <w:iCs/>
          <w:color w:val="0623BA"/>
          <w:sz w:val="24"/>
        </w:rPr>
        <w:t xml:space="preserve"> 安装光伏发电系统的建筑</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其朝向直接影响到光伏组件的设置</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特别是对设置在墙面、坡屋面等部位的光伏组件的发电效果影响较大且影响住宅等建筑的日照标准。当建筑的偏转角度较大时</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光伏组件尽量按最佳朝向布置</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以获得最佳的日照条件。</w:t>
      </w:r>
    </w:p>
    <w:p w14:paraId="0170749F">
      <w:pPr>
        <w:snapToGrid w:val="0"/>
        <w:spacing w:line="300" w:lineRule="auto"/>
        <w:jc w:val="left"/>
        <w:rPr>
          <w:sz w:val="24"/>
        </w:rPr>
      </w:pPr>
      <w:r>
        <w:rPr>
          <w:b/>
          <w:bCs/>
          <w:sz w:val="24"/>
        </w:rPr>
        <w:t>5.</w:t>
      </w:r>
      <w:r>
        <w:rPr>
          <w:rFonts w:hint="eastAsia"/>
          <w:b/>
          <w:bCs/>
          <w:sz w:val="24"/>
          <w:lang w:val="en-US" w:eastAsia="zh-CN"/>
        </w:rPr>
        <w:t>2</w:t>
      </w:r>
      <w:r>
        <w:rPr>
          <w:b/>
          <w:bCs/>
          <w:sz w:val="24"/>
        </w:rPr>
        <w:t>.</w:t>
      </w:r>
      <w:r>
        <w:rPr>
          <w:rFonts w:hint="eastAsia"/>
          <w:b/>
          <w:bCs/>
          <w:sz w:val="24"/>
          <w:lang w:val="en-US" w:eastAsia="zh-CN"/>
        </w:rPr>
        <w:t>4</w:t>
      </w:r>
      <w:r>
        <w:rPr>
          <w:sz w:val="24"/>
        </w:rPr>
        <w:t xml:space="preserve"> 建筑光伏系统的设计应根据建筑效果、设计理念、可利用面积、安装场地和周边环境等因素选择光伏组件的类型、尺寸、颜色和安装位置。</w:t>
      </w:r>
    </w:p>
    <w:p w14:paraId="2262F405">
      <w:pPr>
        <w:snapToGrid w:val="0"/>
        <w:spacing w:line="300" w:lineRule="auto"/>
        <w:jc w:val="left"/>
        <w:rPr>
          <w:sz w:val="24"/>
        </w:rPr>
      </w:pPr>
      <w:r>
        <w:rPr>
          <w:b/>
          <w:bCs/>
          <w:sz w:val="24"/>
        </w:rPr>
        <w:t>5.</w:t>
      </w:r>
      <w:r>
        <w:rPr>
          <w:rFonts w:hint="eastAsia"/>
          <w:b/>
          <w:bCs/>
          <w:sz w:val="24"/>
          <w:lang w:val="en-US" w:eastAsia="zh-CN"/>
        </w:rPr>
        <w:t>2.5</w:t>
      </w:r>
      <w:r>
        <w:rPr>
          <w:sz w:val="24"/>
        </w:rPr>
        <w:t>建筑体形</w:t>
      </w:r>
      <w:r>
        <w:rPr>
          <w:rFonts w:hint="eastAsia"/>
          <w:sz w:val="24"/>
          <w:lang w:eastAsia="zh-CN"/>
        </w:rPr>
        <w:t>、</w:t>
      </w:r>
      <w:r>
        <w:rPr>
          <w:sz w:val="24"/>
        </w:rPr>
        <w:t>空间组合</w:t>
      </w:r>
      <w:r>
        <w:rPr>
          <w:rFonts w:hint="default" w:ascii="Times New Roman" w:hAnsi="Times New Roman" w:eastAsia="宋体" w:cs="Times New Roman"/>
          <w:b w:val="0"/>
          <w:bCs w:val="0"/>
          <w:sz w:val="24"/>
          <w:szCs w:val="24"/>
          <w:u w:val="none" w:color="auto"/>
          <w:vertAlign w:val="baseline"/>
          <w:lang w:val="en-US" w:eastAsia="zh-CN"/>
        </w:rPr>
        <w:t>及使用功能</w:t>
      </w:r>
      <w:r>
        <w:rPr>
          <w:sz w:val="24"/>
        </w:rPr>
        <w:t>为光伏组件接收充足的日照创造条件</w:t>
      </w:r>
      <w:r>
        <w:rPr>
          <w:rFonts w:hint="eastAsia"/>
          <w:sz w:val="24"/>
          <w:lang w:eastAsia="zh-CN"/>
        </w:rPr>
        <w:t>。</w:t>
      </w:r>
      <w:r>
        <w:rPr>
          <w:sz w:val="24"/>
        </w:rPr>
        <w:t>光伏组件的安装部位应避免受环境或建筑自身及组件自身的遮挡。</w:t>
      </w:r>
    </w:p>
    <w:p w14:paraId="2625D8D1">
      <w:pPr>
        <w:snapToGrid w:val="0"/>
        <w:spacing w:line="300" w:lineRule="auto"/>
        <w:jc w:val="left"/>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568D7D02">
      <w:pPr>
        <w:snapToGrid w:val="0"/>
        <w:spacing w:line="300" w:lineRule="auto"/>
        <w:jc w:val="left"/>
        <w:rPr>
          <w:rFonts w:hint="eastAsia" w:ascii="仿宋" w:hAnsi="仿宋" w:eastAsia="仿宋" w:cs="仿宋"/>
          <w:i/>
          <w:iCs/>
          <w:color w:val="0623BA"/>
          <w:sz w:val="24"/>
        </w:rPr>
      </w:pPr>
      <w:r>
        <w:rPr>
          <w:rFonts w:hint="eastAsia" w:ascii="仿宋" w:hAnsi="仿宋" w:eastAsia="仿宋" w:cs="仿宋"/>
          <w:b w:val="0"/>
          <w:bCs w:val="0"/>
          <w:i/>
          <w:iCs/>
          <w:color w:val="0623BA"/>
          <w:sz w:val="24"/>
        </w:rPr>
        <w:t>5.</w:t>
      </w:r>
      <w:r>
        <w:rPr>
          <w:rFonts w:hint="eastAsia" w:ascii="仿宋" w:hAnsi="仿宋" w:eastAsia="仿宋" w:cs="仿宋"/>
          <w:b w:val="0"/>
          <w:bCs w:val="0"/>
          <w:i/>
          <w:iCs/>
          <w:color w:val="0623BA"/>
          <w:sz w:val="24"/>
          <w:lang w:val="en-US" w:eastAsia="zh-CN"/>
        </w:rPr>
        <w:t>2</w:t>
      </w:r>
      <w:r>
        <w:rPr>
          <w:rFonts w:hint="eastAsia" w:ascii="仿宋" w:hAnsi="仿宋" w:eastAsia="仿宋" w:cs="仿宋"/>
          <w:b w:val="0"/>
          <w:bCs w:val="0"/>
          <w:i/>
          <w:iCs/>
          <w:color w:val="0623BA"/>
          <w:sz w:val="24"/>
        </w:rPr>
        <w:t>.</w:t>
      </w:r>
      <w:r>
        <w:rPr>
          <w:rFonts w:hint="eastAsia" w:ascii="仿宋" w:hAnsi="仿宋" w:eastAsia="仿宋" w:cs="仿宋"/>
          <w:b w:val="0"/>
          <w:bCs w:val="0"/>
          <w:i/>
          <w:iCs/>
          <w:color w:val="0623BA"/>
          <w:sz w:val="24"/>
          <w:lang w:val="en-US" w:eastAsia="zh-CN"/>
        </w:rPr>
        <w:t>5</w:t>
      </w:r>
      <w:r>
        <w:rPr>
          <w:rFonts w:hint="eastAsia" w:ascii="仿宋" w:hAnsi="仿宋" w:eastAsia="仿宋" w:cs="仿宋"/>
          <w:b w:val="0"/>
          <w:bCs w:val="0"/>
          <w:i/>
          <w:iCs/>
          <w:color w:val="0623BA"/>
          <w:sz w:val="24"/>
        </w:rPr>
        <w:t xml:space="preserve"> </w:t>
      </w:r>
      <w:r>
        <w:rPr>
          <w:rFonts w:hint="eastAsia" w:ascii="仿宋" w:hAnsi="仿宋" w:eastAsia="仿宋" w:cs="仿宋"/>
          <w:i/>
          <w:iCs/>
          <w:color w:val="0623BA"/>
          <w:sz w:val="24"/>
        </w:rPr>
        <w:t>光伏组件安装在建筑屋面、阳台、墙面或其他部位，不应有任何障碍物遮挡太阳光。光伏组件总面积根据需要电量、建筑上允许的安装面积、当地的气候条件等因素确定。有时，为争取更多的采光面积。建筑平面往往凹凸不规则，容易造成建筑自身对太阳光的遮挡。除此以外，对于体形为L形，</w:t>
      </w:r>
      <w:r>
        <w:rPr>
          <w:rFonts w:hint="eastAsia" w:ascii="仿宋" w:hAnsi="仿宋" w:eastAsia="仿宋" w:cs="仿宋"/>
          <w:i/>
          <w:iCs/>
          <w:color w:val="0623BA"/>
          <w:sz w:val="24"/>
        </w:rPr>
        <w:drawing>
          <wp:inline distT="0" distB="0" distL="114300" distR="114300">
            <wp:extent cx="245745" cy="189865"/>
            <wp:effectExtent l="0" t="0" r="1905" b="635"/>
            <wp:docPr id="1750972441"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972441" name="图片 46"/>
                    <pic:cNvPicPr>
                      <a:picLocks noChangeAspect="1"/>
                    </pic:cNvPicPr>
                  </pic:nvPicPr>
                  <pic:blipFill>
                    <a:blip r:embed="rId14"/>
                    <a:stretch>
                      <a:fillRect/>
                    </a:stretch>
                  </pic:blipFill>
                  <pic:spPr>
                    <a:xfrm>
                      <a:off x="0" y="0"/>
                      <a:ext cx="245745" cy="189865"/>
                    </a:xfrm>
                    <a:prstGeom prst="rect">
                      <a:avLst/>
                    </a:prstGeom>
                    <a:noFill/>
                    <a:ln>
                      <a:noFill/>
                    </a:ln>
                  </pic:spPr>
                </pic:pic>
              </a:graphicData>
            </a:graphic>
          </wp:inline>
        </w:drawing>
      </w:r>
      <w:r>
        <w:rPr>
          <w:rFonts w:hint="eastAsia" w:ascii="仿宋" w:hAnsi="仿宋" w:eastAsia="仿宋" w:cs="仿宋"/>
          <w:i/>
          <w:iCs/>
          <w:color w:val="0623BA"/>
          <w:sz w:val="24"/>
        </w:rPr>
        <w:t>形的平面，也要注意避免自身的遮挡。</w:t>
      </w:r>
    </w:p>
    <w:p w14:paraId="48240416">
      <w:pPr>
        <w:pStyle w:val="7"/>
        <w:spacing w:line="300" w:lineRule="auto"/>
        <w:rPr>
          <w:b w:val="0"/>
          <w:bCs w:val="0"/>
          <w:sz w:val="24"/>
          <w:szCs w:val="24"/>
        </w:rPr>
      </w:pPr>
      <w:r>
        <w:rPr>
          <w:rFonts w:hint="default"/>
          <w:b/>
          <w:bCs/>
          <w:sz w:val="24"/>
          <w:szCs w:val="24"/>
        </w:rPr>
        <w:t>5</w:t>
      </w:r>
      <w:r>
        <w:rPr>
          <w:b/>
          <w:bCs/>
          <w:sz w:val="24"/>
          <w:szCs w:val="24"/>
        </w:rPr>
        <w:t>.2.</w:t>
      </w:r>
      <w:r>
        <w:rPr>
          <w:rFonts w:hint="eastAsia"/>
          <w:b/>
          <w:bCs/>
          <w:sz w:val="24"/>
          <w:szCs w:val="24"/>
          <w:lang w:val="en-US" w:eastAsia="zh-CN"/>
        </w:rPr>
        <w:t>6</w:t>
      </w:r>
      <w:r>
        <w:rPr>
          <w:b/>
          <w:bCs/>
          <w:sz w:val="24"/>
          <w:szCs w:val="24"/>
        </w:rPr>
        <w:t xml:space="preserve"> </w:t>
      </w:r>
      <w:r>
        <w:rPr>
          <w:rFonts w:hint="default"/>
          <w:b w:val="0"/>
          <w:bCs w:val="0"/>
          <w:sz w:val="24"/>
          <w:szCs w:val="24"/>
        </w:rPr>
        <w:t>应考虑墙面各类突出构件对立面光伏发电效率的影响。在立面布置光伏组件前应进行日照分析和阴影计算，依据分析结果进行合理布置。</w:t>
      </w:r>
    </w:p>
    <w:p w14:paraId="44ADB6F9">
      <w:pPr>
        <w:snapToGrid w:val="0"/>
        <w:spacing w:line="300" w:lineRule="auto"/>
        <w:jc w:val="left"/>
        <w:rPr>
          <w:rFonts w:ascii="仿宋" w:hAnsi="仿宋" w:eastAsia="仿宋" w:cs="仿宋"/>
          <w:b/>
          <w:bCs/>
          <w:i/>
          <w:iCs/>
          <w:color w:val="0623BA"/>
          <w:sz w:val="24"/>
        </w:rPr>
      </w:pPr>
      <w:r>
        <w:rPr>
          <w:rFonts w:hint="eastAsia" w:ascii="仿宋" w:hAnsi="仿宋" w:eastAsia="仿宋" w:cs="仿宋"/>
          <w:b/>
          <w:bCs/>
          <w:i/>
          <w:iCs/>
          <w:color w:val="0623BA"/>
          <w:sz w:val="24"/>
        </w:rPr>
        <w:t>【条文说明】</w:t>
      </w:r>
    </w:p>
    <w:p w14:paraId="050ECE20">
      <w:pPr>
        <w:pStyle w:val="7"/>
        <w:spacing w:line="300" w:lineRule="auto"/>
        <w:rPr>
          <w:rFonts w:hint="eastAsia" w:ascii="仿宋" w:hAnsi="仿宋" w:eastAsia="仿宋" w:cs="仿宋"/>
          <w:i/>
          <w:iCs/>
          <w:color w:val="0623BA"/>
          <w:sz w:val="24"/>
          <w:szCs w:val="24"/>
        </w:rPr>
      </w:pPr>
      <w:r>
        <w:rPr>
          <w:rFonts w:hint="eastAsia" w:ascii="仿宋" w:hAnsi="仿宋" w:eastAsia="仿宋" w:cs="仿宋"/>
          <w:b w:val="0"/>
          <w:bCs w:val="0"/>
          <w:i/>
          <w:iCs/>
          <w:color w:val="0623BA"/>
          <w:sz w:val="24"/>
          <w:szCs w:val="24"/>
        </w:rPr>
        <w:t>5.2.</w:t>
      </w:r>
      <w:r>
        <w:rPr>
          <w:rFonts w:hint="eastAsia" w:ascii="仿宋" w:hAnsi="仿宋" w:eastAsia="仿宋" w:cs="仿宋"/>
          <w:b w:val="0"/>
          <w:bCs w:val="0"/>
          <w:i/>
          <w:iCs/>
          <w:color w:val="0623BA"/>
          <w:sz w:val="24"/>
          <w:szCs w:val="24"/>
          <w:lang w:val="en-US" w:eastAsia="zh-CN"/>
        </w:rPr>
        <w:t>6</w:t>
      </w:r>
      <w:r>
        <w:rPr>
          <w:rFonts w:hint="eastAsia" w:ascii="仿宋" w:hAnsi="仿宋" w:eastAsia="仿宋" w:cs="仿宋"/>
          <w:b w:val="0"/>
          <w:bCs w:val="0"/>
          <w:i/>
          <w:iCs/>
          <w:color w:val="0623BA"/>
          <w:sz w:val="24"/>
          <w:szCs w:val="24"/>
        </w:rPr>
        <w:t xml:space="preserve"> </w:t>
      </w:r>
      <w:r>
        <w:rPr>
          <w:rFonts w:hint="eastAsia" w:ascii="仿宋" w:hAnsi="仿宋" w:eastAsia="仿宋" w:cs="仿宋"/>
          <w:i/>
          <w:iCs/>
          <w:color w:val="0623BA"/>
          <w:sz w:val="24"/>
          <w:szCs w:val="24"/>
        </w:rPr>
        <w:t>应是对光伏组件进行日照分析和阴影分析。</w:t>
      </w:r>
    </w:p>
    <w:p w14:paraId="656288E8">
      <w:pPr>
        <w:snapToGrid/>
        <w:spacing w:line="300" w:lineRule="auto"/>
        <w:rPr>
          <w:sz w:val="24"/>
        </w:rPr>
      </w:pPr>
      <w:bookmarkStart w:id="137" w:name="_Toc10630"/>
      <w:r>
        <w:rPr>
          <w:b/>
          <w:bCs/>
          <w:sz w:val="24"/>
        </w:rPr>
        <w:t>5.</w:t>
      </w:r>
      <w:r>
        <w:rPr>
          <w:rFonts w:hint="default"/>
          <w:b/>
          <w:bCs/>
          <w:sz w:val="24"/>
          <w:lang w:val="en-US" w:eastAsia="zh-CN"/>
        </w:rPr>
        <w:t>2</w:t>
      </w:r>
      <w:r>
        <w:rPr>
          <w:b/>
          <w:bCs/>
          <w:sz w:val="24"/>
        </w:rPr>
        <w:t>.</w:t>
      </w:r>
      <w:r>
        <w:rPr>
          <w:rFonts w:hint="eastAsia"/>
          <w:b/>
          <w:bCs/>
          <w:sz w:val="24"/>
          <w:lang w:val="en-US" w:eastAsia="zh-CN"/>
        </w:rPr>
        <w:t>7</w:t>
      </w:r>
      <w:r>
        <w:rPr>
          <w:sz w:val="24"/>
        </w:rPr>
        <w:t xml:space="preserve"> 建筑光伏系统与支撑结构作为建筑突出物时，应符合现行国家标准《民用建筑设计统一标准》GB 50352的有关规定。</w:t>
      </w:r>
      <w:bookmarkEnd w:id="137"/>
    </w:p>
    <w:p w14:paraId="4AF6797C">
      <w:pPr>
        <w:snapToGrid w:val="0"/>
        <w:spacing w:line="300" w:lineRule="auto"/>
        <w:jc w:val="left"/>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5362D81A">
      <w:pPr>
        <w:snapToGrid w:val="0"/>
        <w:spacing w:line="300" w:lineRule="auto"/>
        <w:jc w:val="left"/>
        <w:rPr>
          <w:rFonts w:hint="eastAsia" w:ascii="仿宋" w:hAnsi="仿宋" w:eastAsia="仿宋" w:cs="仿宋"/>
          <w:i/>
          <w:iCs/>
          <w:color w:val="0623BA"/>
          <w:sz w:val="24"/>
        </w:rPr>
      </w:pPr>
      <w:r>
        <w:rPr>
          <w:rFonts w:hint="eastAsia" w:ascii="仿宋" w:hAnsi="仿宋" w:eastAsia="仿宋" w:cs="仿宋"/>
          <w:i/>
          <w:iCs/>
          <w:color w:val="0623BA"/>
          <w:sz w:val="24"/>
        </w:rPr>
        <w:t>5.</w:t>
      </w:r>
      <w:r>
        <w:rPr>
          <w:rFonts w:hint="eastAsia" w:ascii="仿宋" w:hAnsi="仿宋" w:eastAsia="仿宋" w:cs="仿宋"/>
          <w:i/>
          <w:iCs/>
          <w:color w:val="0623BA"/>
          <w:sz w:val="24"/>
          <w:lang w:val="en-US" w:eastAsia="zh-CN"/>
        </w:rPr>
        <w:t>2.7</w:t>
      </w:r>
      <w:r>
        <w:rPr>
          <w:rFonts w:hint="eastAsia" w:ascii="仿宋" w:hAnsi="仿宋" w:eastAsia="仿宋" w:cs="仿宋"/>
          <w:i/>
          <w:iCs/>
          <w:color w:val="0623BA"/>
          <w:sz w:val="24"/>
        </w:rPr>
        <w:t xml:space="preserve"> 建筑上安装的突出于建筑本体的光伏系统，不能因为其对阳光的遮挡而使本建筑及其他相邻建筑不符合相关日照标准要求。</w:t>
      </w:r>
      <w:r>
        <w:rPr>
          <w:rFonts w:hint="eastAsia" w:ascii="仿宋" w:hAnsi="仿宋" w:eastAsia="仿宋" w:cs="仿宋"/>
          <w:i/>
          <w:iCs/>
          <w:color w:val="0623BA"/>
          <w:sz w:val="24"/>
          <w:lang w:val="en-US" w:eastAsia="zh-CN"/>
        </w:rPr>
        <w:t>应</w:t>
      </w:r>
      <w:r>
        <w:rPr>
          <w:rFonts w:hint="eastAsia" w:ascii="仿宋" w:hAnsi="仿宋" w:eastAsia="仿宋" w:cs="仿宋"/>
          <w:i/>
          <w:iCs/>
          <w:color w:val="0623BA"/>
          <w:sz w:val="24"/>
        </w:rPr>
        <w:t>符合现行国家标准《民用建筑设计统一标准》GB 50352的要求。</w:t>
      </w:r>
    </w:p>
    <w:p w14:paraId="1F0902E3">
      <w:pPr>
        <w:snapToGrid w:val="0"/>
        <w:spacing w:line="300" w:lineRule="auto"/>
        <w:jc w:val="left"/>
        <w:rPr>
          <w:sz w:val="24"/>
        </w:rPr>
      </w:pPr>
      <w:r>
        <w:rPr>
          <w:b/>
          <w:bCs/>
          <w:sz w:val="24"/>
        </w:rPr>
        <w:t>5.</w:t>
      </w:r>
      <w:r>
        <w:rPr>
          <w:rFonts w:hint="eastAsia"/>
          <w:b/>
          <w:bCs/>
          <w:sz w:val="24"/>
          <w:lang w:val="en-US" w:eastAsia="zh-CN"/>
        </w:rPr>
        <w:t>2.8</w:t>
      </w:r>
      <w:r>
        <w:rPr>
          <w:sz w:val="24"/>
        </w:rPr>
        <w:t xml:space="preserve"> 光伏组件的布置应满足建筑物的美观要求。</w:t>
      </w:r>
    </w:p>
    <w:p w14:paraId="4BF8DD44">
      <w:pPr>
        <w:snapToGrid w:val="0"/>
        <w:spacing w:line="300" w:lineRule="auto"/>
        <w:jc w:val="left"/>
        <w:rPr>
          <w:sz w:val="24"/>
        </w:rPr>
      </w:pPr>
      <w:r>
        <w:rPr>
          <w:b/>
          <w:bCs/>
          <w:sz w:val="24"/>
        </w:rPr>
        <w:t>5.</w:t>
      </w:r>
      <w:r>
        <w:rPr>
          <w:rFonts w:hint="eastAsia"/>
          <w:b/>
          <w:bCs/>
          <w:sz w:val="24"/>
          <w:lang w:val="en-US" w:eastAsia="zh-CN"/>
        </w:rPr>
        <w:t>2.9</w:t>
      </w:r>
      <w:r>
        <w:rPr>
          <w:sz w:val="24"/>
        </w:rPr>
        <w:t xml:space="preserve"> 光伏组件不宜设置于易触摸到的地方且应在显著位置设置高温和触电的标识。</w:t>
      </w:r>
    </w:p>
    <w:p w14:paraId="41F7E3E5">
      <w:pPr>
        <w:snapToGrid w:val="0"/>
        <w:spacing w:line="300" w:lineRule="auto"/>
        <w:jc w:val="left"/>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274087B7">
      <w:pPr>
        <w:snapToGrid w:val="0"/>
        <w:spacing w:line="300" w:lineRule="auto"/>
        <w:jc w:val="left"/>
        <w:rPr>
          <w:rFonts w:hint="eastAsia" w:ascii="仿宋" w:hAnsi="仿宋" w:eastAsia="仿宋" w:cs="仿宋"/>
          <w:i/>
          <w:iCs/>
          <w:color w:val="0623BA"/>
          <w:sz w:val="24"/>
        </w:rPr>
      </w:pPr>
      <w:r>
        <w:rPr>
          <w:rFonts w:hint="eastAsia" w:ascii="仿宋" w:hAnsi="仿宋" w:eastAsia="仿宋" w:cs="仿宋"/>
          <w:b w:val="0"/>
          <w:bCs w:val="0"/>
          <w:i/>
          <w:iCs/>
          <w:color w:val="0623BA"/>
          <w:sz w:val="24"/>
        </w:rPr>
        <w:t>5.</w:t>
      </w:r>
      <w:r>
        <w:rPr>
          <w:rFonts w:hint="eastAsia" w:ascii="仿宋" w:hAnsi="仿宋" w:eastAsia="仿宋" w:cs="仿宋"/>
          <w:b w:val="0"/>
          <w:bCs w:val="0"/>
          <w:i/>
          <w:iCs/>
          <w:color w:val="0623BA"/>
          <w:sz w:val="24"/>
          <w:lang w:val="en-US" w:eastAsia="zh-CN"/>
        </w:rPr>
        <w:t>2.9</w:t>
      </w:r>
      <w:r>
        <w:rPr>
          <w:rFonts w:hint="eastAsia" w:ascii="仿宋" w:hAnsi="仿宋" w:eastAsia="仿宋" w:cs="仿宋"/>
          <w:i/>
          <w:iCs/>
          <w:color w:val="0623BA"/>
          <w:sz w:val="24"/>
        </w:rPr>
        <w:t>光伏组件安装于人们不</w:t>
      </w:r>
      <w:r>
        <w:rPr>
          <w:rFonts w:hint="eastAsia" w:ascii="仿宋" w:hAnsi="仿宋" w:eastAsia="仿宋" w:cs="仿宋"/>
          <w:i/>
          <w:iCs/>
          <w:color w:val="0623BA"/>
          <w:sz w:val="24"/>
          <w:lang w:val="en-US" w:eastAsia="zh-CN"/>
        </w:rPr>
        <w:t>易</w:t>
      </w:r>
      <w:r>
        <w:rPr>
          <w:rFonts w:hint="eastAsia" w:ascii="仿宋" w:hAnsi="仿宋" w:eastAsia="仿宋" w:cs="仿宋"/>
          <w:i/>
          <w:iCs/>
          <w:color w:val="0623BA"/>
          <w:sz w:val="24"/>
        </w:rPr>
        <w:t>触摸到的地方，在光伏组件背面贴上高温和触电的标识，以示警惕。</w:t>
      </w:r>
    </w:p>
    <w:p w14:paraId="3F0EDE5A">
      <w:pPr>
        <w:snapToGrid w:val="0"/>
        <w:spacing w:line="300" w:lineRule="auto"/>
        <w:jc w:val="left"/>
        <w:rPr>
          <w:sz w:val="24"/>
        </w:rPr>
      </w:pPr>
      <w:r>
        <w:rPr>
          <w:b/>
          <w:bCs/>
          <w:sz w:val="24"/>
        </w:rPr>
        <w:t>5.</w:t>
      </w:r>
      <w:r>
        <w:rPr>
          <w:rFonts w:hint="eastAsia"/>
          <w:b/>
          <w:bCs/>
          <w:sz w:val="24"/>
          <w:lang w:val="en-US" w:eastAsia="zh-CN"/>
        </w:rPr>
        <w:t>2.10</w:t>
      </w:r>
      <w:r>
        <w:rPr>
          <w:sz w:val="24"/>
        </w:rPr>
        <w:t xml:space="preserve"> 光伏组件直接作为屋顶围护结构使用时，其材料和构造应符合屋面防水等级要求。</w:t>
      </w:r>
    </w:p>
    <w:p w14:paraId="2A0C1EB0">
      <w:pPr>
        <w:snapToGrid w:val="0"/>
        <w:spacing w:line="300" w:lineRule="auto"/>
        <w:jc w:val="left"/>
        <w:rPr>
          <w:sz w:val="24"/>
        </w:rPr>
      </w:pPr>
      <w:r>
        <w:rPr>
          <w:b/>
          <w:bCs/>
          <w:sz w:val="24"/>
        </w:rPr>
        <w:t>5.</w:t>
      </w:r>
      <w:r>
        <w:rPr>
          <w:rFonts w:hint="eastAsia"/>
          <w:b/>
          <w:bCs/>
          <w:sz w:val="24"/>
          <w:lang w:val="en-US" w:eastAsia="zh-CN"/>
        </w:rPr>
        <w:t>2.11</w:t>
      </w:r>
      <w:r>
        <w:rPr>
          <w:sz w:val="24"/>
        </w:rPr>
        <w:t xml:space="preserve"> 光伏组件应避开厨房排油烟烟口、屋面排风、排烟道通气管、空调系统等构件布置。</w:t>
      </w:r>
    </w:p>
    <w:p w14:paraId="2438D427">
      <w:pPr>
        <w:snapToGrid w:val="0"/>
        <w:spacing w:line="300" w:lineRule="auto"/>
        <w:jc w:val="left"/>
        <w:rPr>
          <w:sz w:val="24"/>
        </w:rPr>
      </w:pPr>
      <w:r>
        <w:rPr>
          <w:b/>
          <w:bCs/>
          <w:sz w:val="24"/>
        </w:rPr>
        <w:t>5.</w:t>
      </w:r>
      <w:r>
        <w:rPr>
          <w:rFonts w:hint="eastAsia"/>
          <w:b/>
          <w:bCs/>
          <w:sz w:val="24"/>
          <w:lang w:val="en-US" w:eastAsia="zh-CN"/>
        </w:rPr>
        <w:t>2</w:t>
      </w:r>
      <w:r>
        <w:rPr>
          <w:b/>
          <w:bCs/>
          <w:sz w:val="24"/>
        </w:rPr>
        <w:t>.1</w:t>
      </w:r>
      <w:r>
        <w:rPr>
          <w:rFonts w:hint="eastAsia"/>
          <w:b/>
          <w:bCs/>
          <w:sz w:val="24"/>
          <w:lang w:val="en-US" w:eastAsia="zh-CN"/>
        </w:rPr>
        <w:t>2</w:t>
      </w:r>
      <w:r>
        <w:rPr>
          <w:rFonts w:hint="eastAsia"/>
          <w:sz w:val="24"/>
        </w:rPr>
        <w:t xml:space="preserve"> 光伏组件的设计、安装宜采取通风构造措施，保证光伏组件背板温度不高于组件允许的最高工作温度</w:t>
      </w:r>
      <w:r>
        <w:rPr>
          <w:rFonts w:hint="eastAsia"/>
          <w:sz w:val="24"/>
          <w:lang w:eastAsia="zh-CN"/>
        </w:rPr>
        <w:t>，</w:t>
      </w:r>
      <w:r>
        <w:rPr>
          <w:rFonts w:hint="eastAsia"/>
          <w:sz w:val="24"/>
        </w:rPr>
        <w:t>避免光伏组件发电时产生的热量对室内产生不利影响</w:t>
      </w:r>
      <w:r>
        <w:rPr>
          <w:rFonts w:hint="eastAsia"/>
          <w:sz w:val="24"/>
          <w:lang w:val="en-US" w:eastAsia="zh-CN"/>
        </w:rPr>
        <w:t>且</w:t>
      </w:r>
      <w:r>
        <w:rPr>
          <w:rFonts w:hint="eastAsia"/>
          <w:sz w:val="24"/>
        </w:rPr>
        <w:t>不应影响周边设备的安装、维护和通风、散热等要求。</w:t>
      </w:r>
    </w:p>
    <w:p w14:paraId="795CD3F9">
      <w:pPr>
        <w:snapToGrid w:val="0"/>
        <w:spacing w:line="300" w:lineRule="auto"/>
        <w:jc w:val="left"/>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0B4AE083">
      <w:pPr>
        <w:snapToGrid w:val="0"/>
        <w:spacing w:line="300" w:lineRule="auto"/>
        <w:jc w:val="left"/>
        <w:rPr>
          <w:rFonts w:hint="eastAsia" w:ascii="仿宋" w:hAnsi="仿宋" w:eastAsia="宋体" w:cs="仿宋"/>
          <w:i/>
          <w:iCs/>
          <w:color w:val="0623BA"/>
          <w:sz w:val="24"/>
          <w:lang w:eastAsia="zh-CN"/>
        </w:rPr>
      </w:pPr>
      <w:r>
        <w:rPr>
          <w:rFonts w:hint="eastAsia" w:ascii="仿宋" w:hAnsi="仿宋" w:eastAsia="仿宋" w:cs="仿宋"/>
          <w:i/>
          <w:iCs/>
          <w:color w:val="0623BA"/>
          <w:sz w:val="24"/>
        </w:rPr>
        <w:t>5.</w:t>
      </w:r>
      <w:r>
        <w:rPr>
          <w:rFonts w:hint="eastAsia" w:ascii="仿宋" w:hAnsi="仿宋" w:eastAsia="仿宋" w:cs="仿宋"/>
          <w:i/>
          <w:iCs/>
          <w:color w:val="0623BA"/>
          <w:sz w:val="24"/>
          <w:lang w:val="en-US" w:eastAsia="zh-CN"/>
        </w:rPr>
        <w:t>2</w:t>
      </w:r>
      <w:r>
        <w:rPr>
          <w:rFonts w:hint="eastAsia" w:ascii="仿宋" w:hAnsi="仿宋" w:eastAsia="仿宋" w:cs="仿宋"/>
          <w:i/>
          <w:iCs/>
          <w:color w:val="0623BA"/>
          <w:sz w:val="24"/>
        </w:rPr>
        <w:t>.1</w:t>
      </w:r>
      <w:r>
        <w:rPr>
          <w:rFonts w:hint="eastAsia" w:ascii="仿宋" w:hAnsi="仿宋" w:eastAsia="仿宋" w:cs="仿宋"/>
          <w:i/>
          <w:iCs/>
          <w:color w:val="0623BA"/>
          <w:sz w:val="24"/>
          <w:lang w:val="en-US" w:eastAsia="zh-CN"/>
        </w:rPr>
        <w:t>2</w:t>
      </w:r>
      <w:r>
        <w:rPr>
          <w:rFonts w:hint="eastAsia" w:ascii="仿宋" w:hAnsi="仿宋" w:eastAsia="仿宋" w:cs="仿宋"/>
          <w:i/>
          <w:iCs/>
          <w:color w:val="0623BA"/>
          <w:sz w:val="24"/>
        </w:rPr>
        <w:t xml:space="preserve"> </w:t>
      </w:r>
      <w:r>
        <w:rPr>
          <w:rFonts w:ascii="仿宋" w:hAnsi="仿宋" w:eastAsia="仿宋" w:cs="仿宋"/>
          <w:i/>
          <w:iCs/>
          <w:color w:val="0623BA"/>
          <w:sz w:val="24"/>
        </w:rPr>
        <w:t>光伏组件工作时会产生热量</w:t>
      </w:r>
      <w:r>
        <w:rPr>
          <w:rFonts w:hint="eastAsia" w:ascii="仿宋" w:hAnsi="仿宋" w:eastAsia="仿宋" w:cs="仿宋"/>
          <w:i/>
          <w:iCs/>
          <w:color w:val="0623BA"/>
          <w:sz w:val="24"/>
        </w:rPr>
        <w:t>，</w:t>
      </w:r>
      <w:r>
        <w:rPr>
          <w:rFonts w:ascii="仿宋" w:hAnsi="仿宋" w:eastAsia="仿宋" w:cs="仿宋"/>
          <w:i/>
          <w:iCs/>
          <w:color w:val="0623BA"/>
          <w:sz w:val="24"/>
        </w:rPr>
        <w:t>背板温度过高时会影响发电效率</w:t>
      </w:r>
      <w:r>
        <w:rPr>
          <w:rFonts w:hint="eastAsia" w:ascii="仿宋" w:hAnsi="仿宋" w:eastAsia="仿宋" w:cs="仿宋"/>
          <w:i/>
          <w:iCs/>
          <w:color w:val="0623BA"/>
          <w:sz w:val="24"/>
        </w:rPr>
        <w:t>，</w:t>
      </w:r>
      <w:r>
        <w:rPr>
          <w:rFonts w:ascii="仿宋" w:hAnsi="仿宋" w:eastAsia="仿宋" w:cs="仿宋"/>
          <w:i/>
          <w:iCs/>
          <w:color w:val="0623BA"/>
          <w:sz w:val="24"/>
        </w:rPr>
        <w:t>背板采取通风措施是有效的解决办法。</w:t>
      </w:r>
      <w:r>
        <w:rPr>
          <w:rFonts w:hint="default" w:ascii="仿宋" w:hAnsi="仿宋" w:eastAsia="仿宋" w:cs="仿宋"/>
          <w:i/>
          <w:iCs/>
          <w:color w:val="0623BA"/>
          <w:sz w:val="24"/>
        </w:rPr>
        <w:t>IEC</w:t>
      </w:r>
      <w:r>
        <w:rPr>
          <w:rFonts w:hint="default" w:ascii="仿宋" w:hAnsi="仿宋" w:eastAsia="仿宋" w:cs="仿宋"/>
          <w:i/>
          <w:iCs/>
          <w:color w:val="0623BA"/>
          <w:sz w:val="24"/>
          <w:lang w:val="en-US" w:eastAsia="zh-CN"/>
        </w:rPr>
        <w:t>规定</w:t>
      </w:r>
      <w:r>
        <w:rPr>
          <w:rFonts w:hint="default" w:ascii="仿宋" w:hAnsi="仿宋" w:eastAsia="仿宋" w:cs="仿宋"/>
          <w:i/>
          <w:iCs/>
          <w:color w:val="0623BA"/>
          <w:sz w:val="24"/>
        </w:rPr>
        <w:t>的光伏组件可靠性检测实验最高工作温度8</w:t>
      </w:r>
      <w:r>
        <w:rPr>
          <w:rFonts w:ascii="仿宋" w:hAnsi="仿宋" w:eastAsia="仿宋" w:cs="仿宋"/>
          <w:i/>
          <w:iCs/>
          <w:color w:val="0623BA"/>
          <w:sz w:val="24"/>
        </w:rPr>
        <w:t>5</w:t>
      </w:r>
      <w:r>
        <w:rPr>
          <w:rFonts w:hint="default" w:ascii="仿宋" w:hAnsi="仿宋" w:eastAsia="仿宋" w:cs="仿宋"/>
          <w:i/>
          <w:iCs/>
          <w:color w:val="0623BA"/>
          <w:sz w:val="24"/>
        </w:rPr>
        <w:t>℃</w:t>
      </w:r>
      <w:r>
        <w:rPr>
          <w:rFonts w:hint="default" w:ascii="仿宋" w:hAnsi="仿宋" w:eastAsia="仿宋" w:cs="仿宋"/>
          <w:i/>
          <w:iCs/>
          <w:color w:val="0623BA"/>
          <w:sz w:val="24"/>
          <w:lang w:eastAsia="zh-CN"/>
        </w:rPr>
        <w:t>，</w:t>
      </w:r>
      <w:r>
        <w:rPr>
          <w:rFonts w:hint="default" w:ascii="仿宋" w:hAnsi="仿宋" w:eastAsia="仿宋" w:cs="仿宋"/>
          <w:i/>
          <w:iCs/>
          <w:color w:val="0623BA"/>
          <w:sz w:val="24"/>
        </w:rPr>
        <w:t>高温运行检测标准为9</w:t>
      </w:r>
      <w:r>
        <w:rPr>
          <w:rFonts w:ascii="仿宋" w:hAnsi="仿宋" w:eastAsia="仿宋" w:cs="仿宋"/>
          <w:i/>
          <w:iCs/>
          <w:color w:val="0623BA"/>
          <w:sz w:val="24"/>
        </w:rPr>
        <w:t>0</w:t>
      </w:r>
      <w:r>
        <w:rPr>
          <w:rFonts w:hint="default" w:ascii="仿宋" w:hAnsi="仿宋" w:eastAsia="仿宋" w:cs="仿宋"/>
          <w:i/>
          <w:iCs/>
          <w:color w:val="0623BA"/>
          <w:sz w:val="24"/>
        </w:rPr>
        <w:t>℃-</w:t>
      </w:r>
      <w:r>
        <w:rPr>
          <w:rFonts w:ascii="仿宋" w:hAnsi="仿宋" w:eastAsia="仿宋" w:cs="仿宋"/>
          <w:i/>
          <w:iCs/>
          <w:color w:val="0623BA"/>
          <w:sz w:val="24"/>
        </w:rPr>
        <w:t>100</w:t>
      </w:r>
      <w:r>
        <w:rPr>
          <w:rFonts w:hint="default" w:ascii="仿宋" w:hAnsi="仿宋" w:eastAsia="仿宋" w:cs="仿宋"/>
          <w:i/>
          <w:iCs/>
          <w:color w:val="0623BA"/>
          <w:sz w:val="24"/>
        </w:rPr>
        <w:t>℃</w:t>
      </w:r>
      <w:r>
        <w:rPr>
          <w:rFonts w:hint="default" w:ascii="仿宋" w:hAnsi="仿宋" w:eastAsia="仿宋" w:cs="仿宋"/>
          <w:i/>
          <w:iCs/>
          <w:color w:val="0623BA"/>
          <w:sz w:val="24"/>
          <w:lang w:eastAsia="zh-CN"/>
        </w:rPr>
        <w:t>。</w:t>
      </w:r>
      <w:r>
        <w:rPr>
          <w:rFonts w:hint="default" w:ascii="仿宋" w:hAnsi="仿宋" w:eastAsia="仿宋" w:cs="仿宋"/>
          <w:i/>
          <w:iCs/>
          <w:color w:val="0623BA"/>
          <w:sz w:val="24"/>
        </w:rPr>
        <w:t>高温不仅仅对组件效率有影响，对于围护结构系统中的有机材料均有影响，如结构胶、封边胶、中空玻璃的暖边等。尤其是结构胶，常规硅酮结构胶</w:t>
      </w:r>
      <w:r>
        <w:rPr>
          <w:rFonts w:hint="default" w:ascii="仿宋" w:hAnsi="仿宋" w:eastAsia="仿宋" w:cs="仿宋"/>
          <w:i/>
          <w:iCs/>
          <w:color w:val="0623BA"/>
          <w:sz w:val="24"/>
          <w:lang w:val="en-US" w:eastAsia="zh-CN"/>
        </w:rPr>
        <w:t>耐受温度为</w:t>
      </w:r>
      <w:r>
        <w:rPr>
          <w:rFonts w:hint="default" w:ascii="仿宋" w:hAnsi="仿宋" w:eastAsia="仿宋" w:cs="仿宋"/>
          <w:i/>
          <w:iCs/>
          <w:color w:val="0623BA"/>
          <w:sz w:val="24"/>
        </w:rPr>
        <w:t>9</w:t>
      </w:r>
      <w:r>
        <w:rPr>
          <w:rFonts w:hint="eastAsia" w:ascii="仿宋" w:hAnsi="仿宋" w:eastAsia="仿宋" w:cs="仿宋"/>
          <w:i/>
          <w:iCs/>
          <w:color w:val="0623BA"/>
          <w:sz w:val="24"/>
        </w:rPr>
        <w:t>0</w:t>
      </w:r>
      <w:r>
        <w:rPr>
          <w:rFonts w:hint="default" w:ascii="仿宋" w:hAnsi="仿宋" w:eastAsia="仿宋" w:cs="仿宋"/>
          <w:i/>
          <w:iCs/>
          <w:color w:val="0623BA"/>
          <w:sz w:val="24"/>
        </w:rPr>
        <w:t>℃</w:t>
      </w:r>
      <w:r>
        <w:rPr>
          <w:rFonts w:hint="default" w:ascii="仿宋" w:hAnsi="仿宋" w:eastAsia="仿宋" w:cs="仿宋"/>
          <w:i/>
          <w:iCs/>
          <w:color w:val="0623BA"/>
          <w:sz w:val="24"/>
          <w:lang w:val="en-US" w:eastAsia="zh-CN"/>
        </w:rPr>
        <w:t>以下</w:t>
      </w:r>
      <w:r>
        <w:rPr>
          <w:rFonts w:hint="default" w:ascii="仿宋" w:hAnsi="仿宋" w:eastAsia="仿宋" w:cs="仿宋"/>
          <w:i/>
          <w:iCs/>
          <w:color w:val="0623BA"/>
          <w:sz w:val="24"/>
        </w:rPr>
        <w:t>。</w:t>
      </w:r>
    </w:p>
    <w:p w14:paraId="4033880B">
      <w:pPr>
        <w:snapToGrid w:val="0"/>
        <w:spacing w:line="300" w:lineRule="auto"/>
        <w:jc w:val="left"/>
        <w:rPr>
          <w:sz w:val="24"/>
        </w:rPr>
      </w:pPr>
      <w:r>
        <w:rPr>
          <w:b/>
          <w:bCs/>
          <w:sz w:val="24"/>
        </w:rPr>
        <w:t>5.</w:t>
      </w:r>
      <w:r>
        <w:rPr>
          <w:rFonts w:hint="eastAsia"/>
          <w:b/>
          <w:bCs/>
          <w:sz w:val="24"/>
          <w:lang w:val="en-US" w:eastAsia="zh-CN"/>
        </w:rPr>
        <w:t>2</w:t>
      </w:r>
      <w:r>
        <w:rPr>
          <w:b/>
          <w:bCs/>
          <w:sz w:val="24"/>
        </w:rPr>
        <w:t>.1</w:t>
      </w:r>
      <w:r>
        <w:rPr>
          <w:rFonts w:hint="eastAsia"/>
          <w:b/>
          <w:bCs/>
          <w:sz w:val="24"/>
          <w:lang w:val="en-US" w:eastAsia="zh-CN"/>
        </w:rPr>
        <w:t>3</w:t>
      </w:r>
      <w:r>
        <w:rPr>
          <w:rFonts w:hint="eastAsia"/>
          <w:sz w:val="24"/>
        </w:rPr>
        <w:t xml:space="preserve"> </w:t>
      </w:r>
      <w:r>
        <w:rPr>
          <w:sz w:val="24"/>
        </w:rPr>
        <w:t>既有建筑上增设或改造光伏发电系统时，应满足建筑的采光</w:t>
      </w:r>
      <w:r>
        <w:rPr>
          <w:rFonts w:hint="eastAsia"/>
          <w:sz w:val="24"/>
        </w:rPr>
        <w:t>、</w:t>
      </w:r>
      <w:r>
        <w:rPr>
          <w:sz w:val="24"/>
        </w:rPr>
        <w:t>通风</w:t>
      </w:r>
      <w:r>
        <w:rPr>
          <w:rFonts w:hint="eastAsia"/>
          <w:sz w:val="24"/>
        </w:rPr>
        <w:t>、</w:t>
      </w:r>
      <w:r>
        <w:rPr>
          <w:sz w:val="24"/>
        </w:rPr>
        <w:t>节能和安全</w:t>
      </w:r>
      <w:r>
        <w:rPr>
          <w:rFonts w:hint="eastAsia"/>
          <w:sz w:val="24"/>
        </w:rPr>
        <w:t>、</w:t>
      </w:r>
      <w:r>
        <w:rPr>
          <w:sz w:val="24"/>
        </w:rPr>
        <w:t>疏散等要求，以及光伏组件所在建筑部位的结构</w:t>
      </w:r>
      <w:r>
        <w:rPr>
          <w:rFonts w:hint="eastAsia"/>
          <w:sz w:val="24"/>
        </w:rPr>
        <w:t>、</w:t>
      </w:r>
      <w:r>
        <w:rPr>
          <w:sz w:val="24"/>
        </w:rPr>
        <w:t>防火</w:t>
      </w:r>
      <w:r>
        <w:rPr>
          <w:rFonts w:hint="eastAsia"/>
          <w:sz w:val="24"/>
        </w:rPr>
        <w:t>、</w:t>
      </w:r>
      <w:r>
        <w:rPr>
          <w:sz w:val="24"/>
        </w:rPr>
        <w:t>防水</w:t>
      </w:r>
      <w:r>
        <w:rPr>
          <w:rFonts w:hint="eastAsia"/>
          <w:sz w:val="24"/>
        </w:rPr>
        <w:t>、</w:t>
      </w:r>
      <w:r>
        <w:rPr>
          <w:sz w:val="24"/>
        </w:rPr>
        <w:t>防雷等技术要求。</w:t>
      </w:r>
    </w:p>
    <w:p w14:paraId="664E9310">
      <w:pPr>
        <w:snapToGrid w:val="0"/>
        <w:spacing w:line="300" w:lineRule="auto"/>
        <w:jc w:val="left"/>
        <w:rPr>
          <w:sz w:val="24"/>
        </w:rPr>
      </w:pPr>
      <w:r>
        <w:rPr>
          <w:b/>
          <w:bCs/>
          <w:sz w:val="24"/>
        </w:rPr>
        <w:t>5.</w:t>
      </w:r>
      <w:r>
        <w:rPr>
          <w:rFonts w:hint="eastAsia"/>
          <w:b/>
          <w:bCs/>
          <w:sz w:val="24"/>
          <w:lang w:val="en-US" w:eastAsia="zh-CN"/>
        </w:rPr>
        <w:t>2</w:t>
      </w:r>
      <w:r>
        <w:rPr>
          <w:b/>
          <w:bCs/>
          <w:sz w:val="24"/>
        </w:rPr>
        <w:t>.1</w:t>
      </w:r>
      <w:r>
        <w:rPr>
          <w:rFonts w:hint="eastAsia"/>
          <w:b/>
          <w:bCs/>
          <w:sz w:val="24"/>
          <w:lang w:val="en-US" w:eastAsia="zh-CN"/>
        </w:rPr>
        <w:t>4</w:t>
      </w:r>
      <w:r>
        <w:rPr>
          <w:rFonts w:hint="eastAsia"/>
          <w:sz w:val="24"/>
        </w:rPr>
        <w:t xml:space="preserve"> </w:t>
      </w:r>
      <w:r>
        <w:rPr>
          <w:sz w:val="24"/>
        </w:rPr>
        <w:t>既有建筑增设或改造光伏发电系统时，光伏组件应采用可靠的构造方式与建筑连接；屋面上增设光伏发电系统及与主体结构连接的混凝土基座时，应经结构专业复核，其防水</w:t>
      </w:r>
      <w:r>
        <w:rPr>
          <w:rFonts w:hint="eastAsia"/>
          <w:sz w:val="24"/>
        </w:rPr>
        <w:t>、</w:t>
      </w:r>
      <w:r>
        <w:rPr>
          <w:sz w:val="24"/>
        </w:rPr>
        <w:t>保温构造应符合现行国家标准《屋面工程设计规范》GB50345的规定 。</w:t>
      </w:r>
    </w:p>
    <w:p w14:paraId="1C7F39E1">
      <w:pPr>
        <w:snapToGrid w:val="0"/>
        <w:spacing w:line="300" w:lineRule="auto"/>
        <w:jc w:val="left"/>
        <w:rPr>
          <w:sz w:val="24"/>
        </w:rPr>
      </w:pPr>
      <w:r>
        <w:rPr>
          <w:b/>
          <w:bCs/>
          <w:sz w:val="24"/>
        </w:rPr>
        <w:t>5.</w:t>
      </w:r>
      <w:r>
        <w:rPr>
          <w:rFonts w:hint="eastAsia"/>
          <w:b/>
          <w:bCs/>
          <w:sz w:val="24"/>
          <w:lang w:val="en-US" w:eastAsia="zh-CN"/>
        </w:rPr>
        <w:t>2</w:t>
      </w:r>
      <w:r>
        <w:rPr>
          <w:b/>
          <w:bCs/>
          <w:sz w:val="24"/>
        </w:rPr>
        <w:t>.1</w:t>
      </w:r>
      <w:r>
        <w:rPr>
          <w:rFonts w:hint="eastAsia"/>
          <w:b/>
          <w:bCs/>
          <w:sz w:val="24"/>
          <w:lang w:val="en-US" w:eastAsia="zh-CN"/>
        </w:rPr>
        <w:t>5</w:t>
      </w:r>
      <w:r>
        <w:rPr>
          <w:rFonts w:hint="eastAsia"/>
          <w:sz w:val="24"/>
        </w:rPr>
        <w:t xml:space="preserve"> </w:t>
      </w:r>
      <w:r>
        <w:rPr>
          <w:sz w:val="24"/>
        </w:rPr>
        <w:t>既有建筑增设或改造光伏发电系统时，管线宜利用原有管井和路由进行敷设，做好穿越屋面及墙体部位的防水及防火处理</w:t>
      </w:r>
      <w:r>
        <w:rPr>
          <w:rFonts w:hint="eastAsia"/>
          <w:sz w:val="24"/>
        </w:rPr>
        <w:t>。</w:t>
      </w:r>
      <w:r>
        <w:rPr>
          <w:sz w:val="24"/>
        </w:rPr>
        <w:t>必须开洞时，应保证原结构安全，做好防水层</w:t>
      </w:r>
      <w:r>
        <w:rPr>
          <w:rFonts w:hint="eastAsia"/>
          <w:sz w:val="24"/>
        </w:rPr>
        <w:t>、</w:t>
      </w:r>
      <w:r>
        <w:rPr>
          <w:sz w:val="24"/>
        </w:rPr>
        <w:t>保温层等部位的修复。</w:t>
      </w:r>
    </w:p>
    <w:p w14:paraId="68A69EE2">
      <w:pPr>
        <w:snapToGrid w:val="0"/>
        <w:spacing w:line="300" w:lineRule="auto"/>
        <w:jc w:val="left"/>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761FBF64">
      <w:pPr>
        <w:snapToGrid w:val="0"/>
        <w:spacing w:line="300" w:lineRule="auto"/>
        <w:jc w:val="left"/>
        <w:rPr>
          <w:rFonts w:hint="eastAsia" w:ascii="仿宋" w:hAnsi="仿宋" w:eastAsia="仿宋" w:cs="仿宋"/>
          <w:i/>
          <w:iCs/>
          <w:color w:val="0623BA"/>
          <w:sz w:val="24"/>
        </w:rPr>
      </w:pPr>
      <w:r>
        <w:rPr>
          <w:rFonts w:hint="eastAsia" w:ascii="仿宋" w:hAnsi="仿宋" w:eastAsia="仿宋" w:cs="仿宋"/>
          <w:i/>
          <w:iCs/>
          <w:color w:val="0623BA"/>
          <w:sz w:val="24"/>
          <w:highlight w:val="none"/>
        </w:rPr>
        <w:t>5.</w:t>
      </w:r>
      <w:r>
        <w:rPr>
          <w:rFonts w:hint="eastAsia" w:ascii="仿宋" w:hAnsi="仿宋" w:eastAsia="仿宋" w:cs="仿宋"/>
          <w:i/>
          <w:iCs/>
          <w:color w:val="0623BA"/>
          <w:sz w:val="24"/>
          <w:highlight w:val="none"/>
          <w:lang w:val="en-US" w:eastAsia="zh-CN"/>
        </w:rPr>
        <w:t>2</w:t>
      </w:r>
      <w:r>
        <w:rPr>
          <w:rFonts w:hint="eastAsia" w:ascii="仿宋" w:hAnsi="仿宋" w:eastAsia="仿宋" w:cs="仿宋"/>
          <w:i/>
          <w:iCs/>
          <w:color w:val="0623BA"/>
          <w:sz w:val="24"/>
          <w:highlight w:val="none"/>
        </w:rPr>
        <w:t>.</w:t>
      </w:r>
      <w:r>
        <w:rPr>
          <w:rFonts w:hint="eastAsia" w:ascii="仿宋" w:hAnsi="仿宋" w:eastAsia="仿宋" w:cs="仿宋"/>
          <w:i/>
          <w:iCs/>
          <w:color w:val="0623BA"/>
          <w:sz w:val="24"/>
          <w:highlight w:val="none"/>
          <w:lang w:val="en-US" w:eastAsia="zh-CN"/>
        </w:rPr>
        <w:t>13</w:t>
      </w:r>
      <w:r>
        <w:rPr>
          <w:rFonts w:hint="default" w:ascii="Times New Roman" w:hAnsi="Times New Roman" w:eastAsia="仿宋" w:cs="Times New Roman"/>
          <w:i/>
          <w:iCs/>
          <w:color w:val="0623BA"/>
          <w:sz w:val="24"/>
          <w:highlight w:val="none"/>
          <w:lang w:val="en-US" w:eastAsia="zh-CN"/>
        </w:rPr>
        <w:t>~</w:t>
      </w:r>
      <w:r>
        <w:rPr>
          <w:rFonts w:hint="eastAsia" w:ascii="仿宋" w:hAnsi="仿宋" w:eastAsia="仿宋" w:cs="仿宋"/>
          <w:i/>
          <w:iCs/>
          <w:color w:val="0623BA"/>
          <w:sz w:val="24"/>
          <w:highlight w:val="none"/>
        </w:rPr>
        <w:t>5.</w:t>
      </w:r>
      <w:r>
        <w:rPr>
          <w:rFonts w:hint="eastAsia" w:ascii="仿宋" w:hAnsi="仿宋" w:eastAsia="仿宋" w:cs="仿宋"/>
          <w:i/>
          <w:iCs/>
          <w:color w:val="0623BA"/>
          <w:sz w:val="24"/>
          <w:highlight w:val="none"/>
          <w:lang w:val="en-US" w:eastAsia="zh-CN"/>
        </w:rPr>
        <w:t>2</w:t>
      </w:r>
      <w:r>
        <w:rPr>
          <w:rFonts w:hint="eastAsia" w:ascii="仿宋" w:hAnsi="仿宋" w:eastAsia="仿宋" w:cs="仿宋"/>
          <w:i/>
          <w:iCs/>
          <w:color w:val="0623BA"/>
          <w:sz w:val="24"/>
          <w:highlight w:val="none"/>
        </w:rPr>
        <w:t>.</w:t>
      </w:r>
      <w:r>
        <w:rPr>
          <w:rFonts w:hint="eastAsia" w:ascii="仿宋" w:hAnsi="仿宋" w:eastAsia="仿宋" w:cs="仿宋"/>
          <w:i/>
          <w:iCs/>
          <w:color w:val="0623BA"/>
          <w:sz w:val="24"/>
          <w:highlight w:val="none"/>
          <w:lang w:val="en-US" w:eastAsia="zh-CN"/>
        </w:rPr>
        <w:t>15</w:t>
      </w:r>
      <w:r>
        <w:rPr>
          <w:rFonts w:hint="eastAsia" w:ascii="仿宋" w:hAnsi="仿宋" w:eastAsia="仿宋" w:cs="仿宋"/>
          <w:i/>
          <w:iCs/>
          <w:color w:val="0623BA"/>
          <w:sz w:val="24"/>
          <w:highlight w:val="none"/>
        </w:rPr>
        <w:t>在</w:t>
      </w:r>
      <w:r>
        <w:rPr>
          <w:rFonts w:hint="eastAsia" w:ascii="仿宋" w:hAnsi="仿宋" w:eastAsia="仿宋" w:cs="仿宋"/>
          <w:i/>
          <w:iCs/>
          <w:color w:val="0623BA"/>
          <w:sz w:val="24"/>
        </w:rPr>
        <w:t>既有建筑上增设或改造光伏发电系统时，应结合建筑的现状进行一体化设计和结构复核，不应破坏建筑的原有功能，充分利用现有条件，必要时可进行适当的改造，使光伏应用与建筑有机结合，满足功能、安全及相关的技术要求。</w:t>
      </w:r>
    </w:p>
    <w:p w14:paraId="6A23CD1E">
      <w:pPr>
        <w:snapToGrid w:val="0"/>
        <w:spacing w:line="300" w:lineRule="auto"/>
        <w:ind w:firstLine="480" w:firstLineChars="200"/>
        <w:jc w:val="left"/>
        <w:rPr>
          <w:rFonts w:hint="eastAsia" w:ascii="仿宋" w:hAnsi="仿宋" w:eastAsia="仿宋" w:cs="仿宋"/>
          <w:i/>
          <w:iCs/>
          <w:color w:val="0623BA"/>
          <w:sz w:val="24"/>
        </w:rPr>
      </w:pPr>
      <w:r>
        <w:rPr>
          <w:rFonts w:hint="eastAsia" w:ascii="仿宋" w:hAnsi="仿宋" w:eastAsia="仿宋" w:cs="仿宋"/>
          <w:i/>
          <w:iCs/>
          <w:color w:val="0623BA"/>
          <w:sz w:val="24"/>
        </w:rPr>
        <w:t>在既有建筑上增设或改造安装光伏发电系统时可能会影响光伏组件所在部位的使用功能和安全要求，本条强调安装光伏组件及管线时不应破坏外墙及屋面的保温、防水、防火、防雷等性能，破坏时必须及时修复，以保证建筑节能、建筑功能等不能影响。特别强调光伏组件或管线的设置不应影响建筑的防疏散通道，充分考虑线路的防火要求。</w:t>
      </w:r>
    </w:p>
    <w:p w14:paraId="3CC21216">
      <w:pPr>
        <w:keepNext/>
        <w:keepLines/>
        <w:snapToGrid w:val="0"/>
        <w:spacing w:before="72" w:beforeLines="30" w:after="72" w:afterLines="30" w:line="300" w:lineRule="auto"/>
        <w:jc w:val="center"/>
        <w:outlineLvl w:val="2"/>
        <w:rPr>
          <w:b/>
          <w:sz w:val="24"/>
          <w:szCs w:val="32"/>
        </w:rPr>
      </w:pPr>
      <w:bookmarkStart w:id="138" w:name="_Toc6589"/>
      <w:bookmarkStart w:id="139" w:name="_Toc26486"/>
      <w:bookmarkStart w:id="140" w:name="_Toc5950"/>
      <w:bookmarkStart w:id="141" w:name="_Toc3407"/>
      <w:bookmarkStart w:id="142" w:name="_Toc25761"/>
      <w:bookmarkStart w:id="143" w:name="_Toc17235"/>
      <w:bookmarkStart w:id="144" w:name="_Toc7921"/>
      <w:bookmarkStart w:id="145" w:name="_Toc30281"/>
      <w:r>
        <w:rPr>
          <w:b/>
          <w:sz w:val="24"/>
          <w:szCs w:val="32"/>
        </w:rPr>
        <w:t>5.</w:t>
      </w:r>
      <w:r>
        <w:rPr>
          <w:rFonts w:hint="default"/>
          <w:b/>
          <w:sz w:val="24"/>
          <w:szCs w:val="32"/>
          <w:lang w:val="en-US" w:eastAsia="zh-CN"/>
        </w:rPr>
        <w:t>3</w:t>
      </w:r>
      <w:r>
        <w:rPr>
          <w:b/>
          <w:sz w:val="24"/>
          <w:szCs w:val="32"/>
        </w:rPr>
        <w:t>组件</w:t>
      </w:r>
      <w:bookmarkEnd w:id="138"/>
      <w:bookmarkEnd w:id="139"/>
      <w:bookmarkEnd w:id="140"/>
      <w:bookmarkEnd w:id="141"/>
      <w:bookmarkEnd w:id="142"/>
      <w:bookmarkEnd w:id="143"/>
      <w:bookmarkEnd w:id="144"/>
      <w:bookmarkEnd w:id="145"/>
    </w:p>
    <w:p w14:paraId="15911F65">
      <w:pPr>
        <w:snapToGrid w:val="0"/>
        <w:spacing w:line="300" w:lineRule="auto"/>
        <w:jc w:val="left"/>
        <w:rPr>
          <w:rFonts w:hint="eastAsia"/>
          <w:sz w:val="24"/>
        </w:rPr>
      </w:pPr>
      <w:r>
        <w:rPr>
          <w:b/>
          <w:bCs/>
          <w:sz w:val="24"/>
        </w:rPr>
        <w:t>5.</w:t>
      </w:r>
      <w:r>
        <w:rPr>
          <w:rFonts w:hint="eastAsia"/>
          <w:b/>
          <w:bCs/>
          <w:sz w:val="24"/>
          <w:lang w:val="en-US" w:eastAsia="zh-CN"/>
        </w:rPr>
        <w:t>3</w:t>
      </w:r>
      <w:r>
        <w:rPr>
          <w:b/>
          <w:bCs/>
          <w:sz w:val="24"/>
        </w:rPr>
        <w:t>.1</w:t>
      </w:r>
      <w:r>
        <w:rPr>
          <w:rFonts w:hint="eastAsia"/>
          <w:b/>
          <w:bCs/>
          <w:sz w:val="24"/>
        </w:rPr>
        <w:t xml:space="preserve"> </w:t>
      </w:r>
      <w:r>
        <w:rPr>
          <w:sz w:val="24"/>
        </w:rPr>
        <w:t>光伏组件尺寸和形状的选择宜与建筑模数尺寸相协调且应符合现行国家标准《建筑模数协调标准》GB/T 50002的有关规定。</w:t>
      </w:r>
    </w:p>
    <w:p w14:paraId="554199D4">
      <w:pPr>
        <w:snapToGrid w:val="0"/>
        <w:spacing w:line="300" w:lineRule="auto"/>
        <w:jc w:val="left"/>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650F0838">
      <w:pPr>
        <w:snapToGrid w:val="0"/>
        <w:spacing w:line="300" w:lineRule="auto"/>
        <w:jc w:val="left"/>
        <w:rPr>
          <w:rFonts w:hint="eastAsia" w:ascii="仿宋" w:hAnsi="仿宋" w:eastAsia="仿宋" w:cs="仿宋"/>
          <w:i/>
          <w:iCs/>
          <w:color w:val="0623BA"/>
          <w:sz w:val="24"/>
        </w:rPr>
      </w:pPr>
      <w:r>
        <w:rPr>
          <w:rFonts w:hint="eastAsia" w:ascii="仿宋" w:hAnsi="仿宋" w:eastAsia="仿宋" w:cs="仿宋"/>
          <w:i/>
          <w:iCs/>
          <w:color w:val="0623BA"/>
          <w:sz w:val="24"/>
        </w:rPr>
        <w:t>5.</w:t>
      </w:r>
      <w:r>
        <w:rPr>
          <w:rFonts w:hint="eastAsia" w:ascii="仿宋" w:hAnsi="仿宋" w:eastAsia="仿宋" w:cs="仿宋"/>
          <w:i/>
          <w:iCs/>
          <w:color w:val="0623BA"/>
          <w:sz w:val="24"/>
          <w:lang w:val="en-US" w:eastAsia="zh-CN"/>
        </w:rPr>
        <w:t>3</w:t>
      </w:r>
      <w:r>
        <w:rPr>
          <w:rFonts w:hint="eastAsia" w:ascii="仿宋" w:hAnsi="仿宋" w:eastAsia="仿宋" w:cs="仿宋"/>
          <w:i/>
          <w:iCs/>
          <w:color w:val="0623BA"/>
          <w:sz w:val="24"/>
        </w:rPr>
        <w:t>.1 晶硅电池在排列组合形成组件的设计中，会有爬电距离、最小电气间隙、串间距和片间距的要求，因此光伏构件尺寸应结合建筑围护结构板材分格尺寸、装配间隙、电池芯片尺寸和上述电气安装尺寸进行专门设计，确定电气参数。</w:t>
      </w:r>
    </w:p>
    <w:p w14:paraId="0300E837">
      <w:pPr>
        <w:snapToGrid w:val="0"/>
        <w:spacing w:line="300" w:lineRule="auto"/>
        <w:ind w:firstLine="480" w:firstLineChars="200"/>
        <w:jc w:val="left"/>
        <w:rPr>
          <w:rFonts w:hint="eastAsia" w:ascii="仿宋" w:hAnsi="仿宋" w:eastAsia="仿宋" w:cs="仿宋"/>
          <w:i/>
          <w:iCs/>
          <w:color w:val="0623BA"/>
          <w:sz w:val="24"/>
        </w:rPr>
      </w:pPr>
      <w:r>
        <w:rPr>
          <w:rFonts w:hint="eastAsia" w:ascii="仿宋" w:hAnsi="仿宋" w:eastAsia="仿宋" w:cs="仿宋"/>
          <w:i/>
          <w:iCs/>
          <w:color w:val="0623BA"/>
          <w:sz w:val="24"/>
        </w:rPr>
        <w:t xml:space="preserve">在圆形或不规则形状屋顶或墙面安装光伏组件时，往往受到总面积和光伏组件回路模数的影响，此时，采用外形一致但无发电功能的光伏组件予以填充，此类光伏组件称为“装饰片”，其外形往往呈现不规则形状。除了充作“装饰片”的光伏组件不安装接线盒和单线外，其他部分的材料和制作工艺应一致。 </w:t>
      </w:r>
    </w:p>
    <w:p w14:paraId="7FFD532E">
      <w:pPr>
        <w:snapToGrid w:val="0"/>
        <w:spacing w:line="300" w:lineRule="auto"/>
        <w:jc w:val="left"/>
        <w:rPr>
          <w:sz w:val="24"/>
        </w:rPr>
      </w:pPr>
      <w:r>
        <w:rPr>
          <w:b/>
          <w:bCs/>
          <w:sz w:val="24"/>
        </w:rPr>
        <w:t>5.</w:t>
      </w:r>
      <w:r>
        <w:rPr>
          <w:rFonts w:hint="eastAsia"/>
          <w:b/>
          <w:bCs/>
          <w:sz w:val="24"/>
          <w:lang w:val="en-US" w:eastAsia="zh-CN"/>
        </w:rPr>
        <w:t>3</w:t>
      </w:r>
      <w:r>
        <w:rPr>
          <w:b/>
          <w:bCs/>
          <w:sz w:val="24"/>
        </w:rPr>
        <w:t>.2</w:t>
      </w:r>
      <w:r>
        <w:rPr>
          <w:rFonts w:hint="eastAsia"/>
          <w:sz w:val="24"/>
        </w:rPr>
        <w:t xml:space="preserve"> </w:t>
      </w:r>
      <w:r>
        <w:rPr>
          <w:sz w:val="24"/>
        </w:rPr>
        <w:t>作为遮阳或采光构件的光伏组件设计应符合下列</w:t>
      </w:r>
      <w:r>
        <w:rPr>
          <w:rFonts w:hint="eastAsia"/>
          <w:sz w:val="24"/>
          <w:lang w:val="en-US" w:eastAsia="zh-CN"/>
        </w:rPr>
        <w:t>要求</w:t>
      </w:r>
      <w:r>
        <w:rPr>
          <w:sz w:val="24"/>
        </w:rPr>
        <w:t>：</w:t>
      </w:r>
    </w:p>
    <w:p w14:paraId="1E57E39D">
      <w:pPr>
        <w:snapToGrid w:val="0"/>
        <w:spacing w:line="300" w:lineRule="auto"/>
        <w:ind w:firstLine="482" w:firstLineChars="200"/>
        <w:jc w:val="left"/>
        <w:rPr>
          <w:sz w:val="24"/>
        </w:rPr>
      </w:pPr>
      <w:r>
        <w:rPr>
          <w:b/>
          <w:bCs/>
          <w:sz w:val="24"/>
        </w:rPr>
        <w:t>1</w:t>
      </w:r>
      <w:r>
        <w:rPr>
          <w:rFonts w:hint="eastAsia"/>
          <w:sz w:val="24"/>
          <w:lang w:val="en-US" w:eastAsia="zh-CN"/>
        </w:rPr>
        <w:t xml:space="preserve"> </w:t>
      </w:r>
      <w:r>
        <w:rPr>
          <w:sz w:val="24"/>
        </w:rPr>
        <w:t>光伏组件应符合现行国家标准《建筑采光设计标准》GB 50033的有关规定</w:t>
      </w:r>
      <w:r>
        <w:rPr>
          <w:rFonts w:hint="eastAsia"/>
          <w:sz w:val="24"/>
          <w:lang w:val="en-US" w:eastAsia="zh-CN"/>
        </w:rPr>
        <w:t>及</w:t>
      </w:r>
      <w:r>
        <w:rPr>
          <w:rFonts w:hint="eastAsia"/>
          <w:sz w:val="24"/>
        </w:rPr>
        <w:t>《建筑环境通用规范》GB</w:t>
      </w:r>
      <w:r>
        <w:rPr>
          <w:rFonts w:hint="eastAsia"/>
          <w:sz w:val="24"/>
          <w:lang w:val="en-US" w:eastAsia="zh-CN"/>
        </w:rPr>
        <w:t xml:space="preserve"> </w:t>
      </w:r>
      <w:r>
        <w:rPr>
          <w:rFonts w:hint="eastAsia"/>
          <w:sz w:val="24"/>
        </w:rPr>
        <w:t>55016-2021</w:t>
      </w:r>
      <w:r>
        <w:rPr>
          <w:rFonts w:hint="eastAsia"/>
          <w:sz w:val="24"/>
          <w:lang w:val="en-US" w:eastAsia="zh-CN"/>
        </w:rPr>
        <w:t>中</w:t>
      </w:r>
      <w:r>
        <w:rPr>
          <w:rFonts w:hint="eastAsia"/>
          <w:sz w:val="24"/>
        </w:rPr>
        <w:t>3</w:t>
      </w:r>
      <w:r>
        <w:rPr>
          <w:sz w:val="24"/>
        </w:rPr>
        <w:t>.1.4</w:t>
      </w:r>
      <w:r>
        <w:rPr>
          <w:rFonts w:hint="eastAsia"/>
          <w:sz w:val="24"/>
        </w:rPr>
        <w:t>和3</w:t>
      </w:r>
      <w:r>
        <w:rPr>
          <w:sz w:val="24"/>
        </w:rPr>
        <w:t>.2.7</w:t>
      </w:r>
      <w:r>
        <w:rPr>
          <w:rFonts w:hint="eastAsia"/>
          <w:sz w:val="24"/>
        </w:rPr>
        <w:t>的条文要求</w:t>
      </w:r>
      <w:r>
        <w:rPr>
          <w:sz w:val="24"/>
        </w:rPr>
        <w:t>；</w:t>
      </w:r>
    </w:p>
    <w:p w14:paraId="2000E26F">
      <w:pPr>
        <w:snapToGrid w:val="0"/>
        <w:spacing w:line="300" w:lineRule="auto"/>
        <w:ind w:firstLine="482" w:firstLineChars="200"/>
        <w:jc w:val="left"/>
        <w:rPr>
          <w:sz w:val="24"/>
        </w:rPr>
      </w:pPr>
      <w:r>
        <w:rPr>
          <w:b/>
          <w:bCs/>
          <w:sz w:val="24"/>
        </w:rPr>
        <w:t>2</w:t>
      </w:r>
      <w:r>
        <w:rPr>
          <w:rFonts w:hint="eastAsia"/>
          <w:sz w:val="24"/>
          <w:lang w:val="en-US" w:eastAsia="zh-CN"/>
        </w:rPr>
        <w:t xml:space="preserve"> </w:t>
      </w:r>
      <w:r>
        <w:rPr>
          <w:sz w:val="24"/>
        </w:rPr>
        <w:t>作为遮阳构件的光伏组件应符合室内采光</w:t>
      </w:r>
      <w:r>
        <w:rPr>
          <w:rFonts w:hint="eastAsia"/>
          <w:sz w:val="24"/>
          <w:lang w:eastAsia="zh-CN"/>
        </w:rPr>
        <w:t>、</w:t>
      </w:r>
      <w:r>
        <w:rPr>
          <w:sz w:val="24"/>
        </w:rPr>
        <w:t>日照</w:t>
      </w:r>
      <w:r>
        <w:rPr>
          <w:rFonts w:hint="eastAsia"/>
          <w:sz w:val="24"/>
          <w:lang w:val="en-US" w:eastAsia="zh-CN"/>
        </w:rPr>
        <w:t>和</w:t>
      </w:r>
      <w:r>
        <w:rPr>
          <w:sz w:val="24"/>
        </w:rPr>
        <w:t>遮阳系数的要求；</w:t>
      </w:r>
    </w:p>
    <w:p w14:paraId="7BD2B3FD">
      <w:pPr>
        <w:snapToGrid w:val="0"/>
        <w:spacing w:line="300" w:lineRule="auto"/>
        <w:ind w:firstLine="482" w:firstLineChars="200"/>
        <w:jc w:val="left"/>
        <w:rPr>
          <w:sz w:val="24"/>
        </w:rPr>
      </w:pPr>
      <w:r>
        <w:rPr>
          <w:b/>
          <w:bCs/>
          <w:sz w:val="24"/>
        </w:rPr>
        <w:t>3</w:t>
      </w:r>
      <w:r>
        <w:rPr>
          <w:rFonts w:hint="eastAsia"/>
          <w:sz w:val="24"/>
          <w:lang w:val="en-US" w:eastAsia="zh-CN"/>
        </w:rPr>
        <w:t xml:space="preserve"> </w:t>
      </w:r>
      <w:r>
        <w:rPr>
          <w:sz w:val="24"/>
        </w:rPr>
        <w:t>光伏窗应符合采光、通风、观景等使用功能的要求；</w:t>
      </w:r>
    </w:p>
    <w:p w14:paraId="7FCBB29A">
      <w:pPr>
        <w:snapToGrid w:val="0"/>
        <w:spacing w:line="300" w:lineRule="auto"/>
        <w:ind w:firstLine="482" w:firstLineChars="200"/>
        <w:jc w:val="left"/>
        <w:rPr>
          <w:sz w:val="24"/>
        </w:rPr>
      </w:pPr>
      <w:r>
        <w:rPr>
          <w:b/>
          <w:bCs/>
          <w:sz w:val="24"/>
        </w:rPr>
        <w:t>4</w:t>
      </w:r>
      <w:r>
        <w:rPr>
          <w:rFonts w:hint="eastAsia"/>
          <w:sz w:val="24"/>
          <w:lang w:val="en-US" w:eastAsia="zh-CN"/>
        </w:rPr>
        <w:t xml:space="preserve"> </w:t>
      </w:r>
      <w:r>
        <w:rPr>
          <w:sz w:val="24"/>
        </w:rPr>
        <w:t>用于建筑透光区域的光伏组件，其接线盒不应影响室内采光。</w:t>
      </w:r>
    </w:p>
    <w:p w14:paraId="3BFABEE6">
      <w:pPr>
        <w:snapToGrid w:val="0"/>
        <w:spacing w:line="300" w:lineRule="auto"/>
        <w:jc w:val="left"/>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2BF021B4">
      <w:pPr>
        <w:snapToGrid w:val="0"/>
        <w:spacing w:line="300" w:lineRule="auto"/>
        <w:jc w:val="left"/>
        <w:rPr>
          <w:rFonts w:hint="eastAsia" w:ascii="仿宋" w:hAnsi="仿宋" w:eastAsia="仿宋" w:cs="仿宋"/>
          <w:i/>
          <w:iCs/>
          <w:color w:val="0623BA"/>
          <w:sz w:val="24"/>
        </w:rPr>
      </w:pPr>
      <w:r>
        <w:rPr>
          <w:rFonts w:hint="eastAsia" w:ascii="仿宋" w:hAnsi="仿宋" w:eastAsia="仿宋" w:cs="仿宋"/>
          <w:i/>
          <w:iCs/>
          <w:color w:val="0623BA"/>
          <w:sz w:val="24"/>
        </w:rPr>
        <w:t>5.</w:t>
      </w:r>
      <w:r>
        <w:rPr>
          <w:rFonts w:hint="eastAsia" w:ascii="仿宋" w:hAnsi="仿宋" w:eastAsia="仿宋" w:cs="仿宋"/>
          <w:i/>
          <w:iCs/>
          <w:color w:val="0623BA"/>
          <w:sz w:val="24"/>
          <w:lang w:val="en-US" w:eastAsia="zh-CN"/>
        </w:rPr>
        <w:t>3</w:t>
      </w:r>
      <w:r>
        <w:rPr>
          <w:rFonts w:hint="eastAsia" w:ascii="仿宋" w:hAnsi="仿宋" w:eastAsia="仿宋" w:cs="仿宋"/>
          <w:i/>
          <w:iCs/>
          <w:color w:val="0623BA"/>
          <w:sz w:val="24"/>
        </w:rPr>
        <w:t>.2 在建筑透光区域设置</w:t>
      </w:r>
      <w:r>
        <w:rPr>
          <w:rFonts w:hint="eastAsia" w:ascii="仿宋" w:hAnsi="仿宋" w:eastAsia="仿宋" w:cs="仿宋"/>
          <w:i/>
          <w:iCs/>
          <w:color w:val="0623BA"/>
          <w:sz w:val="24"/>
          <w:lang w:val="en-US" w:eastAsia="zh-CN"/>
        </w:rPr>
        <w:t>光伏组件</w:t>
      </w:r>
      <w:r>
        <w:rPr>
          <w:rFonts w:hint="eastAsia" w:ascii="仿宋" w:hAnsi="仿宋" w:eastAsia="仿宋" w:cs="仿宋"/>
          <w:i/>
          <w:iCs/>
          <w:color w:val="0623BA"/>
          <w:sz w:val="24"/>
        </w:rPr>
        <w:t>建筑物的</w:t>
      </w:r>
      <w:r>
        <w:rPr>
          <w:rFonts w:hint="eastAsia" w:ascii="仿宋" w:hAnsi="仿宋" w:eastAsia="仿宋" w:cs="仿宋"/>
          <w:i/>
          <w:iCs/>
          <w:color w:val="0623BA"/>
          <w:sz w:val="24"/>
          <w:lang w:val="en-US" w:eastAsia="zh-CN"/>
        </w:rPr>
        <w:t>采</w:t>
      </w:r>
      <w:r>
        <w:rPr>
          <w:rFonts w:hint="eastAsia" w:ascii="仿宋" w:hAnsi="仿宋" w:eastAsia="仿宋" w:cs="仿宋"/>
          <w:i/>
          <w:iCs/>
          <w:color w:val="0623BA"/>
          <w:sz w:val="24"/>
        </w:rPr>
        <w:t>光设计必须符合现行国家标准《建筑采光设计标准》GB 50033 的采光要求。普通光伏组件所用布纹超白钢化玻璃具有阻挡视线的作用。安装在观光处的光伏组件应采用光面超白钢化玻璃制作高透光率双玻光伏组件。为了节约成本，高透光率双玻光伏组件背面的玻璃可以采用普通光面钢化玻璃。</w:t>
      </w:r>
    </w:p>
    <w:p w14:paraId="300D8247">
      <w:pPr>
        <w:snapToGrid w:val="0"/>
        <w:spacing w:line="300" w:lineRule="auto"/>
        <w:ind w:firstLine="480" w:firstLineChars="200"/>
        <w:jc w:val="left"/>
        <w:rPr>
          <w:rFonts w:hint="eastAsia" w:ascii="仿宋" w:hAnsi="仿宋" w:eastAsia="仿宋" w:cs="仿宋"/>
          <w:i/>
          <w:iCs/>
          <w:color w:val="0623BA"/>
          <w:sz w:val="24"/>
        </w:rPr>
      </w:pPr>
      <w:r>
        <w:rPr>
          <w:rFonts w:hint="eastAsia" w:ascii="仿宋" w:hAnsi="仿宋" w:eastAsia="仿宋" w:cs="仿宋"/>
          <w:i/>
          <w:iCs/>
          <w:color w:val="0623BA"/>
          <w:sz w:val="24"/>
        </w:rPr>
        <w:t>普通光伏组件的接线盒一般粘在背面，接线盒较大，影响美观。因此设计时应将接线盒设置在边角处或隐藏起来。旁路二极管没有了接线盒的保护，要考虑采用其他方法来保护，可将旁路二极管和连接电缆线隐藏在幕墙骨架结构或线槽中，避免阳光直射和雨水侵蚀。</w:t>
      </w:r>
    </w:p>
    <w:p w14:paraId="0DF09940">
      <w:pPr>
        <w:snapToGrid w:val="0"/>
        <w:spacing w:line="300" w:lineRule="auto"/>
        <w:ind w:firstLine="480" w:firstLineChars="200"/>
        <w:jc w:val="left"/>
        <w:rPr>
          <w:rFonts w:hint="eastAsia" w:ascii="仿宋" w:hAnsi="仿宋" w:eastAsia="仿宋" w:cs="仿宋"/>
          <w:i/>
          <w:iCs/>
          <w:color w:val="0623BA"/>
          <w:sz w:val="24"/>
        </w:rPr>
      </w:pPr>
      <w:r>
        <w:rPr>
          <w:rFonts w:hint="eastAsia" w:ascii="仿宋" w:hAnsi="仿宋" w:eastAsia="仿宋" w:cs="仿宋"/>
          <w:i/>
          <w:iCs/>
          <w:color w:val="0623BA"/>
          <w:sz w:val="24"/>
        </w:rPr>
        <w:t>建材型光伏构件的透光率可通过调整晶体硅太阳电池的间距进行控制，也可通过对</w:t>
      </w:r>
      <w:r>
        <w:rPr>
          <w:rFonts w:hint="eastAsia" w:ascii="仿宋" w:hAnsi="仿宋" w:eastAsia="仿宋" w:cs="仿宋"/>
          <w:i/>
          <w:iCs/>
          <w:color w:val="0623BA"/>
          <w:sz w:val="24"/>
          <w:lang w:val="en-US" w:eastAsia="zh-CN"/>
        </w:rPr>
        <w:t>晶</w:t>
      </w:r>
      <w:r>
        <w:rPr>
          <w:rFonts w:hint="eastAsia" w:ascii="仿宋" w:hAnsi="仿宋" w:eastAsia="仿宋" w:cs="仿宋"/>
          <w:i/>
          <w:iCs/>
          <w:color w:val="0623BA"/>
          <w:sz w:val="24"/>
        </w:rPr>
        <w:t>体硅太阳电池激光打孔</w:t>
      </w:r>
      <w:r>
        <w:rPr>
          <w:rFonts w:hint="eastAsia" w:ascii="仿宋" w:hAnsi="仿宋" w:eastAsia="仿宋" w:cs="仿宋"/>
          <w:i/>
          <w:iCs/>
          <w:color w:val="0623BA"/>
          <w:sz w:val="24"/>
          <w:lang w:val="en-US" w:eastAsia="zh-CN"/>
        </w:rPr>
        <w:t>获</w:t>
      </w:r>
      <w:r>
        <w:rPr>
          <w:rFonts w:hint="eastAsia" w:ascii="仿宋" w:hAnsi="仿宋" w:eastAsia="仿宋" w:cs="仿宋"/>
          <w:i/>
          <w:iCs/>
          <w:color w:val="0623BA"/>
          <w:sz w:val="24"/>
        </w:rPr>
        <w:t>得透光效果。</w:t>
      </w:r>
    </w:p>
    <w:p w14:paraId="768B5FD7">
      <w:pPr>
        <w:snapToGrid w:val="0"/>
        <w:spacing w:line="300" w:lineRule="auto"/>
        <w:ind w:firstLine="480" w:firstLineChars="200"/>
        <w:jc w:val="left"/>
        <w:rPr>
          <w:rFonts w:hint="eastAsia" w:ascii="仿宋" w:hAnsi="仿宋" w:eastAsia="仿宋" w:cs="仿宋"/>
          <w:i/>
          <w:iCs/>
          <w:color w:val="0623BA"/>
          <w:sz w:val="24"/>
        </w:rPr>
      </w:pPr>
      <w:r>
        <w:rPr>
          <w:rFonts w:hint="eastAsia" w:ascii="仿宋" w:hAnsi="仿宋" w:eastAsia="仿宋" w:cs="仿宋"/>
          <w:i/>
          <w:iCs/>
          <w:color w:val="0623BA"/>
          <w:sz w:val="24"/>
          <w:lang w:val="en-US" w:eastAsia="zh-CN"/>
        </w:rPr>
        <w:t>光伏组件应符合</w:t>
      </w:r>
      <w:r>
        <w:rPr>
          <w:rFonts w:hint="eastAsia" w:ascii="仿宋" w:hAnsi="仿宋" w:eastAsia="仿宋" w:cs="仿宋"/>
          <w:i/>
          <w:iCs/>
          <w:color w:val="0623BA"/>
          <w:sz w:val="24"/>
        </w:rPr>
        <w:t>《建筑环境通用规范》GB</w:t>
      </w:r>
      <w:r>
        <w:rPr>
          <w:rFonts w:hint="eastAsia" w:ascii="仿宋" w:hAnsi="仿宋" w:eastAsia="仿宋" w:cs="仿宋"/>
          <w:i/>
          <w:iCs/>
          <w:color w:val="0623BA"/>
          <w:sz w:val="24"/>
          <w:lang w:val="en-US" w:eastAsia="zh-CN"/>
        </w:rPr>
        <w:t xml:space="preserve"> </w:t>
      </w:r>
      <w:r>
        <w:rPr>
          <w:rFonts w:hint="eastAsia" w:ascii="仿宋" w:hAnsi="仿宋" w:eastAsia="仿宋" w:cs="仿宋"/>
          <w:i/>
          <w:iCs/>
          <w:color w:val="0623BA"/>
          <w:sz w:val="24"/>
        </w:rPr>
        <w:t>55016-2021</w:t>
      </w:r>
      <w:r>
        <w:rPr>
          <w:rFonts w:hint="eastAsia" w:ascii="仿宋" w:hAnsi="仿宋" w:eastAsia="仿宋" w:cs="仿宋"/>
          <w:i/>
          <w:iCs/>
          <w:color w:val="0623BA"/>
          <w:sz w:val="24"/>
          <w:lang w:val="en-US" w:eastAsia="zh-CN"/>
        </w:rPr>
        <w:t>中</w:t>
      </w:r>
      <w:r>
        <w:rPr>
          <w:rFonts w:hint="eastAsia" w:ascii="仿宋" w:hAnsi="仿宋" w:eastAsia="仿宋" w:cs="仿宋"/>
          <w:i/>
          <w:iCs/>
          <w:color w:val="0623BA"/>
          <w:sz w:val="24"/>
        </w:rPr>
        <w:t>3.1.4和3.2.7的条文要求</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对人员可触及的光环境设施，当表面温度高于70℃时，应采取隔离保护措施。光伏系统散热良好的情况下，正常工作温度会在45℃左右，背面绝热正面散热良好的情况下，正常工作温度会在60℃左右，但背面不散热甚至聚热的情况下，背板温度会达到85℃</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甚至100℃以上。因此散热措施和隔离保护措施应至少考虑一项。主要功能房间采光窗的颜色透射指数不应低于80。透光部分设计为透光性薄膜光伏构件，需提供颜色透射指数检测报告。</w:t>
      </w:r>
    </w:p>
    <w:p w14:paraId="5F4675FC">
      <w:pPr>
        <w:snapToGrid w:val="0"/>
        <w:spacing w:line="300" w:lineRule="auto"/>
        <w:jc w:val="left"/>
        <w:rPr>
          <w:sz w:val="24"/>
        </w:rPr>
      </w:pPr>
      <w:r>
        <w:rPr>
          <w:b/>
          <w:bCs/>
          <w:sz w:val="24"/>
        </w:rPr>
        <w:t>5.</w:t>
      </w:r>
      <w:r>
        <w:rPr>
          <w:rFonts w:hint="eastAsia"/>
          <w:b/>
          <w:bCs/>
          <w:sz w:val="24"/>
          <w:lang w:val="en-US" w:eastAsia="zh-CN"/>
        </w:rPr>
        <w:t>3</w:t>
      </w:r>
      <w:r>
        <w:rPr>
          <w:b/>
          <w:bCs/>
          <w:sz w:val="24"/>
        </w:rPr>
        <w:t>.3</w:t>
      </w:r>
      <w:r>
        <w:rPr>
          <w:rFonts w:hint="eastAsia"/>
          <w:sz w:val="24"/>
        </w:rPr>
        <w:t xml:space="preserve"> </w:t>
      </w:r>
      <w:r>
        <w:rPr>
          <w:sz w:val="24"/>
        </w:rPr>
        <w:t>光伏组件表面色彩选择应符合下列</w:t>
      </w:r>
      <w:r>
        <w:rPr>
          <w:rFonts w:hint="eastAsia"/>
          <w:sz w:val="24"/>
          <w:lang w:val="en-US" w:eastAsia="zh-CN"/>
        </w:rPr>
        <w:t>要求</w:t>
      </w:r>
      <w:r>
        <w:rPr>
          <w:sz w:val="24"/>
        </w:rPr>
        <w:t>：</w:t>
      </w:r>
    </w:p>
    <w:p w14:paraId="241EFEA8">
      <w:pPr>
        <w:snapToGrid w:val="0"/>
        <w:spacing w:line="300" w:lineRule="auto"/>
        <w:ind w:firstLine="482" w:firstLineChars="200"/>
        <w:jc w:val="left"/>
        <w:rPr>
          <w:sz w:val="24"/>
        </w:rPr>
      </w:pPr>
      <w:r>
        <w:rPr>
          <w:b/>
          <w:bCs/>
          <w:sz w:val="24"/>
        </w:rPr>
        <w:t>1</w:t>
      </w:r>
      <w:r>
        <w:rPr>
          <w:rFonts w:hint="eastAsia"/>
          <w:b/>
          <w:bCs/>
          <w:sz w:val="24"/>
          <w:lang w:val="en-US" w:eastAsia="zh-CN"/>
        </w:rPr>
        <w:t xml:space="preserve"> </w:t>
      </w:r>
      <w:r>
        <w:rPr>
          <w:sz w:val="24"/>
        </w:rPr>
        <w:t>光伏组件的色彩应与建筑整体色调相匹配；</w:t>
      </w:r>
    </w:p>
    <w:p w14:paraId="051A79B7">
      <w:pPr>
        <w:snapToGrid w:val="0"/>
        <w:spacing w:line="300" w:lineRule="auto"/>
        <w:ind w:firstLine="482" w:firstLineChars="200"/>
        <w:jc w:val="left"/>
        <w:rPr>
          <w:sz w:val="24"/>
        </w:rPr>
      </w:pPr>
      <w:r>
        <w:rPr>
          <w:b/>
          <w:bCs/>
          <w:sz w:val="24"/>
        </w:rPr>
        <w:t>2</w:t>
      </w:r>
      <w:r>
        <w:rPr>
          <w:rFonts w:hint="eastAsia"/>
          <w:b/>
          <w:bCs/>
          <w:sz w:val="24"/>
          <w:lang w:val="en-US" w:eastAsia="zh-CN"/>
        </w:rPr>
        <w:t xml:space="preserve"> </w:t>
      </w:r>
      <w:r>
        <w:rPr>
          <w:sz w:val="24"/>
        </w:rPr>
        <w:t>光伏组件边框的颜色应与光伏电池的色彩及建筑整体设计相匹配；</w:t>
      </w:r>
    </w:p>
    <w:p w14:paraId="54B6468A">
      <w:pPr>
        <w:snapToGrid w:val="0"/>
        <w:spacing w:line="300" w:lineRule="auto"/>
        <w:ind w:firstLine="482" w:firstLineChars="200"/>
        <w:jc w:val="left"/>
        <w:rPr>
          <w:sz w:val="24"/>
        </w:rPr>
      </w:pPr>
      <w:r>
        <w:rPr>
          <w:b/>
          <w:bCs/>
          <w:sz w:val="24"/>
        </w:rPr>
        <w:t>3</w:t>
      </w:r>
      <w:r>
        <w:rPr>
          <w:rFonts w:hint="eastAsia"/>
          <w:b/>
          <w:bCs/>
          <w:sz w:val="24"/>
          <w:lang w:val="en-US" w:eastAsia="zh-CN"/>
        </w:rPr>
        <w:t xml:space="preserve"> </w:t>
      </w:r>
      <w:r>
        <w:rPr>
          <w:sz w:val="24"/>
        </w:rPr>
        <w:t>对色彩有特殊要求的光伏组件，应根据设计要求确定。</w:t>
      </w:r>
    </w:p>
    <w:p w14:paraId="03B2CB5C">
      <w:pPr>
        <w:snapToGrid w:val="0"/>
        <w:spacing w:line="300" w:lineRule="auto"/>
        <w:jc w:val="left"/>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1FF1D7A7">
      <w:pPr>
        <w:snapToGrid w:val="0"/>
        <w:spacing w:line="300" w:lineRule="auto"/>
        <w:jc w:val="left"/>
        <w:rPr>
          <w:rFonts w:ascii="仿宋" w:hAnsi="仿宋" w:eastAsia="仿宋" w:cs="仿宋"/>
          <w:i/>
          <w:iCs/>
          <w:color w:val="0623BA"/>
          <w:sz w:val="24"/>
        </w:rPr>
      </w:pPr>
      <w:r>
        <w:rPr>
          <w:rFonts w:hint="eastAsia" w:ascii="仿宋" w:hAnsi="仿宋" w:eastAsia="仿宋" w:cs="仿宋"/>
          <w:i/>
          <w:iCs/>
          <w:color w:val="0623BA"/>
          <w:sz w:val="24"/>
        </w:rPr>
        <w:t>5.</w:t>
      </w:r>
      <w:r>
        <w:rPr>
          <w:rFonts w:hint="eastAsia" w:ascii="仿宋" w:hAnsi="仿宋" w:eastAsia="仿宋" w:cs="仿宋"/>
          <w:i/>
          <w:iCs/>
          <w:color w:val="0623BA"/>
          <w:sz w:val="24"/>
          <w:lang w:val="en-US" w:eastAsia="zh-CN"/>
        </w:rPr>
        <w:t>3</w:t>
      </w:r>
      <w:r>
        <w:rPr>
          <w:rFonts w:hint="eastAsia" w:ascii="仿宋" w:hAnsi="仿宋" w:eastAsia="仿宋" w:cs="仿宋"/>
          <w:i/>
          <w:iCs/>
          <w:color w:val="0623BA"/>
          <w:sz w:val="24"/>
        </w:rPr>
        <w:t xml:space="preserve">.3 </w:t>
      </w:r>
      <w:r>
        <w:rPr>
          <w:rFonts w:ascii="仿宋" w:hAnsi="仿宋" w:eastAsia="仿宋" w:cs="仿宋"/>
          <w:i/>
          <w:iCs/>
          <w:color w:val="0623BA"/>
          <w:sz w:val="24"/>
        </w:rPr>
        <w:t>光伏组件的色彩可通过调整背板玻璃的颜色和花纹来达到色彩一致的要求或其他建筑效果的要求。</w:t>
      </w:r>
    </w:p>
    <w:p w14:paraId="042E62A0">
      <w:pPr>
        <w:snapToGrid w:val="0"/>
        <w:spacing w:line="300" w:lineRule="auto"/>
        <w:ind w:firstLine="0" w:firstLineChars="0"/>
        <w:jc w:val="left"/>
        <w:rPr>
          <w:rFonts w:hint="default"/>
          <w:b w:val="0"/>
          <w:bCs w:val="0"/>
          <w:sz w:val="24"/>
        </w:rPr>
      </w:pPr>
      <w:bookmarkStart w:id="146" w:name="_Toc65528725"/>
      <w:bookmarkStart w:id="147" w:name="_Toc65535140"/>
      <w:r>
        <w:rPr>
          <w:rFonts w:hint="default"/>
          <w:b/>
          <w:bCs/>
          <w:sz w:val="24"/>
        </w:rPr>
        <w:t>5</w:t>
      </w:r>
      <w:r>
        <w:rPr>
          <w:b/>
          <w:bCs/>
          <w:sz w:val="24"/>
        </w:rPr>
        <w:t>.3.4</w:t>
      </w:r>
      <w:r>
        <w:rPr>
          <w:rFonts w:hint="eastAsia"/>
          <w:b w:val="0"/>
          <w:bCs w:val="0"/>
          <w:sz w:val="24"/>
          <w:lang w:val="en-US" w:eastAsia="zh-CN"/>
        </w:rPr>
        <w:t xml:space="preserve"> </w:t>
      </w:r>
      <w:r>
        <w:rPr>
          <w:b w:val="0"/>
          <w:bCs w:val="0"/>
          <w:sz w:val="24"/>
        </w:rPr>
        <w:t>光伏构件</w:t>
      </w:r>
      <w:r>
        <w:rPr>
          <w:rFonts w:hint="default"/>
          <w:b w:val="0"/>
          <w:bCs w:val="0"/>
          <w:sz w:val="24"/>
        </w:rPr>
        <w:t>面板玻璃应选用超白钢化玻璃，其余层</w:t>
      </w:r>
      <w:r>
        <w:rPr>
          <w:b w:val="0"/>
          <w:bCs w:val="0"/>
          <w:sz w:val="24"/>
        </w:rPr>
        <w:t>普通钢化玻璃宜经过均质化处理</w:t>
      </w:r>
      <w:bookmarkEnd w:id="146"/>
      <w:bookmarkEnd w:id="147"/>
      <w:r>
        <w:rPr>
          <w:rFonts w:hint="default"/>
          <w:b w:val="0"/>
          <w:bCs w:val="0"/>
          <w:sz w:val="24"/>
        </w:rPr>
        <w:t>，各层玻璃应满足</w:t>
      </w:r>
      <w:r>
        <w:rPr>
          <w:b w:val="0"/>
          <w:bCs w:val="0"/>
          <w:sz w:val="24"/>
        </w:rPr>
        <w:t>《建筑玻璃应用技术规程》JGJ 113</w:t>
      </w:r>
      <w:r>
        <w:rPr>
          <w:rFonts w:hint="default"/>
          <w:b w:val="0"/>
          <w:bCs w:val="0"/>
          <w:sz w:val="24"/>
        </w:rPr>
        <w:t>的相关要求。</w:t>
      </w:r>
    </w:p>
    <w:p w14:paraId="491378A7">
      <w:pPr>
        <w:snapToGrid w:val="0"/>
        <w:spacing w:line="300" w:lineRule="auto"/>
        <w:ind w:firstLine="0" w:firstLineChars="0"/>
        <w:jc w:val="left"/>
        <w:rPr>
          <w:rFonts w:hint="default"/>
          <w:b w:val="0"/>
          <w:bCs w:val="0"/>
          <w:sz w:val="24"/>
        </w:rPr>
      </w:pPr>
      <w:bookmarkStart w:id="148" w:name="_Toc65535141"/>
      <w:bookmarkStart w:id="149" w:name="_Toc65528726"/>
      <w:r>
        <w:rPr>
          <w:rFonts w:hint="default"/>
          <w:b/>
          <w:bCs/>
          <w:sz w:val="24"/>
        </w:rPr>
        <w:t>5</w:t>
      </w:r>
      <w:r>
        <w:rPr>
          <w:b/>
          <w:bCs/>
          <w:sz w:val="24"/>
        </w:rPr>
        <w:t>.3.5</w:t>
      </w:r>
      <w:r>
        <w:rPr>
          <w:rFonts w:hint="eastAsia"/>
          <w:b w:val="0"/>
          <w:bCs w:val="0"/>
          <w:sz w:val="24"/>
          <w:lang w:val="en-US" w:eastAsia="zh-CN"/>
        </w:rPr>
        <w:t xml:space="preserve"> </w:t>
      </w:r>
      <w:r>
        <w:rPr>
          <w:b w:val="0"/>
          <w:bCs w:val="0"/>
          <w:sz w:val="24"/>
        </w:rPr>
        <w:t>夹胶光伏构件的胶片层应满足强度和耐候要求</w:t>
      </w:r>
      <w:r>
        <w:rPr>
          <w:rFonts w:hint="default"/>
          <w:b w:val="0"/>
          <w:bCs w:val="0"/>
          <w:sz w:val="24"/>
        </w:rPr>
        <w:t>，</w:t>
      </w:r>
      <w:bookmarkEnd w:id="148"/>
      <w:bookmarkEnd w:id="149"/>
      <w:bookmarkStart w:id="150" w:name="_Toc65528727"/>
      <w:bookmarkStart w:id="151" w:name="_Toc65535142"/>
      <w:r>
        <w:rPr>
          <w:b w:val="0"/>
          <w:bCs w:val="0"/>
          <w:sz w:val="24"/>
        </w:rPr>
        <w:t>厚度选择应符合建筑安全</w:t>
      </w:r>
      <w:r>
        <w:rPr>
          <w:rFonts w:hint="default"/>
          <w:b w:val="0"/>
          <w:bCs w:val="0"/>
          <w:sz w:val="24"/>
        </w:rPr>
        <w:t>和耐候</w:t>
      </w:r>
      <w:r>
        <w:rPr>
          <w:b w:val="0"/>
          <w:bCs w:val="0"/>
          <w:sz w:val="24"/>
        </w:rPr>
        <w:t>要求</w:t>
      </w:r>
      <w:r>
        <w:rPr>
          <w:rFonts w:hint="default"/>
          <w:b w:val="0"/>
          <w:bCs w:val="0"/>
          <w:sz w:val="24"/>
        </w:rPr>
        <w:t>。</w:t>
      </w:r>
      <w:r>
        <w:rPr>
          <w:b w:val="0"/>
          <w:bCs w:val="0"/>
          <w:sz w:val="24"/>
        </w:rPr>
        <w:t>PVB</w:t>
      </w:r>
      <w:r>
        <w:rPr>
          <w:rFonts w:hint="default"/>
          <w:b w:val="0"/>
          <w:bCs w:val="0"/>
          <w:sz w:val="24"/>
        </w:rPr>
        <w:t>、SGP单边</w:t>
      </w:r>
      <w:r>
        <w:rPr>
          <w:b w:val="0"/>
          <w:bCs w:val="0"/>
          <w:sz w:val="24"/>
        </w:rPr>
        <w:t>厚度选用准则</w:t>
      </w:r>
      <w:r>
        <w:rPr>
          <w:rFonts w:hint="default"/>
          <w:b w:val="0"/>
          <w:bCs w:val="0"/>
          <w:sz w:val="24"/>
        </w:rPr>
        <w:t>应符合表</w:t>
      </w:r>
      <w:r>
        <w:rPr>
          <w:rFonts w:hint="eastAsia"/>
          <w:b w:val="0"/>
          <w:bCs w:val="0"/>
          <w:sz w:val="24"/>
          <w:lang w:val="en-US" w:eastAsia="zh-CN"/>
        </w:rPr>
        <w:t>5.3.5</w:t>
      </w:r>
      <w:r>
        <w:rPr>
          <w:rFonts w:hint="default"/>
          <w:b w:val="0"/>
          <w:bCs w:val="0"/>
          <w:sz w:val="24"/>
        </w:rPr>
        <w:t>规定。</w:t>
      </w:r>
      <w:bookmarkEnd w:id="150"/>
      <w:bookmarkEnd w:id="151"/>
      <w:r>
        <w:rPr>
          <w:rFonts w:hint="default"/>
          <w:b w:val="0"/>
          <w:bCs w:val="0"/>
          <w:sz w:val="24"/>
        </w:rPr>
        <w:t>外露的光伏夹胶玻璃边缘应封边处理。</w:t>
      </w:r>
    </w:p>
    <w:p w14:paraId="4BA922F4">
      <w:pPr>
        <w:snapToGrid w:val="0"/>
        <w:spacing w:line="300" w:lineRule="auto"/>
        <w:ind w:firstLine="0" w:firstLineChars="0"/>
        <w:jc w:val="center"/>
        <w:rPr>
          <w:rFonts w:hint="default"/>
          <w:b/>
          <w:bCs/>
          <w:sz w:val="21"/>
          <w:szCs w:val="21"/>
        </w:rPr>
      </w:pPr>
      <w:r>
        <w:rPr>
          <w:rFonts w:hint="eastAsia"/>
          <w:b/>
          <w:bCs/>
          <w:sz w:val="21"/>
          <w:szCs w:val="21"/>
          <w:lang w:val="en-US" w:eastAsia="zh-CN"/>
        </w:rPr>
        <w:t xml:space="preserve">表5.3.5  </w:t>
      </w:r>
      <w:r>
        <w:rPr>
          <w:b/>
          <w:bCs/>
          <w:sz w:val="21"/>
          <w:szCs w:val="21"/>
        </w:rPr>
        <w:t>PVB</w:t>
      </w:r>
      <w:r>
        <w:rPr>
          <w:rFonts w:hint="default"/>
          <w:b/>
          <w:bCs/>
          <w:sz w:val="21"/>
          <w:szCs w:val="21"/>
        </w:rPr>
        <w:t>、SGP单边</w:t>
      </w:r>
      <w:r>
        <w:rPr>
          <w:b/>
          <w:bCs/>
          <w:sz w:val="21"/>
          <w:szCs w:val="21"/>
        </w:rPr>
        <w:t>厚度选用准则</w:t>
      </w:r>
    </w:p>
    <w:tbl>
      <w:tblPr>
        <w:tblStyle w:val="15"/>
        <w:tblW w:w="81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63"/>
        <w:gridCol w:w="1794"/>
        <w:gridCol w:w="2627"/>
        <w:gridCol w:w="1860"/>
      </w:tblGrid>
      <w:tr w14:paraId="39C68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1863" w:type="dxa"/>
            <w:vMerge w:val="restart"/>
            <w:vAlign w:val="center"/>
          </w:tcPr>
          <w:p w14:paraId="7F07E2D0">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钢化玻璃厚度（mm）</w:t>
            </w:r>
          </w:p>
        </w:tc>
        <w:tc>
          <w:tcPr>
            <w:tcW w:w="6281" w:type="dxa"/>
            <w:gridSpan w:val="3"/>
            <w:vAlign w:val="center"/>
          </w:tcPr>
          <w:p w14:paraId="6CF4C0D7">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PVB胶膜膜厚度（mm）</w:t>
            </w:r>
          </w:p>
        </w:tc>
      </w:tr>
      <w:tr w14:paraId="3AF52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1863" w:type="dxa"/>
            <w:vMerge w:val="continue"/>
            <w:vAlign w:val="center"/>
          </w:tcPr>
          <w:p w14:paraId="67B3F6ED">
            <w:pPr>
              <w:jc w:val="center"/>
              <w:rPr>
                <w:rFonts w:hint="default" w:ascii="Times New Roman" w:hAnsi="Times New Roman" w:eastAsia="宋体" w:cs="Times New Roman"/>
                <w:b/>
                <w:bCs/>
                <w:sz w:val="21"/>
                <w:szCs w:val="21"/>
              </w:rPr>
            </w:pPr>
          </w:p>
        </w:tc>
        <w:tc>
          <w:tcPr>
            <w:tcW w:w="1794" w:type="dxa"/>
            <w:vAlign w:val="center"/>
          </w:tcPr>
          <w:p w14:paraId="60C4C803">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短边</w:t>
            </w:r>
            <w:r>
              <w:rPr>
                <w:rFonts w:hint="eastAsia" w:ascii="宋体" w:hAnsi="宋体" w:eastAsia="宋体" w:cs="宋体"/>
                <w:b/>
                <w:bCs/>
                <w:sz w:val="21"/>
                <w:szCs w:val="21"/>
              </w:rPr>
              <w:t>≤</w:t>
            </w:r>
            <w:r>
              <w:rPr>
                <w:rFonts w:hint="default" w:ascii="Times New Roman" w:hAnsi="Times New Roman" w:eastAsia="宋体" w:cs="Times New Roman"/>
                <w:b/>
                <w:bCs/>
                <w:sz w:val="21"/>
                <w:szCs w:val="21"/>
              </w:rPr>
              <w:t>800 mm</w:t>
            </w:r>
          </w:p>
        </w:tc>
        <w:tc>
          <w:tcPr>
            <w:tcW w:w="2627" w:type="dxa"/>
            <w:vAlign w:val="center"/>
          </w:tcPr>
          <w:p w14:paraId="2B2336CF">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800 mm＜短边</w:t>
            </w:r>
            <w:r>
              <w:rPr>
                <w:rFonts w:hint="eastAsia" w:ascii="宋体" w:hAnsi="宋体" w:eastAsia="宋体" w:cs="宋体"/>
                <w:b/>
                <w:bCs/>
                <w:sz w:val="21"/>
                <w:szCs w:val="21"/>
              </w:rPr>
              <w:t>≤</w:t>
            </w:r>
            <w:r>
              <w:rPr>
                <w:rFonts w:hint="default" w:ascii="Times New Roman" w:hAnsi="Times New Roman" w:eastAsia="宋体" w:cs="Times New Roman"/>
                <w:b/>
                <w:bCs/>
                <w:sz w:val="21"/>
                <w:szCs w:val="21"/>
              </w:rPr>
              <w:t>1500 mm</w:t>
            </w:r>
          </w:p>
        </w:tc>
        <w:tc>
          <w:tcPr>
            <w:tcW w:w="1860" w:type="dxa"/>
            <w:vAlign w:val="center"/>
          </w:tcPr>
          <w:p w14:paraId="1D124193">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短边＞1500 mm</w:t>
            </w:r>
          </w:p>
        </w:tc>
      </w:tr>
      <w:tr w14:paraId="68FA8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1863" w:type="dxa"/>
            <w:vAlign w:val="center"/>
          </w:tcPr>
          <w:p w14:paraId="2183CEEB">
            <w:pPr>
              <w:jc w:val="center"/>
              <w:rPr>
                <w:rFonts w:hint="default" w:ascii="Times New Roman" w:hAnsi="Times New Roman" w:eastAsia="宋体" w:cs="Times New Roman"/>
                <w:sz w:val="21"/>
                <w:szCs w:val="21"/>
              </w:rPr>
            </w:pPr>
            <w:r>
              <w:rPr>
                <w:rFonts w:hint="eastAsia" w:ascii="宋体" w:hAnsi="宋体" w:eastAsia="宋体" w:cs="宋体"/>
                <w:b/>
                <w:bCs/>
                <w:sz w:val="21"/>
                <w:szCs w:val="21"/>
              </w:rPr>
              <w:t>≤</w:t>
            </w:r>
            <w:r>
              <w:rPr>
                <w:rFonts w:hint="default" w:ascii="Times New Roman" w:hAnsi="Times New Roman" w:eastAsia="宋体" w:cs="Times New Roman"/>
                <w:sz w:val="21"/>
                <w:szCs w:val="21"/>
              </w:rPr>
              <w:t>6</w:t>
            </w:r>
          </w:p>
        </w:tc>
        <w:tc>
          <w:tcPr>
            <w:tcW w:w="1794" w:type="dxa"/>
            <w:vAlign w:val="center"/>
          </w:tcPr>
          <w:p w14:paraId="18F4EF3A">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0.76</w:t>
            </w:r>
          </w:p>
        </w:tc>
        <w:tc>
          <w:tcPr>
            <w:tcW w:w="2627" w:type="dxa"/>
            <w:vAlign w:val="center"/>
          </w:tcPr>
          <w:p w14:paraId="3F79A148">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1.14</w:t>
            </w:r>
          </w:p>
        </w:tc>
        <w:tc>
          <w:tcPr>
            <w:tcW w:w="1860" w:type="dxa"/>
            <w:vAlign w:val="center"/>
          </w:tcPr>
          <w:p w14:paraId="073FC81E">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1.52</w:t>
            </w:r>
          </w:p>
        </w:tc>
      </w:tr>
      <w:tr w14:paraId="34FA1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jc w:val="center"/>
        </w:trPr>
        <w:tc>
          <w:tcPr>
            <w:tcW w:w="1863" w:type="dxa"/>
            <w:vAlign w:val="center"/>
          </w:tcPr>
          <w:p w14:paraId="6F7285FB">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8~12</w:t>
            </w:r>
          </w:p>
        </w:tc>
        <w:tc>
          <w:tcPr>
            <w:tcW w:w="1794" w:type="dxa"/>
            <w:vAlign w:val="center"/>
          </w:tcPr>
          <w:p w14:paraId="5BEA46E7">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1.14</w:t>
            </w:r>
          </w:p>
        </w:tc>
        <w:tc>
          <w:tcPr>
            <w:tcW w:w="2627" w:type="dxa"/>
            <w:vAlign w:val="center"/>
          </w:tcPr>
          <w:p w14:paraId="512A6E05">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1.52</w:t>
            </w:r>
          </w:p>
        </w:tc>
        <w:tc>
          <w:tcPr>
            <w:tcW w:w="1860" w:type="dxa"/>
            <w:vAlign w:val="center"/>
          </w:tcPr>
          <w:p w14:paraId="3C1BA29D">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1.52</w:t>
            </w:r>
          </w:p>
        </w:tc>
      </w:tr>
      <w:tr w14:paraId="00844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1863" w:type="dxa"/>
            <w:vAlign w:val="center"/>
          </w:tcPr>
          <w:p w14:paraId="38B71F8A">
            <w:pPr>
              <w:jc w:val="center"/>
              <w:rPr>
                <w:rFonts w:hint="default" w:ascii="Times New Roman" w:hAnsi="Times New Roman" w:eastAsia="宋体" w:cs="Times New Roman"/>
                <w:sz w:val="21"/>
                <w:szCs w:val="21"/>
              </w:rPr>
            </w:pPr>
            <w:r>
              <w:rPr>
                <w:rFonts w:hint="eastAsia" w:ascii="宋体" w:hAnsi="宋体" w:eastAsia="宋体" w:cs="宋体"/>
                <w:sz w:val="21"/>
                <w:szCs w:val="21"/>
              </w:rPr>
              <w:t>≥</w:t>
            </w:r>
            <w:r>
              <w:rPr>
                <w:rFonts w:hint="default" w:ascii="Times New Roman" w:hAnsi="Times New Roman" w:eastAsia="宋体" w:cs="Times New Roman"/>
                <w:sz w:val="21"/>
                <w:szCs w:val="21"/>
              </w:rPr>
              <w:t xml:space="preserve">15 </w:t>
            </w:r>
          </w:p>
        </w:tc>
        <w:tc>
          <w:tcPr>
            <w:tcW w:w="1794" w:type="dxa"/>
            <w:vAlign w:val="center"/>
          </w:tcPr>
          <w:p w14:paraId="4A644633">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1.52</w:t>
            </w:r>
          </w:p>
        </w:tc>
        <w:tc>
          <w:tcPr>
            <w:tcW w:w="2627" w:type="dxa"/>
            <w:vAlign w:val="center"/>
          </w:tcPr>
          <w:p w14:paraId="16D34812">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2.88</w:t>
            </w:r>
          </w:p>
        </w:tc>
        <w:tc>
          <w:tcPr>
            <w:tcW w:w="1860" w:type="dxa"/>
            <w:vAlign w:val="center"/>
          </w:tcPr>
          <w:p w14:paraId="68A6C264">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2.88</w:t>
            </w:r>
          </w:p>
        </w:tc>
      </w:tr>
    </w:tbl>
    <w:p w14:paraId="03C57020">
      <w:pPr>
        <w:snapToGrid w:val="0"/>
        <w:spacing w:line="300" w:lineRule="auto"/>
        <w:ind w:firstLine="480" w:firstLineChars="200"/>
        <w:jc w:val="left"/>
        <w:rPr>
          <w:sz w:val="24"/>
        </w:rPr>
      </w:pPr>
      <w:r>
        <w:rPr>
          <w:sz w:val="24"/>
        </w:rPr>
        <w:t>注：钢化玻璃厚度的选取以夹胶光伏构件中较厚钢化玻璃片的厚度为准。</w:t>
      </w:r>
    </w:p>
    <w:p w14:paraId="651E59C2">
      <w:pPr>
        <w:snapToGrid w:val="0"/>
        <w:spacing w:line="300" w:lineRule="auto"/>
        <w:jc w:val="left"/>
        <w:rPr>
          <w:sz w:val="24"/>
        </w:rPr>
      </w:pPr>
      <w:bookmarkStart w:id="152" w:name="_Toc65535143"/>
      <w:bookmarkStart w:id="153" w:name="_Toc65528728"/>
      <w:r>
        <w:rPr>
          <w:rFonts w:hint="default"/>
          <w:b/>
          <w:bCs/>
          <w:sz w:val="24"/>
        </w:rPr>
        <w:t>5</w:t>
      </w:r>
      <w:r>
        <w:rPr>
          <w:b/>
          <w:bCs/>
          <w:sz w:val="24"/>
        </w:rPr>
        <w:t>.3.6</w:t>
      </w:r>
      <w:r>
        <w:rPr>
          <w:rFonts w:hint="default"/>
          <w:b w:val="0"/>
          <w:bCs w:val="0"/>
          <w:sz w:val="24"/>
          <w:lang w:val="en-US" w:eastAsia="zh-CN"/>
        </w:rPr>
        <w:t xml:space="preserve"> </w:t>
      </w:r>
      <w:r>
        <w:rPr>
          <w:sz w:val="24"/>
        </w:rPr>
        <w:t>夹胶光伏构件的各层玻璃如作为结构受力构件参与结构计算时，各层单片玻璃厚度差不宜大于3mm。</w:t>
      </w:r>
      <w:bookmarkEnd w:id="152"/>
      <w:bookmarkEnd w:id="153"/>
    </w:p>
    <w:p w14:paraId="0118516E">
      <w:pPr>
        <w:snapToGrid w:val="0"/>
        <w:spacing w:line="300" w:lineRule="auto"/>
        <w:jc w:val="left"/>
        <w:rPr>
          <w:rFonts w:hint="eastAsia" w:ascii="仿宋" w:hAnsi="仿宋" w:eastAsia="仿宋" w:cs="仿宋"/>
          <w:b w:val="0"/>
          <w:bCs w:val="0"/>
          <w:i/>
          <w:iCs/>
          <w:color w:val="0623BA"/>
          <w:sz w:val="24"/>
        </w:rPr>
      </w:pPr>
      <w:r>
        <w:rPr>
          <w:rFonts w:hint="eastAsia" w:ascii="仿宋" w:hAnsi="仿宋" w:eastAsia="仿宋" w:cs="仿宋"/>
          <w:b w:val="0"/>
          <w:bCs w:val="0"/>
          <w:i/>
          <w:iCs/>
          <w:color w:val="0623BA"/>
          <w:sz w:val="24"/>
        </w:rPr>
        <w:t>【条文说明】</w:t>
      </w:r>
    </w:p>
    <w:p w14:paraId="0A171BBF">
      <w:pPr>
        <w:snapToGrid w:val="0"/>
        <w:spacing w:line="300" w:lineRule="auto"/>
        <w:jc w:val="left"/>
        <w:rPr>
          <w:rFonts w:hint="eastAsia" w:ascii="仿宋" w:hAnsi="仿宋" w:eastAsia="仿宋" w:cs="仿宋"/>
          <w:b w:val="0"/>
          <w:bCs w:val="0"/>
          <w:i/>
          <w:iCs/>
          <w:color w:val="0623BA"/>
          <w:sz w:val="24"/>
        </w:rPr>
      </w:pPr>
      <w:r>
        <w:rPr>
          <w:rFonts w:hint="eastAsia" w:ascii="仿宋" w:hAnsi="仿宋" w:eastAsia="仿宋" w:cs="仿宋"/>
          <w:b w:val="0"/>
          <w:bCs w:val="0"/>
          <w:i/>
          <w:iCs/>
          <w:color w:val="0623BA"/>
          <w:sz w:val="24"/>
          <w:lang w:val="en-US" w:eastAsia="zh-CN"/>
        </w:rPr>
        <w:t>5.3.6</w:t>
      </w:r>
      <w:r>
        <w:rPr>
          <w:rFonts w:hint="eastAsia" w:ascii="仿宋" w:hAnsi="仿宋" w:eastAsia="仿宋" w:cs="仿宋"/>
          <w:b w:val="0"/>
          <w:bCs w:val="0"/>
          <w:i/>
          <w:iCs/>
          <w:color w:val="0623BA"/>
          <w:sz w:val="24"/>
        </w:rPr>
        <w:t>无论是两层还是三层的夹胶光伏构件，各层玻璃如共同受力参与结构计算，厚度相差过大，则两片玻璃受力不均匀，容易产生破裂。但是如果某一层玻璃不参与受力计算，如6T+0.76PVB+2T钢化夹胶玻璃，所有荷载均由6mm钢化玻璃承担，2mm钢化玻璃仅视为一层保护膜不参与结构计算，则可以不考虑“厚度差3mm”的要求，又如：8T+1.14PVB+3.2（碲化镉）+1.14PVB+8T钢化夹胶玻璃，中间的3.2mm玻璃为薄膜电池的芯片，不钢化，不参与受力，同样为设计合理的光伏构件。但，因为3.2mm浮法玻璃的边缘强度太低，在做需要拼接的大尺寸光伏构件设计时，应注意，不要将浮法玻璃的拼缝位置设计在整片光伏构件的中部，结构变形最大处。</w:t>
      </w:r>
    </w:p>
    <w:p w14:paraId="5CDECEB3">
      <w:pPr>
        <w:snapToGrid w:val="0"/>
        <w:spacing w:line="300" w:lineRule="auto"/>
        <w:jc w:val="left"/>
        <w:rPr>
          <w:sz w:val="24"/>
        </w:rPr>
      </w:pPr>
      <w:bookmarkStart w:id="154" w:name="_Toc65535144"/>
      <w:bookmarkStart w:id="155" w:name="_Toc65528729"/>
      <w:r>
        <w:rPr>
          <w:b/>
          <w:bCs/>
          <w:sz w:val="24"/>
        </w:rPr>
        <w:t>5.</w:t>
      </w:r>
      <w:r>
        <w:rPr>
          <w:rFonts w:hint="default"/>
          <w:b/>
          <w:bCs/>
          <w:sz w:val="24"/>
          <w:lang w:eastAsia="zh-CN"/>
        </w:rPr>
        <w:t>3</w:t>
      </w:r>
      <w:r>
        <w:rPr>
          <w:b/>
          <w:bCs/>
          <w:sz w:val="24"/>
        </w:rPr>
        <w:t>.7</w:t>
      </w:r>
      <w:r>
        <w:rPr>
          <w:rFonts w:hint="default"/>
          <w:b/>
          <w:bCs/>
          <w:sz w:val="24"/>
        </w:rPr>
        <w:t xml:space="preserve"> </w:t>
      </w:r>
      <w:r>
        <w:rPr>
          <w:rFonts w:hint="eastAsia"/>
          <w:sz w:val="24"/>
        </w:rPr>
        <w:t>单玻封装</w:t>
      </w:r>
      <w:r>
        <w:rPr>
          <w:sz w:val="24"/>
        </w:rPr>
        <w:t>光伏构件的玻璃厚度不宜小于5mm</w:t>
      </w:r>
      <w:r>
        <w:rPr>
          <w:rFonts w:hint="eastAsia"/>
          <w:sz w:val="24"/>
        </w:rPr>
        <w:t>，带有背板持力层的光伏构件的面板玻璃厚度不宜小于3</w:t>
      </w:r>
      <w:r>
        <w:rPr>
          <w:sz w:val="24"/>
        </w:rPr>
        <w:t>.2</w:t>
      </w:r>
      <w:r>
        <w:rPr>
          <w:rFonts w:hint="eastAsia"/>
          <w:sz w:val="24"/>
        </w:rPr>
        <w:t>mm</w:t>
      </w:r>
      <w:r>
        <w:rPr>
          <w:sz w:val="24"/>
        </w:rPr>
        <w:t>。</w:t>
      </w:r>
      <w:bookmarkEnd w:id="154"/>
      <w:bookmarkEnd w:id="155"/>
    </w:p>
    <w:p w14:paraId="7AEFA118">
      <w:pPr>
        <w:snapToGrid w:val="0"/>
        <w:spacing w:line="300" w:lineRule="auto"/>
        <w:jc w:val="left"/>
        <w:rPr>
          <w:rFonts w:hint="eastAsia" w:ascii="仿宋" w:hAnsi="仿宋" w:eastAsia="仿宋" w:cs="仿宋"/>
          <w:i/>
          <w:iCs/>
          <w:color w:val="0623BA"/>
          <w:sz w:val="24"/>
        </w:rPr>
      </w:pPr>
      <w:r>
        <w:rPr>
          <w:rFonts w:hint="eastAsia" w:ascii="仿宋" w:hAnsi="仿宋" w:eastAsia="仿宋" w:cs="仿宋"/>
          <w:i/>
          <w:iCs/>
          <w:color w:val="0623BA"/>
          <w:sz w:val="24"/>
        </w:rPr>
        <w:t>【条文说明】</w:t>
      </w:r>
    </w:p>
    <w:p w14:paraId="49ED2DFE">
      <w:pPr>
        <w:snapToGrid w:val="0"/>
        <w:spacing w:line="300" w:lineRule="auto"/>
        <w:jc w:val="left"/>
        <w:rPr>
          <w:rFonts w:hint="eastAsia" w:ascii="仿宋" w:hAnsi="仿宋" w:eastAsia="仿宋" w:cs="仿宋"/>
          <w:i/>
          <w:iCs/>
          <w:color w:val="0623BA"/>
          <w:sz w:val="24"/>
        </w:rPr>
      </w:pPr>
      <w:r>
        <w:rPr>
          <w:rFonts w:hint="eastAsia" w:ascii="仿宋" w:hAnsi="仿宋" w:eastAsia="仿宋" w:cs="仿宋"/>
          <w:i/>
          <w:iCs/>
          <w:color w:val="0623BA"/>
          <w:sz w:val="24"/>
          <w:lang w:val="en-US" w:eastAsia="zh-CN"/>
        </w:rPr>
        <w:t xml:space="preserve">5.3.7 </w:t>
      </w:r>
      <w:r>
        <w:rPr>
          <w:rFonts w:hint="eastAsia" w:ascii="仿宋" w:hAnsi="仿宋" w:eastAsia="仿宋" w:cs="仿宋"/>
          <w:i/>
          <w:iCs/>
          <w:color w:val="0623BA"/>
          <w:sz w:val="24"/>
        </w:rPr>
        <w:t>单玻封装光伏构件的结构构成通常为玻璃+EVA+PV+EVA+光伏背膜，由于多了两层胶片，使得该结构的抗冲击性能（软物冲击和硬物冲击）增加，满足安全玻璃的要求，而该类构件必须采用有边框的设计，这就避免了裸边玻璃在运输安装过程中小于6mm情况下容易破损的问题。因此，单层玻璃夹胶光伏构件的最小玻璃厚度定为5mm。还有一种结构为单玻光伏组件加建材背板的结构，主要持力层为背板材料，面板仅为电池的保护层，因此3.2mm钢化玻璃满足《建筑玻璃应用技术规程》JGJ 113的相关要求，可以使用。</w:t>
      </w:r>
    </w:p>
    <w:p w14:paraId="04BEBEC5">
      <w:pPr>
        <w:pStyle w:val="2"/>
        <w:rPr>
          <w:rFonts w:hint="eastAsia"/>
          <w:sz w:val="24"/>
        </w:rPr>
      </w:pPr>
      <w:r>
        <w:rPr>
          <w:b/>
          <w:bCs/>
          <w:sz w:val="24"/>
        </w:rPr>
        <w:t>5.</w:t>
      </w:r>
      <w:r>
        <w:rPr>
          <w:rFonts w:hint="eastAsia"/>
          <w:b/>
          <w:bCs/>
          <w:sz w:val="24"/>
          <w:lang w:eastAsia="zh-CN"/>
        </w:rPr>
        <w:t>3</w:t>
      </w:r>
      <w:r>
        <w:rPr>
          <w:b/>
          <w:bCs/>
          <w:sz w:val="24"/>
        </w:rPr>
        <w:t>.8</w:t>
      </w:r>
      <w:r>
        <w:rPr>
          <w:rFonts w:hint="eastAsia"/>
          <w:b/>
          <w:bCs/>
          <w:sz w:val="24"/>
          <w:lang w:val="en-US" w:eastAsia="zh-CN"/>
        </w:rPr>
        <w:t xml:space="preserve"> </w:t>
      </w:r>
      <w:r>
        <w:rPr>
          <w:rFonts w:hint="eastAsia"/>
          <w:sz w:val="24"/>
        </w:rPr>
        <w:t>带边框的光伏构件应考虑接地措施。</w:t>
      </w:r>
    </w:p>
    <w:p w14:paraId="564B4851">
      <w:pPr>
        <w:pStyle w:val="2"/>
        <w:rPr>
          <w:rFonts w:hint="eastAsia" w:ascii="Times New Roman" w:hAnsi="Times New Roman" w:eastAsia="宋体" w:cs="Times New Roman"/>
          <w:b w:val="0"/>
          <w:bCs w:val="0"/>
          <w:i w:val="0"/>
          <w:iCs w:val="0"/>
          <w:color w:val="auto"/>
          <w:sz w:val="24"/>
          <w:szCs w:val="24"/>
          <w:highlight w:val="none"/>
          <w:lang w:val="en-US" w:eastAsia="zh-CN"/>
        </w:rPr>
      </w:pPr>
      <w:r>
        <w:rPr>
          <w:rFonts w:hint="eastAsia" w:cs="Times New Roman"/>
          <w:b/>
          <w:bCs/>
          <w:i w:val="0"/>
          <w:iCs w:val="0"/>
          <w:color w:val="auto"/>
          <w:sz w:val="24"/>
          <w:szCs w:val="24"/>
          <w:highlight w:val="none"/>
          <w:lang w:val="en-US" w:eastAsia="zh-CN"/>
        </w:rPr>
        <w:t>5.3.9</w:t>
      </w:r>
      <w:r>
        <w:rPr>
          <w:rFonts w:hint="eastAsia" w:ascii="Times New Roman" w:hAnsi="Times New Roman" w:eastAsia="宋体" w:cs="Times New Roman"/>
          <w:b w:val="0"/>
          <w:bCs w:val="0"/>
          <w:i w:val="0"/>
          <w:iCs w:val="0"/>
          <w:color w:val="auto"/>
          <w:sz w:val="24"/>
          <w:szCs w:val="24"/>
          <w:highlight w:val="none"/>
          <w:lang w:val="en-US" w:eastAsia="zh-CN"/>
        </w:rPr>
        <w:t xml:space="preserve"> 光伏方阵的数量应根据总装机容量及光伏组件串的容量确定。</w:t>
      </w:r>
    </w:p>
    <w:p w14:paraId="74F71E1D">
      <w:pPr>
        <w:keepNext/>
        <w:keepLines/>
        <w:snapToGrid w:val="0"/>
        <w:spacing w:before="72" w:beforeLines="30" w:after="72" w:afterLines="30" w:line="300" w:lineRule="auto"/>
        <w:jc w:val="center"/>
        <w:outlineLvl w:val="2"/>
        <w:rPr>
          <w:b/>
          <w:sz w:val="24"/>
          <w:szCs w:val="32"/>
        </w:rPr>
      </w:pPr>
      <w:bookmarkStart w:id="156" w:name="_Toc20622"/>
      <w:bookmarkStart w:id="157" w:name="_Toc9688"/>
      <w:bookmarkStart w:id="158" w:name="_Toc6114"/>
      <w:bookmarkStart w:id="159" w:name="_Toc2631"/>
      <w:bookmarkStart w:id="160" w:name="_Toc16868"/>
      <w:bookmarkStart w:id="161" w:name="_Toc6233"/>
      <w:bookmarkStart w:id="162" w:name="_Toc32620"/>
      <w:bookmarkStart w:id="163" w:name="_Toc131"/>
      <w:r>
        <w:rPr>
          <w:b/>
          <w:sz w:val="24"/>
          <w:szCs w:val="32"/>
        </w:rPr>
        <w:t>5.</w:t>
      </w:r>
      <w:r>
        <w:rPr>
          <w:rFonts w:hint="default"/>
          <w:b/>
          <w:sz w:val="24"/>
          <w:szCs w:val="32"/>
          <w:lang w:val="en-US" w:eastAsia="zh-CN"/>
        </w:rPr>
        <w:t>4</w:t>
      </w:r>
      <w:r>
        <w:rPr>
          <w:b/>
          <w:sz w:val="24"/>
          <w:szCs w:val="32"/>
        </w:rPr>
        <w:t>构造</w:t>
      </w:r>
      <w:bookmarkEnd w:id="156"/>
      <w:bookmarkEnd w:id="157"/>
      <w:bookmarkEnd w:id="158"/>
      <w:bookmarkEnd w:id="159"/>
      <w:bookmarkEnd w:id="160"/>
      <w:bookmarkEnd w:id="161"/>
      <w:bookmarkEnd w:id="162"/>
      <w:bookmarkEnd w:id="163"/>
    </w:p>
    <w:p w14:paraId="0AEF7D03">
      <w:pPr>
        <w:snapToGrid w:val="0"/>
        <w:spacing w:line="300" w:lineRule="auto"/>
        <w:jc w:val="left"/>
        <w:rPr>
          <w:sz w:val="24"/>
        </w:rPr>
      </w:pPr>
      <w:r>
        <w:rPr>
          <w:b/>
          <w:bCs/>
          <w:sz w:val="24"/>
        </w:rPr>
        <w:t>5.</w:t>
      </w:r>
      <w:r>
        <w:rPr>
          <w:rFonts w:hint="eastAsia"/>
          <w:b/>
          <w:bCs/>
          <w:sz w:val="24"/>
          <w:lang w:val="en-US" w:eastAsia="zh-CN"/>
        </w:rPr>
        <w:t>4</w:t>
      </w:r>
      <w:r>
        <w:rPr>
          <w:b/>
          <w:bCs/>
          <w:sz w:val="24"/>
        </w:rPr>
        <w:t>.1</w:t>
      </w:r>
      <w:r>
        <w:rPr>
          <w:sz w:val="24"/>
        </w:rPr>
        <w:t xml:space="preserve"> 光伏组件的安装不应影响所在部位的雨水排放。</w:t>
      </w:r>
    </w:p>
    <w:p w14:paraId="71E2093A">
      <w:pPr>
        <w:snapToGrid w:val="0"/>
        <w:spacing w:line="300" w:lineRule="auto"/>
        <w:jc w:val="left"/>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6B20942C">
      <w:pPr>
        <w:snapToGrid w:val="0"/>
        <w:spacing w:line="300" w:lineRule="auto"/>
        <w:jc w:val="left"/>
        <w:rPr>
          <w:rFonts w:hint="eastAsia" w:ascii="仿宋" w:hAnsi="仿宋" w:eastAsia="仿宋" w:cs="仿宋"/>
          <w:i/>
          <w:iCs/>
          <w:color w:val="0623BA"/>
          <w:sz w:val="24"/>
        </w:rPr>
      </w:pPr>
      <w:r>
        <w:rPr>
          <w:rFonts w:hint="eastAsia" w:ascii="仿宋" w:hAnsi="仿宋" w:eastAsia="仿宋" w:cs="仿宋"/>
          <w:i/>
          <w:iCs/>
          <w:color w:val="0623BA"/>
          <w:sz w:val="24"/>
        </w:rPr>
        <w:t>5.</w:t>
      </w:r>
      <w:r>
        <w:rPr>
          <w:rFonts w:hint="eastAsia" w:ascii="仿宋" w:hAnsi="仿宋" w:eastAsia="仿宋" w:cs="仿宋"/>
          <w:i/>
          <w:iCs/>
          <w:color w:val="0623BA"/>
          <w:sz w:val="24"/>
          <w:lang w:val="en-US" w:eastAsia="zh-CN"/>
        </w:rPr>
        <w:t>4</w:t>
      </w:r>
      <w:r>
        <w:rPr>
          <w:rFonts w:hint="eastAsia" w:ascii="仿宋" w:hAnsi="仿宋" w:eastAsia="仿宋" w:cs="仿宋"/>
          <w:i/>
          <w:iCs/>
          <w:color w:val="0623BA"/>
          <w:sz w:val="24"/>
        </w:rPr>
        <w:t xml:space="preserve">.1 光伏组件不应影响安装部位建筑雨水系统设计。不应造成局部积水、防水层破坏、渗漏等情况。 </w:t>
      </w:r>
    </w:p>
    <w:p w14:paraId="2F9DDB8F">
      <w:pPr>
        <w:snapToGrid w:val="0"/>
        <w:spacing w:line="300" w:lineRule="auto"/>
        <w:jc w:val="left"/>
        <w:rPr>
          <w:sz w:val="24"/>
        </w:rPr>
      </w:pPr>
      <w:r>
        <w:rPr>
          <w:b/>
          <w:bCs/>
          <w:sz w:val="24"/>
        </w:rPr>
        <w:t>5.</w:t>
      </w:r>
      <w:r>
        <w:rPr>
          <w:rFonts w:hint="eastAsia"/>
          <w:b/>
          <w:bCs/>
          <w:sz w:val="24"/>
          <w:lang w:val="en-US" w:eastAsia="zh-CN"/>
        </w:rPr>
        <w:t>4</w:t>
      </w:r>
      <w:r>
        <w:rPr>
          <w:b/>
          <w:bCs/>
          <w:sz w:val="24"/>
        </w:rPr>
        <w:t>.</w:t>
      </w:r>
      <w:r>
        <w:rPr>
          <w:rFonts w:hint="eastAsia"/>
          <w:b/>
          <w:bCs/>
          <w:sz w:val="24"/>
        </w:rPr>
        <w:t>2</w:t>
      </w:r>
      <w:r>
        <w:rPr>
          <w:sz w:val="24"/>
        </w:rPr>
        <w:t xml:space="preserve"> 光伏组件宜采用易于维修、更换的安装方式。</w:t>
      </w:r>
    </w:p>
    <w:p w14:paraId="3E4A0F1B">
      <w:pPr>
        <w:snapToGrid w:val="0"/>
        <w:spacing w:line="300" w:lineRule="auto"/>
        <w:jc w:val="left"/>
        <w:rPr>
          <w:sz w:val="24"/>
        </w:rPr>
      </w:pPr>
      <w:r>
        <w:rPr>
          <w:b/>
          <w:bCs/>
          <w:sz w:val="24"/>
        </w:rPr>
        <w:t>5.</w:t>
      </w:r>
      <w:r>
        <w:rPr>
          <w:rFonts w:hint="eastAsia"/>
          <w:b/>
          <w:bCs/>
          <w:sz w:val="24"/>
          <w:lang w:val="en-US" w:eastAsia="zh-CN"/>
        </w:rPr>
        <w:t>4</w:t>
      </w:r>
      <w:r>
        <w:rPr>
          <w:b/>
          <w:bCs/>
          <w:sz w:val="24"/>
        </w:rPr>
        <w:t>.</w:t>
      </w:r>
      <w:r>
        <w:rPr>
          <w:rFonts w:hint="eastAsia"/>
          <w:b/>
          <w:bCs/>
          <w:sz w:val="24"/>
        </w:rPr>
        <w:t>3</w:t>
      </w:r>
      <w:r>
        <w:rPr>
          <w:rFonts w:hint="eastAsia"/>
          <w:sz w:val="24"/>
        </w:rPr>
        <w:t xml:space="preserve"> </w:t>
      </w:r>
      <w:r>
        <w:rPr>
          <w:sz w:val="24"/>
        </w:rPr>
        <w:t>当光伏组件平行于安装部位时，其与安装部位的间距应符合安装和通风散热的要求。</w:t>
      </w:r>
    </w:p>
    <w:p w14:paraId="1DD13998">
      <w:pPr>
        <w:snapToGrid w:val="0"/>
        <w:spacing w:line="300" w:lineRule="auto"/>
        <w:jc w:val="left"/>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0D32D472">
      <w:pPr>
        <w:snapToGrid w:val="0"/>
        <w:spacing w:line="300" w:lineRule="auto"/>
        <w:jc w:val="left"/>
        <w:rPr>
          <w:rFonts w:hint="eastAsia" w:ascii="仿宋" w:hAnsi="仿宋" w:eastAsia="仿宋" w:cs="仿宋"/>
          <w:i/>
          <w:iCs/>
          <w:color w:val="0623BA"/>
          <w:sz w:val="24"/>
        </w:rPr>
      </w:pPr>
      <w:r>
        <w:rPr>
          <w:rFonts w:hint="eastAsia" w:ascii="仿宋" w:hAnsi="仿宋" w:eastAsia="仿宋" w:cs="仿宋"/>
          <w:i/>
          <w:iCs/>
          <w:color w:val="0623BA"/>
          <w:sz w:val="24"/>
        </w:rPr>
        <w:t>5.</w:t>
      </w:r>
      <w:r>
        <w:rPr>
          <w:rFonts w:hint="eastAsia" w:ascii="仿宋" w:hAnsi="仿宋" w:eastAsia="仿宋" w:cs="仿宋"/>
          <w:i/>
          <w:iCs/>
          <w:color w:val="0623BA"/>
          <w:sz w:val="24"/>
          <w:lang w:val="en-US" w:eastAsia="zh-CN"/>
        </w:rPr>
        <w:t>4</w:t>
      </w:r>
      <w:r>
        <w:rPr>
          <w:rFonts w:hint="eastAsia" w:ascii="仿宋" w:hAnsi="仿宋" w:eastAsia="仿宋" w:cs="仿宋"/>
          <w:i/>
          <w:iCs/>
          <w:color w:val="0623BA"/>
          <w:sz w:val="24"/>
        </w:rPr>
        <w:t>.3 安装光伏组件时，应采取必要的通风降温措施以抑制其表面温度升高。一般情况下，组件与安装面层之间设置50mm以上的空隙</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 xml:space="preserve">组件之间也留有空隙，会有效控制组件背面的温度升高。 </w:t>
      </w:r>
    </w:p>
    <w:p w14:paraId="428555C6">
      <w:pPr>
        <w:snapToGrid w:val="0"/>
        <w:spacing w:line="300" w:lineRule="auto"/>
        <w:jc w:val="left"/>
        <w:rPr>
          <w:sz w:val="24"/>
        </w:rPr>
      </w:pPr>
      <w:r>
        <w:rPr>
          <w:b/>
          <w:bCs/>
          <w:sz w:val="24"/>
        </w:rPr>
        <w:t>5.</w:t>
      </w:r>
      <w:r>
        <w:rPr>
          <w:rFonts w:hint="eastAsia"/>
          <w:b/>
          <w:bCs/>
          <w:sz w:val="24"/>
          <w:lang w:val="en-US" w:eastAsia="zh-CN"/>
        </w:rPr>
        <w:t>4</w:t>
      </w:r>
      <w:r>
        <w:rPr>
          <w:b/>
          <w:bCs/>
          <w:sz w:val="24"/>
        </w:rPr>
        <w:t>.</w:t>
      </w:r>
      <w:r>
        <w:rPr>
          <w:rFonts w:hint="eastAsia"/>
          <w:b/>
          <w:bCs/>
          <w:sz w:val="24"/>
        </w:rPr>
        <w:t>4</w:t>
      </w:r>
      <w:r>
        <w:rPr>
          <w:rFonts w:hint="eastAsia"/>
          <w:sz w:val="24"/>
        </w:rPr>
        <w:t xml:space="preserve"> </w:t>
      </w:r>
      <w:r>
        <w:rPr>
          <w:sz w:val="24"/>
        </w:rPr>
        <w:t>屋面防水层上安装光伏组件时，应采取相应的防水措施。光伏组件的管线穿过屋面处应预埋防水套管，应做防水密封处理。建筑屋面安装光伏发电系统不应影响屋面防水的周期性更新和维护。</w:t>
      </w:r>
    </w:p>
    <w:p w14:paraId="1A395AC6">
      <w:pPr>
        <w:snapToGrid w:val="0"/>
        <w:spacing w:line="300" w:lineRule="auto"/>
        <w:jc w:val="left"/>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3B95A788">
      <w:pPr>
        <w:snapToGrid w:val="0"/>
        <w:spacing w:line="300" w:lineRule="auto"/>
        <w:jc w:val="left"/>
        <w:rPr>
          <w:rFonts w:hint="eastAsia" w:ascii="仿宋" w:hAnsi="仿宋" w:eastAsia="仿宋" w:cs="仿宋"/>
          <w:i/>
          <w:iCs/>
          <w:color w:val="0623BA"/>
          <w:sz w:val="24"/>
        </w:rPr>
      </w:pPr>
      <w:r>
        <w:rPr>
          <w:rFonts w:hint="eastAsia" w:ascii="仿宋" w:hAnsi="仿宋" w:eastAsia="仿宋" w:cs="仿宋"/>
          <w:i/>
          <w:iCs/>
          <w:color w:val="0623BA"/>
          <w:sz w:val="24"/>
        </w:rPr>
        <w:t>5.</w:t>
      </w:r>
      <w:r>
        <w:rPr>
          <w:rFonts w:hint="eastAsia" w:ascii="仿宋" w:hAnsi="仿宋" w:eastAsia="仿宋" w:cs="仿宋"/>
          <w:i/>
          <w:iCs/>
          <w:color w:val="0623BA"/>
          <w:sz w:val="24"/>
          <w:lang w:val="en-US" w:eastAsia="zh-CN"/>
        </w:rPr>
        <w:t>4</w:t>
      </w:r>
      <w:r>
        <w:rPr>
          <w:rFonts w:hint="eastAsia" w:ascii="仿宋" w:hAnsi="仿宋" w:eastAsia="仿宋" w:cs="仿宋"/>
          <w:i/>
          <w:iCs/>
          <w:color w:val="0623BA"/>
          <w:sz w:val="24"/>
        </w:rPr>
        <w:t xml:space="preserve">.4 在屋面防水层上安装光伏组件时，其与周围屋面材料连接部位应做好建筑构造处理，应符合屋面整体的保温、防水等围护结构功能要求。如光伏组件支座与结构层相连时，防水层应包到支座和金属埋件的上部，形成较高的泛水，地脚螺栓周围缝隙容易渗水，应做密封处理；支架基座部位应做附加防水层。附加层宜空铺，空铺宽度不应小于200mm。建筑屋面防水材料的使用寿命较短，需周期性更新和维护，所以在进行光伏组件安装时应考虑为防水材料的更新维护创造条件。  </w:t>
      </w:r>
    </w:p>
    <w:p w14:paraId="3614D878">
      <w:pPr>
        <w:snapToGrid w:val="0"/>
        <w:spacing w:line="300" w:lineRule="auto"/>
        <w:jc w:val="left"/>
        <w:rPr>
          <w:sz w:val="24"/>
        </w:rPr>
      </w:pPr>
      <w:r>
        <w:rPr>
          <w:b/>
          <w:bCs/>
          <w:sz w:val="24"/>
        </w:rPr>
        <w:t>5.</w:t>
      </w:r>
      <w:r>
        <w:rPr>
          <w:rFonts w:hint="eastAsia"/>
          <w:b/>
          <w:bCs/>
          <w:sz w:val="24"/>
          <w:lang w:val="en-US" w:eastAsia="zh-CN"/>
        </w:rPr>
        <w:t>4</w:t>
      </w:r>
      <w:r>
        <w:rPr>
          <w:b/>
          <w:bCs/>
          <w:sz w:val="24"/>
        </w:rPr>
        <w:t>.</w:t>
      </w:r>
      <w:r>
        <w:rPr>
          <w:rFonts w:hint="eastAsia"/>
          <w:b/>
          <w:bCs/>
          <w:sz w:val="24"/>
        </w:rPr>
        <w:t xml:space="preserve">5 </w:t>
      </w:r>
      <w:r>
        <w:rPr>
          <w:sz w:val="24"/>
        </w:rPr>
        <w:t>平屋面上安装光伏组件应符合下列</w:t>
      </w:r>
      <w:r>
        <w:rPr>
          <w:rFonts w:hint="eastAsia"/>
          <w:sz w:val="24"/>
          <w:lang w:val="en-US" w:eastAsia="zh-CN"/>
        </w:rPr>
        <w:t>规定</w:t>
      </w:r>
      <w:r>
        <w:rPr>
          <w:sz w:val="24"/>
        </w:rPr>
        <w:t>：</w:t>
      </w:r>
    </w:p>
    <w:p w14:paraId="2FE3E308">
      <w:pPr>
        <w:snapToGrid w:val="0"/>
        <w:spacing w:line="300" w:lineRule="auto"/>
        <w:ind w:firstLine="482" w:firstLineChars="200"/>
        <w:jc w:val="left"/>
        <w:rPr>
          <w:sz w:val="24"/>
        </w:rPr>
      </w:pPr>
      <w:r>
        <w:rPr>
          <w:b/>
          <w:bCs/>
          <w:sz w:val="24"/>
        </w:rPr>
        <w:t xml:space="preserve">1 </w:t>
      </w:r>
      <w:r>
        <w:rPr>
          <w:sz w:val="24"/>
        </w:rPr>
        <w:t>光伏方阵应设置方便人工清洗、维护的设施与通道</w:t>
      </w:r>
      <w:r>
        <w:rPr>
          <w:rFonts w:hint="eastAsia"/>
          <w:sz w:val="24"/>
          <w:lang w:eastAsia="zh-CN"/>
        </w:rPr>
        <w:t>，</w:t>
      </w:r>
      <w:r>
        <w:rPr>
          <w:rFonts w:hint="eastAsia"/>
          <w:sz w:val="24"/>
          <w:lang w:val="en-US" w:eastAsia="zh-CN"/>
        </w:rPr>
        <w:t>宽度不小于400mm</w:t>
      </w:r>
      <w:r>
        <w:rPr>
          <w:sz w:val="24"/>
        </w:rPr>
        <w:t>；</w:t>
      </w:r>
    </w:p>
    <w:p w14:paraId="0256E432">
      <w:pPr>
        <w:snapToGrid w:val="0"/>
        <w:spacing w:line="300" w:lineRule="auto"/>
        <w:ind w:firstLine="482" w:firstLineChars="200"/>
        <w:jc w:val="left"/>
        <w:rPr>
          <w:sz w:val="24"/>
        </w:rPr>
      </w:pPr>
      <w:r>
        <w:rPr>
          <w:b/>
          <w:bCs/>
          <w:sz w:val="24"/>
        </w:rPr>
        <w:t>2</w:t>
      </w:r>
      <w:r>
        <w:rPr>
          <w:sz w:val="24"/>
        </w:rPr>
        <w:t>在平屋面防水层上安装光伏组件时，其支架基座下部应增设附加防水层；</w:t>
      </w:r>
    </w:p>
    <w:p w14:paraId="35F2BE36">
      <w:pPr>
        <w:snapToGrid w:val="0"/>
        <w:spacing w:line="300" w:lineRule="auto"/>
        <w:ind w:firstLine="482" w:firstLineChars="200"/>
        <w:jc w:val="left"/>
        <w:rPr>
          <w:sz w:val="24"/>
        </w:rPr>
      </w:pPr>
      <w:r>
        <w:rPr>
          <w:b/>
          <w:bCs/>
          <w:sz w:val="24"/>
        </w:rPr>
        <w:t>3</w:t>
      </w:r>
      <w:r>
        <w:rPr>
          <w:sz w:val="24"/>
        </w:rPr>
        <w:t>光伏组件周围屋面、检修通道、屋面出入口和光伏方阵之间的人行通道上部宜铺设保护层。</w:t>
      </w:r>
    </w:p>
    <w:p w14:paraId="7CCC7918">
      <w:pPr>
        <w:pStyle w:val="3"/>
        <w:spacing w:before="0" w:after="0" w:line="300" w:lineRule="auto"/>
        <w:ind w:firstLine="482" w:firstLineChars="200"/>
        <w:jc w:val="left"/>
        <w:rPr>
          <w:rFonts w:hint="default" w:ascii="Times New Roman" w:hAnsi="Times New Roman" w:eastAsia="宋体" w:cs="Times New Roman"/>
          <w:b w:val="0"/>
          <w:bCs w:val="0"/>
          <w:i w:val="0"/>
          <w:iCs w:val="0"/>
          <w:color w:val="auto"/>
          <w:sz w:val="24"/>
          <w:szCs w:val="24"/>
          <w:highlight w:val="none"/>
        </w:rPr>
      </w:pPr>
      <w:r>
        <w:rPr>
          <w:rFonts w:hint="eastAsia" w:ascii="Times New Roman" w:hAnsi="Times New Roman" w:cs="Times New Roman"/>
          <w:b/>
          <w:bCs/>
          <w:i w:val="0"/>
          <w:iCs w:val="0"/>
          <w:color w:val="auto"/>
          <w:sz w:val="24"/>
          <w:szCs w:val="24"/>
          <w:highlight w:val="none"/>
          <w:lang w:val="en-US" w:eastAsia="zh-CN"/>
        </w:rPr>
        <w:t>4</w:t>
      </w:r>
      <w:r>
        <w:rPr>
          <w:rFonts w:hint="default" w:ascii="Times New Roman" w:hAnsi="Times New Roman" w:eastAsia="宋体" w:cs="Times New Roman"/>
          <w:b/>
          <w:bCs/>
          <w:i w:val="0"/>
          <w:iCs w:val="0"/>
          <w:color w:val="auto"/>
          <w:sz w:val="24"/>
          <w:szCs w:val="24"/>
          <w:highlight w:val="none"/>
        </w:rPr>
        <w:t xml:space="preserve"> </w:t>
      </w:r>
      <w:r>
        <w:rPr>
          <w:rFonts w:hint="default" w:ascii="Times New Roman" w:hAnsi="Times New Roman" w:eastAsia="宋体" w:cs="Times New Roman"/>
          <w:b w:val="0"/>
          <w:bCs w:val="0"/>
          <w:i w:val="0"/>
          <w:iCs w:val="0"/>
          <w:color w:val="auto"/>
          <w:sz w:val="24"/>
          <w:szCs w:val="24"/>
          <w:highlight w:val="none"/>
        </w:rPr>
        <w:t>光伏组件的最低点距屋顶之间的距离应满足通风散热的间隙要求，绿化屋顶的光伏组件的最低点应高于其附近绿化植被的最大高度。</w:t>
      </w:r>
    </w:p>
    <w:p w14:paraId="1C6763CC">
      <w:pPr>
        <w:snapToGrid w:val="0"/>
        <w:spacing w:line="300" w:lineRule="auto"/>
        <w:jc w:val="left"/>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4F0EFEAC">
      <w:pPr>
        <w:snapToGrid w:val="0"/>
        <w:spacing w:line="300" w:lineRule="auto"/>
        <w:jc w:val="left"/>
        <w:rPr>
          <w:rFonts w:hint="eastAsia" w:ascii="仿宋" w:hAnsi="仿宋" w:eastAsia="仿宋" w:cs="仿宋"/>
          <w:i/>
          <w:iCs/>
          <w:color w:val="0623BA"/>
          <w:sz w:val="24"/>
        </w:rPr>
      </w:pPr>
      <w:r>
        <w:rPr>
          <w:rFonts w:hint="eastAsia" w:ascii="仿宋" w:hAnsi="仿宋" w:eastAsia="仿宋" w:cs="仿宋"/>
          <w:i/>
          <w:iCs/>
          <w:color w:val="0623BA"/>
          <w:sz w:val="24"/>
        </w:rPr>
        <w:t>5.</w:t>
      </w:r>
      <w:r>
        <w:rPr>
          <w:rFonts w:hint="eastAsia" w:ascii="仿宋" w:hAnsi="仿宋" w:eastAsia="仿宋" w:cs="仿宋"/>
          <w:i/>
          <w:iCs/>
          <w:color w:val="0623BA"/>
          <w:sz w:val="24"/>
          <w:lang w:val="en-US" w:eastAsia="zh-CN"/>
        </w:rPr>
        <w:t>4</w:t>
      </w:r>
      <w:r>
        <w:rPr>
          <w:rFonts w:hint="eastAsia" w:ascii="仿宋" w:hAnsi="仿宋" w:eastAsia="仿宋" w:cs="仿宋"/>
          <w:i/>
          <w:iCs/>
          <w:color w:val="0623BA"/>
          <w:sz w:val="24"/>
        </w:rPr>
        <w:t>.5 平屋面上安装光伏组件应符合以下要求：</w:t>
      </w:r>
    </w:p>
    <w:p w14:paraId="619BBE4E">
      <w:pPr>
        <w:snapToGrid w:val="0"/>
        <w:spacing w:line="300" w:lineRule="auto"/>
        <w:ind w:firstLine="480" w:firstLineChars="200"/>
        <w:jc w:val="left"/>
        <w:rPr>
          <w:rFonts w:hint="eastAsia" w:ascii="仿宋" w:hAnsi="仿宋" w:eastAsia="仿宋" w:cs="仿宋"/>
          <w:i/>
          <w:iCs/>
          <w:color w:val="0623BA"/>
          <w:sz w:val="24"/>
        </w:rPr>
      </w:pPr>
      <w:r>
        <w:rPr>
          <w:rFonts w:hint="eastAsia" w:ascii="仿宋" w:hAnsi="仿宋" w:eastAsia="仿宋" w:cs="仿宋"/>
          <w:i/>
          <w:iCs/>
          <w:color w:val="0623BA"/>
          <w:sz w:val="24"/>
        </w:rPr>
        <w:t>1 应设置扫雪通道及人员安全保障设施。屋面光伏方阵之间应预留不小于400mm的检修通道。</w:t>
      </w:r>
    </w:p>
    <w:p w14:paraId="5D269AF5">
      <w:pPr>
        <w:snapToGrid w:val="0"/>
        <w:spacing w:line="300" w:lineRule="auto"/>
        <w:ind w:firstLine="480" w:firstLineChars="200"/>
        <w:jc w:val="left"/>
        <w:rPr>
          <w:rFonts w:hint="eastAsia" w:ascii="仿宋" w:hAnsi="仿宋" w:eastAsia="仿宋" w:cs="仿宋"/>
          <w:i/>
          <w:iCs/>
          <w:color w:val="0623BA"/>
          <w:sz w:val="24"/>
        </w:rPr>
      </w:pPr>
      <w:r>
        <w:rPr>
          <w:rFonts w:hint="eastAsia" w:ascii="仿宋" w:hAnsi="仿宋" w:eastAsia="仿宋" w:cs="仿宋"/>
          <w:i/>
          <w:iCs/>
          <w:color w:val="0623BA"/>
          <w:sz w:val="24"/>
        </w:rPr>
        <w:t>2 光伏组件支座与结构层相连时，防水层应包到支座和金属埋件的上部，形成较高的泛水</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 xml:space="preserve"> 地脚螺栓周围缝隙容易渗水，应做密封处理。</w:t>
      </w:r>
    </w:p>
    <w:p w14:paraId="457EECDA">
      <w:pPr>
        <w:snapToGrid w:val="0"/>
        <w:spacing w:line="300" w:lineRule="auto"/>
        <w:ind w:firstLine="480" w:firstLineChars="200"/>
        <w:jc w:val="left"/>
        <w:rPr>
          <w:rFonts w:hint="eastAsia" w:ascii="仿宋" w:hAnsi="仿宋" w:eastAsia="仿宋" w:cs="仿宋"/>
          <w:i/>
          <w:iCs/>
          <w:color w:val="0623BA"/>
          <w:sz w:val="24"/>
        </w:rPr>
      </w:pPr>
      <w:r>
        <w:rPr>
          <w:rFonts w:hint="eastAsia" w:ascii="仿宋" w:hAnsi="仿宋" w:eastAsia="仿宋" w:cs="仿宋"/>
          <w:i/>
          <w:iCs/>
          <w:color w:val="0623BA"/>
          <w:sz w:val="24"/>
        </w:rPr>
        <w:t>3 需要经常维修的光伏组件周围屋面、检修通道、屋面出</w:t>
      </w:r>
      <w:r>
        <w:rPr>
          <w:rFonts w:hint="eastAsia" w:ascii="仿宋" w:hAnsi="仿宋" w:eastAsia="仿宋" w:cs="仿宋"/>
          <w:i/>
          <w:iCs/>
          <w:color w:val="0623BA"/>
          <w:sz w:val="24"/>
          <w:lang w:val="en-US" w:eastAsia="zh-CN"/>
        </w:rPr>
        <w:t>入</w:t>
      </w:r>
      <w:r>
        <w:rPr>
          <w:rFonts w:hint="eastAsia" w:ascii="仿宋" w:hAnsi="仿宋" w:eastAsia="仿宋" w:cs="仿宋"/>
          <w:i/>
          <w:iCs/>
          <w:color w:val="0623BA"/>
          <w:sz w:val="24"/>
        </w:rPr>
        <w:t xml:space="preserve">口以及人行通道上面应设置刚性保护层对防水层进行保护，一般可铺设水泥砖。 </w:t>
      </w:r>
    </w:p>
    <w:p w14:paraId="0F6D22F8">
      <w:pPr>
        <w:snapToGrid w:val="0"/>
        <w:spacing w:line="300" w:lineRule="auto"/>
        <w:jc w:val="left"/>
        <w:rPr>
          <w:sz w:val="24"/>
        </w:rPr>
      </w:pPr>
      <w:r>
        <w:rPr>
          <w:b/>
          <w:bCs/>
          <w:sz w:val="24"/>
        </w:rPr>
        <w:t>5.</w:t>
      </w:r>
      <w:r>
        <w:rPr>
          <w:rFonts w:hint="eastAsia"/>
          <w:b/>
          <w:bCs/>
          <w:sz w:val="24"/>
          <w:lang w:val="en-US" w:eastAsia="zh-CN"/>
        </w:rPr>
        <w:t>4</w:t>
      </w:r>
      <w:r>
        <w:rPr>
          <w:b/>
          <w:bCs/>
          <w:sz w:val="24"/>
        </w:rPr>
        <w:t>.</w:t>
      </w:r>
      <w:r>
        <w:rPr>
          <w:rFonts w:hint="eastAsia"/>
          <w:b/>
          <w:bCs/>
          <w:sz w:val="24"/>
        </w:rPr>
        <w:t xml:space="preserve">6 </w:t>
      </w:r>
      <w:r>
        <w:rPr>
          <w:sz w:val="24"/>
        </w:rPr>
        <w:t>坡屋面上安装光伏组件</w:t>
      </w:r>
      <w:r>
        <w:rPr>
          <w:rFonts w:hint="eastAsia"/>
          <w:sz w:val="24"/>
          <w:lang w:val="en-US" w:eastAsia="zh-CN"/>
        </w:rPr>
        <w:t>和光伏构件</w:t>
      </w:r>
      <w:r>
        <w:rPr>
          <w:sz w:val="24"/>
        </w:rPr>
        <w:t>应符合下列</w:t>
      </w:r>
      <w:r>
        <w:rPr>
          <w:rFonts w:hint="eastAsia"/>
          <w:sz w:val="24"/>
          <w:lang w:val="en-US" w:eastAsia="zh-CN"/>
        </w:rPr>
        <w:t>要求</w:t>
      </w:r>
      <w:r>
        <w:rPr>
          <w:sz w:val="24"/>
        </w:rPr>
        <w:t>：</w:t>
      </w:r>
    </w:p>
    <w:p w14:paraId="4F557254">
      <w:pPr>
        <w:snapToGrid w:val="0"/>
        <w:spacing w:line="300" w:lineRule="auto"/>
        <w:ind w:firstLine="482" w:firstLineChars="200"/>
        <w:jc w:val="left"/>
        <w:rPr>
          <w:sz w:val="24"/>
        </w:rPr>
      </w:pPr>
      <w:r>
        <w:rPr>
          <w:b/>
          <w:bCs/>
          <w:sz w:val="24"/>
        </w:rPr>
        <w:t xml:space="preserve">1 </w:t>
      </w:r>
      <w:r>
        <w:rPr>
          <w:sz w:val="24"/>
        </w:rPr>
        <w:t>光伏组件</w:t>
      </w:r>
      <w:r>
        <w:rPr>
          <w:rFonts w:hint="eastAsia"/>
          <w:sz w:val="24"/>
        </w:rPr>
        <w:t>应采用顺坡架空或顺坡镶嵌的安装方式，水平面上的投影不应超出建筑物立面或者屋面边缘范围</w:t>
      </w:r>
      <w:r>
        <w:rPr>
          <w:sz w:val="24"/>
        </w:rPr>
        <w:t>；</w:t>
      </w:r>
    </w:p>
    <w:p w14:paraId="5C296953">
      <w:pPr>
        <w:snapToGrid w:val="0"/>
        <w:spacing w:line="300" w:lineRule="auto"/>
        <w:ind w:firstLine="482" w:firstLineChars="200"/>
        <w:jc w:val="left"/>
        <w:rPr>
          <w:rFonts w:ascii="Times New Roman" w:hAnsi="Times New Roman" w:eastAsia="宋体" w:cs="Times New Roman"/>
          <w:sz w:val="24"/>
          <w:szCs w:val="24"/>
        </w:rPr>
      </w:pPr>
      <w:r>
        <w:rPr>
          <w:b/>
          <w:bCs/>
          <w:sz w:val="24"/>
        </w:rPr>
        <w:t>2</w:t>
      </w:r>
      <w:r>
        <w:rPr>
          <w:rFonts w:hint="eastAsia"/>
          <w:b/>
          <w:bCs/>
          <w:sz w:val="24"/>
          <w:lang w:val="en-US" w:eastAsia="zh-CN"/>
        </w:rPr>
        <w:t xml:space="preserve"> </w:t>
      </w:r>
      <w:r>
        <w:rPr>
          <w:rFonts w:ascii="Times New Roman" w:hAnsi="Times New Roman" w:eastAsia="宋体" w:cs="Times New Roman"/>
          <w:b w:val="0"/>
          <w:bCs w:val="0"/>
          <w:i w:val="0"/>
          <w:iCs w:val="0"/>
          <w:color w:val="auto"/>
          <w:sz w:val="24"/>
          <w:szCs w:val="24"/>
        </w:rPr>
        <w:t>宜设置便于人员检修的相关设施或选用满足上人强度要求的光伏组件；</w:t>
      </w:r>
      <w:r>
        <w:rPr>
          <w:rFonts w:ascii="Times New Roman" w:hAnsi="Times New Roman" w:eastAsia="宋体" w:cs="Times New Roman"/>
          <w:sz w:val="24"/>
          <w:szCs w:val="24"/>
        </w:rPr>
        <w:t xml:space="preserve"> </w:t>
      </w:r>
    </w:p>
    <w:p w14:paraId="21E75D1F">
      <w:pPr>
        <w:snapToGrid w:val="0"/>
        <w:spacing w:line="300" w:lineRule="auto"/>
        <w:ind w:firstLine="482" w:firstLineChars="200"/>
        <w:jc w:val="left"/>
        <w:rPr>
          <w:sz w:val="24"/>
        </w:rPr>
      </w:pPr>
      <w:r>
        <w:rPr>
          <w:rFonts w:hint="default"/>
          <w:b/>
          <w:bCs/>
          <w:sz w:val="24"/>
          <w:lang w:val="en-US"/>
        </w:rPr>
        <w:t>3</w:t>
      </w:r>
      <w:r>
        <w:rPr>
          <w:sz w:val="24"/>
        </w:rPr>
        <w:t>光伏瓦宜与屋顶普通瓦模数相匹配，不应影响屋面正常的排水功能。</w:t>
      </w:r>
    </w:p>
    <w:p w14:paraId="1B643FD8">
      <w:pPr>
        <w:snapToGrid w:val="0"/>
        <w:spacing w:line="300" w:lineRule="auto"/>
        <w:jc w:val="left"/>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00BB8C96">
      <w:pPr>
        <w:snapToGrid w:val="0"/>
        <w:spacing w:line="300" w:lineRule="auto"/>
        <w:ind w:left="480" w:hanging="480" w:hangingChars="200"/>
        <w:jc w:val="left"/>
        <w:rPr>
          <w:rFonts w:hint="eastAsia" w:ascii="仿宋" w:hAnsi="仿宋" w:eastAsia="仿宋" w:cs="仿宋"/>
          <w:b w:val="0"/>
          <w:bCs w:val="0"/>
          <w:i/>
          <w:iCs/>
          <w:color w:val="0623BA"/>
          <w:sz w:val="24"/>
          <w:szCs w:val="24"/>
        </w:rPr>
      </w:pPr>
      <w:r>
        <w:rPr>
          <w:rFonts w:hint="eastAsia" w:ascii="仿宋" w:hAnsi="仿宋" w:eastAsia="仿宋" w:cs="仿宋"/>
          <w:i/>
          <w:iCs/>
          <w:color w:val="0623BA"/>
          <w:sz w:val="24"/>
        </w:rPr>
        <w:t>5.</w:t>
      </w:r>
      <w:r>
        <w:rPr>
          <w:rFonts w:hint="eastAsia" w:ascii="仿宋" w:hAnsi="仿宋" w:eastAsia="仿宋" w:cs="仿宋"/>
          <w:i/>
          <w:iCs/>
          <w:color w:val="0623BA"/>
          <w:sz w:val="24"/>
          <w:lang w:val="en-US" w:eastAsia="zh-CN"/>
        </w:rPr>
        <w:t>4</w:t>
      </w:r>
      <w:r>
        <w:rPr>
          <w:rFonts w:hint="eastAsia" w:ascii="仿宋" w:hAnsi="仿宋" w:eastAsia="仿宋" w:cs="仿宋"/>
          <w:i/>
          <w:iCs/>
          <w:color w:val="0623BA"/>
          <w:sz w:val="24"/>
        </w:rPr>
        <w:t>.</w:t>
      </w:r>
      <w:r>
        <w:rPr>
          <w:rFonts w:hint="eastAsia" w:ascii="仿宋" w:hAnsi="仿宋" w:eastAsia="仿宋" w:cs="仿宋"/>
          <w:i/>
          <w:iCs/>
          <w:color w:val="0623BA"/>
          <w:sz w:val="24"/>
          <w:lang w:val="en-US" w:eastAsia="zh-CN"/>
        </w:rPr>
        <w:t>6</w:t>
      </w:r>
      <w:r>
        <w:rPr>
          <w:rFonts w:hint="eastAsia" w:ascii="仿宋" w:hAnsi="仿宋" w:eastAsia="仿宋" w:cs="仿宋"/>
          <w:i/>
          <w:iCs/>
          <w:color w:val="0623BA"/>
          <w:sz w:val="24"/>
        </w:rPr>
        <w:t xml:space="preserve"> </w:t>
      </w:r>
      <w:r>
        <w:rPr>
          <w:rFonts w:hint="eastAsia" w:ascii="仿宋" w:hAnsi="仿宋" w:eastAsia="仿宋" w:cs="仿宋"/>
          <w:b w:val="0"/>
          <w:bCs w:val="0"/>
          <w:i/>
          <w:iCs/>
          <w:color w:val="0623BA"/>
          <w:sz w:val="24"/>
          <w:szCs w:val="24"/>
        </w:rPr>
        <w:t>本条对光伏组件布置在建筑坡屋面上时的要求作出规定。</w:t>
      </w:r>
    </w:p>
    <w:p w14:paraId="75A43344">
      <w:pPr>
        <w:snapToGrid w:val="0"/>
        <w:spacing w:line="300" w:lineRule="auto"/>
        <w:ind w:left="0" w:firstLine="482" w:firstLineChars="200"/>
        <w:jc w:val="left"/>
        <w:rPr>
          <w:rFonts w:hint="eastAsia" w:ascii="仿宋" w:hAnsi="仿宋" w:eastAsia="仿宋" w:cs="仿宋"/>
          <w:b w:val="0"/>
          <w:bCs w:val="0"/>
          <w:i/>
          <w:iCs/>
          <w:color w:val="0623BA"/>
          <w:sz w:val="24"/>
          <w:szCs w:val="24"/>
        </w:rPr>
      </w:pPr>
      <w:r>
        <w:rPr>
          <w:rFonts w:hint="eastAsia" w:ascii="仿宋" w:hAnsi="仿宋" w:eastAsia="仿宋" w:cs="仿宋"/>
          <w:b/>
          <w:bCs/>
          <w:i/>
          <w:iCs/>
          <w:color w:val="0623BA"/>
          <w:sz w:val="24"/>
          <w:szCs w:val="24"/>
        </w:rPr>
        <w:t xml:space="preserve">1 </w:t>
      </w:r>
      <w:r>
        <w:rPr>
          <w:rFonts w:hint="eastAsia" w:ascii="仿宋" w:hAnsi="仿宋" w:eastAsia="仿宋" w:cs="仿宋"/>
          <w:b w:val="0"/>
          <w:bCs w:val="0"/>
          <w:i/>
          <w:iCs/>
          <w:color w:val="0623BA"/>
          <w:sz w:val="24"/>
          <w:szCs w:val="24"/>
        </w:rPr>
        <w:t>安装在坡屋面上的光伏组件宜根据建筑物实际情况，选择顺坡镶嵌设置或顺坡架空设置方式。应尽量避免超出建筑物立面或者屋面边缘范围，影响周围建筑与自身的美观；</w:t>
      </w:r>
    </w:p>
    <w:p w14:paraId="05B95511">
      <w:pPr>
        <w:snapToGrid w:val="0"/>
        <w:spacing w:line="300" w:lineRule="auto"/>
        <w:ind w:left="0" w:firstLine="482" w:firstLineChars="200"/>
        <w:jc w:val="left"/>
        <w:rPr>
          <w:rFonts w:hint="eastAsia" w:ascii="仿宋" w:hAnsi="仿宋" w:eastAsia="仿宋" w:cs="仿宋"/>
          <w:i/>
          <w:iCs/>
          <w:color w:val="0623BA"/>
          <w:sz w:val="24"/>
          <w:szCs w:val="24"/>
        </w:rPr>
      </w:pPr>
      <w:r>
        <w:rPr>
          <w:rFonts w:hint="eastAsia" w:ascii="仿宋" w:hAnsi="仿宋" w:eastAsia="仿宋" w:cs="仿宋"/>
          <w:b/>
          <w:bCs/>
          <w:i/>
          <w:iCs/>
          <w:color w:val="0623BA"/>
          <w:sz w:val="24"/>
          <w:szCs w:val="24"/>
        </w:rPr>
        <w:t xml:space="preserve">2 </w:t>
      </w:r>
      <w:r>
        <w:rPr>
          <w:rFonts w:hint="eastAsia" w:ascii="仿宋" w:hAnsi="仿宋" w:eastAsia="仿宋" w:cs="仿宋"/>
          <w:b w:val="0"/>
          <w:bCs w:val="0"/>
          <w:i/>
          <w:iCs/>
          <w:color w:val="0623BA"/>
          <w:sz w:val="24"/>
          <w:szCs w:val="24"/>
        </w:rPr>
        <w:t>考虑光伏组件的日常检修需求，宜根据屋面实际情况，设置适宜的便于上人检修的相关设施。在坡面不具备预留检修通道的条件时，宜选用满足上人强度要求的光伏组件，以应对组件可能出现的踩踏维修需求</w:t>
      </w:r>
      <w:r>
        <w:rPr>
          <w:rFonts w:hint="eastAsia" w:ascii="仿宋" w:hAnsi="仿宋" w:eastAsia="仿宋" w:cs="仿宋"/>
          <w:b w:val="0"/>
          <w:bCs w:val="0"/>
          <w:i/>
          <w:iCs/>
          <w:color w:val="0623BA"/>
          <w:sz w:val="24"/>
          <w:szCs w:val="24"/>
          <w:lang w:eastAsia="zh-CN"/>
        </w:rPr>
        <w:t>；</w:t>
      </w:r>
    </w:p>
    <w:p w14:paraId="19FDA693">
      <w:pPr>
        <w:snapToGrid w:val="0"/>
        <w:spacing w:line="300" w:lineRule="auto"/>
        <w:ind w:left="0" w:firstLine="480" w:firstLineChars="200"/>
        <w:jc w:val="left"/>
        <w:rPr>
          <w:rFonts w:hint="eastAsia" w:ascii="仿宋" w:hAnsi="仿宋" w:eastAsia="仿宋" w:cs="仿宋"/>
          <w:i/>
          <w:iCs/>
          <w:color w:val="0623BA"/>
          <w:sz w:val="24"/>
          <w:szCs w:val="24"/>
          <w:lang w:val="en-US" w:eastAsia="zh-CN"/>
        </w:rPr>
      </w:pPr>
      <w:r>
        <w:rPr>
          <w:rFonts w:hint="eastAsia" w:ascii="仿宋" w:hAnsi="仿宋" w:eastAsia="仿宋" w:cs="仿宋"/>
          <w:i/>
          <w:iCs/>
          <w:color w:val="0623BA"/>
          <w:sz w:val="24"/>
          <w:szCs w:val="24"/>
          <w:lang w:val="en-US" w:eastAsia="zh-CN"/>
        </w:rPr>
        <w:t>3 光伏瓦应重点考虑</w:t>
      </w:r>
      <w:r>
        <w:rPr>
          <w:rFonts w:hint="eastAsia" w:ascii="仿宋" w:hAnsi="仿宋" w:eastAsia="仿宋" w:cs="仿宋"/>
          <w:i/>
          <w:iCs/>
          <w:color w:val="0623BA"/>
          <w:sz w:val="24"/>
        </w:rPr>
        <w:t>整体屋面的通风散热问题</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光伏瓦自身以及顺水条、挂瓦条、连接件的结构强度和变形问题</w:t>
      </w:r>
      <w:r>
        <w:rPr>
          <w:rFonts w:hint="eastAsia" w:ascii="仿宋" w:hAnsi="仿宋" w:eastAsia="仿宋" w:cs="仿宋"/>
          <w:i/>
          <w:iCs/>
          <w:color w:val="0623BA"/>
          <w:sz w:val="24"/>
          <w:lang w:eastAsia="zh-CN"/>
        </w:rPr>
        <w:t>，光伏瓦的单块可更换问题，边框接地措施。</w:t>
      </w:r>
    </w:p>
    <w:p w14:paraId="46D29364">
      <w:pPr>
        <w:snapToGrid w:val="0"/>
        <w:spacing w:line="300" w:lineRule="auto"/>
        <w:jc w:val="left"/>
        <w:rPr>
          <w:sz w:val="24"/>
        </w:rPr>
      </w:pPr>
      <w:r>
        <w:rPr>
          <w:b/>
          <w:bCs/>
          <w:sz w:val="24"/>
        </w:rPr>
        <w:t>5.</w:t>
      </w:r>
      <w:r>
        <w:rPr>
          <w:rFonts w:hint="eastAsia"/>
          <w:b/>
          <w:bCs/>
          <w:sz w:val="24"/>
          <w:lang w:val="en-US" w:eastAsia="zh-CN"/>
        </w:rPr>
        <w:t>4</w:t>
      </w:r>
      <w:r>
        <w:rPr>
          <w:b/>
          <w:bCs/>
          <w:sz w:val="24"/>
        </w:rPr>
        <w:t>.</w:t>
      </w:r>
      <w:r>
        <w:rPr>
          <w:rFonts w:hint="eastAsia"/>
          <w:b/>
          <w:bCs/>
          <w:sz w:val="24"/>
        </w:rPr>
        <w:t>7</w:t>
      </w:r>
      <w:r>
        <w:rPr>
          <w:rFonts w:hint="eastAsia"/>
          <w:sz w:val="24"/>
        </w:rPr>
        <w:t xml:space="preserve"> </w:t>
      </w:r>
      <w:r>
        <w:rPr>
          <w:sz w:val="24"/>
        </w:rPr>
        <w:t>阳台或平台上安装光伏</w:t>
      </w:r>
      <w:r>
        <w:rPr>
          <w:rFonts w:hint="eastAsia"/>
          <w:sz w:val="24"/>
          <w:lang w:val="en-US" w:eastAsia="zh-CN"/>
        </w:rPr>
        <w:t>构件</w:t>
      </w:r>
      <w:r>
        <w:rPr>
          <w:sz w:val="24"/>
        </w:rPr>
        <w:t>应符合下列</w:t>
      </w:r>
      <w:r>
        <w:rPr>
          <w:rFonts w:hint="eastAsia"/>
          <w:sz w:val="24"/>
          <w:lang w:val="en-US" w:eastAsia="zh-CN"/>
        </w:rPr>
        <w:t>要求</w:t>
      </w:r>
      <w:r>
        <w:rPr>
          <w:sz w:val="24"/>
        </w:rPr>
        <w:t>：</w:t>
      </w:r>
    </w:p>
    <w:p w14:paraId="01D3A194">
      <w:pPr>
        <w:snapToGrid w:val="0"/>
        <w:spacing w:line="300" w:lineRule="auto"/>
        <w:ind w:firstLine="480" w:firstLineChars="200"/>
        <w:jc w:val="left"/>
        <w:rPr>
          <w:sz w:val="24"/>
        </w:rPr>
      </w:pPr>
      <w:r>
        <w:rPr>
          <w:sz w:val="24"/>
        </w:rPr>
        <w:t>1 安装在阳台或平台栏板上的光伏组件支架应与栏板主体结构上的预埋件牢固连接；</w:t>
      </w:r>
    </w:p>
    <w:p w14:paraId="40CFDE05">
      <w:pPr>
        <w:snapToGrid w:val="0"/>
        <w:spacing w:line="300" w:lineRule="auto"/>
        <w:ind w:firstLine="480" w:firstLineChars="200"/>
        <w:jc w:val="left"/>
        <w:rPr>
          <w:sz w:val="24"/>
        </w:rPr>
      </w:pPr>
      <w:r>
        <w:rPr>
          <w:sz w:val="24"/>
        </w:rPr>
        <w:t>2 构成阳台或平台栏板的光伏组件，应符合刚度、强度防护功能和电气安全要求，其高度应符合护栏高度的要求。</w:t>
      </w:r>
    </w:p>
    <w:p w14:paraId="25070F85">
      <w:pPr>
        <w:snapToGrid w:val="0"/>
        <w:spacing w:line="300" w:lineRule="auto"/>
        <w:jc w:val="left"/>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6F9378E2">
      <w:pPr>
        <w:snapToGrid w:val="0"/>
        <w:spacing w:line="300" w:lineRule="auto"/>
        <w:jc w:val="left"/>
        <w:rPr>
          <w:rFonts w:hint="eastAsia" w:ascii="仿宋" w:hAnsi="仿宋" w:eastAsia="仿宋" w:cs="仿宋"/>
          <w:i/>
          <w:iCs/>
          <w:color w:val="0623BA"/>
          <w:sz w:val="24"/>
        </w:rPr>
      </w:pPr>
      <w:r>
        <w:rPr>
          <w:rFonts w:hint="eastAsia" w:ascii="仿宋" w:hAnsi="仿宋" w:eastAsia="仿宋" w:cs="仿宋"/>
          <w:i/>
          <w:iCs/>
          <w:color w:val="0623BA"/>
          <w:sz w:val="24"/>
        </w:rPr>
        <w:t>5.</w:t>
      </w:r>
      <w:r>
        <w:rPr>
          <w:rFonts w:hint="eastAsia" w:ascii="仿宋" w:hAnsi="仿宋" w:eastAsia="仿宋" w:cs="仿宋"/>
          <w:i/>
          <w:iCs/>
          <w:color w:val="0623BA"/>
          <w:sz w:val="24"/>
          <w:lang w:val="en-US" w:eastAsia="zh-CN"/>
        </w:rPr>
        <w:t>4</w:t>
      </w:r>
      <w:r>
        <w:rPr>
          <w:rFonts w:hint="eastAsia" w:ascii="仿宋" w:hAnsi="仿宋" w:eastAsia="仿宋" w:cs="仿宋"/>
          <w:i/>
          <w:iCs/>
          <w:color w:val="0623BA"/>
          <w:sz w:val="24"/>
        </w:rPr>
        <w:t>.7 阳台或平台上安装光伏组件应符合以下要求：</w:t>
      </w:r>
    </w:p>
    <w:p w14:paraId="5A60B877">
      <w:pPr>
        <w:snapToGrid w:val="0"/>
        <w:spacing w:line="300" w:lineRule="auto"/>
        <w:ind w:firstLine="480" w:firstLineChars="200"/>
        <w:jc w:val="left"/>
        <w:rPr>
          <w:rFonts w:hint="eastAsia" w:ascii="仿宋" w:hAnsi="仿宋" w:eastAsia="仿宋" w:cs="仿宋"/>
          <w:i/>
          <w:iCs/>
          <w:color w:val="0623BA"/>
          <w:sz w:val="24"/>
        </w:rPr>
      </w:pPr>
      <w:r>
        <w:rPr>
          <w:rFonts w:hint="eastAsia" w:ascii="仿宋" w:hAnsi="仿宋" w:eastAsia="仿宋" w:cs="仿宋"/>
          <w:i/>
          <w:iCs/>
          <w:color w:val="0623BA"/>
          <w:sz w:val="24"/>
        </w:rPr>
        <w:t>1 对不具有阳台栏板功能，通过其他连接方式安装在阳台栏板上的光伏组件，其支架应与阳台栏板上的预埋件牢固连接，通过计算确定预埋件的尺寸与预埋深度，防止坠落事件的发生；</w:t>
      </w:r>
    </w:p>
    <w:p w14:paraId="562464B8">
      <w:pPr>
        <w:snapToGrid w:val="0"/>
        <w:spacing w:line="300" w:lineRule="auto"/>
        <w:ind w:firstLine="480" w:firstLineChars="200"/>
        <w:jc w:val="left"/>
        <w:rPr>
          <w:rFonts w:hint="eastAsia" w:ascii="仿宋" w:hAnsi="仿宋" w:eastAsia="仿宋" w:cs="仿宋"/>
          <w:i/>
          <w:iCs/>
          <w:color w:val="0623BA"/>
          <w:sz w:val="24"/>
        </w:rPr>
      </w:pPr>
      <w:r>
        <w:rPr>
          <w:rFonts w:hint="eastAsia" w:ascii="仿宋" w:hAnsi="仿宋" w:eastAsia="仿宋" w:cs="仿宋"/>
          <w:i/>
          <w:iCs/>
          <w:color w:val="0623BA"/>
          <w:sz w:val="24"/>
        </w:rPr>
        <w:t>2 作为阳台栏板的光伏组件，应符合建筑阳台栏板强度及高度的要求。阳台栏板高度应随建筑高度而增高，如低层、多层住宅的阳台栏板净高不应低1.05m，中、高层，高层住宅的阳台栏板不应低于1.10m，这是根据人体重心和心理因素而定的。</w:t>
      </w:r>
    </w:p>
    <w:p w14:paraId="445DE9D0">
      <w:pPr>
        <w:snapToGrid w:val="0"/>
        <w:spacing w:line="300" w:lineRule="auto"/>
        <w:jc w:val="left"/>
        <w:rPr>
          <w:sz w:val="24"/>
        </w:rPr>
      </w:pPr>
      <w:r>
        <w:rPr>
          <w:b/>
          <w:bCs/>
          <w:sz w:val="24"/>
        </w:rPr>
        <w:t>5.</w:t>
      </w:r>
      <w:r>
        <w:rPr>
          <w:rFonts w:hint="eastAsia"/>
          <w:b/>
          <w:bCs/>
          <w:sz w:val="24"/>
          <w:lang w:val="en-US" w:eastAsia="zh-CN"/>
        </w:rPr>
        <w:t>4</w:t>
      </w:r>
      <w:r>
        <w:rPr>
          <w:b/>
          <w:bCs/>
          <w:sz w:val="24"/>
        </w:rPr>
        <w:t>.</w:t>
      </w:r>
      <w:r>
        <w:rPr>
          <w:rFonts w:hint="eastAsia"/>
          <w:b/>
          <w:bCs/>
          <w:sz w:val="24"/>
        </w:rPr>
        <w:t>8</w:t>
      </w:r>
      <w:r>
        <w:rPr>
          <w:rFonts w:hint="eastAsia"/>
          <w:sz w:val="24"/>
        </w:rPr>
        <w:t xml:space="preserve"> </w:t>
      </w:r>
      <w:r>
        <w:rPr>
          <w:sz w:val="24"/>
        </w:rPr>
        <w:t>墙面上安装光伏组件应符合下列</w:t>
      </w:r>
      <w:r>
        <w:rPr>
          <w:rFonts w:hint="eastAsia"/>
          <w:sz w:val="24"/>
          <w:lang w:val="en-US" w:eastAsia="zh-CN"/>
        </w:rPr>
        <w:t>要求</w:t>
      </w:r>
      <w:r>
        <w:rPr>
          <w:sz w:val="24"/>
        </w:rPr>
        <w:t>：</w:t>
      </w:r>
    </w:p>
    <w:p w14:paraId="3BCC98B0">
      <w:pPr>
        <w:snapToGrid w:val="0"/>
        <w:spacing w:line="300" w:lineRule="auto"/>
        <w:ind w:firstLine="482" w:firstLineChars="200"/>
        <w:jc w:val="left"/>
        <w:rPr>
          <w:sz w:val="24"/>
        </w:rPr>
      </w:pPr>
      <w:r>
        <w:rPr>
          <w:b/>
          <w:bCs/>
          <w:sz w:val="24"/>
        </w:rPr>
        <w:t xml:space="preserve">1 </w:t>
      </w:r>
      <w:r>
        <w:rPr>
          <w:sz w:val="24"/>
        </w:rPr>
        <w:t>光伏组件与墙面的连接不应影响墙体的保温构造和节能效果；</w:t>
      </w:r>
    </w:p>
    <w:p w14:paraId="5A878F25">
      <w:pPr>
        <w:snapToGrid w:val="0"/>
        <w:spacing w:line="300" w:lineRule="auto"/>
        <w:ind w:firstLine="482" w:firstLineChars="200"/>
        <w:jc w:val="left"/>
        <w:rPr>
          <w:sz w:val="24"/>
        </w:rPr>
      </w:pPr>
      <w:r>
        <w:rPr>
          <w:b/>
          <w:bCs/>
          <w:sz w:val="24"/>
        </w:rPr>
        <w:t>2</w:t>
      </w:r>
      <w:r>
        <w:rPr>
          <w:rFonts w:hint="eastAsia"/>
          <w:b/>
          <w:bCs/>
          <w:sz w:val="24"/>
          <w:lang w:val="en-US" w:eastAsia="zh-CN"/>
        </w:rPr>
        <w:t xml:space="preserve"> </w:t>
      </w:r>
      <w:r>
        <w:rPr>
          <w:sz w:val="24"/>
        </w:rPr>
        <w:t>对设置在墙面的光伏组件的引线穿过墙面处，应预埋防水套管；穿墙管线不宜设在结构柱处；</w:t>
      </w:r>
    </w:p>
    <w:p w14:paraId="2CF31C22">
      <w:pPr>
        <w:snapToGrid w:val="0"/>
        <w:spacing w:line="300" w:lineRule="auto"/>
        <w:ind w:firstLine="482" w:firstLineChars="200"/>
        <w:jc w:val="left"/>
        <w:rPr>
          <w:rFonts w:hint="eastAsia" w:eastAsia="宋体"/>
          <w:sz w:val="24"/>
          <w:lang w:eastAsia="zh-CN"/>
        </w:rPr>
      </w:pPr>
      <w:r>
        <w:rPr>
          <w:b/>
          <w:bCs/>
          <w:sz w:val="24"/>
        </w:rPr>
        <w:t>3</w:t>
      </w:r>
      <w:r>
        <w:rPr>
          <w:rFonts w:hint="eastAsia"/>
          <w:b/>
          <w:bCs/>
          <w:sz w:val="24"/>
          <w:lang w:val="en-US" w:eastAsia="zh-CN"/>
        </w:rPr>
        <w:t xml:space="preserve"> </w:t>
      </w:r>
      <w:r>
        <w:rPr>
          <w:sz w:val="24"/>
        </w:rPr>
        <w:t>光伏组件镶嵌在墙面时，宜与墙面装饰材料、色彩、风格等协调处理</w:t>
      </w:r>
      <w:r>
        <w:rPr>
          <w:rFonts w:hint="eastAsia"/>
          <w:sz w:val="24"/>
          <w:lang w:eastAsia="zh-CN"/>
        </w:rPr>
        <w:t>。</w:t>
      </w:r>
    </w:p>
    <w:p w14:paraId="3CCA94F2">
      <w:pPr>
        <w:snapToGrid w:val="0"/>
        <w:spacing w:line="300" w:lineRule="auto"/>
        <w:jc w:val="left"/>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5A8B5B3E">
      <w:pPr>
        <w:snapToGrid w:val="0"/>
        <w:spacing w:line="300" w:lineRule="auto"/>
        <w:jc w:val="left"/>
        <w:rPr>
          <w:rFonts w:hint="eastAsia" w:ascii="仿宋" w:hAnsi="仿宋" w:eastAsia="仿宋" w:cs="仿宋"/>
          <w:i/>
          <w:iCs/>
          <w:color w:val="0623BA"/>
          <w:sz w:val="24"/>
        </w:rPr>
      </w:pPr>
      <w:r>
        <w:rPr>
          <w:rFonts w:hint="eastAsia" w:ascii="仿宋" w:hAnsi="仿宋" w:eastAsia="仿宋" w:cs="仿宋"/>
          <w:i/>
          <w:iCs/>
          <w:color w:val="0623BA"/>
          <w:sz w:val="24"/>
        </w:rPr>
        <w:t>5.</w:t>
      </w:r>
      <w:r>
        <w:rPr>
          <w:rFonts w:hint="eastAsia" w:ascii="仿宋" w:hAnsi="仿宋" w:eastAsia="仿宋" w:cs="仿宋"/>
          <w:i/>
          <w:iCs/>
          <w:color w:val="0623BA"/>
          <w:sz w:val="24"/>
          <w:lang w:val="en-US" w:eastAsia="zh-CN"/>
        </w:rPr>
        <w:t>4</w:t>
      </w:r>
      <w:r>
        <w:rPr>
          <w:rFonts w:hint="eastAsia" w:ascii="仿宋" w:hAnsi="仿宋" w:eastAsia="仿宋" w:cs="仿宋"/>
          <w:i/>
          <w:iCs/>
          <w:color w:val="0623BA"/>
          <w:sz w:val="24"/>
        </w:rPr>
        <w:t>.8 墙面上安装光伏组件应符合以下要求：</w:t>
      </w:r>
    </w:p>
    <w:p w14:paraId="269D67BD">
      <w:pPr>
        <w:snapToGrid w:val="0"/>
        <w:spacing w:line="300" w:lineRule="auto"/>
        <w:ind w:firstLine="480" w:firstLineChars="200"/>
        <w:jc w:val="left"/>
        <w:rPr>
          <w:rFonts w:hint="eastAsia" w:ascii="仿宋" w:hAnsi="仿宋" w:eastAsia="仿宋" w:cs="仿宋"/>
          <w:i/>
          <w:iCs/>
          <w:color w:val="0623BA"/>
          <w:sz w:val="24"/>
        </w:rPr>
      </w:pPr>
      <w:r>
        <w:rPr>
          <w:rFonts w:hint="eastAsia" w:ascii="仿宋" w:hAnsi="仿宋" w:eastAsia="仿宋" w:cs="仿宋"/>
          <w:i/>
          <w:iCs/>
          <w:color w:val="0623BA"/>
          <w:sz w:val="24"/>
        </w:rPr>
        <w:t>1 光伏组件安装具有外保温构造的墙体上时，其与墙面连接部位易产生冷桥，应做特殊断桥或保温构造处理；</w:t>
      </w:r>
    </w:p>
    <w:p w14:paraId="76E72921">
      <w:pPr>
        <w:snapToGrid w:val="0"/>
        <w:spacing w:line="300" w:lineRule="auto"/>
        <w:ind w:firstLine="480" w:firstLineChars="200"/>
        <w:jc w:val="left"/>
        <w:rPr>
          <w:rFonts w:hint="eastAsia" w:ascii="仿宋" w:hAnsi="仿宋" w:eastAsia="仿宋" w:cs="仿宋"/>
          <w:i/>
          <w:iCs/>
          <w:color w:val="0623BA"/>
          <w:sz w:val="24"/>
        </w:rPr>
      </w:pPr>
      <w:r>
        <w:rPr>
          <w:rFonts w:hint="eastAsia" w:ascii="仿宋" w:hAnsi="仿宋" w:eastAsia="仿宋" w:cs="仿宋"/>
          <w:i/>
          <w:iCs/>
          <w:color w:val="0623BA"/>
          <w:sz w:val="24"/>
        </w:rPr>
        <w:t>2 预埋防水套管可防止水渗</w:t>
      </w:r>
      <w:r>
        <w:rPr>
          <w:rFonts w:hint="eastAsia" w:ascii="仿宋" w:hAnsi="仿宋" w:eastAsia="仿宋" w:cs="仿宋"/>
          <w:i/>
          <w:iCs/>
          <w:color w:val="0623BA"/>
          <w:sz w:val="24"/>
          <w:lang w:val="en-US" w:eastAsia="zh-CN"/>
        </w:rPr>
        <w:t>入</w:t>
      </w:r>
      <w:r>
        <w:rPr>
          <w:rFonts w:hint="eastAsia" w:ascii="仿宋" w:hAnsi="仿宋" w:eastAsia="仿宋" w:cs="仿宋"/>
          <w:i/>
          <w:iCs/>
          <w:color w:val="0623BA"/>
          <w:sz w:val="24"/>
        </w:rPr>
        <w:t>墙体构造层；管线穿越结构柱会影响结构性能. 因此穿墙管线不宜设在结构柱内；</w:t>
      </w:r>
    </w:p>
    <w:p w14:paraId="39E5DE27">
      <w:pPr>
        <w:snapToGrid w:val="0"/>
        <w:spacing w:line="300" w:lineRule="auto"/>
        <w:ind w:firstLine="480" w:firstLineChars="200"/>
        <w:jc w:val="left"/>
        <w:rPr>
          <w:rFonts w:hint="eastAsia" w:ascii="仿宋" w:hAnsi="仿宋" w:eastAsia="仿宋" w:cs="仿宋"/>
          <w:i/>
          <w:iCs/>
          <w:color w:val="0623BA"/>
          <w:sz w:val="24"/>
        </w:rPr>
      </w:pPr>
      <w:r>
        <w:rPr>
          <w:rFonts w:hint="eastAsia" w:ascii="仿宋" w:hAnsi="仿宋" w:eastAsia="仿宋" w:cs="仿宋"/>
          <w:i/>
          <w:iCs/>
          <w:color w:val="0623BA"/>
          <w:sz w:val="24"/>
        </w:rPr>
        <w:t>3 光伏组件镶嵌在墙面时，应由建筑设计专业结合建筑立面进行统筹设计。</w:t>
      </w:r>
    </w:p>
    <w:p w14:paraId="5AF21116">
      <w:pPr>
        <w:snapToGrid w:val="0"/>
        <w:spacing w:line="300" w:lineRule="auto"/>
        <w:jc w:val="left"/>
        <w:rPr>
          <w:sz w:val="24"/>
        </w:rPr>
      </w:pPr>
      <w:r>
        <w:rPr>
          <w:b/>
          <w:bCs/>
          <w:sz w:val="24"/>
        </w:rPr>
        <w:t>5.</w:t>
      </w:r>
      <w:r>
        <w:rPr>
          <w:rFonts w:hint="eastAsia"/>
          <w:b/>
          <w:bCs/>
          <w:sz w:val="24"/>
          <w:lang w:val="en-US" w:eastAsia="zh-CN"/>
        </w:rPr>
        <w:t>4</w:t>
      </w:r>
      <w:r>
        <w:rPr>
          <w:b/>
          <w:bCs/>
          <w:sz w:val="24"/>
        </w:rPr>
        <w:t>.</w:t>
      </w:r>
      <w:r>
        <w:rPr>
          <w:rFonts w:hint="eastAsia"/>
          <w:b/>
          <w:bCs/>
          <w:sz w:val="24"/>
        </w:rPr>
        <w:t>9</w:t>
      </w:r>
      <w:r>
        <w:rPr>
          <w:rFonts w:hint="eastAsia"/>
          <w:sz w:val="24"/>
        </w:rPr>
        <w:t xml:space="preserve"> </w:t>
      </w:r>
      <w:r>
        <w:rPr>
          <w:sz w:val="24"/>
        </w:rPr>
        <w:t>建筑幕墙上安装光伏组件应符合下列</w:t>
      </w:r>
      <w:r>
        <w:rPr>
          <w:rFonts w:hint="eastAsia"/>
          <w:sz w:val="24"/>
          <w:lang w:val="en-US" w:eastAsia="zh-CN"/>
        </w:rPr>
        <w:t>要求</w:t>
      </w:r>
      <w:r>
        <w:rPr>
          <w:sz w:val="24"/>
        </w:rPr>
        <w:t>：</w:t>
      </w:r>
    </w:p>
    <w:p w14:paraId="3A9C0DB0">
      <w:pPr>
        <w:snapToGrid w:val="0"/>
        <w:spacing w:line="300" w:lineRule="auto"/>
        <w:ind w:firstLine="482" w:firstLineChars="200"/>
        <w:jc w:val="left"/>
        <w:rPr>
          <w:sz w:val="24"/>
        </w:rPr>
      </w:pPr>
      <w:r>
        <w:rPr>
          <w:b/>
          <w:bCs/>
          <w:sz w:val="24"/>
        </w:rPr>
        <w:t xml:space="preserve">1 </w:t>
      </w:r>
      <w:r>
        <w:rPr>
          <w:rFonts w:hint="eastAsia"/>
          <w:b/>
          <w:bCs/>
          <w:sz w:val="24"/>
          <w:lang w:val="en-US" w:eastAsia="zh-CN"/>
        </w:rPr>
        <w:t xml:space="preserve"> </w:t>
      </w:r>
      <w:r>
        <w:rPr>
          <w:sz w:val="24"/>
        </w:rPr>
        <w:t>光伏组件的尺寸应符合幕墙设计模数与幕墙协调统一；</w:t>
      </w:r>
    </w:p>
    <w:p w14:paraId="045CC2B6">
      <w:pPr>
        <w:snapToGrid w:val="0"/>
        <w:spacing w:line="300" w:lineRule="auto"/>
        <w:ind w:firstLine="482" w:firstLineChars="200"/>
        <w:jc w:val="left"/>
        <w:rPr>
          <w:sz w:val="24"/>
        </w:rPr>
      </w:pPr>
      <w:r>
        <w:rPr>
          <w:rFonts w:hint="eastAsia"/>
          <w:b/>
          <w:bCs/>
          <w:sz w:val="24"/>
          <w:lang w:val="en-US" w:eastAsia="zh-CN"/>
        </w:rPr>
        <w:t xml:space="preserve">2 </w:t>
      </w:r>
      <w:r>
        <w:rPr>
          <w:sz w:val="24"/>
        </w:rPr>
        <w:t>光伏幕墙的性能应符合现行行业标准《玻璃幕墙工程技术规范》JGJ102的有关规定；</w:t>
      </w:r>
    </w:p>
    <w:p w14:paraId="1C46DB10">
      <w:pPr>
        <w:snapToGrid w:val="0"/>
        <w:spacing w:line="300" w:lineRule="auto"/>
        <w:ind w:firstLine="482" w:firstLineChars="200"/>
        <w:jc w:val="left"/>
        <w:rPr>
          <w:sz w:val="24"/>
        </w:rPr>
      </w:pPr>
      <w:r>
        <w:rPr>
          <w:b/>
          <w:bCs/>
          <w:sz w:val="24"/>
        </w:rPr>
        <w:t>3</w:t>
      </w:r>
      <w:r>
        <w:rPr>
          <w:rFonts w:hint="eastAsia"/>
          <w:b/>
          <w:bCs/>
          <w:sz w:val="24"/>
          <w:lang w:val="en-US" w:eastAsia="zh-CN"/>
        </w:rPr>
        <w:t xml:space="preserve"> </w:t>
      </w:r>
      <w:r>
        <w:rPr>
          <w:sz w:val="24"/>
        </w:rPr>
        <w:t>由光伏幕墙构成的雨篷、檐口和采光顶，应符合建筑相应部位的刚度、强度、排水功能及防止空中坠物的安全性能规定；</w:t>
      </w:r>
    </w:p>
    <w:p w14:paraId="4FA4263C">
      <w:pPr>
        <w:snapToGrid w:val="0"/>
        <w:spacing w:line="300" w:lineRule="auto"/>
        <w:ind w:firstLine="482" w:firstLineChars="200"/>
        <w:jc w:val="left"/>
        <w:rPr>
          <w:sz w:val="24"/>
        </w:rPr>
      </w:pPr>
      <w:r>
        <w:rPr>
          <w:rFonts w:hint="eastAsia"/>
          <w:b/>
          <w:bCs/>
          <w:sz w:val="24"/>
          <w:lang w:eastAsia="zh-CN"/>
        </w:rPr>
        <w:t>4</w:t>
      </w:r>
      <w:r>
        <w:rPr>
          <w:rFonts w:hint="eastAsia"/>
          <w:b/>
          <w:bCs/>
          <w:sz w:val="24"/>
          <w:lang w:val="en-US" w:eastAsia="zh-CN"/>
        </w:rPr>
        <w:t xml:space="preserve"> </w:t>
      </w:r>
      <w:r>
        <w:rPr>
          <w:sz w:val="24"/>
        </w:rPr>
        <w:t>光伏组件之间的缝宽应满足幕墙温度变形和主体结构位移的要求，应在嵌缝材料受力和变形承受范围之内。</w:t>
      </w:r>
    </w:p>
    <w:p w14:paraId="2BB300F0">
      <w:pPr>
        <w:snapToGrid w:val="0"/>
        <w:spacing w:line="300" w:lineRule="auto"/>
        <w:jc w:val="left"/>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5FC05F14">
      <w:pPr>
        <w:snapToGrid w:val="0"/>
        <w:spacing w:line="300" w:lineRule="auto"/>
        <w:jc w:val="left"/>
        <w:rPr>
          <w:rFonts w:hint="eastAsia" w:ascii="仿宋" w:hAnsi="仿宋" w:eastAsia="仿宋" w:cs="仿宋"/>
          <w:i/>
          <w:iCs/>
          <w:color w:val="0623BA"/>
          <w:sz w:val="24"/>
        </w:rPr>
      </w:pPr>
      <w:r>
        <w:rPr>
          <w:rFonts w:hint="eastAsia" w:ascii="仿宋" w:hAnsi="仿宋" w:eastAsia="仿宋" w:cs="仿宋"/>
          <w:i/>
          <w:iCs/>
          <w:color w:val="0623BA"/>
          <w:sz w:val="24"/>
        </w:rPr>
        <w:t>5.</w:t>
      </w:r>
      <w:r>
        <w:rPr>
          <w:rFonts w:hint="eastAsia" w:ascii="仿宋" w:hAnsi="仿宋" w:eastAsia="仿宋" w:cs="仿宋"/>
          <w:i/>
          <w:iCs/>
          <w:color w:val="0623BA"/>
          <w:sz w:val="24"/>
          <w:lang w:val="en-US" w:eastAsia="zh-CN"/>
        </w:rPr>
        <w:t>4</w:t>
      </w:r>
      <w:r>
        <w:rPr>
          <w:rFonts w:hint="eastAsia" w:ascii="仿宋" w:hAnsi="仿宋" w:eastAsia="仿宋" w:cs="仿宋"/>
          <w:i/>
          <w:iCs/>
          <w:color w:val="0623BA"/>
          <w:sz w:val="24"/>
        </w:rPr>
        <w:t>.9 幕墙上安装光伏组件应符合以下要求：</w:t>
      </w:r>
    </w:p>
    <w:p w14:paraId="638CF22E">
      <w:pPr>
        <w:snapToGrid w:val="0"/>
        <w:spacing w:line="300" w:lineRule="auto"/>
        <w:ind w:firstLine="480" w:firstLineChars="200"/>
        <w:jc w:val="left"/>
        <w:rPr>
          <w:rFonts w:hint="eastAsia" w:ascii="仿宋" w:hAnsi="仿宋" w:eastAsia="仿宋" w:cs="仿宋"/>
          <w:i/>
          <w:iCs/>
          <w:color w:val="0623BA"/>
          <w:sz w:val="24"/>
        </w:rPr>
      </w:pPr>
      <w:r>
        <w:rPr>
          <w:rFonts w:hint="eastAsia" w:ascii="仿宋" w:hAnsi="仿宋" w:eastAsia="仿宋" w:cs="仿宋"/>
          <w:i/>
          <w:iCs/>
          <w:color w:val="0623BA"/>
          <w:sz w:val="24"/>
        </w:rPr>
        <w:t>1 安装在幕墙上的光伏组件尺寸应符合所安装幕墙板材的模数，既有利于安装，又与建筑幕墙在视觉上融为一体；</w:t>
      </w:r>
    </w:p>
    <w:p w14:paraId="40E7949A">
      <w:pPr>
        <w:snapToGrid w:val="0"/>
        <w:spacing w:line="300" w:lineRule="auto"/>
        <w:ind w:firstLine="480" w:firstLineChars="200"/>
        <w:jc w:val="left"/>
        <w:rPr>
          <w:rFonts w:hint="eastAsia" w:ascii="仿宋" w:hAnsi="仿宋" w:eastAsia="仿宋" w:cs="仿宋"/>
          <w:i/>
          <w:iCs/>
          <w:color w:val="0623BA"/>
          <w:sz w:val="24"/>
        </w:rPr>
      </w:pPr>
      <w:r>
        <w:rPr>
          <w:rFonts w:hint="eastAsia" w:ascii="仿宋" w:hAnsi="仿宋" w:eastAsia="仿宋" w:cs="仿宋"/>
          <w:i/>
          <w:iCs/>
          <w:color w:val="0623BA"/>
          <w:sz w:val="24"/>
        </w:rPr>
        <w:t>2 光伏幕墙的性能应与所安装普通幕墙具备同等的强度，以及具有同等保温、隔热、防水等性能，保证幕墙的整体性能；</w:t>
      </w:r>
    </w:p>
    <w:p w14:paraId="1E9A3DD9">
      <w:pPr>
        <w:snapToGrid w:val="0"/>
        <w:spacing w:line="300" w:lineRule="auto"/>
        <w:ind w:firstLine="480" w:firstLineChars="200"/>
        <w:jc w:val="left"/>
        <w:rPr>
          <w:rFonts w:hint="eastAsia" w:ascii="仿宋" w:hAnsi="仿宋" w:eastAsia="仿宋" w:cs="仿宋"/>
          <w:i/>
          <w:iCs/>
          <w:color w:val="0623BA"/>
          <w:sz w:val="24"/>
        </w:rPr>
      </w:pPr>
      <w:r>
        <w:rPr>
          <w:rFonts w:hint="eastAsia" w:ascii="仿宋" w:hAnsi="仿宋" w:eastAsia="仿宋" w:cs="仿宋"/>
          <w:i/>
          <w:iCs/>
          <w:color w:val="0623BA"/>
          <w:sz w:val="24"/>
        </w:rPr>
        <w:t>3 使用 PVB夹胶层的光伏构件可以符合建筑上使用安全玻璃的要求；用EVA 层压的光伏构件需要采用特殊的结构。防止玻璃自爆后因EVA强度不够而引发事故。</w:t>
      </w:r>
    </w:p>
    <w:p w14:paraId="6E28F956">
      <w:pPr>
        <w:snapToGrid w:val="0"/>
        <w:spacing w:line="300" w:lineRule="auto"/>
        <w:jc w:val="left"/>
        <w:rPr>
          <w:sz w:val="24"/>
        </w:rPr>
      </w:pPr>
      <w:r>
        <w:rPr>
          <w:b/>
          <w:bCs/>
          <w:sz w:val="24"/>
        </w:rPr>
        <w:t>5.</w:t>
      </w:r>
      <w:r>
        <w:rPr>
          <w:rFonts w:hint="eastAsia"/>
          <w:b/>
          <w:bCs/>
          <w:sz w:val="24"/>
          <w:lang w:val="en-US" w:eastAsia="zh-CN"/>
        </w:rPr>
        <w:t>4</w:t>
      </w:r>
      <w:r>
        <w:rPr>
          <w:b/>
          <w:bCs/>
          <w:sz w:val="24"/>
        </w:rPr>
        <w:t>.1</w:t>
      </w:r>
      <w:r>
        <w:rPr>
          <w:rFonts w:hint="eastAsia"/>
          <w:b/>
          <w:bCs/>
          <w:sz w:val="24"/>
        </w:rPr>
        <w:t>0</w:t>
      </w:r>
      <w:r>
        <w:rPr>
          <w:rFonts w:hint="eastAsia"/>
          <w:sz w:val="24"/>
        </w:rPr>
        <w:t xml:space="preserve"> </w:t>
      </w:r>
      <w:r>
        <w:rPr>
          <w:sz w:val="24"/>
        </w:rPr>
        <w:t>光伏采光顶、透光光伏幕墙、光伏窗应采取隐藏线缆和线缆散热的措施，应方便线路检修。</w:t>
      </w:r>
    </w:p>
    <w:p w14:paraId="3AE8D6A3">
      <w:pPr>
        <w:snapToGrid w:val="0"/>
        <w:spacing w:line="300" w:lineRule="auto"/>
        <w:jc w:val="left"/>
        <w:rPr>
          <w:sz w:val="24"/>
        </w:rPr>
      </w:pPr>
      <w:r>
        <w:rPr>
          <w:b/>
          <w:bCs/>
          <w:sz w:val="24"/>
        </w:rPr>
        <w:t>5.</w:t>
      </w:r>
      <w:r>
        <w:rPr>
          <w:rFonts w:hint="eastAsia"/>
          <w:b/>
          <w:bCs/>
          <w:sz w:val="24"/>
          <w:lang w:val="en-US" w:eastAsia="zh-CN"/>
        </w:rPr>
        <w:t>4</w:t>
      </w:r>
      <w:r>
        <w:rPr>
          <w:b/>
          <w:bCs/>
          <w:sz w:val="24"/>
        </w:rPr>
        <w:t>.1</w:t>
      </w:r>
      <w:r>
        <w:rPr>
          <w:rFonts w:hint="eastAsia"/>
          <w:b/>
          <w:bCs/>
          <w:sz w:val="24"/>
        </w:rPr>
        <w:t>1</w:t>
      </w:r>
      <w:r>
        <w:rPr>
          <w:rFonts w:hint="eastAsia"/>
          <w:sz w:val="24"/>
        </w:rPr>
        <w:t xml:space="preserve"> </w:t>
      </w:r>
      <w:r>
        <w:rPr>
          <w:sz w:val="24"/>
        </w:rPr>
        <w:t>光伏组件不宜设置为可开启窗扇。</w:t>
      </w:r>
    </w:p>
    <w:p w14:paraId="0EF48CD7">
      <w:pPr>
        <w:snapToGrid w:val="0"/>
        <w:spacing w:line="300" w:lineRule="auto"/>
        <w:jc w:val="left"/>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0303A811">
      <w:pPr>
        <w:snapToGrid w:val="0"/>
        <w:spacing w:line="300" w:lineRule="auto"/>
        <w:jc w:val="left"/>
        <w:rPr>
          <w:rFonts w:hint="eastAsia" w:ascii="仿宋" w:hAnsi="仿宋" w:eastAsia="仿宋" w:cs="仿宋"/>
          <w:i/>
          <w:iCs/>
          <w:color w:val="0623BA"/>
          <w:sz w:val="24"/>
        </w:rPr>
      </w:pPr>
      <w:r>
        <w:rPr>
          <w:rFonts w:hint="eastAsia" w:ascii="仿宋" w:hAnsi="仿宋" w:eastAsia="仿宋" w:cs="仿宋"/>
          <w:i/>
          <w:iCs/>
          <w:color w:val="0623BA"/>
          <w:sz w:val="24"/>
        </w:rPr>
        <w:t>5.</w:t>
      </w:r>
      <w:r>
        <w:rPr>
          <w:rFonts w:hint="eastAsia" w:ascii="仿宋" w:hAnsi="仿宋" w:eastAsia="仿宋" w:cs="仿宋"/>
          <w:i/>
          <w:iCs/>
          <w:color w:val="0623BA"/>
          <w:sz w:val="24"/>
          <w:lang w:val="en-US" w:eastAsia="zh-CN"/>
        </w:rPr>
        <w:t>4</w:t>
      </w:r>
      <w:r>
        <w:rPr>
          <w:rFonts w:hint="eastAsia" w:ascii="仿宋" w:hAnsi="仿宋" w:eastAsia="仿宋" w:cs="仿宋"/>
          <w:i/>
          <w:iCs/>
          <w:color w:val="0623BA"/>
          <w:sz w:val="24"/>
        </w:rPr>
        <w:t xml:space="preserve">.10 为了符合开启部位的设计要求，作为开启扇的光伏组件不宜并入光伏发电系统。若需并入，应考虑开启处线缆的耐久性、统一的开闭和开启角度以及合理的并串联设计。 </w:t>
      </w:r>
    </w:p>
    <w:p w14:paraId="0E8026E9">
      <w:pPr>
        <w:snapToGrid w:val="0"/>
        <w:spacing w:line="300" w:lineRule="auto"/>
        <w:jc w:val="left"/>
        <w:rPr>
          <w:sz w:val="24"/>
        </w:rPr>
      </w:pPr>
      <w:r>
        <w:rPr>
          <w:b/>
          <w:bCs/>
          <w:sz w:val="24"/>
        </w:rPr>
        <w:t>5.</w:t>
      </w:r>
      <w:r>
        <w:rPr>
          <w:rFonts w:hint="eastAsia"/>
          <w:b/>
          <w:bCs/>
          <w:sz w:val="24"/>
          <w:lang w:val="en-US" w:eastAsia="zh-CN"/>
        </w:rPr>
        <w:t>4</w:t>
      </w:r>
      <w:r>
        <w:rPr>
          <w:b/>
          <w:bCs/>
          <w:sz w:val="24"/>
        </w:rPr>
        <w:t>.1</w:t>
      </w:r>
      <w:r>
        <w:rPr>
          <w:rFonts w:hint="eastAsia"/>
          <w:b/>
          <w:bCs/>
          <w:sz w:val="24"/>
        </w:rPr>
        <w:t>2</w:t>
      </w:r>
      <w:r>
        <w:rPr>
          <w:rFonts w:hint="eastAsia"/>
          <w:sz w:val="24"/>
        </w:rPr>
        <w:t xml:space="preserve"> </w:t>
      </w:r>
      <w:r>
        <w:rPr>
          <w:sz w:val="24"/>
        </w:rPr>
        <w:t>采用螺栓连接的光伏组件，应采取防松、防滑措施；采用挂接或插接的光伏组件，应采取防脱、防滑措施。</w:t>
      </w:r>
    </w:p>
    <w:p w14:paraId="65F261FB">
      <w:pPr>
        <w:snapToGrid w:val="0"/>
        <w:spacing w:line="300" w:lineRule="auto"/>
        <w:jc w:val="left"/>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38EF5032">
      <w:pPr>
        <w:snapToGrid w:val="0"/>
        <w:spacing w:line="300" w:lineRule="auto"/>
        <w:jc w:val="left"/>
        <w:rPr>
          <w:rFonts w:hint="eastAsia" w:ascii="仿宋" w:hAnsi="仿宋" w:eastAsia="仿宋" w:cs="仿宋"/>
          <w:i/>
          <w:iCs/>
          <w:color w:val="0623BA"/>
          <w:sz w:val="24"/>
        </w:rPr>
      </w:pPr>
      <w:r>
        <w:rPr>
          <w:rFonts w:hint="eastAsia" w:ascii="仿宋" w:hAnsi="仿宋" w:eastAsia="仿宋" w:cs="仿宋"/>
          <w:i/>
          <w:iCs/>
          <w:color w:val="0623BA"/>
          <w:sz w:val="24"/>
        </w:rPr>
        <w:t>5.</w:t>
      </w:r>
      <w:r>
        <w:rPr>
          <w:rFonts w:hint="eastAsia" w:ascii="仿宋" w:hAnsi="仿宋" w:eastAsia="仿宋" w:cs="仿宋"/>
          <w:i/>
          <w:iCs/>
          <w:color w:val="0623BA"/>
          <w:sz w:val="24"/>
          <w:lang w:val="en-US" w:eastAsia="zh-CN"/>
        </w:rPr>
        <w:t>4</w:t>
      </w:r>
      <w:r>
        <w:rPr>
          <w:rFonts w:hint="eastAsia" w:ascii="仿宋" w:hAnsi="仿宋" w:eastAsia="仿宋" w:cs="仿宋"/>
          <w:i/>
          <w:iCs/>
          <w:color w:val="0623BA"/>
          <w:sz w:val="24"/>
        </w:rPr>
        <w:t>.12 光伏组件采用螺栓连接时应加放松垫片</w:t>
      </w:r>
      <w:r>
        <w:rPr>
          <w:rFonts w:hint="eastAsia" w:ascii="仿宋" w:hAnsi="仿宋" w:eastAsia="仿宋" w:cs="仿宋"/>
          <w:i/>
          <w:iCs/>
          <w:color w:val="0623BA"/>
          <w:sz w:val="24"/>
          <w:lang w:val="en-US" w:eastAsia="zh-CN"/>
        </w:rPr>
        <w:t>并</w:t>
      </w:r>
      <w:r>
        <w:rPr>
          <w:rFonts w:hint="eastAsia" w:ascii="仿宋" w:hAnsi="仿宋" w:eastAsia="仿宋" w:cs="仿宋"/>
          <w:i/>
          <w:iCs/>
          <w:color w:val="0623BA"/>
          <w:sz w:val="24"/>
        </w:rPr>
        <w:t xml:space="preserve">拧紧固定牢固。 </w:t>
      </w:r>
    </w:p>
    <w:p w14:paraId="6CD87286">
      <w:pPr>
        <w:snapToGrid w:val="0"/>
        <w:spacing w:line="300" w:lineRule="auto"/>
        <w:jc w:val="left"/>
        <w:rPr>
          <w:sz w:val="24"/>
        </w:rPr>
      </w:pPr>
      <w:r>
        <w:rPr>
          <w:b/>
          <w:bCs/>
          <w:sz w:val="24"/>
        </w:rPr>
        <w:t>5.</w:t>
      </w:r>
      <w:r>
        <w:rPr>
          <w:rFonts w:hint="eastAsia"/>
          <w:b/>
          <w:bCs/>
          <w:sz w:val="24"/>
          <w:lang w:val="en-US" w:eastAsia="zh-CN"/>
        </w:rPr>
        <w:t>4</w:t>
      </w:r>
      <w:r>
        <w:rPr>
          <w:b/>
          <w:bCs/>
          <w:sz w:val="24"/>
        </w:rPr>
        <w:t>.1</w:t>
      </w:r>
      <w:r>
        <w:rPr>
          <w:rFonts w:hint="eastAsia"/>
          <w:b/>
          <w:bCs/>
          <w:sz w:val="24"/>
        </w:rPr>
        <w:t>3</w:t>
      </w:r>
      <w:r>
        <w:rPr>
          <w:sz w:val="24"/>
        </w:rPr>
        <w:t xml:space="preserve"> 设置于建筑物内部的光伏发电系统管线应与建筑物其它管线综合设计</w:t>
      </w:r>
      <w:r>
        <w:rPr>
          <w:rFonts w:hint="eastAsia"/>
          <w:sz w:val="24"/>
        </w:rPr>
        <w:t>、</w:t>
      </w:r>
      <w:r>
        <w:rPr>
          <w:sz w:val="24"/>
        </w:rPr>
        <w:t>统筹安排，便于安装</w:t>
      </w:r>
      <w:r>
        <w:rPr>
          <w:rFonts w:hint="eastAsia"/>
          <w:sz w:val="24"/>
        </w:rPr>
        <w:t>、</w:t>
      </w:r>
      <w:r>
        <w:rPr>
          <w:sz w:val="24"/>
        </w:rPr>
        <w:t>检修</w:t>
      </w:r>
      <w:r>
        <w:rPr>
          <w:rFonts w:hint="eastAsia"/>
          <w:sz w:val="24"/>
        </w:rPr>
        <w:t>、</w:t>
      </w:r>
      <w:r>
        <w:rPr>
          <w:sz w:val="24"/>
        </w:rPr>
        <w:t>维护及管理。</w:t>
      </w:r>
    </w:p>
    <w:p w14:paraId="2B9A6786">
      <w:pPr>
        <w:snapToGrid w:val="0"/>
        <w:spacing w:line="300" w:lineRule="auto"/>
        <w:jc w:val="left"/>
        <w:rPr>
          <w:sz w:val="24"/>
          <w:highlight w:val="cyan"/>
        </w:rPr>
      </w:pPr>
    </w:p>
    <w:p w14:paraId="7092F636">
      <w:pPr>
        <w:snapToGrid w:val="0"/>
        <w:spacing w:line="300" w:lineRule="auto"/>
        <w:jc w:val="left"/>
        <w:rPr>
          <w:sz w:val="24"/>
          <w:highlight w:val="cyan"/>
        </w:rPr>
      </w:pPr>
    </w:p>
    <w:p w14:paraId="7734CCC4">
      <w:pPr>
        <w:snapToGrid w:val="0"/>
        <w:spacing w:line="300" w:lineRule="auto"/>
        <w:jc w:val="left"/>
        <w:rPr>
          <w:sz w:val="24"/>
        </w:rPr>
      </w:pPr>
      <w:r>
        <w:rPr>
          <w:sz w:val="24"/>
        </w:rPr>
        <w:br w:type="page"/>
      </w:r>
    </w:p>
    <w:p w14:paraId="2BD6911E">
      <w:pPr>
        <w:pStyle w:val="5"/>
        <w:spacing w:before="95" w:beforeLines="30" w:after="95" w:afterLines="30" w:line="300" w:lineRule="auto"/>
        <w:jc w:val="center"/>
        <w:rPr>
          <w:rFonts w:ascii="Times New Roman" w:hAnsi="Times New Roman" w:eastAsia="黑体" w:cs="Times New Roman"/>
          <w:sz w:val="28"/>
          <w:szCs w:val="28"/>
        </w:rPr>
      </w:pPr>
      <w:bookmarkStart w:id="164" w:name="_Toc19934"/>
      <w:bookmarkStart w:id="165" w:name="_Toc21906"/>
      <w:bookmarkStart w:id="166" w:name="_Toc12709"/>
      <w:bookmarkStart w:id="167" w:name="_Toc21468"/>
      <w:bookmarkStart w:id="168" w:name="_Toc29688"/>
      <w:bookmarkStart w:id="169" w:name="_Toc16117"/>
      <w:bookmarkStart w:id="170" w:name="_Toc13742"/>
      <w:bookmarkStart w:id="171" w:name="_Toc17314"/>
      <w:r>
        <w:rPr>
          <w:rFonts w:ascii="Times New Roman" w:hAnsi="Times New Roman" w:eastAsia="黑体" w:cs="Times New Roman"/>
          <w:sz w:val="28"/>
          <w:szCs w:val="28"/>
        </w:rPr>
        <w:t>6 结构设计</w:t>
      </w:r>
      <w:bookmarkEnd w:id="164"/>
      <w:bookmarkEnd w:id="165"/>
      <w:bookmarkEnd w:id="166"/>
      <w:bookmarkEnd w:id="167"/>
      <w:bookmarkEnd w:id="168"/>
      <w:bookmarkEnd w:id="169"/>
      <w:bookmarkEnd w:id="170"/>
      <w:bookmarkEnd w:id="171"/>
    </w:p>
    <w:p w14:paraId="3D635012">
      <w:pPr>
        <w:keepNext/>
        <w:keepLines/>
        <w:snapToGrid w:val="0"/>
        <w:spacing w:before="95" w:beforeLines="30" w:after="95" w:afterLines="30" w:line="300" w:lineRule="auto"/>
        <w:jc w:val="center"/>
        <w:outlineLvl w:val="2"/>
        <w:rPr>
          <w:b/>
          <w:sz w:val="24"/>
          <w:szCs w:val="32"/>
        </w:rPr>
      </w:pPr>
      <w:bookmarkStart w:id="172" w:name="_Toc12716"/>
      <w:bookmarkStart w:id="173" w:name="_Toc31370"/>
      <w:bookmarkStart w:id="174" w:name="_Toc4416"/>
      <w:bookmarkStart w:id="175" w:name="_Toc11195"/>
      <w:bookmarkStart w:id="176" w:name="_Toc30028"/>
      <w:bookmarkStart w:id="177" w:name="_Toc505"/>
      <w:bookmarkStart w:id="178" w:name="_Toc13984"/>
      <w:bookmarkStart w:id="179" w:name="_Toc5446"/>
      <w:r>
        <w:rPr>
          <w:b/>
          <w:sz w:val="24"/>
          <w:szCs w:val="32"/>
        </w:rPr>
        <w:t>6.1一般规定</w:t>
      </w:r>
      <w:bookmarkEnd w:id="172"/>
      <w:bookmarkEnd w:id="173"/>
      <w:bookmarkEnd w:id="174"/>
      <w:bookmarkEnd w:id="175"/>
      <w:bookmarkEnd w:id="176"/>
      <w:bookmarkEnd w:id="177"/>
      <w:bookmarkEnd w:id="178"/>
      <w:bookmarkEnd w:id="179"/>
    </w:p>
    <w:p w14:paraId="01958AF6">
      <w:pPr>
        <w:snapToGrid w:val="0"/>
        <w:spacing w:line="300" w:lineRule="auto"/>
        <w:jc w:val="left"/>
        <w:rPr>
          <w:sz w:val="24"/>
        </w:rPr>
      </w:pPr>
      <w:r>
        <w:rPr>
          <w:b/>
          <w:bCs/>
          <w:sz w:val="24"/>
        </w:rPr>
        <w:t>6.1.1</w:t>
      </w:r>
      <w:r>
        <w:rPr>
          <w:rFonts w:hint="eastAsia"/>
          <w:sz w:val="24"/>
        </w:rPr>
        <w:t xml:space="preserve"> </w:t>
      </w:r>
      <w:r>
        <w:rPr>
          <w:sz w:val="24"/>
        </w:rPr>
        <w:t>建筑光伏系统的结构设计应包括下列内容：</w:t>
      </w:r>
    </w:p>
    <w:p w14:paraId="4C26DE22">
      <w:pPr>
        <w:snapToGrid w:val="0"/>
        <w:spacing w:line="300" w:lineRule="auto"/>
        <w:ind w:firstLine="482" w:firstLineChars="200"/>
        <w:jc w:val="left"/>
        <w:rPr>
          <w:sz w:val="24"/>
        </w:rPr>
      </w:pPr>
      <w:r>
        <w:rPr>
          <w:b/>
          <w:bCs/>
          <w:sz w:val="24"/>
        </w:rPr>
        <w:t xml:space="preserve">1 </w:t>
      </w:r>
      <w:r>
        <w:rPr>
          <w:sz w:val="24"/>
        </w:rPr>
        <w:t>结构方案设计，包括结构选型、</w:t>
      </w:r>
      <w:r>
        <w:rPr>
          <w:rFonts w:hint="eastAsia"/>
          <w:sz w:val="24"/>
        </w:rPr>
        <w:t>构件设计</w:t>
      </w:r>
      <w:r>
        <w:rPr>
          <w:sz w:val="24"/>
        </w:rPr>
        <w:t>；</w:t>
      </w:r>
    </w:p>
    <w:p w14:paraId="471C47FC">
      <w:pPr>
        <w:snapToGrid w:val="0"/>
        <w:spacing w:line="300" w:lineRule="auto"/>
        <w:ind w:firstLine="482" w:firstLineChars="200"/>
        <w:jc w:val="left"/>
        <w:rPr>
          <w:sz w:val="24"/>
        </w:rPr>
      </w:pPr>
      <w:r>
        <w:rPr>
          <w:b/>
          <w:bCs/>
          <w:sz w:val="24"/>
        </w:rPr>
        <w:t xml:space="preserve">2 </w:t>
      </w:r>
      <w:r>
        <w:rPr>
          <w:sz w:val="24"/>
        </w:rPr>
        <w:t>作用及作用效应分析；</w:t>
      </w:r>
    </w:p>
    <w:p w14:paraId="16A9D7D5">
      <w:pPr>
        <w:snapToGrid w:val="0"/>
        <w:spacing w:line="300" w:lineRule="auto"/>
        <w:ind w:firstLine="482" w:firstLineChars="200"/>
        <w:jc w:val="left"/>
        <w:rPr>
          <w:sz w:val="24"/>
        </w:rPr>
      </w:pPr>
      <w:r>
        <w:rPr>
          <w:b/>
          <w:bCs/>
          <w:sz w:val="24"/>
        </w:rPr>
        <w:t xml:space="preserve">3 </w:t>
      </w:r>
      <w:r>
        <w:rPr>
          <w:sz w:val="24"/>
        </w:rPr>
        <w:t>结构的极限状态设计；</w:t>
      </w:r>
    </w:p>
    <w:p w14:paraId="4FBD17BB">
      <w:pPr>
        <w:snapToGrid w:val="0"/>
        <w:spacing w:line="300" w:lineRule="auto"/>
        <w:ind w:firstLine="482" w:firstLineChars="200"/>
        <w:jc w:val="left"/>
        <w:rPr>
          <w:sz w:val="24"/>
        </w:rPr>
      </w:pPr>
      <w:r>
        <w:rPr>
          <w:b/>
          <w:bCs/>
          <w:sz w:val="24"/>
        </w:rPr>
        <w:t xml:space="preserve">4 </w:t>
      </w:r>
      <w:r>
        <w:rPr>
          <w:sz w:val="24"/>
        </w:rPr>
        <w:t>结构及构件的构造、连接措施；</w:t>
      </w:r>
    </w:p>
    <w:p w14:paraId="624B2CDD">
      <w:pPr>
        <w:snapToGrid w:val="0"/>
        <w:spacing w:line="300" w:lineRule="auto"/>
        <w:ind w:firstLine="482" w:firstLineChars="200"/>
        <w:jc w:val="left"/>
        <w:rPr>
          <w:sz w:val="24"/>
        </w:rPr>
      </w:pPr>
      <w:r>
        <w:rPr>
          <w:b/>
          <w:bCs/>
          <w:sz w:val="24"/>
        </w:rPr>
        <w:t xml:space="preserve">5 </w:t>
      </w:r>
      <w:r>
        <w:rPr>
          <w:sz w:val="24"/>
        </w:rPr>
        <w:t>耐久性的要求；</w:t>
      </w:r>
    </w:p>
    <w:p w14:paraId="52383569">
      <w:pPr>
        <w:pStyle w:val="2"/>
        <w:ind w:firstLine="482" w:firstLineChars="200"/>
        <w:rPr>
          <w:rFonts w:hint="default" w:eastAsia="宋体"/>
          <w:lang w:val="en-US" w:eastAsia="zh-CN"/>
        </w:rPr>
      </w:pPr>
      <w:r>
        <w:rPr>
          <w:rFonts w:hint="default"/>
          <w:b/>
          <w:bCs/>
          <w:sz w:val="24"/>
          <w:lang w:val="en-US" w:eastAsia="zh-CN"/>
        </w:rPr>
        <w:t xml:space="preserve">6 </w:t>
      </w:r>
      <w:r>
        <w:rPr>
          <w:rFonts w:hint="eastAsia"/>
          <w:sz w:val="24"/>
          <w:szCs w:val="24"/>
          <w:highlight w:val="none"/>
          <w:u w:val="none" w:color="auto"/>
          <w:lang w:val="en-US" w:eastAsia="zh-CN"/>
        </w:rPr>
        <w:t>结构的稳定性计算；</w:t>
      </w:r>
    </w:p>
    <w:p w14:paraId="2BD4E6A2">
      <w:pPr>
        <w:snapToGrid w:val="0"/>
        <w:spacing w:line="300" w:lineRule="auto"/>
        <w:ind w:firstLine="482" w:firstLineChars="200"/>
        <w:jc w:val="left"/>
        <w:rPr>
          <w:sz w:val="24"/>
        </w:rPr>
      </w:pPr>
      <w:r>
        <w:rPr>
          <w:rFonts w:hint="eastAsia"/>
          <w:b/>
          <w:bCs/>
          <w:sz w:val="24"/>
          <w:lang w:val="en-US" w:eastAsia="zh-CN"/>
        </w:rPr>
        <w:t>7</w:t>
      </w:r>
      <w:r>
        <w:rPr>
          <w:b/>
          <w:bCs/>
          <w:sz w:val="24"/>
        </w:rPr>
        <w:t xml:space="preserve"> </w:t>
      </w:r>
      <w:r>
        <w:rPr>
          <w:sz w:val="24"/>
        </w:rPr>
        <w:t>符合特殊要求结构的专门性能设计。</w:t>
      </w:r>
    </w:p>
    <w:p w14:paraId="5651B1D2">
      <w:pPr>
        <w:snapToGrid w:val="0"/>
        <w:spacing w:line="300" w:lineRule="auto"/>
        <w:jc w:val="left"/>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37BA7830">
      <w:pPr>
        <w:snapToGrid w:val="0"/>
        <w:spacing w:line="300" w:lineRule="auto"/>
        <w:jc w:val="left"/>
        <w:rPr>
          <w:rFonts w:hint="eastAsia" w:ascii="仿宋" w:hAnsi="仿宋" w:eastAsia="仿宋" w:cs="仿宋"/>
          <w:i/>
          <w:iCs/>
          <w:color w:val="0623BA"/>
          <w:sz w:val="24"/>
        </w:rPr>
      </w:pPr>
      <w:r>
        <w:rPr>
          <w:rFonts w:hint="eastAsia" w:ascii="仿宋" w:hAnsi="仿宋" w:eastAsia="仿宋" w:cs="仿宋"/>
          <w:i/>
          <w:iCs/>
          <w:color w:val="0623BA"/>
          <w:sz w:val="24"/>
        </w:rPr>
        <w:t>6.1.1 结构方案设计非常重要</w:t>
      </w:r>
      <w:r>
        <w:rPr>
          <w:rFonts w:hint="eastAsia" w:ascii="仿宋" w:hAnsi="仿宋" w:eastAsia="仿宋" w:cs="仿宋"/>
          <w:i/>
          <w:iCs/>
          <w:color w:val="0623BA"/>
          <w:sz w:val="24"/>
          <w:lang w:val="en-US" w:eastAsia="zh-CN"/>
        </w:rPr>
        <w:t>。</w:t>
      </w:r>
      <w:r>
        <w:rPr>
          <w:rFonts w:hint="eastAsia" w:ascii="仿宋" w:hAnsi="仿宋" w:eastAsia="仿宋" w:cs="仿宋"/>
          <w:i/>
          <w:iCs/>
          <w:color w:val="0623BA"/>
          <w:sz w:val="24"/>
        </w:rPr>
        <w:t>不仅关系到建筑光伏系统自身的安全性. 还关系到建筑主体的结构安全还需要兼顾建筑光伏系统与主体建筑的协调美观和整体的经济性，因此要予以重视。</w:t>
      </w:r>
    </w:p>
    <w:p w14:paraId="52FCD29F">
      <w:pPr>
        <w:snapToGrid w:val="0"/>
        <w:spacing w:line="300" w:lineRule="auto"/>
        <w:jc w:val="left"/>
        <w:rPr>
          <w:sz w:val="24"/>
        </w:rPr>
      </w:pPr>
      <w:r>
        <w:rPr>
          <w:b/>
          <w:bCs/>
          <w:sz w:val="24"/>
        </w:rPr>
        <w:t>6.1.2</w:t>
      </w:r>
      <w:r>
        <w:rPr>
          <w:rFonts w:hint="eastAsia"/>
          <w:sz w:val="24"/>
        </w:rPr>
        <w:t xml:space="preserve"> </w:t>
      </w:r>
      <w:r>
        <w:rPr>
          <w:sz w:val="24"/>
        </w:rPr>
        <w:t>建筑光伏系统的结构设计应符合下列</w:t>
      </w:r>
      <w:r>
        <w:rPr>
          <w:rFonts w:hint="eastAsia"/>
          <w:sz w:val="24"/>
          <w:lang w:val="en-US" w:eastAsia="zh-CN"/>
        </w:rPr>
        <w:t>规定</w:t>
      </w:r>
      <w:r>
        <w:rPr>
          <w:sz w:val="24"/>
        </w:rPr>
        <w:t>：</w:t>
      </w:r>
    </w:p>
    <w:p w14:paraId="4AE58F10">
      <w:pPr>
        <w:snapToGrid w:val="0"/>
        <w:spacing w:line="300" w:lineRule="auto"/>
        <w:ind w:firstLine="482" w:firstLineChars="200"/>
        <w:jc w:val="left"/>
        <w:rPr>
          <w:sz w:val="24"/>
        </w:rPr>
      </w:pPr>
      <w:r>
        <w:rPr>
          <w:b/>
          <w:bCs/>
          <w:sz w:val="24"/>
        </w:rPr>
        <w:t>1</w:t>
      </w:r>
      <w:r>
        <w:rPr>
          <w:rFonts w:hint="eastAsia"/>
          <w:b/>
          <w:bCs/>
          <w:sz w:val="24"/>
        </w:rPr>
        <w:t xml:space="preserve"> </w:t>
      </w:r>
      <w:r>
        <w:rPr>
          <w:sz w:val="24"/>
        </w:rPr>
        <w:t>建筑附加光伏发电系统的结构设计</w:t>
      </w:r>
      <w:r>
        <w:rPr>
          <w:rFonts w:hint="eastAsia"/>
          <w:sz w:val="24"/>
          <w:lang w:val="en-US" w:eastAsia="zh-CN"/>
        </w:rPr>
        <w:t>工作</w:t>
      </w:r>
      <w:r>
        <w:rPr>
          <w:sz w:val="24"/>
        </w:rPr>
        <w:t>年限不应小于25年；</w:t>
      </w:r>
    </w:p>
    <w:p w14:paraId="657704A7">
      <w:pPr>
        <w:snapToGrid w:val="0"/>
        <w:spacing w:line="300" w:lineRule="auto"/>
        <w:ind w:firstLine="482" w:firstLineChars="200"/>
        <w:jc w:val="left"/>
        <w:rPr>
          <w:sz w:val="24"/>
        </w:rPr>
      </w:pPr>
      <w:r>
        <w:rPr>
          <w:b/>
          <w:bCs/>
          <w:sz w:val="24"/>
        </w:rPr>
        <w:t>2</w:t>
      </w:r>
      <w:r>
        <w:rPr>
          <w:rFonts w:hint="eastAsia"/>
          <w:b/>
          <w:bCs/>
          <w:sz w:val="24"/>
        </w:rPr>
        <w:t xml:space="preserve"> </w:t>
      </w:r>
      <w:r>
        <w:rPr>
          <w:sz w:val="24"/>
        </w:rPr>
        <w:t>建筑集成光伏发电系统的支撑结构，其结构设计</w:t>
      </w:r>
      <w:r>
        <w:rPr>
          <w:rFonts w:hint="eastAsia"/>
          <w:sz w:val="24"/>
          <w:lang w:val="en-US" w:eastAsia="zh-CN"/>
        </w:rPr>
        <w:t>工作</w:t>
      </w:r>
      <w:r>
        <w:rPr>
          <w:sz w:val="24"/>
        </w:rPr>
        <w:t>年限不应小于其替代的建筑构件的设计</w:t>
      </w:r>
      <w:r>
        <w:rPr>
          <w:rFonts w:hint="eastAsia"/>
          <w:sz w:val="24"/>
          <w:lang w:val="en-US" w:eastAsia="zh-CN"/>
        </w:rPr>
        <w:t>工作</w:t>
      </w:r>
      <w:r>
        <w:rPr>
          <w:sz w:val="24"/>
        </w:rPr>
        <w:t>年限。</w:t>
      </w:r>
    </w:p>
    <w:p w14:paraId="204DDE89">
      <w:pPr>
        <w:pStyle w:val="2"/>
        <w:spacing w:line="300" w:lineRule="auto"/>
      </w:pPr>
      <w:r>
        <w:rPr>
          <w:b/>
          <w:bCs/>
          <w:sz w:val="24"/>
        </w:rPr>
        <w:t>6.1.3</w:t>
      </w:r>
      <w:r>
        <w:rPr>
          <w:rFonts w:hint="eastAsia"/>
          <w:sz w:val="24"/>
        </w:rPr>
        <w:t xml:space="preserve"> </w:t>
      </w:r>
      <w:r>
        <w:rPr>
          <w:sz w:val="24"/>
        </w:rPr>
        <w:t>光伏采光顶结构构件的结构计算应符合现行行业标准《采光顶与金属屋面技术规程》JGJ</w:t>
      </w:r>
      <w:r>
        <w:rPr>
          <w:rFonts w:hint="eastAsia"/>
          <w:sz w:val="24"/>
        </w:rPr>
        <w:t xml:space="preserve"> </w:t>
      </w:r>
      <w:r>
        <w:rPr>
          <w:sz w:val="24"/>
        </w:rPr>
        <w:t>255的有关规定。</w:t>
      </w:r>
    </w:p>
    <w:p w14:paraId="098747D5">
      <w:pPr>
        <w:snapToGrid w:val="0"/>
        <w:spacing w:line="300" w:lineRule="auto"/>
        <w:jc w:val="left"/>
        <w:rPr>
          <w:sz w:val="24"/>
        </w:rPr>
      </w:pPr>
      <w:r>
        <w:rPr>
          <w:b/>
          <w:bCs/>
          <w:sz w:val="24"/>
        </w:rPr>
        <w:t>6.1.4</w:t>
      </w:r>
      <w:r>
        <w:rPr>
          <w:rFonts w:hint="eastAsia"/>
          <w:sz w:val="24"/>
        </w:rPr>
        <w:t xml:space="preserve"> </w:t>
      </w:r>
      <w:r>
        <w:rPr>
          <w:sz w:val="24"/>
        </w:rPr>
        <w:t>光伏幕墙构件的结构计算应符合现行行业标准《玻璃幕墙工程技术规范》JGJ 102的有关规定。</w:t>
      </w:r>
    </w:p>
    <w:p w14:paraId="58405ADF">
      <w:pPr>
        <w:snapToGrid w:val="0"/>
        <w:spacing w:line="300" w:lineRule="auto"/>
        <w:jc w:val="left"/>
        <w:rPr>
          <w:sz w:val="24"/>
        </w:rPr>
      </w:pPr>
      <w:r>
        <w:rPr>
          <w:b/>
          <w:bCs/>
          <w:sz w:val="24"/>
        </w:rPr>
        <w:t>6.1.5</w:t>
      </w:r>
      <w:r>
        <w:rPr>
          <w:rFonts w:hint="eastAsia"/>
          <w:sz w:val="24"/>
        </w:rPr>
        <w:t xml:space="preserve"> 建筑用光伏组件或光伏构件构件</w:t>
      </w:r>
      <w:r>
        <w:rPr>
          <w:sz w:val="24"/>
        </w:rPr>
        <w:t>应包括光伏发电组件强度及刚度校核、支撑构件的强度及刚度校核、光伏发电组件与支撑构件的连接计算、支撑构件与主体结构的连接计算。</w:t>
      </w:r>
    </w:p>
    <w:p w14:paraId="7434B162">
      <w:pPr>
        <w:snapToGrid w:val="0"/>
        <w:spacing w:line="300" w:lineRule="auto"/>
        <w:jc w:val="left"/>
        <w:rPr>
          <w:sz w:val="24"/>
        </w:rPr>
      </w:pPr>
      <w:bookmarkStart w:id="180" w:name="_Toc65528721"/>
      <w:bookmarkStart w:id="181" w:name="_Toc65535136"/>
      <w:r>
        <w:rPr>
          <w:b/>
          <w:bCs/>
          <w:sz w:val="24"/>
        </w:rPr>
        <w:t>6.1.6</w:t>
      </w:r>
      <w:r>
        <w:rPr>
          <w:rFonts w:hint="eastAsia"/>
          <w:b/>
          <w:bCs/>
          <w:sz w:val="24"/>
          <w:lang w:val="en-US" w:eastAsia="zh-CN"/>
        </w:rPr>
        <w:t xml:space="preserve"> </w:t>
      </w:r>
      <w:r>
        <w:rPr>
          <w:sz w:val="24"/>
        </w:rPr>
        <w:t>金属板</w:t>
      </w:r>
      <w:r>
        <w:rPr>
          <w:rFonts w:hint="eastAsia"/>
          <w:sz w:val="24"/>
        </w:rPr>
        <w:t>封装的</w:t>
      </w:r>
      <w:r>
        <w:rPr>
          <w:sz w:val="24"/>
        </w:rPr>
        <w:t>光伏构件应满足现行</w:t>
      </w:r>
      <w:r>
        <w:rPr>
          <w:rFonts w:hint="eastAsia"/>
          <w:sz w:val="24"/>
        </w:rPr>
        <w:t>行业</w:t>
      </w:r>
      <w:r>
        <w:rPr>
          <w:sz w:val="24"/>
        </w:rPr>
        <w:t>标准《金属与石材幕墙工程技术规范》JGJ 133</w:t>
      </w:r>
      <w:r>
        <w:rPr>
          <w:rFonts w:hint="eastAsia"/>
          <w:sz w:val="24"/>
        </w:rPr>
        <w:t>中</w:t>
      </w:r>
      <w:r>
        <w:rPr>
          <w:sz w:val="24"/>
        </w:rPr>
        <w:t>板材选型和结构计算的</w:t>
      </w:r>
      <w:r>
        <w:rPr>
          <w:rFonts w:hint="eastAsia"/>
          <w:sz w:val="24"/>
        </w:rPr>
        <w:t>要求。</w:t>
      </w:r>
    </w:p>
    <w:p w14:paraId="70BC8685">
      <w:pPr>
        <w:snapToGrid w:val="0"/>
        <w:spacing w:line="300" w:lineRule="auto"/>
        <w:jc w:val="left"/>
        <w:rPr>
          <w:sz w:val="24"/>
        </w:rPr>
      </w:pPr>
      <w:r>
        <w:rPr>
          <w:b/>
          <w:bCs/>
          <w:sz w:val="24"/>
        </w:rPr>
        <w:t>6.1.7</w:t>
      </w:r>
      <w:r>
        <w:rPr>
          <w:rFonts w:hint="eastAsia"/>
          <w:sz w:val="24"/>
          <w:lang w:val="en-US" w:eastAsia="zh-CN"/>
        </w:rPr>
        <w:t xml:space="preserve"> </w:t>
      </w:r>
      <w:r>
        <w:rPr>
          <w:sz w:val="24"/>
        </w:rPr>
        <w:t>人造板</w:t>
      </w:r>
      <w:r>
        <w:rPr>
          <w:rFonts w:hint="eastAsia"/>
          <w:sz w:val="24"/>
        </w:rPr>
        <w:t>封装的</w:t>
      </w:r>
      <w:r>
        <w:rPr>
          <w:sz w:val="24"/>
        </w:rPr>
        <w:t>光伏构件应满足现行</w:t>
      </w:r>
      <w:r>
        <w:rPr>
          <w:rFonts w:hint="eastAsia"/>
          <w:sz w:val="24"/>
        </w:rPr>
        <w:t>行业</w:t>
      </w:r>
      <w:r>
        <w:rPr>
          <w:sz w:val="24"/>
        </w:rPr>
        <w:t>标准《人造板材幕墙工程技术规范》JGJ 336</w:t>
      </w:r>
      <w:r>
        <w:rPr>
          <w:rFonts w:hint="eastAsia"/>
          <w:sz w:val="24"/>
        </w:rPr>
        <w:t>中</w:t>
      </w:r>
      <w:r>
        <w:rPr>
          <w:sz w:val="24"/>
        </w:rPr>
        <w:t>板材选型和结构计算的</w:t>
      </w:r>
      <w:r>
        <w:rPr>
          <w:rFonts w:hint="eastAsia"/>
          <w:sz w:val="24"/>
        </w:rPr>
        <w:t>要求</w:t>
      </w:r>
      <w:r>
        <w:rPr>
          <w:sz w:val="24"/>
        </w:rPr>
        <w:t>。</w:t>
      </w:r>
      <w:bookmarkEnd w:id="180"/>
      <w:bookmarkEnd w:id="181"/>
    </w:p>
    <w:p w14:paraId="28B1F9E9">
      <w:pPr>
        <w:snapToGrid w:val="0"/>
        <w:spacing w:line="300" w:lineRule="auto"/>
        <w:jc w:val="left"/>
        <w:rPr>
          <w:rFonts w:hint="eastAsia" w:eastAsia="宋体"/>
          <w:sz w:val="24"/>
          <w:lang w:eastAsia="zh-CN"/>
        </w:rPr>
      </w:pPr>
      <w:r>
        <w:rPr>
          <w:b/>
          <w:bCs/>
          <w:sz w:val="24"/>
        </w:rPr>
        <w:t>6.1.8</w:t>
      </w:r>
      <w:r>
        <w:rPr>
          <w:rFonts w:hint="eastAsia"/>
          <w:b/>
          <w:bCs/>
          <w:sz w:val="24"/>
          <w:lang w:val="en-US" w:eastAsia="zh-CN"/>
        </w:rPr>
        <w:t xml:space="preserve"> </w:t>
      </w:r>
      <w:r>
        <w:rPr>
          <w:rFonts w:hint="eastAsia"/>
          <w:sz w:val="24"/>
        </w:rPr>
        <w:t>光伏瓦应满足</w:t>
      </w:r>
      <w:r>
        <w:rPr>
          <w:sz w:val="24"/>
        </w:rPr>
        <w:t>《建筑玻璃应用技术规程》JGJ 113</w:t>
      </w:r>
      <w:r>
        <w:rPr>
          <w:rFonts w:hint="eastAsia"/>
          <w:sz w:val="24"/>
        </w:rPr>
        <w:t>的相关要求</w:t>
      </w:r>
      <w:r>
        <w:rPr>
          <w:rFonts w:hint="eastAsia"/>
          <w:sz w:val="24"/>
          <w:lang w:eastAsia="zh-CN"/>
        </w:rPr>
        <w:t>。</w:t>
      </w:r>
    </w:p>
    <w:p w14:paraId="23C3D2C9">
      <w:pPr>
        <w:snapToGrid w:val="0"/>
        <w:spacing w:line="300" w:lineRule="auto"/>
        <w:jc w:val="left"/>
        <w:rPr>
          <w:rFonts w:hint="eastAsia" w:eastAsia="宋体"/>
          <w:sz w:val="24"/>
          <w:lang w:eastAsia="zh-CN"/>
        </w:rPr>
      </w:pPr>
      <w:r>
        <w:rPr>
          <w:rFonts w:hint="eastAsia"/>
          <w:b/>
          <w:bCs/>
          <w:sz w:val="24"/>
        </w:rPr>
        <w:t>6</w:t>
      </w:r>
      <w:r>
        <w:rPr>
          <w:b/>
          <w:bCs/>
          <w:sz w:val="24"/>
        </w:rPr>
        <w:t>.1.9</w:t>
      </w:r>
      <w:r>
        <w:rPr>
          <w:rFonts w:hint="eastAsia"/>
          <w:sz w:val="24"/>
          <w:lang w:val="en-US" w:eastAsia="zh-CN"/>
        </w:rPr>
        <w:t xml:space="preserve"> </w:t>
      </w:r>
      <w:r>
        <w:rPr>
          <w:sz w:val="24"/>
        </w:rPr>
        <w:t>建筑附加光伏发电系统</w:t>
      </w:r>
      <w:r>
        <w:rPr>
          <w:rFonts w:hint="eastAsia"/>
          <w:sz w:val="24"/>
        </w:rPr>
        <w:t>所选用的光伏组件应满足</w:t>
      </w:r>
      <w:r>
        <w:rPr>
          <w:sz w:val="24"/>
        </w:rPr>
        <w:t>《建筑用光伏构件通用技术要求》JG/T 492</w:t>
      </w:r>
      <w:r>
        <w:rPr>
          <w:rFonts w:hint="eastAsia"/>
          <w:sz w:val="24"/>
        </w:rPr>
        <w:t>的相关结构安全规定</w:t>
      </w:r>
      <w:r>
        <w:rPr>
          <w:rFonts w:hint="eastAsia"/>
          <w:sz w:val="24"/>
          <w:lang w:eastAsia="zh-CN"/>
        </w:rPr>
        <w:t>。</w:t>
      </w:r>
    </w:p>
    <w:p w14:paraId="404F2CF2">
      <w:pPr>
        <w:keepNext/>
        <w:keepLines/>
        <w:snapToGrid w:val="0"/>
        <w:spacing w:before="72" w:beforeLines="30" w:after="72" w:afterLines="30" w:line="300" w:lineRule="auto"/>
        <w:jc w:val="center"/>
        <w:outlineLvl w:val="2"/>
        <w:rPr>
          <w:b/>
          <w:sz w:val="24"/>
          <w:szCs w:val="32"/>
        </w:rPr>
      </w:pPr>
      <w:bookmarkStart w:id="182" w:name="_Toc19297"/>
      <w:bookmarkStart w:id="183" w:name="_Toc8163"/>
      <w:bookmarkStart w:id="184" w:name="_Toc4089"/>
      <w:bookmarkStart w:id="185" w:name="_Toc545"/>
      <w:bookmarkStart w:id="186" w:name="_Toc9339"/>
      <w:bookmarkStart w:id="187" w:name="_Toc9209"/>
      <w:bookmarkStart w:id="188" w:name="_Toc7049"/>
      <w:bookmarkStart w:id="189" w:name="_Toc11619"/>
      <w:r>
        <w:rPr>
          <w:b/>
          <w:sz w:val="24"/>
          <w:szCs w:val="32"/>
        </w:rPr>
        <w:t>6.2设计</w:t>
      </w:r>
      <w:r>
        <w:rPr>
          <w:rFonts w:hint="default"/>
          <w:b/>
          <w:sz w:val="24"/>
          <w:szCs w:val="32"/>
        </w:rPr>
        <w:t>参数</w:t>
      </w:r>
      <w:bookmarkEnd w:id="182"/>
      <w:bookmarkEnd w:id="183"/>
      <w:bookmarkEnd w:id="184"/>
      <w:bookmarkEnd w:id="185"/>
      <w:bookmarkEnd w:id="186"/>
      <w:bookmarkEnd w:id="187"/>
      <w:bookmarkEnd w:id="188"/>
      <w:bookmarkEnd w:id="189"/>
    </w:p>
    <w:p w14:paraId="0F3F6E8D">
      <w:pPr>
        <w:snapToGrid w:val="0"/>
        <w:spacing w:line="300" w:lineRule="auto"/>
        <w:jc w:val="left"/>
        <w:rPr>
          <w:sz w:val="24"/>
        </w:rPr>
      </w:pPr>
      <w:r>
        <w:rPr>
          <w:b/>
          <w:bCs/>
          <w:sz w:val="24"/>
        </w:rPr>
        <w:t>6.2.1</w:t>
      </w:r>
      <w:r>
        <w:rPr>
          <w:sz w:val="24"/>
        </w:rPr>
        <w:t xml:space="preserve"> </w:t>
      </w:r>
      <w:r>
        <w:rPr>
          <w:rFonts w:hint="eastAsia"/>
          <w:sz w:val="24"/>
        </w:rPr>
        <w:t>建筑光伏系统的结构设计应符合下列</w:t>
      </w:r>
      <w:r>
        <w:rPr>
          <w:rFonts w:hint="eastAsia"/>
          <w:sz w:val="24"/>
          <w:lang w:val="en-US" w:eastAsia="zh-CN"/>
        </w:rPr>
        <w:t>要求</w:t>
      </w:r>
      <w:r>
        <w:rPr>
          <w:rFonts w:hint="eastAsia"/>
          <w:sz w:val="24"/>
        </w:rPr>
        <w:t>：</w:t>
      </w:r>
    </w:p>
    <w:p w14:paraId="03CD0B2A">
      <w:pPr>
        <w:snapToGrid w:val="0"/>
        <w:spacing w:line="300" w:lineRule="auto"/>
        <w:ind w:firstLine="482" w:firstLineChars="200"/>
        <w:jc w:val="left"/>
        <w:rPr>
          <w:rFonts w:hint="eastAsia" w:eastAsia="宋体"/>
          <w:sz w:val="24"/>
          <w:lang w:eastAsia="zh-CN"/>
        </w:rPr>
      </w:pPr>
      <w:r>
        <w:rPr>
          <w:rFonts w:hint="eastAsia"/>
          <w:b/>
          <w:bCs/>
          <w:sz w:val="24"/>
        </w:rPr>
        <w:t xml:space="preserve">1 </w:t>
      </w:r>
      <w:r>
        <w:rPr>
          <w:rFonts w:hint="eastAsia"/>
          <w:sz w:val="24"/>
        </w:rPr>
        <w:t>非抗震设计时，应考虑系统自重、风荷载、雪荷载和检修荷载作用效应组合</w:t>
      </w:r>
      <w:r>
        <w:rPr>
          <w:rFonts w:hint="eastAsia"/>
          <w:sz w:val="24"/>
          <w:lang w:eastAsia="zh-CN"/>
        </w:rPr>
        <w:t>；</w:t>
      </w:r>
    </w:p>
    <w:p w14:paraId="63D1C44E">
      <w:pPr>
        <w:snapToGrid w:val="0"/>
        <w:spacing w:line="300" w:lineRule="auto"/>
        <w:ind w:firstLine="482" w:firstLineChars="200"/>
        <w:jc w:val="left"/>
        <w:rPr>
          <w:rFonts w:hint="eastAsia" w:eastAsia="宋体"/>
          <w:sz w:val="24"/>
          <w:lang w:eastAsia="zh-CN"/>
        </w:rPr>
      </w:pPr>
      <w:r>
        <w:rPr>
          <w:rFonts w:hint="eastAsia"/>
          <w:b/>
          <w:bCs/>
          <w:sz w:val="24"/>
        </w:rPr>
        <w:t xml:space="preserve">2 </w:t>
      </w:r>
      <w:r>
        <w:rPr>
          <w:rFonts w:hint="eastAsia"/>
          <w:sz w:val="24"/>
        </w:rPr>
        <w:t>抗震设计时，应考虑系统自重、风荷载、雪荷载、检修荷载和地震作用效应组合</w:t>
      </w:r>
      <w:r>
        <w:rPr>
          <w:rFonts w:hint="eastAsia"/>
          <w:sz w:val="24"/>
          <w:lang w:eastAsia="zh-CN"/>
        </w:rPr>
        <w:t>；</w:t>
      </w:r>
    </w:p>
    <w:p w14:paraId="73A60403">
      <w:pPr>
        <w:snapToGrid w:val="0"/>
        <w:spacing w:line="300" w:lineRule="auto"/>
        <w:ind w:firstLine="482" w:firstLineChars="200"/>
        <w:jc w:val="left"/>
        <w:rPr>
          <w:sz w:val="24"/>
        </w:rPr>
      </w:pPr>
      <w:r>
        <w:rPr>
          <w:rFonts w:hint="eastAsia"/>
          <w:b/>
          <w:bCs/>
          <w:sz w:val="24"/>
        </w:rPr>
        <w:t xml:space="preserve">3 </w:t>
      </w:r>
      <w:r>
        <w:rPr>
          <w:rFonts w:hint="eastAsia"/>
          <w:sz w:val="24"/>
        </w:rPr>
        <w:t>作用效应组合应按照国家标准《工程结构通用规范》GB 55001</w:t>
      </w:r>
      <w:r>
        <w:rPr>
          <w:rFonts w:hint="eastAsia"/>
          <w:sz w:val="24"/>
          <w:lang w:eastAsia="zh-CN"/>
        </w:rPr>
        <w:t>、《建筑结构荷载规范》GB50009、《建筑抗震设计规范》GB50011</w:t>
      </w:r>
      <w:r>
        <w:rPr>
          <w:rFonts w:hint="eastAsia"/>
          <w:sz w:val="24"/>
        </w:rPr>
        <w:t>的有关规定进行计算。</w:t>
      </w:r>
    </w:p>
    <w:p w14:paraId="3CDDBD59">
      <w:pPr>
        <w:snapToGrid w:val="0"/>
        <w:spacing w:line="300" w:lineRule="auto"/>
        <w:jc w:val="left"/>
        <w:rPr>
          <w:sz w:val="24"/>
        </w:rPr>
      </w:pPr>
      <w:r>
        <w:rPr>
          <w:b/>
          <w:bCs/>
          <w:sz w:val="24"/>
        </w:rPr>
        <w:t>6.2.</w:t>
      </w:r>
      <w:r>
        <w:rPr>
          <w:rFonts w:hint="eastAsia"/>
          <w:b/>
          <w:bCs/>
          <w:sz w:val="24"/>
        </w:rPr>
        <w:t>2</w:t>
      </w:r>
      <w:r>
        <w:rPr>
          <w:sz w:val="24"/>
        </w:rPr>
        <w:t xml:space="preserve"> 玻璃的强度设计值及其他物理力学性能应符合现行行业标准《建筑玻璃应用技术规程》JGJ 113的有关规定。</w:t>
      </w:r>
    </w:p>
    <w:p w14:paraId="1847AA66">
      <w:pPr>
        <w:snapToGrid w:val="0"/>
        <w:spacing w:line="300" w:lineRule="auto"/>
        <w:jc w:val="left"/>
        <w:rPr>
          <w:sz w:val="24"/>
        </w:rPr>
      </w:pPr>
      <w:r>
        <w:rPr>
          <w:b/>
          <w:bCs/>
          <w:sz w:val="24"/>
        </w:rPr>
        <w:t>6.2.</w:t>
      </w:r>
      <w:r>
        <w:rPr>
          <w:rFonts w:hint="eastAsia"/>
          <w:b/>
          <w:bCs/>
          <w:sz w:val="24"/>
        </w:rPr>
        <w:t>3</w:t>
      </w:r>
      <w:r>
        <w:rPr>
          <w:sz w:val="24"/>
        </w:rPr>
        <w:t xml:space="preserve"> 钢材的强度设计值及其他物理力学性能应按现行国家标准《钢结构设计标准》GB50017和《冷弯薄壁型钢结构技术规范》GB 50018的规定采用。</w:t>
      </w:r>
    </w:p>
    <w:p w14:paraId="4059C08D">
      <w:pPr>
        <w:snapToGrid w:val="0"/>
        <w:spacing w:line="300" w:lineRule="auto"/>
        <w:jc w:val="left"/>
        <w:rPr>
          <w:sz w:val="24"/>
          <w:highlight w:val="cyan"/>
        </w:rPr>
      </w:pPr>
      <w:r>
        <w:rPr>
          <w:b/>
          <w:bCs/>
          <w:sz w:val="24"/>
        </w:rPr>
        <w:t>6.2</w:t>
      </w:r>
      <w:r>
        <w:rPr>
          <w:rFonts w:hint="eastAsia"/>
          <w:b/>
          <w:bCs/>
          <w:sz w:val="24"/>
        </w:rPr>
        <w:t>.4</w:t>
      </w:r>
      <w:r>
        <w:rPr>
          <w:sz w:val="24"/>
        </w:rPr>
        <w:t xml:space="preserve"> 铝合金材料的强度设计值及其他物理力学性能应按现行国家标准《铝合金结构设计规范》GB 50429</w:t>
      </w:r>
      <w:r>
        <w:rPr>
          <w:rFonts w:hint="eastAsia"/>
          <w:sz w:val="24"/>
        </w:rPr>
        <w:t>和《一般工业用铝及铝合金挤压型材》GBT6892</w:t>
      </w:r>
      <w:r>
        <w:rPr>
          <w:sz w:val="24"/>
        </w:rPr>
        <w:t>的规定采用。</w:t>
      </w:r>
    </w:p>
    <w:p w14:paraId="220738CD">
      <w:pPr>
        <w:snapToGrid w:val="0"/>
        <w:spacing w:line="300" w:lineRule="auto"/>
        <w:jc w:val="left"/>
        <w:rPr>
          <w:sz w:val="24"/>
        </w:rPr>
      </w:pPr>
      <w:r>
        <w:rPr>
          <w:b/>
          <w:bCs/>
          <w:sz w:val="24"/>
        </w:rPr>
        <w:t>6.2.</w:t>
      </w:r>
      <w:r>
        <w:rPr>
          <w:rFonts w:hint="eastAsia"/>
          <w:b/>
          <w:bCs/>
          <w:sz w:val="24"/>
        </w:rPr>
        <w:t>5</w:t>
      </w:r>
      <w:r>
        <w:rPr>
          <w:b/>
          <w:bCs/>
          <w:sz w:val="24"/>
        </w:rPr>
        <w:t xml:space="preserve"> </w:t>
      </w:r>
      <w:r>
        <w:rPr>
          <w:sz w:val="24"/>
        </w:rPr>
        <w:t>配重式支架结构附加屋面光伏系统的支撑系统应计算其整体抗滑移、抗倾覆能力。</w:t>
      </w:r>
    </w:p>
    <w:p w14:paraId="2A4B12F3">
      <w:pPr>
        <w:keepNext/>
        <w:keepLines/>
        <w:snapToGrid w:val="0"/>
        <w:spacing w:before="72" w:beforeLines="30" w:after="72" w:afterLines="30" w:line="300" w:lineRule="auto"/>
        <w:jc w:val="center"/>
        <w:outlineLvl w:val="2"/>
        <w:rPr>
          <w:b/>
          <w:sz w:val="24"/>
          <w:szCs w:val="32"/>
        </w:rPr>
      </w:pPr>
      <w:bookmarkStart w:id="190" w:name="_Toc13410"/>
      <w:bookmarkStart w:id="191" w:name="_Toc21849"/>
      <w:bookmarkStart w:id="192" w:name="_Toc17123"/>
      <w:bookmarkStart w:id="193" w:name="_Toc29161"/>
      <w:bookmarkStart w:id="194" w:name="_Toc5098"/>
      <w:bookmarkStart w:id="195" w:name="_Toc1607"/>
      <w:bookmarkStart w:id="196" w:name="_Toc31844"/>
      <w:bookmarkStart w:id="197" w:name="_Toc12091"/>
      <w:r>
        <w:rPr>
          <w:b/>
          <w:sz w:val="24"/>
          <w:szCs w:val="32"/>
        </w:rPr>
        <w:t>6.3荷载和作用</w:t>
      </w:r>
      <w:bookmarkEnd w:id="190"/>
      <w:bookmarkEnd w:id="191"/>
      <w:bookmarkEnd w:id="192"/>
      <w:bookmarkEnd w:id="193"/>
      <w:bookmarkEnd w:id="194"/>
      <w:bookmarkEnd w:id="195"/>
      <w:bookmarkEnd w:id="196"/>
      <w:bookmarkEnd w:id="197"/>
    </w:p>
    <w:p w14:paraId="0C5A1506">
      <w:pPr>
        <w:pStyle w:val="2"/>
        <w:spacing w:line="300" w:lineRule="auto"/>
        <w:rPr>
          <w:sz w:val="24"/>
        </w:rPr>
      </w:pPr>
      <w:r>
        <w:rPr>
          <w:b/>
          <w:bCs/>
          <w:sz w:val="24"/>
        </w:rPr>
        <w:t>6.3.</w:t>
      </w:r>
      <w:r>
        <w:rPr>
          <w:rFonts w:hint="eastAsia"/>
          <w:b/>
          <w:bCs/>
          <w:sz w:val="24"/>
          <w:lang w:val="en-US" w:eastAsia="zh-CN"/>
        </w:rPr>
        <w:t>1</w:t>
      </w:r>
      <w:r>
        <w:rPr>
          <w:sz w:val="24"/>
        </w:rPr>
        <w:t xml:space="preserve"> </w:t>
      </w:r>
      <w:r>
        <w:rPr>
          <w:rFonts w:hint="eastAsia"/>
          <w:sz w:val="24"/>
        </w:rPr>
        <w:t>建筑附加光伏发电系统的风荷载应按下式计算：</w:t>
      </w:r>
    </w:p>
    <w:p w14:paraId="012C365E">
      <w:pPr>
        <w:spacing w:line="300" w:lineRule="auto"/>
        <w:jc w:val="center"/>
      </w:pPr>
      <w:bookmarkStart w:id="198" w:name="_Toc28787"/>
      <w:bookmarkStart w:id="199" w:name="_Toc20041"/>
      <w:bookmarkStart w:id="200" w:name="_Toc874"/>
      <w:r>
        <w:rPr>
          <w:rFonts w:hint="eastAsia"/>
          <w:position w:val="-14"/>
          <w:lang w:val="en-US" w:eastAsia="zh-CN"/>
        </w:rPr>
        <w:t xml:space="preserve">                       </w:t>
      </w:r>
      <w:r>
        <w:rPr>
          <w:position w:val="-14"/>
        </w:rPr>
        <w:object>
          <v:shape id="_x0000_i1025" o:spt="75" type="#_x0000_t75" style="height:22.4pt;width:93.75pt;" o:ole="t" filled="f" o:preferrelative="t" stroked="f" coordsize="21600,21600">
            <v:path/>
            <v:fill on="f" focussize="0,0"/>
            <v:stroke on="f" joinstyle="miter"/>
            <v:imagedata r:id="rId16" o:title=""/>
            <o:lock v:ext="edit" aspectratio="f"/>
            <w10:wrap type="none"/>
            <w10:anchorlock/>
          </v:shape>
          <o:OLEObject Type="Embed" ProgID="Equation.DSMT4" ShapeID="_x0000_i1025" DrawAspect="Content" ObjectID="_1468075725" r:id="rId15">
            <o:LockedField>false</o:LockedField>
          </o:OLEObject>
        </w:object>
      </w:r>
      <w:r>
        <w:t xml:space="preserve">          </w:t>
      </w:r>
      <w:r>
        <w:rPr>
          <w:rFonts w:hint="eastAsia"/>
        </w:rPr>
        <w:t xml:space="preserve">    </w:t>
      </w:r>
      <w:r>
        <w:rPr>
          <w:position w:val="-12"/>
          <w:sz w:val="24"/>
        </w:rPr>
        <w:t xml:space="preserve">  </w:t>
      </w:r>
      <w:r>
        <w:rPr>
          <w:rFonts w:hint="eastAsia"/>
          <w:position w:val="-12"/>
          <w:sz w:val="24"/>
          <w:lang w:val="en-US" w:eastAsia="zh-CN"/>
        </w:rPr>
        <w:t xml:space="preserve">            </w:t>
      </w:r>
      <w:r>
        <w:rPr>
          <w:rFonts w:hint="eastAsia"/>
          <w:position w:val="-12"/>
          <w:sz w:val="24"/>
        </w:rPr>
        <w:t>（6.3.</w:t>
      </w:r>
      <w:r>
        <w:rPr>
          <w:rFonts w:hint="eastAsia"/>
          <w:position w:val="-12"/>
          <w:sz w:val="24"/>
          <w:lang w:val="en-US" w:eastAsia="zh-CN"/>
        </w:rPr>
        <w:t>1</w:t>
      </w:r>
      <w:r>
        <w:rPr>
          <w:rFonts w:hint="eastAsia"/>
          <w:position w:val="-12"/>
          <w:sz w:val="24"/>
        </w:rPr>
        <w:t>）</w:t>
      </w:r>
      <w:bookmarkEnd w:id="198"/>
      <w:bookmarkEnd w:id="199"/>
      <w:bookmarkEnd w:id="200"/>
    </w:p>
    <w:p w14:paraId="7C82D61D">
      <w:pPr>
        <w:pStyle w:val="2"/>
        <w:spacing w:after="0" w:line="300" w:lineRule="auto"/>
        <w:rPr>
          <w:sz w:val="24"/>
        </w:rPr>
      </w:pPr>
      <w:r>
        <w:rPr>
          <w:rFonts w:hint="eastAsia"/>
          <w:sz w:val="24"/>
        </w:rPr>
        <w:t>式中：</w:t>
      </w:r>
      <w:r>
        <w:rPr>
          <w:rFonts w:hint="eastAsia"/>
          <w:sz w:val="24"/>
        </w:rPr>
        <w:object>
          <v:shape id="_x0000_i1026" o:spt="75" type="#_x0000_t75" style="height:18.35pt;width:14.95pt;" o:ole="t" filled="f" o:preferrelative="t" stroked="f" coordsize="21600,21600">
            <v:path/>
            <v:fill on="f" focussize="0,0"/>
            <v:stroke on="f" joinstyle="miter"/>
            <v:imagedata r:id="rId18" o:title=""/>
            <o:lock v:ext="edit" aspectratio="f"/>
            <w10:wrap type="none"/>
            <w10:anchorlock/>
          </v:shape>
          <o:OLEObject Type="Embed" ProgID="Equation.DSMT4" ShapeID="_x0000_i1026" DrawAspect="Content" ObjectID="_1468075726" r:id="rId17">
            <o:LockedField>false</o:LockedField>
          </o:OLEObject>
        </w:object>
      </w:r>
      <w:r>
        <w:rPr>
          <w:sz w:val="24"/>
        </w:rPr>
        <w:t>——</w:t>
      </w:r>
      <w:r>
        <w:rPr>
          <w:rFonts w:hint="eastAsia"/>
          <w:sz w:val="24"/>
        </w:rPr>
        <w:t>风荷载标准值（</w:t>
      </w:r>
      <w:r>
        <w:rPr>
          <w:sz w:val="24"/>
        </w:rPr>
        <w:t>kN/m</w:t>
      </w:r>
      <w:r>
        <w:rPr>
          <w:sz w:val="24"/>
          <w:vertAlign w:val="superscript"/>
        </w:rPr>
        <w:t>2</w:t>
      </w:r>
      <w:r>
        <w:rPr>
          <w:sz w:val="24"/>
        </w:rPr>
        <w:t>)</w:t>
      </w:r>
    </w:p>
    <w:p w14:paraId="186CDB9A">
      <w:pPr>
        <w:pStyle w:val="2"/>
        <w:spacing w:after="0" w:line="300" w:lineRule="auto"/>
        <w:ind w:left="1522" w:leftChars="350" w:hanging="787" w:hangingChars="328"/>
        <w:textAlignment w:val="center"/>
        <w:rPr>
          <w:b/>
          <w:bCs/>
          <w:sz w:val="24"/>
        </w:rPr>
      </w:pPr>
      <w:r>
        <w:rPr>
          <w:rFonts w:hint="eastAsia"/>
          <w:sz w:val="24"/>
        </w:rPr>
        <w:object>
          <v:shape id="_x0000_i1027" o:spt="75" type="#_x0000_t75" style="height:19pt;width:17pt;" o:ole="t" filled="f" o:preferrelative="t" stroked="f" coordsize="21600,21600">
            <v:path/>
            <v:fill on="f" focussize="0,0"/>
            <v:stroke on="f" joinstyle="miter"/>
            <v:imagedata r:id="rId20" o:title=""/>
            <o:lock v:ext="edit" aspectratio="f"/>
            <w10:wrap type="none"/>
            <w10:anchorlock/>
          </v:shape>
          <o:OLEObject Type="Embed" ProgID="Equation.DSMT4" ShapeID="_x0000_i1027" DrawAspect="Content" ObjectID="_1468075727" r:id="rId19">
            <o:LockedField>false</o:LockedField>
          </o:OLEObject>
        </w:object>
      </w:r>
      <w:r>
        <w:rPr>
          <w:sz w:val="24"/>
        </w:rPr>
        <w:t>——</w:t>
      </w:r>
      <w:r>
        <w:rPr>
          <w:rFonts w:hint="eastAsia"/>
          <w:sz w:val="24"/>
        </w:rPr>
        <w:t>阵风系数，应按现行国家标准《建筑结构荷载规范》</w:t>
      </w:r>
      <w:r>
        <w:rPr>
          <w:sz w:val="24"/>
        </w:rPr>
        <w:t>GB 50009</w:t>
      </w:r>
      <w:r>
        <w:rPr>
          <w:rFonts w:hint="eastAsia"/>
          <w:sz w:val="24"/>
        </w:rPr>
        <w:t>的规定采用；</w:t>
      </w:r>
    </w:p>
    <w:p w14:paraId="727978CC">
      <w:pPr>
        <w:pStyle w:val="2"/>
        <w:spacing w:after="0" w:line="300" w:lineRule="auto"/>
        <w:ind w:left="1522" w:leftChars="350" w:hanging="787" w:hangingChars="328"/>
        <w:textAlignment w:val="center"/>
        <w:rPr>
          <w:sz w:val="24"/>
        </w:rPr>
      </w:pPr>
      <w:r>
        <w:rPr>
          <w:rFonts w:hint="eastAsia"/>
          <w:sz w:val="24"/>
        </w:rPr>
        <w:object>
          <v:shape id="_x0000_i1028" o:spt="75" type="#_x0000_t75" style="height:18.35pt;width:14.25pt;" o:ole="t" filled="f" o:preferrelative="t" stroked="f" coordsize="21600,21600">
            <v:path/>
            <v:fill on="f" focussize="0,0"/>
            <v:stroke on="f" joinstyle="miter"/>
            <v:imagedata r:id="rId22" o:title=""/>
            <o:lock v:ext="edit" aspectratio="f"/>
            <w10:wrap type="none"/>
            <w10:anchorlock/>
          </v:shape>
          <o:OLEObject Type="Embed" ProgID="Equation.DSMT4" ShapeID="_x0000_i1028" DrawAspect="Content" ObjectID="_1468075728" r:id="rId21">
            <o:LockedField>false</o:LockedField>
          </o:OLEObject>
        </w:object>
      </w:r>
      <w:r>
        <w:rPr>
          <w:sz w:val="24"/>
        </w:rPr>
        <w:t>——</w:t>
      </w:r>
      <w:r>
        <w:rPr>
          <w:rFonts w:hint="eastAsia"/>
          <w:sz w:val="24"/>
        </w:rPr>
        <w:t>风压高度变化系数，应按现行广东省标准《建筑结构荷载规范》</w:t>
      </w:r>
      <w:r>
        <w:rPr>
          <w:sz w:val="24"/>
        </w:rPr>
        <w:t>DBJ/T 15-101</w:t>
      </w:r>
      <w:r>
        <w:rPr>
          <w:rFonts w:hint="eastAsia"/>
          <w:sz w:val="24"/>
        </w:rPr>
        <w:t>的规定采用；</w:t>
      </w:r>
    </w:p>
    <w:p w14:paraId="0ED82CFC">
      <w:pPr>
        <w:pStyle w:val="2"/>
        <w:spacing w:after="0" w:line="300" w:lineRule="auto"/>
        <w:ind w:left="1522" w:leftChars="350" w:hanging="787" w:hangingChars="328"/>
        <w:textAlignment w:val="center"/>
        <w:rPr>
          <w:sz w:val="24"/>
        </w:rPr>
      </w:pPr>
      <w:r>
        <w:rPr>
          <w:rFonts w:hint="eastAsia"/>
          <w:sz w:val="24"/>
        </w:rPr>
        <w:object>
          <v:shape id="_x0000_i1029" o:spt="75" type="#_x0000_t75" style="height:18.35pt;width:12.9pt;" o:ole="t" filled="f" o:preferrelative="t" stroked="f" coordsize="21600,21600">
            <v:path/>
            <v:fill on="f" focussize="0,0"/>
            <v:stroke on="f" joinstyle="miter"/>
            <v:imagedata r:id="rId24" o:title=""/>
            <o:lock v:ext="edit" aspectratio="f"/>
            <w10:wrap type="none"/>
            <w10:anchorlock/>
          </v:shape>
          <o:OLEObject Type="Embed" ProgID="Equation.DSMT4" ShapeID="_x0000_i1029" DrawAspect="Content" ObjectID="_1468075729" r:id="rId23">
            <o:LockedField>false</o:LockedField>
          </o:OLEObject>
        </w:object>
      </w:r>
      <w:r>
        <w:rPr>
          <w:sz w:val="24"/>
        </w:rPr>
        <w:t>——</w:t>
      </w:r>
      <w:r>
        <w:rPr>
          <w:rFonts w:hint="eastAsia"/>
          <w:sz w:val="24"/>
        </w:rPr>
        <w:t>风荷载体型系数，应按本标准第</w:t>
      </w:r>
      <w:r>
        <w:rPr>
          <w:sz w:val="24"/>
        </w:rPr>
        <w:t>6.3.4</w:t>
      </w:r>
      <w:r>
        <w:rPr>
          <w:rFonts w:hint="eastAsia"/>
          <w:sz w:val="24"/>
        </w:rPr>
        <w:t>条的规定采用；</w:t>
      </w:r>
    </w:p>
    <w:p w14:paraId="1E2CFD33">
      <w:pPr>
        <w:pStyle w:val="2"/>
        <w:spacing w:after="0" w:line="300" w:lineRule="auto"/>
        <w:ind w:left="1522" w:leftChars="350" w:hanging="787" w:hangingChars="328"/>
        <w:textAlignment w:val="center"/>
        <w:rPr>
          <w:sz w:val="24"/>
        </w:rPr>
      </w:pPr>
      <w:r>
        <w:rPr>
          <w:rFonts w:hint="eastAsia"/>
          <w:sz w:val="24"/>
        </w:rPr>
        <w:object>
          <v:shape id="_x0000_i1030" o:spt="75" type="#_x0000_t75" style="height:18.35pt;width:14.95pt;" o:ole="t" filled="f" o:preferrelative="t" stroked="f" coordsize="21600,21600">
            <v:path/>
            <v:fill on="f" focussize="0,0"/>
            <v:stroke on="f" joinstyle="miter"/>
            <v:imagedata r:id="rId26" o:title=""/>
            <o:lock v:ext="edit" aspectratio="f"/>
            <w10:wrap type="none"/>
            <w10:anchorlock/>
          </v:shape>
          <o:OLEObject Type="Embed" ProgID="Equation.DSMT4" ShapeID="_x0000_i1030" DrawAspect="Content" ObjectID="_1468075730" r:id="rId25">
            <o:LockedField>false</o:LockedField>
          </o:OLEObject>
        </w:object>
      </w:r>
      <w:r>
        <w:rPr>
          <w:sz w:val="24"/>
        </w:rPr>
        <w:t>——</w:t>
      </w:r>
      <w:r>
        <w:rPr>
          <w:rFonts w:hint="eastAsia"/>
          <w:sz w:val="24"/>
        </w:rPr>
        <w:t>基本风压（</w:t>
      </w:r>
      <w:r>
        <w:rPr>
          <w:sz w:val="24"/>
        </w:rPr>
        <w:t>kN/m</w:t>
      </w:r>
      <w:r>
        <w:rPr>
          <w:sz w:val="24"/>
          <w:vertAlign w:val="superscript"/>
        </w:rPr>
        <w:t>2</w:t>
      </w:r>
      <w:r>
        <w:rPr>
          <w:rFonts w:hint="eastAsia"/>
          <w:sz w:val="24"/>
        </w:rPr>
        <w:t>），</w:t>
      </w:r>
      <w:r>
        <w:rPr>
          <w:rFonts w:hint="eastAsia"/>
          <w:sz w:val="24"/>
          <w:lang w:val="en-US" w:eastAsia="zh-CN"/>
        </w:rPr>
        <w:t>应按</w:t>
      </w:r>
      <w:r>
        <w:rPr>
          <w:rFonts w:hint="eastAsia"/>
          <w:sz w:val="24"/>
        </w:rPr>
        <w:t>现行广东省标准《建筑结构荷载规范》DBJ/T 15-101</w:t>
      </w:r>
      <w:r>
        <w:rPr>
          <w:rFonts w:hint="eastAsia"/>
          <w:sz w:val="24"/>
          <w:lang w:val="en-US" w:eastAsia="zh-CN"/>
        </w:rPr>
        <w:t>的规定采用，对于建筑集成光伏发电系统，风压重现期与主体结构构件一致；对于建筑附加光伏发电系统，风压重现期可取25年</w:t>
      </w:r>
      <w:r>
        <w:rPr>
          <w:rFonts w:hint="eastAsia"/>
          <w:sz w:val="24"/>
        </w:rPr>
        <w:t>。</w:t>
      </w:r>
    </w:p>
    <w:p w14:paraId="168CFEC8">
      <w:pPr>
        <w:pStyle w:val="2"/>
        <w:spacing w:after="0" w:line="300" w:lineRule="auto"/>
        <w:rPr>
          <w:sz w:val="24"/>
        </w:rPr>
      </w:pPr>
      <w:r>
        <w:rPr>
          <w:b/>
          <w:bCs/>
          <w:sz w:val="24"/>
        </w:rPr>
        <w:t>6.3.</w:t>
      </w:r>
      <w:r>
        <w:rPr>
          <w:rFonts w:hint="eastAsia"/>
          <w:b/>
          <w:bCs/>
          <w:sz w:val="24"/>
          <w:lang w:val="en-US" w:eastAsia="zh-CN"/>
        </w:rPr>
        <w:t>2</w:t>
      </w:r>
      <w:r>
        <w:rPr>
          <w:sz w:val="24"/>
        </w:rPr>
        <w:t xml:space="preserve"> </w:t>
      </w:r>
      <w:r>
        <w:rPr>
          <w:rFonts w:hint="eastAsia"/>
          <w:sz w:val="24"/>
        </w:rPr>
        <w:t>风荷载体型系数应按下式计算：</w:t>
      </w:r>
    </w:p>
    <w:p w14:paraId="25CD8071">
      <w:pPr>
        <w:pStyle w:val="2"/>
        <w:spacing w:after="0" w:line="300" w:lineRule="auto"/>
        <w:jc w:val="right"/>
        <w:textAlignment w:val="center"/>
        <w:rPr>
          <w:sz w:val="24"/>
        </w:rPr>
      </w:pPr>
      <w:r>
        <w:rPr>
          <w:position w:val="-12"/>
          <w:sz w:val="24"/>
        </w:rPr>
        <w:object>
          <v:shape id="_x0000_i1031" o:spt="75" type="#_x0000_t75" style="height:21.75pt;width:64.55pt;" o:ole="t" filled="f" o:preferrelative="t" stroked="f" coordsize="21600,21600">
            <v:path/>
            <v:fill on="f" focussize="0,0"/>
            <v:stroke on="f" joinstyle="miter"/>
            <v:imagedata r:id="rId28" o:title=""/>
            <o:lock v:ext="edit" aspectratio="f"/>
            <w10:wrap type="none"/>
            <w10:anchorlock/>
          </v:shape>
          <o:OLEObject Type="Embed" ProgID="Equation.DSMT4" ShapeID="_x0000_i1031" DrawAspect="Content" ObjectID="_1468075731" r:id="rId27">
            <o:LockedField>false</o:LockedField>
          </o:OLEObject>
        </w:object>
      </w:r>
      <w:r>
        <w:rPr>
          <w:position w:val="-12"/>
          <w:sz w:val="24"/>
        </w:rPr>
        <w:t xml:space="preserve">                     </w:t>
      </w:r>
      <w:r>
        <w:rPr>
          <w:rFonts w:hint="eastAsia"/>
          <w:position w:val="-12"/>
          <w:sz w:val="24"/>
        </w:rPr>
        <w:t>（</w:t>
      </w:r>
      <w:r>
        <w:rPr>
          <w:position w:val="-12"/>
          <w:sz w:val="24"/>
        </w:rPr>
        <w:t>6.3.</w:t>
      </w:r>
      <w:r>
        <w:rPr>
          <w:rFonts w:hint="eastAsia"/>
          <w:position w:val="-12"/>
          <w:sz w:val="24"/>
          <w:lang w:val="en-US" w:eastAsia="zh-CN"/>
        </w:rPr>
        <w:t>2</w:t>
      </w:r>
      <w:r>
        <w:rPr>
          <w:rFonts w:hint="eastAsia"/>
          <w:position w:val="-12"/>
          <w:sz w:val="24"/>
        </w:rPr>
        <w:t>）</w:t>
      </w:r>
    </w:p>
    <w:p w14:paraId="3029A6B3">
      <w:pPr>
        <w:pStyle w:val="2"/>
        <w:spacing w:after="0" w:line="300" w:lineRule="auto"/>
        <w:ind w:left="1507" w:hanging="1507" w:hangingChars="628"/>
        <w:rPr>
          <w:sz w:val="24"/>
        </w:rPr>
      </w:pPr>
      <w:r>
        <w:rPr>
          <w:rFonts w:hint="eastAsia"/>
          <w:sz w:val="24"/>
        </w:rPr>
        <w:t>式中：</w:t>
      </w:r>
      <w:r>
        <w:rPr>
          <w:position w:val="-12"/>
          <w:sz w:val="24"/>
        </w:rPr>
        <w:object>
          <v:shape id="_x0000_i1032" o:spt="75" type="#_x0000_t75" style="height:18.35pt;width:17pt;" o:ole="t" filled="f" o:preferrelative="t" stroked="f" coordsize="21600,21600">
            <v:path/>
            <v:fill on="f" focussize="0,0"/>
            <v:stroke on="f" joinstyle="miter"/>
            <v:imagedata r:id="rId30" o:title=""/>
            <o:lock v:ext="edit" aspectratio="f"/>
            <w10:wrap type="none"/>
            <w10:anchorlock/>
          </v:shape>
          <o:OLEObject Type="Embed" ProgID="Equation.DSMT4" ShapeID="_x0000_i1032" DrawAspect="Content" ObjectID="_1468075732" r:id="rId29">
            <o:LockedField>false</o:LockedField>
          </o:OLEObject>
        </w:object>
      </w:r>
      <w:r>
        <w:rPr>
          <w:sz w:val="24"/>
        </w:rPr>
        <w:t>——</w:t>
      </w:r>
      <w:r>
        <w:rPr>
          <w:rFonts w:hint="eastAsia"/>
          <w:sz w:val="24"/>
        </w:rPr>
        <w:t>风荷载局部体型系数，按现行广东省标准《建筑结构荷载规范》</w:t>
      </w:r>
      <w:r>
        <w:rPr>
          <w:sz w:val="24"/>
        </w:rPr>
        <w:t>DBJ/T 15-101</w:t>
      </w:r>
      <w:r>
        <w:rPr>
          <w:rFonts w:hint="eastAsia"/>
          <w:sz w:val="24"/>
        </w:rPr>
        <w:t>计算围护结构构件及其连接件的风荷载局部体型系数；</w:t>
      </w:r>
    </w:p>
    <w:p w14:paraId="04E0D42A">
      <w:pPr>
        <w:pStyle w:val="2"/>
        <w:spacing w:after="0" w:line="300" w:lineRule="auto"/>
        <w:ind w:left="1522" w:leftChars="350" w:hanging="787" w:hangingChars="328"/>
        <w:rPr>
          <w:sz w:val="24"/>
        </w:rPr>
      </w:pPr>
      <w:r>
        <w:rPr>
          <w:position w:val="-10"/>
          <w:sz w:val="24"/>
        </w:rPr>
        <w:object>
          <v:shape id="_x0000_i1033" o:spt="75" type="#_x0000_t75" style="height:16.3pt;width:10.85pt;" o:ole="t" filled="f" o:preferrelative="t" stroked="f" coordsize="21600,21600">
            <v:path/>
            <v:fill on="f" focussize="0,0"/>
            <v:stroke on="f" joinstyle="miter"/>
            <v:imagedata r:id="rId32" o:title=""/>
            <o:lock v:ext="edit" aspectratio="f"/>
            <w10:wrap type="none"/>
            <w10:anchorlock/>
          </v:shape>
          <o:OLEObject Type="Embed" ProgID="Equation.DSMT4" ShapeID="_x0000_i1033" DrawAspect="Content" ObjectID="_1468075733" r:id="rId31">
            <o:LockedField>false</o:LockedField>
          </o:OLEObject>
        </w:object>
      </w:r>
      <w:r>
        <w:rPr>
          <w:sz w:val="24"/>
        </w:rPr>
        <w:t>——</w:t>
      </w:r>
      <w:r>
        <w:rPr>
          <w:rFonts w:hint="eastAsia"/>
          <w:sz w:val="24"/>
        </w:rPr>
        <w:t>调整系数，对于</w:t>
      </w:r>
      <w:r>
        <w:rPr>
          <w:rFonts w:hint="eastAsia"/>
          <w:sz w:val="24"/>
          <w:lang w:val="en-US" w:eastAsia="zh-CN"/>
        </w:rPr>
        <w:t>建筑</w:t>
      </w:r>
      <w:r>
        <w:rPr>
          <w:rFonts w:hint="eastAsia"/>
          <w:sz w:val="24"/>
        </w:rPr>
        <w:t>集成式光伏</w:t>
      </w:r>
      <w:r>
        <w:rPr>
          <w:rFonts w:hint="eastAsia"/>
          <w:sz w:val="24"/>
          <w:lang w:val="en-US" w:eastAsia="zh-CN"/>
        </w:rPr>
        <w:t>发电</w:t>
      </w:r>
      <w:r>
        <w:rPr>
          <w:rFonts w:hint="eastAsia"/>
          <w:sz w:val="24"/>
        </w:rPr>
        <w:t>系统，调整系数取值为1，对于</w:t>
      </w:r>
      <w:r>
        <w:rPr>
          <w:rFonts w:hint="eastAsia"/>
          <w:sz w:val="24"/>
          <w:lang w:val="en-US" w:eastAsia="zh-CN"/>
        </w:rPr>
        <w:t>建筑</w:t>
      </w:r>
      <w:r>
        <w:rPr>
          <w:rFonts w:hint="eastAsia"/>
          <w:sz w:val="24"/>
        </w:rPr>
        <w:t>附加式屋面光伏系统构造，可以根据形式确定调整系数如下：</w:t>
      </w:r>
    </w:p>
    <w:p w14:paraId="379A3D9A">
      <w:pPr>
        <w:pStyle w:val="2"/>
        <w:spacing w:after="0" w:line="300" w:lineRule="auto"/>
        <w:ind w:firstLine="482" w:firstLineChars="200"/>
        <w:rPr>
          <w:rFonts w:hint="eastAsia" w:eastAsia="宋体"/>
          <w:sz w:val="24"/>
          <w:lang w:eastAsia="zh-CN"/>
        </w:rPr>
      </w:pPr>
      <w:r>
        <w:rPr>
          <w:b/>
          <w:bCs/>
          <w:sz w:val="24"/>
        </w:rPr>
        <w:t xml:space="preserve">1 </w:t>
      </w:r>
      <w:r>
        <w:rPr>
          <w:rFonts w:hint="eastAsia"/>
          <w:sz w:val="24"/>
        </w:rPr>
        <w:t>对于平屋面上设置带倾角的附加式屋面光伏系统，调整系数应分区域取值（图</w:t>
      </w:r>
      <w:r>
        <w:rPr>
          <w:sz w:val="24"/>
        </w:rPr>
        <w:t>6.3.</w:t>
      </w:r>
      <w:r>
        <w:rPr>
          <w:rFonts w:hint="eastAsia"/>
          <w:sz w:val="24"/>
          <w:lang w:val="en-US" w:eastAsia="zh-CN"/>
        </w:rPr>
        <w:t>2</w:t>
      </w:r>
      <w:r>
        <w:rPr>
          <w:sz w:val="24"/>
        </w:rPr>
        <w:t>-1</w:t>
      </w:r>
      <w:r>
        <w:rPr>
          <w:rFonts w:hint="eastAsia"/>
          <w:sz w:val="24"/>
        </w:rPr>
        <w:t>和图</w:t>
      </w:r>
      <w:r>
        <w:rPr>
          <w:sz w:val="24"/>
        </w:rPr>
        <w:t>6.3.</w:t>
      </w:r>
      <w:r>
        <w:rPr>
          <w:rFonts w:hint="eastAsia"/>
          <w:sz w:val="24"/>
          <w:lang w:val="en-US" w:eastAsia="zh-CN"/>
        </w:rPr>
        <w:t>2</w:t>
      </w:r>
      <w:r>
        <w:rPr>
          <w:sz w:val="24"/>
        </w:rPr>
        <w:t>-2</w:t>
      </w:r>
      <w:r>
        <w:rPr>
          <w:rFonts w:hint="eastAsia"/>
          <w:sz w:val="24"/>
        </w:rPr>
        <w:t>）</w:t>
      </w:r>
      <w:r>
        <w:rPr>
          <w:rFonts w:hint="eastAsia"/>
          <w:sz w:val="24"/>
          <w:lang w:eastAsia="zh-CN"/>
        </w:rPr>
        <w:t>；</w:t>
      </w:r>
    </w:p>
    <w:p w14:paraId="543F7BBB">
      <w:pPr>
        <w:pStyle w:val="2"/>
        <w:spacing w:line="300" w:lineRule="auto"/>
        <w:jc w:val="center"/>
      </w:pPr>
      <w:r>
        <w:drawing>
          <wp:inline distT="0" distB="0" distL="114300" distR="114300">
            <wp:extent cx="3684270" cy="2416175"/>
            <wp:effectExtent l="0" t="0" r="11430" b="3175"/>
            <wp:docPr id="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pic:cNvPicPr>
                      <a:picLocks noChangeAspect="1"/>
                    </pic:cNvPicPr>
                  </pic:nvPicPr>
                  <pic:blipFill>
                    <a:blip r:embed="rId33"/>
                    <a:stretch>
                      <a:fillRect/>
                    </a:stretch>
                  </pic:blipFill>
                  <pic:spPr>
                    <a:xfrm>
                      <a:off x="0" y="0"/>
                      <a:ext cx="3684270" cy="2416175"/>
                    </a:xfrm>
                    <a:prstGeom prst="rect">
                      <a:avLst/>
                    </a:prstGeom>
                    <a:noFill/>
                    <a:ln>
                      <a:noFill/>
                    </a:ln>
                  </pic:spPr>
                </pic:pic>
              </a:graphicData>
            </a:graphic>
          </wp:inline>
        </w:drawing>
      </w:r>
    </w:p>
    <w:p w14:paraId="172B65E5">
      <w:pPr>
        <w:pStyle w:val="2"/>
        <w:spacing w:after="0" w:line="300" w:lineRule="auto"/>
        <w:jc w:val="center"/>
      </w:pPr>
      <w:r>
        <w:rPr>
          <w:rFonts w:hint="eastAsia"/>
        </w:rPr>
        <w:t>图6.3.</w:t>
      </w:r>
      <w:r>
        <w:rPr>
          <w:rFonts w:hint="eastAsia"/>
          <w:lang w:val="en-US" w:eastAsia="zh-CN"/>
        </w:rPr>
        <w:t>2</w:t>
      </w:r>
      <w:r>
        <w:rPr>
          <w:rFonts w:hint="eastAsia"/>
        </w:rPr>
        <w:t>-1 无女儿墙平屋面</w:t>
      </w:r>
    </w:p>
    <w:p w14:paraId="3A78EB49">
      <w:pPr>
        <w:pStyle w:val="2"/>
        <w:numPr>
          <w:ilvl w:val="255"/>
          <w:numId w:val="0"/>
        </w:numPr>
        <w:spacing w:after="0" w:line="300" w:lineRule="auto"/>
        <w:jc w:val="center"/>
      </w:pPr>
      <w:r>
        <w:rPr>
          <w:i/>
          <w:iCs/>
        </w:rPr>
        <w:t>B</w:t>
      </w:r>
      <w:r>
        <w:rPr>
          <w:rFonts w:hint="eastAsia"/>
        </w:rPr>
        <w:t>-建筑迎风宽度</w:t>
      </w:r>
    </w:p>
    <w:p w14:paraId="2637631D">
      <w:pPr>
        <w:pStyle w:val="2"/>
        <w:numPr>
          <w:ilvl w:val="255"/>
          <w:numId w:val="0"/>
        </w:numPr>
        <w:spacing w:after="0" w:line="300" w:lineRule="auto"/>
        <w:jc w:val="center"/>
      </w:pPr>
      <w:r>
        <w:rPr>
          <w:rFonts w:hint="eastAsia"/>
        </w:rPr>
        <w:t>注：</w:t>
      </w:r>
      <w:r>
        <w:rPr>
          <w:i/>
          <w:iCs/>
        </w:rPr>
        <w:t>E</w:t>
      </w:r>
      <w:r>
        <w:rPr>
          <w:rFonts w:hint="eastAsia"/>
        </w:rPr>
        <w:t>应取2</w:t>
      </w:r>
      <w:r>
        <w:rPr>
          <w:i/>
          <w:iCs/>
        </w:rPr>
        <w:t>H</w:t>
      </w:r>
      <w:r>
        <w:rPr>
          <w:rFonts w:hint="eastAsia"/>
        </w:rPr>
        <w:t>和</w:t>
      </w:r>
      <w:r>
        <w:rPr>
          <w:i/>
          <w:iCs/>
        </w:rPr>
        <w:t>B</w:t>
      </w:r>
      <w:r>
        <w:rPr>
          <w:rFonts w:hint="eastAsia"/>
        </w:rPr>
        <w:t>中较小值，</w:t>
      </w:r>
      <w:r>
        <w:rPr>
          <w:i/>
          <w:iCs/>
        </w:rPr>
        <w:t>H</w:t>
      </w:r>
      <w:r>
        <w:rPr>
          <w:rFonts w:hint="eastAsia"/>
        </w:rPr>
        <w:t>为屋顶高度。</w:t>
      </w:r>
    </w:p>
    <w:p w14:paraId="5F4E77CC">
      <w:pPr>
        <w:spacing w:line="300" w:lineRule="auto"/>
        <w:jc w:val="center"/>
      </w:pPr>
      <w:r>
        <w:drawing>
          <wp:inline distT="0" distB="0" distL="114300" distR="114300">
            <wp:extent cx="3571875" cy="2384425"/>
            <wp:effectExtent l="0" t="0" r="9525" b="15875"/>
            <wp:docPr id="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pic:cNvPicPr>
                      <a:picLocks noChangeAspect="1"/>
                    </pic:cNvPicPr>
                  </pic:nvPicPr>
                  <pic:blipFill>
                    <a:blip r:embed="rId34"/>
                    <a:stretch>
                      <a:fillRect/>
                    </a:stretch>
                  </pic:blipFill>
                  <pic:spPr>
                    <a:xfrm>
                      <a:off x="0" y="0"/>
                      <a:ext cx="3571875" cy="2384425"/>
                    </a:xfrm>
                    <a:prstGeom prst="rect">
                      <a:avLst/>
                    </a:prstGeom>
                    <a:noFill/>
                    <a:ln>
                      <a:noFill/>
                    </a:ln>
                  </pic:spPr>
                </pic:pic>
              </a:graphicData>
            </a:graphic>
          </wp:inline>
        </w:drawing>
      </w:r>
    </w:p>
    <w:p w14:paraId="4AA1D4DB">
      <w:pPr>
        <w:pStyle w:val="2"/>
        <w:spacing w:after="0" w:line="300" w:lineRule="auto"/>
        <w:jc w:val="center"/>
      </w:pPr>
      <w:r>
        <w:rPr>
          <w:rFonts w:hint="eastAsia"/>
        </w:rPr>
        <w:t>图6.3.</w:t>
      </w:r>
      <w:r>
        <w:rPr>
          <w:rFonts w:hint="eastAsia"/>
          <w:lang w:val="en-US" w:eastAsia="zh-CN"/>
        </w:rPr>
        <w:t>2</w:t>
      </w:r>
      <w:r>
        <w:rPr>
          <w:rFonts w:hint="eastAsia"/>
        </w:rPr>
        <w:t>-2 带1.5m高女儿墙平屋面</w:t>
      </w:r>
    </w:p>
    <w:p w14:paraId="5C5EEA53">
      <w:pPr>
        <w:pStyle w:val="2"/>
        <w:numPr>
          <w:ilvl w:val="255"/>
          <w:numId w:val="0"/>
        </w:numPr>
        <w:spacing w:after="0" w:line="300" w:lineRule="auto"/>
        <w:jc w:val="center"/>
      </w:pPr>
      <w:r>
        <w:rPr>
          <w:rFonts w:hint="eastAsia"/>
          <w:i/>
          <w:iCs/>
        </w:rPr>
        <w:t>B</w:t>
      </w:r>
      <w:r>
        <w:rPr>
          <w:rFonts w:hint="eastAsia"/>
        </w:rPr>
        <w:t>-建筑迎风宽度</w:t>
      </w:r>
    </w:p>
    <w:p w14:paraId="321AFA5E">
      <w:pPr>
        <w:pStyle w:val="2"/>
        <w:numPr>
          <w:ilvl w:val="255"/>
          <w:numId w:val="0"/>
        </w:numPr>
        <w:spacing w:after="0" w:line="300" w:lineRule="auto"/>
        <w:jc w:val="center"/>
      </w:pPr>
      <w:r>
        <w:rPr>
          <w:rFonts w:hint="eastAsia"/>
        </w:rPr>
        <w:t>注：</w:t>
      </w:r>
      <w:r>
        <w:rPr>
          <w:rFonts w:hint="eastAsia"/>
          <w:i/>
          <w:iCs/>
        </w:rPr>
        <w:t>E</w:t>
      </w:r>
      <w:r>
        <w:rPr>
          <w:rFonts w:hint="eastAsia"/>
        </w:rPr>
        <w:t>应取2</w:t>
      </w:r>
      <w:r>
        <w:rPr>
          <w:rFonts w:hint="eastAsia"/>
          <w:i/>
          <w:iCs/>
        </w:rPr>
        <w:t>H</w:t>
      </w:r>
      <w:r>
        <w:rPr>
          <w:rFonts w:hint="eastAsia"/>
        </w:rPr>
        <w:t>和</w:t>
      </w:r>
      <w:r>
        <w:rPr>
          <w:rFonts w:hint="eastAsia"/>
          <w:i/>
          <w:iCs/>
        </w:rPr>
        <w:t>B</w:t>
      </w:r>
      <w:r>
        <w:rPr>
          <w:rFonts w:hint="eastAsia"/>
        </w:rPr>
        <w:t>中较小值。</w:t>
      </w:r>
    </w:p>
    <w:p w14:paraId="21923041">
      <w:pPr>
        <w:pStyle w:val="2"/>
        <w:spacing w:after="0" w:line="300" w:lineRule="auto"/>
        <w:ind w:firstLine="482" w:firstLineChars="200"/>
        <w:rPr>
          <w:rFonts w:hint="eastAsia" w:eastAsia="宋体"/>
          <w:sz w:val="24"/>
          <w:lang w:eastAsia="zh-CN"/>
        </w:rPr>
      </w:pPr>
      <w:r>
        <w:rPr>
          <w:b/>
          <w:bCs/>
          <w:sz w:val="24"/>
        </w:rPr>
        <w:t xml:space="preserve">2 </w:t>
      </w:r>
      <w:r>
        <w:rPr>
          <w:rFonts w:hint="eastAsia"/>
          <w:sz w:val="24"/>
        </w:rPr>
        <w:t>对于单坡屋面上设置平行于屋面坡度的附加式屋面光伏系统，调整系数应分区域取值（图</w:t>
      </w:r>
      <w:r>
        <w:rPr>
          <w:sz w:val="24"/>
        </w:rPr>
        <w:t>6.3.</w:t>
      </w:r>
      <w:r>
        <w:rPr>
          <w:rFonts w:hint="eastAsia"/>
          <w:sz w:val="24"/>
          <w:lang w:val="en-US" w:eastAsia="zh-CN"/>
        </w:rPr>
        <w:t>2</w:t>
      </w:r>
      <w:r>
        <w:rPr>
          <w:sz w:val="24"/>
        </w:rPr>
        <w:t>-3</w:t>
      </w:r>
      <w:r>
        <w:rPr>
          <w:rFonts w:hint="eastAsia"/>
          <w:sz w:val="24"/>
        </w:rPr>
        <w:t>）</w:t>
      </w:r>
      <w:r>
        <w:rPr>
          <w:rFonts w:hint="eastAsia"/>
          <w:sz w:val="24"/>
          <w:lang w:eastAsia="zh-CN"/>
        </w:rPr>
        <w:t>；</w:t>
      </w:r>
    </w:p>
    <w:p w14:paraId="206837D3">
      <w:pPr>
        <w:pStyle w:val="2"/>
        <w:spacing w:line="300" w:lineRule="auto"/>
        <w:jc w:val="center"/>
      </w:pPr>
      <w:r>
        <w:drawing>
          <wp:inline distT="0" distB="0" distL="114300" distR="114300">
            <wp:extent cx="5253355" cy="1897380"/>
            <wp:effectExtent l="0" t="0" r="4445" b="7620"/>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pic:cNvPicPr>
                      <a:picLocks noChangeAspect="1"/>
                    </pic:cNvPicPr>
                  </pic:nvPicPr>
                  <pic:blipFill>
                    <a:blip r:embed="rId35"/>
                    <a:stretch>
                      <a:fillRect/>
                    </a:stretch>
                  </pic:blipFill>
                  <pic:spPr>
                    <a:xfrm>
                      <a:off x="0" y="0"/>
                      <a:ext cx="5253355" cy="1897380"/>
                    </a:xfrm>
                    <a:prstGeom prst="rect">
                      <a:avLst/>
                    </a:prstGeom>
                    <a:noFill/>
                    <a:ln>
                      <a:noFill/>
                    </a:ln>
                  </pic:spPr>
                </pic:pic>
              </a:graphicData>
            </a:graphic>
          </wp:inline>
        </w:drawing>
      </w:r>
    </w:p>
    <w:p w14:paraId="5050DE34">
      <w:pPr>
        <w:pStyle w:val="2"/>
        <w:spacing w:after="0" w:line="300" w:lineRule="auto"/>
        <w:jc w:val="center"/>
      </w:pPr>
      <w:r>
        <w:rPr>
          <w:rFonts w:hint="eastAsia"/>
        </w:rPr>
        <w:t>图6.3.</w:t>
      </w:r>
      <w:r>
        <w:rPr>
          <w:rFonts w:hint="eastAsia"/>
          <w:lang w:val="en-US" w:eastAsia="zh-CN"/>
        </w:rPr>
        <w:t>2</w:t>
      </w:r>
      <w:r>
        <w:rPr>
          <w:rFonts w:hint="eastAsia"/>
        </w:rPr>
        <w:t>-3 单坡屋面</w:t>
      </w:r>
    </w:p>
    <w:p w14:paraId="03B294E3">
      <w:pPr>
        <w:pStyle w:val="2"/>
        <w:numPr>
          <w:ilvl w:val="255"/>
          <w:numId w:val="0"/>
        </w:numPr>
        <w:spacing w:after="0" w:line="300" w:lineRule="auto"/>
        <w:jc w:val="center"/>
      </w:pPr>
      <w:r>
        <w:rPr>
          <w:rFonts w:hint="eastAsia"/>
          <w:i/>
          <w:iCs/>
        </w:rPr>
        <w:t>H</w:t>
      </w:r>
      <w:r>
        <w:t>-</w:t>
      </w:r>
      <w:r>
        <w:rPr>
          <w:rFonts w:hint="eastAsia"/>
        </w:rPr>
        <w:t>屋顶高度；</w:t>
      </w:r>
      <w:r>
        <w:rPr>
          <w:rFonts w:hint="eastAsia"/>
          <w:i/>
          <w:iCs/>
        </w:rPr>
        <w:t>B</w:t>
      </w:r>
      <w:r>
        <w:rPr>
          <w:rFonts w:hint="eastAsia"/>
        </w:rPr>
        <w:t>-建筑迎风宽度</w:t>
      </w:r>
    </w:p>
    <w:p w14:paraId="77520C97">
      <w:pPr>
        <w:pStyle w:val="2"/>
        <w:numPr>
          <w:ilvl w:val="255"/>
          <w:numId w:val="0"/>
        </w:numPr>
        <w:spacing w:after="0" w:line="300" w:lineRule="auto"/>
        <w:jc w:val="center"/>
      </w:pPr>
      <w:r>
        <w:rPr>
          <w:rFonts w:hint="eastAsia"/>
        </w:rPr>
        <w:t>注：</w:t>
      </w:r>
      <w:r>
        <w:rPr>
          <w:rFonts w:hint="eastAsia"/>
          <w:i/>
          <w:iCs/>
        </w:rPr>
        <w:t>E</w:t>
      </w:r>
      <w:r>
        <w:rPr>
          <w:rFonts w:hint="eastAsia"/>
        </w:rPr>
        <w:t>应取2</w:t>
      </w:r>
      <w:r>
        <w:rPr>
          <w:rFonts w:hint="eastAsia"/>
          <w:i/>
          <w:iCs/>
        </w:rPr>
        <w:t>H</w:t>
      </w:r>
      <w:r>
        <w:rPr>
          <w:rFonts w:hint="eastAsia"/>
        </w:rPr>
        <w:t>和</w:t>
      </w:r>
      <w:r>
        <w:rPr>
          <w:rFonts w:hint="eastAsia"/>
          <w:i/>
          <w:iCs/>
        </w:rPr>
        <w:t>B</w:t>
      </w:r>
      <w:r>
        <w:rPr>
          <w:rFonts w:hint="eastAsia"/>
        </w:rPr>
        <w:t>中较小值。</w:t>
      </w:r>
    </w:p>
    <w:p w14:paraId="1A2965B1">
      <w:pPr>
        <w:pStyle w:val="2"/>
        <w:spacing w:after="0" w:line="300" w:lineRule="auto"/>
        <w:ind w:firstLine="482" w:firstLineChars="200"/>
        <w:rPr>
          <w:rFonts w:hint="eastAsia" w:eastAsia="宋体"/>
          <w:sz w:val="24"/>
          <w:lang w:eastAsia="zh-CN"/>
        </w:rPr>
      </w:pPr>
      <w:r>
        <w:rPr>
          <w:b/>
          <w:bCs/>
          <w:sz w:val="24"/>
        </w:rPr>
        <w:t xml:space="preserve">3 </w:t>
      </w:r>
      <w:r>
        <w:rPr>
          <w:rFonts w:hint="eastAsia"/>
          <w:sz w:val="24"/>
        </w:rPr>
        <w:t>对于双坡屋面上设置平行于屋面坡度的附加式屋面光伏系统，调整系数应分区域取值（图</w:t>
      </w:r>
      <w:r>
        <w:rPr>
          <w:sz w:val="24"/>
        </w:rPr>
        <w:t>6.3.</w:t>
      </w:r>
      <w:r>
        <w:rPr>
          <w:rFonts w:hint="eastAsia"/>
          <w:sz w:val="24"/>
          <w:lang w:val="en-US" w:eastAsia="zh-CN"/>
        </w:rPr>
        <w:t>2</w:t>
      </w:r>
      <w:r>
        <w:rPr>
          <w:sz w:val="24"/>
        </w:rPr>
        <w:t>-4</w:t>
      </w:r>
      <w:r>
        <w:rPr>
          <w:rFonts w:hint="eastAsia"/>
          <w:sz w:val="24"/>
        </w:rPr>
        <w:t>）</w:t>
      </w:r>
      <w:r>
        <w:rPr>
          <w:rFonts w:hint="eastAsia"/>
          <w:sz w:val="24"/>
          <w:lang w:eastAsia="zh-CN"/>
        </w:rPr>
        <w:t>。</w:t>
      </w:r>
    </w:p>
    <w:p w14:paraId="0B540C16">
      <w:pPr>
        <w:numPr>
          <w:ilvl w:val="255"/>
          <w:numId w:val="0"/>
        </w:numPr>
        <w:spacing w:line="300" w:lineRule="auto"/>
        <w:jc w:val="center"/>
      </w:pPr>
      <w:r>
        <w:drawing>
          <wp:inline distT="0" distB="0" distL="114300" distR="114300">
            <wp:extent cx="4650105" cy="2656840"/>
            <wp:effectExtent l="0" t="0" r="17145" b="10160"/>
            <wp:docPr id="1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pic:cNvPicPr>
                      <a:picLocks noChangeAspect="1"/>
                    </pic:cNvPicPr>
                  </pic:nvPicPr>
                  <pic:blipFill>
                    <a:blip r:embed="rId36"/>
                    <a:stretch>
                      <a:fillRect/>
                    </a:stretch>
                  </pic:blipFill>
                  <pic:spPr>
                    <a:xfrm>
                      <a:off x="0" y="0"/>
                      <a:ext cx="4650105" cy="2656840"/>
                    </a:xfrm>
                    <a:prstGeom prst="rect">
                      <a:avLst/>
                    </a:prstGeom>
                    <a:noFill/>
                    <a:ln>
                      <a:noFill/>
                    </a:ln>
                  </pic:spPr>
                </pic:pic>
              </a:graphicData>
            </a:graphic>
          </wp:inline>
        </w:drawing>
      </w:r>
    </w:p>
    <w:p w14:paraId="0279CEB9">
      <w:pPr>
        <w:pStyle w:val="2"/>
        <w:spacing w:after="0" w:line="300" w:lineRule="auto"/>
        <w:jc w:val="center"/>
      </w:pPr>
      <w:r>
        <w:rPr>
          <w:rFonts w:hint="eastAsia"/>
        </w:rPr>
        <w:t>图6.3.</w:t>
      </w:r>
      <w:r>
        <w:rPr>
          <w:rFonts w:hint="eastAsia"/>
          <w:lang w:val="en-US" w:eastAsia="zh-CN"/>
        </w:rPr>
        <w:t>2</w:t>
      </w:r>
      <w:r>
        <w:rPr>
          <w:rFonts w:hint="eastAsia"/>
        </w:rPr>
        <w:t>-4 双坡屋面</w:t>
      </w:r>
    </w:p>
    <w:p w14:paraId="0BF06630">
      <w:pPr>
        <w:pStyle w:val="2"/>
        <w:numPr>
          <w:ilvl w:val="255"/>
          <w:numId w:val="0"/>
        </w:numPr>
        <w:spacing w:after="0" w:line="300" w:lineRule="auto"/>
        <w:jc w:val="center"/>
      </w:pPr>
      <w:r>
        <w:rPr>
          <w:i/>
          <w:iCs/>
        </w:rPr>
        <w:t>H</w:t>
      </w:r>
      <w:r>
        <w:rPr>
          <w:rFonts w:hint="eastAsia"/>
        </w:rPr>
        <w:t>-屋顶高度；</w:t>
      </w:r>
      <w:r>
        <w:rPr>
          <w:rFonts w:hint="eastAsia"/>
          <w:i/>
          <w:iCs/>
        </w:rPr>
        <w:t>B</w:t>
      </w:r>
      <w:r>
        <w:rPr>
          <w:rFonts w:hint="eastAsia"/>
        </w:rPr>
        <w:t>-建筑迎风宽度</w:t>
      </w:r>
    </w:p>
    <w:p w14:paraId="68E72FC0">
      <w:pPr>
        <w:pStyle w:val="2"/>
        <w:numPr>
          <w:ilvl w:val="255"/>
          <w:numId w:val="0"/>
        </w:numPr>
        <w:spacing w:after="0" w:line="300" w:lineRule="auto"/>
        <w:jc w:val="center"/>
      </w:pPr>
      <w:r>
        <w:rPr>
          <w:rFonts w:hint="eastAsia"/>
        </w:rPr>
        <w:t>注：</w:t>
      </w:r>
      <w:r>
        <w:rPr>
          <w:rFonts w:hint="eastAsia"/>
          <w:i/>
          <w:iCs/>
        </w:rPr>
        <w:t>E</w:t>
      </w:r>
      <w:r>
        <w:rPr>
          <w:rFonts w:hint="eastAsia"/>
        </w:rPr>
        <w:t>应取2</w:t>
      </w:r>
      <w:r>
        <w:rPr>
          <w:rFonts w:hint="eastAsia"/>
          <w:i/>
          <w:iCs/>
        </w:rPr>
        <w:t>H</w:t>
      </w:r>
      <w:r>
        <w:rPr>
          <w:rFonts w:hint="eastAsia"/>
        </w:rPr>
        <w:t>和</w:t>
      </w:r>
      <w:r>
        <w:rPr>
          <w:rFonts w:hint="eastAsia"/>
          <w:i/>
          <w:iCs/>
        </w:rPr>
        <w:t>B</w:t>
      </w:r>
      <w:r>
        <w:rPr>
          <w:rFonts w:hint="eastAsia"/>
        </w:rPr>
        <w:t>中较小值。</w:t>
      </w:r>
    </w:p>
    <w:p w14:paraId="227D49DB">
      <w:pPr>
        <w:pStyle w:val="2"/>
        <w:spacing w:after="0" w:line="300" w:lineRule="auto"/>
        <w:rPr>
          <w:rFonts w:hint="eastAsia"/>
          <w:sz w:val="24"/>
        </w:rPr>
      </w:pPr>
      <w:r>
        <w:rPr>
          <w:b/>
          <w:bCs/>
          <w:sz w:val="24"/>
        </w:rPr>
        <w:t>6.3.</w:t>
      </w:r>
      <w:r>
        <w:rPr>
          <w:rFonts w:hint="eastAsia"/>
          <w:b/>
          <w:bCs/>
          <w:sz w:val="24"/>
          <w:lang w:val="en-US" w:eastAsia="zh-CN"/>
        </w:rPr>
        <w:t>3</w:t>
      </w:r>
      <w:r>
        <w:rPr>
          <w:rFonts w:hint="eastAsia"/>
          <w:b/>
          <w:bCs/>
          <w:sz w:val="24"/>
        </w:rPr>
        <w:t xml:space="preserve"> </w:t>
      </w:r>
      <w:r>
        <w:rPr>
          <w:rFonts w:hint="eastAsia"/>
          <w:sz w:val="24"/>
        </w:rPr>
        <w:t>对于体型复杂、周边干扰效应明显或风敏感的</w:t>
      </w:r>
      <w:r>
        <w:rPr>
          <w:rFonts w:hint="eastAsia"/>
          <w:sz w:val="24"/>
          <w:lang w:val="en-US" w:eastAsia="zh-CN"/>
        </w:rPr>
        <w:t>大型</w:t>
      </w:r>
      <w:r>
        <w:rPr>
          <w:rFonts w:hint="eastAsia"/>
          <w:sz w:val="24"/>
        </w:rPr>
        <w:t>光伏系统工程，</w:t>
      </w:r>
      <w:r>
        <w:rPr>
          <w:rFonts w:hint="eastAsia"/>
          <w:sz w:val="24"/>
          <w:lang w:val="en-US" w:eastAsia="zh-CN"/>
        </w:rPr>
        <w:t>宜</w:t>
      </w:r>
      <w:r>
        <w:rPr>
          <w:rFonts w:hint="eastAsia"/>
          <w:sz w:val="24"/>
        </w:rPr>
        <w:t>进行风洞试验确定风荷载。</w:t>
      </w:r>
    </w:p>
    <w:p w14:paraId="1BF3371D">
      <w:pPr>
        <w:snapToGrid w:val="0"/>
        <w:spacing w:line="300" w:lineRule="auto"/>
        <w:jc w:val="left"/>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4E9D705A">
      <w:pPr>
        <w:pStyle w:val="2"/>
        <w:spacing w:line="300" w:lineRule="auto"/>
        <w:ind w:firstLine="0" w:firstLineChars="0"/>
        <w:rPr>
          <w:rFonts w:hint="eastAsia" w:ascii="仿宋" w:hAnsi="仿宋" w:eastAsia="仿宋" w:cs="仿宋"/>
          <w:b w:val="0"/>
          <w:bCs w:val="0"/>
          <w:i/>
          <w:iCs/>
          <w:color w:val="0623BA"/>
          <w:sz w:val="24"/>
          <w:lang w:val="en-US" w:eastAsia="zh-CN"/>
        </w:rPr>
      </w:pPr>
      <w:r>
        <w:rPr>
          <w:rFonts w:hint="eastAsia" w:ascii="仿宋" w:hAnsi="仿宋" w:eastAsia="仿宋" w:cs="仿宋"/>
          <w:b w:val="0"/>
          <w:bCs w:val="0"/>
          <w:i/>
          <w:iCs/>
          <w:color w:val="0623BA"/>
          <w:sz w:val="24"/>
          <w:lang w:val="en-US" w:eastAsia="zh-CN"/>
        </w:rPr>
        <w:t>6.3.3 建筑太阳能光伏系统工程的抗风性能不仅关系到发电效率等经济指标，还涉及到安全问题，尤其是在强风易发多发地区，需要予以重视。本条给出有必要采用风洞试验确定风荷载的条件说明：</w:t>
      </w:r>
    </w:p>
    <w:p w14:paraId="53B580C9">
      <w:pPr>
        <w:pStyle w:val="2"/>
        <w:spacing w:line="300" w:lineRule="auto"/>
        <w:ind w:firstLine="480" w:firstLineChars="200"/>
        <w:rPr>
          <w:rFonts w:hint="eastAsia" w:ascii="仿宋" w:hAnsi="仿宋" w:eastAsia="仿宋" w:cs="仿宋"/>
          <w:b w:val="0"/>
          <w:bCs w:val="0"/>
          <w:i/>
          <w:iCs/>
          <w:color w:val="0623BA"/>
          <w:sz w:val="24"/>
          <w:lang w:val="en-US" w:eastAsia="zh-CN"/>
        </w:rPr>
      </w:pPr>
      <w:r>
        <w:rPr>
          <w:rFonts w:hint="eastAsia" w:ascii="仿宋" w:hAnsi="仿宋" w:eastAsia="仿宋" w:cs="仿宋"/>
          <w:b w:val="0"/>
          <w:bCs w:val="0"/>
          <w:i/>
          <w:iCs/>
          <w:color w:val="0623BA"/>
          <w:sz w:val="24"/>
          <w:lang w:val="en-US" w:eastAsia="zh-CN"/>
        </w:rPr>
        <w:t>1 现行规范给出的风荷载体型系数等主要适用于体型较为规则的结构，难以涵盖复杂体型结构；</w:t>
      </w:r>
    </w:p>
    <w:p w14:paraId="64F55F2E">
      <w:pPr>
        <w:pStyle w:val="2"/>
        <w:spacing w:line="300" w:lineRule="auto"/>
        <w:ind w:firstLine="480" w:firstLineChars="200"/>
        <w:rPr>
          <w:rFonts w:hint="eastAsia" w:ascii="仿宋" w:hAnsi="仿宋" w:eastAsia="仿宋" w:cs="仿宋"/>
          <w:b w:val="0"/>
          <w:bCs w:val="0"/>
          <w:i/>
          <w:iCs/>
          <w:color w:val="0623BA"/>
          <w:sz w:val="24"/>
          <w:lang w:val="en-US" w:eastAsia="zh-CN"/>
        </w:rPr>
      </w:pPr>
      <w:r>
        <w:rPr>
          <w:rFonts w:hint="eastAsia" w:ascii="仿宋" w:hAnsi="仿宋" w:eastAsia="仿宋" w:cs="仿宋"/>
          <w:b w:val="0"/>
          <w:bCs w:val="0"/>
          <w:i/>
          <w:iCs/>
          <w:color w:val="0623BA"/>
          <w:sz w:val="24"/>
          <w:lang w:val="en-US" w:eastAsia="zh-CN"/>
        </w:rPr>
        <w:t>2 当周边建筑距离目标建筑较近时，存在明显干扰效应，会增大局部风压；</w:t>
      </w:r>
    </w:p>
    <w:p w14:paraId="3A2C7F24">
      <w:pPr>
        <w:pStyle w:val="2"/>
        <w:spacing w:line="300" w:lineRule="auto"/>
        <w:ind w:firstLine="480" w:firstLineChars="200"/>
        <w:rPr>
          <w:rFonts w:hint="eastAsia" w:ascii="仿宋" w:hAnsi="仿宋" w:eastAsia="仿宋" w:cs="仿宋"/>
          <w:b w:val="0"/>
          <w:bCs w:val="0"/>
          <w:i/>
          <w:iCs/>
          <w:color w:val="0623BA"/>
          <w:sz w:val="24"/>
          <w:lang w:val="en-US" w:eastAsia="zh-CN"/>
        </w:rPr>
      </w:pPr>
      <w:r>
        <w:rPr>
          <w:rFonts w:hint="eastAsia" w:ascii="仿宋" w:hAnsi="仿宋" w:eastAsia="仿宋" w:cs="仿宋"/>
          <w:b w:val="0"/>
          <w:bCs w:val="0"/>
          <w:i/>
          <w:iCs/>
          <w:color w:val="0623BA"/>
          <w:sz w:val="24"/>
          <w:lang w:val="en-US" w:eastAsia="zh-CN"/>
        </w:rPr>
        <w:t>3 风敏感结构主要指刚度较柔的结构，如加装在大跨度屋盖上的光伏系统工程等；</w:t>
      </w:r>
    </w:p>
    <w:p w14:paraId="1E91D7D0">
      <w:pPr>
        <w:pStyle w:val="2"/>
        <w:spacing w:line="300" w:lineRule="auto"/>
        <w:ind w:firstLine="480" w:firstLineChars="200"/>
        <w:rPr>
          <w:rFonts w:hint="eastAsia" w:ascii="仿宋" w:hAnsi="仿宋" w:eastAsia="仿宋" w:cs="仿宋"/>
          <w:b w:val="0"/>
          <w:bCs w:val="0"/>
          <w:i/>
          <w:iCs/>
          <w:color w:val="0623BA"/>
          <w:sz w:val="24"/>
          <w:lang w:val="en-US" w:eastAsia="zh-CN"/>
        </w:rPr>
      </w:pPr>
      <w:r>
        <w:rPr>
          <w:rFonts w:hint="eastAsia" w:ascii="仿宋" w:hAnsi="仿宋" w:eastAsia="仿宋" w:cs="仿宋"/>
          <w:b w:val="0"/>
          <w:bCs w:val="0"/>
          <w:i/>
          <w:iCs/>
          <w:color w:val="0623BA"/>
          <w:sz w:val="24"/>
          <w:lang w:val="en-US" w:eastAsia="zh-CN"/>
        </w:rPr>
        <w:t>4 大型光伏系统工程主要指光伏系统投资额超过1000万元的工程，此类工程抗风破坏导致的经济损失和安全问题较大。当光伏系统工程满足上述条件时，有必要通过风洞试验来确定其风荷载来保障抗风性能。</w:t>
      </w:r>
    </w:p>
    <w:p w14:paraId="4220CCED">
      <w:pPr>
        <w:rPr>
          <w:rFonts w:hint="default"/>
          <w:sz w:val="24"/>
          <w:lang w:val="en-US" w:eastAsia="zh-CN"/>
        </w:rPr>
      </w:pPr>
      <w:r>
        <w:rPr>
          <w:b/>
          <w:bCs/>
          <w:sz w:val="24"/>
        </w:rPr>
        <w:t>6.3.</w:t>
      </w:r>
      <w:r>
        <w:rPr>
          <w:rFonts w:hint="default"/>
          <w:b/>
          <w:bCs/>
          <w:sz w:val="24"/>
          <w:lang w:val="en-US" w:eastAsia="zh-CN"/>
        </w:rPr>
        <w:t>4</w:t>
      </w:r>
      <w:r>
        <w:rPr>
          <w:rFonts w:hint="default"/>
          <w:b/>
          <w:bCs/>
          <w:sz w:val="24"/>
        </w:rPr>
        <w:t xml:space="preserve"> </w:t>
      </w:r>
      <w:r>
        <w:rPr>
          <w:rFonts w:hint="default"/>
          <w:sz w:val="24"/>
          <w:lang w:val="en-US" w:eastAsia="zh-CN"/>
        </w:rPr>
        <w:t>建筑</w:t>
      </w:r>
      <w:r>
        <w:rPr>
          <w:rFonts w:hint="default"/>
          <w:sz w:val="24"/>
        </w:rPr>
        <w:t>光伏发电系统的</w:t>
      </w:r>
      <w:r>
        <w:rPr>
          <w:rFonts w:hint="default"/>
          <w:sz w:val="24"/>
          <w:lang w:val="en-US" w:eastAsia="zh-CN"/>
        </w:rPr>
        <w:t>施工检修荷载应符合以下规定：</w:t>
      </w:r>
    </w:p>
    <w:p w14:paraId="531D093B">
      <w:pPr>
        <w:snapToGrid w:val="0"/>
        <w:spacing w:line="300" w:lineRule="auto"/>
        <w:ind w:firstLine="482" w:firstLineChars="200"/>
        <w:rPr>
          <w:rFonts w:hint="default"/>
          <w:b w:val="0"/>
          <w:bCs w:val="0"/>
          <w:sz w:val="24"/>
          <w:lang w:val="en-US" w:eastAsia="zh-CN"/>
        </w:rPr>
      </w:pPr>
      <w:r>
        <w:rPr>
          <w:rFonts w:hint="default"/>
          <w:b/>
          <w:bCs/>
          <w:sz w:val="24"/>
          <w:lang w:val="en-US" w:eastAsia="zh-CN"/>
        </w:rPr>
        <w:t>1</w:t>
      </w:r>
      <w:r>
        <w:rPr>
          <w:rFonts w:hint="default"/>
          <w:b w:val="0"/>
          <w:bCs w:val="0"/>
          <w:sz w:val="24"/>
          <w:lang w:val="en-US" w:eastAsia="zh-CN"/>
        </w:rPr>
        <w:t xml:space="preserve"> 施工检修集中荷载标准值应按实际荷载取用且不应小于1kN</w:t>
      </w:r>
      <w:r>
        <w:rPr>
          <w:rFonts w:hint="eastAsia"/>
          <w:b w:val="0"/>
          <w:bCs w:val="0"/>
          <w:sz w:val="24"/>
          <w:lang w:val="en-US" w:eastAsia="zh-CN"/>
        </w:rPr>
        <w:t>并</w:t>
      </w:r>
      <w:r>
        <w:rPr>
          <w:rFonts w:hint="default"/>
          <w:b w:val="0"/>
          <w:bCs w:val="0"/>
          <w:sz w:val="24"/>
          <w:lang w:val="en-US" w:eastAsia="zh-CN"/>
        </w:rPr>
        <w:t>应在最不利位置处进行验算；</w:t>
      </w:r>
    </w:p>
    <w:p w14:paraId="59AA9542">
      <w:pPr>
        <w:snapToGrid w:val="0"/>
        <w:spacing w:line="300" w:lineRule="auto"/>
        <w:ind w:firstLine="482" w:firstLineChars="200"/>
        <w:rPr>
          <w:rFonts w:hint="default"/>
          <w:b w:val="0"/>
          <w:bCs w:val="0"/>
          <w:sz w:val="24"/>
          <w:lang w:val="en-US" w:eastAsia="zh-CN"/>
        </w:rPr>
      </w:pPr>
      <w:r>
        <w:rPr>
          <w:rFonts w:hint="default"/>
          <w:b/>
          <w:bCs/>
          <w:sz w:val="24"/>
          <w:lang w:val="en-US" w:eastAsia="zh-CN"/>
        </w:rPr>
        <w:t>2</w:t>
      </w:r>
      <w:r>
        <w:rPr>
          <w:rFonts w:hint="default"/>
          <w:b w:val="0"/>
          <w:bCs w:val="0"/>
          <w:sz w:val="24"/>
          <w:lang w:val="en-US" w:eastAsia="zh-CN"/>
        </w:rPr>
        <w:t xml:space="preserve"> 进行支架构件承载力验算时，荷载组合应取永久荷载和施工检修荷载，永久荷载的分项系数取1.3，施工或检修荷载的分项系数取1.5；</w:t>
      </w:r>
    </w:p>
    <w:p w14:paraId="3D107BA9">
      <w:pPr>
        <w:snapToGrid w:val="0"/>
        <w:spacing w:line="300" w:lineRule="auto"/>
        <w:ind w:firstLine="482" w:firstLineChars="200"/>
        <w:rPr>
          <w:rFonts w:hint="default"/>
          <w:b w:val="0"/>
          <w:bCs w:val="0"/>
          <w:sz w:val="24"/>
          <w:lang w:val="en-US" w:eastAsia="zh-CN"/>
        </w:rPr>
      </w:pPr>
      <w:r>
        <w:rPr>
          <w:rFonts w:hint="default"/>
          <w:b/>
          <w:bCs/>
          <w:sz w:val="24"/>
          <w:lang w:val="en-US" w:eastAsia="zh-CN"/>
        </w:rPr>
        <w:t>3</w:t>
      </w:r>
      <w:r>
        <w:rPr>
          <w:rFonts w:hint="default"/>
          <w:b w:val="0"/>
          <w:bCs w:val="0"/>
          <w:sz w:val="24"/>
          <w:lang w:val="en-US" w:eastAsia="zh-CN"/>
        </w:rPr>
        <w:t xml:space="preserve"> 进行支架构件位移验算时，荷载组合应取永久荷载和施工检修荷载，分项系数均应取1.0。</w:t>
      </w:r>
    </w:p>
    <w:p w14:paraId="16D097BA">
      <w:pPr>
        <w:snapToGrid w:val="0"/>
        <w:spacing w:line="300" w:lineRule="auto"/>
        <w:rPr>
          <w:rFonts w:hint="default"/>
          <w:b w:val="0"/>
          <w:bCs w:val="0"/>
          <w:sz w:val="24"/>
          <w:lang w:val="en-US" w:eastAsia="zh-CN"/>
        </w:rPr>
      </w:pPr>
      <w:r>
        <w:rPr>
          <w:rFonts w:hint="default"/>
          <w:b/>
          <w:bCs/>
          <w:sz w:val="24"/>
          <w:lang w:val="en-US" w:eastAsia="zh-CN"/>
        </w:rPr>
        <w:t xml:space="preserve">6.3.5 </w:t>
      </w:r>
      <w:r>
        <w:rPr>
          <w:rFonts w:hint="default"/>
          <w:b w:val="0"/>
          <w:bCs w:val="0"/>
          <w:sz w:val="24"/>
          <w:lang w:val="en-US" w:eastAsia="zh-CN"/>
        </w:rPr>
        <w:t>作用于建筑光伏发电系统上的雪荷载标准值</w:t>
      </w:r>
      <w:r>
        <w:rPr>
          <w:rFonts w:hint="default"/>
          <w:b w:val="0"/>
          <w:bCs w:val="0"/>
          <w:sz w:val="24"/>
        </w:rPr>
        <w:t>，应按现行广东省标准《建筑结构荷载规范》DBJ/T 15-101的规定采用</w:t>
      </w:r>
      <w:r>
        <w:rPr>
          <w:rFonts w:hint="default"/>
          <w:b w:val="0"/>
          <w:bCs w:val="0"/>
          <w:sz w:val="24"/>
          <w:lang w:val="en-US" w:eastAsia="zh-CN"/>
        </w:rPr>
        <w:t>并应符合以下规定：</w:t>
      </w:r>
    </w:p>
    <w:p w14:paraId="3C00E971">
      <w:pPr>
        <w:snapToGrid w:val="0"/>
        <w:spacing w:line="300" w:lineRule="auto"/>
        <w:ind w:firstLine="482" w:firstLineChars="200"/>
        <w:rPr>
          <w:rFonts w:hint="default"/>
          <w:b w:val="0"/>
          <w:bCs w:val="0"/>
          <w:sz w:val="24"/>
        </w:rPr>
      </w:pPr>
      <w:r>
        <w:rPr>
          <w:rFonts w:hint="default"/>
          <w:b/>
          <w:bCs/>
          <w:sz w:val="24"/>
          <w:lang w:val="en-US" w:eastAsia="zh-CN"/>
        </w:rPr>
        <w:t xml:space="preserve">1 </w:t>
      </w:r>
      <w:r>
        <w:rPr>
          <w:rFonts w:hint="default"/>
          <w:b w:val="0"/>
          <w:bCs w:val="0"/>
          <w:sz w:val="24"/>
        </w:rPr>
        <w:t>对于建筑集成光伏发电系统，</w:t>
      </w:r>
      <w:r>
        <w:rPr>
          <w:rFonts w:hint="default"/>
          <w:b w:val="0"/>
          <w:bCs w:val="0"/>
          <w:sz w:val="24"/>
          <w:lang w:val="en-US" w:eastAsia="zh-CN"/>
        </w:rPr>
        <w:t>雪荷载重现期应</w:t>
      </w:r>
      <w:r>
        <w:rPr>
          <w:rFonts w:hint="default"/>
          <w:b w:val="0"/>
          <w:bCs w:val="0"/>
          <w:sz w:val="24"/>
        </w:rPr>
        <w:t>与主体结构构件一致；</w:t>
      </w:r>
    </w:p>
    <w:p w14:paraId="484CB38F">
      <w:pPr>
        <w:snapToGrid w:val="0"/>
        <w:spacing w:line="300" w:lineRule="auto"/>
        <w:ind w:firstLine="482" w:firstLineChars="200"/>
        <w:rPr>
          <w:rFonts w:hint="default"/>
          <w:b w:val="0"/>
          <w:bCs w:val="0"/>
          <w:sz w:val="24"/>
          <w:lang w:eastAsia="zh-CN"/>
        </w:rPr>
      </w:pPr>
      <w:r>
        <w:rPr>
          <w:rFonts w:hint="default"/>
          <w:b/>
          <w:bCs/>
          <w:sz w:val="24"/>
          <w:lang w:val="en-US" w:eastAsia="zh-CN"/>
        </w:rPr>
        <w:t xml:space="preserve">2 </w:t>
      </w:r>
      <w:r>
        <w:rPr>
          <w:rFonts w:hint="default"/>
          <w:b w:val="0"/>
          <w:bCs w:val="0"/>
          <w:sz w:val="24"/>
        </w:rPr>
        <w:t>对于建筑附加光伏发电系统，</w:t>
      </w:r>
      <w:r>
        <w:rPr>
          <w:rFonts w:hint="default"/>
          <w:b w:val="0"/>
          <w:bCs w:val="0"/>
          <w:sz w:val="24"/>
          <w:lang w:val="en-US" w:eastAsia="zh-CN"/>
        </w:rPr>
        <w:t>雪荷载</w:t>
      </w:r>
      <w:r>
        <w:rPr>
          <w:rFonts w:hint="default"/>
          <w:b w:val="0"/>
          <w:bCs w:val="0"/>
          <w:sz w:val="24"/>
        </w:rPr>
        <w:t>重现期可取25年</w:t>
      </w:r>
      <w:r>
        <w:rPr>
          <w:rFonts w:hint="default"/>
          <w:b w:val="0"/>
          <w:bCs w:val="0"/>
          <w:sz w:val="24"/>
          <w:lang w:eastAsia="zh-CN"/>
        </w:rPr>
        <w:t>。</w:t>
      </w:r>
    </w:p>
    <w:p w14:paraId="12FB3281">
      <w:pPr>
        <w:keepNext/>
        <w:keepLines/>
        <w:snapToGrid w:val="0"/>
        <w:spacing w:before="72" w:beforeLines="30" w:after="72" w:afterLines="30" w:line="300" w:lineRule="auto"/>
        <w:jc w:val="center"/>
        <w:outlineLvl w:val="2"/>
        <w:rPr>
          <w:b/>
          <w:sz w:val="24"/>
          <w:szCs w:val="32"/>
        </w:rPr>
      </w:pPr>
      <w:bookmarkStart w:id="201" w:name="_Toc8872"/>
      <w:bookmarkStart w:id="202" w:name="_Toc8528"/>
      <w:bookmarkStart w:id="203" w:name="_Toc10539"/>
      <w:bookmarkStart w:id="204" w:name="_Toc16031"/>
      <w:bookmarkStart w:id="205" w:name="_Toc25068"/>
      <w:bookmarkStart w:id="206" w:name="_Toc5731"/>
      <w:bookmarkStart w:id="207" w:name="_Toc19295"/>
      <w:bookmarkStart w:id="208" w:name="_Toc15181"/>
      <w:r>
        <w:rPr>
          <w:b/>
          <w:sz w:val="24"/>
          <w:szCs w:val="32"/>
        </w:rPr>
        <w:t>6.4</w:t>
      </w:r>
      <w:r>
        <w:rPr>
          <w:rFonts w:hint="eastAsia"/>
          <w:b/>
          <w:sz w:val="24"/>
          <w:szCs w:val="32"/>
          <w:lang w:val="en-US" w:eastAsia="zh-CN"/>
        </w:rPr>
        <w:t xml:space="preserve"> </w:t>
      </w:r>
      <w:r>
        <w:rPr>
          <w:b/>
          <w:sz w:val="24"/>
          <w:szCs w:val="32"/>
        </w:rPr>
        <w:t>光伏构件结构设计</w:t>
      </w:r>
      <w:bookmarkEnd w:id="201"/>
      <w:bookmarkEnd w:id="202"/>
      <w:bookmarkEnd w:id="203"/>
      <w:bookmarkEnd w:id="204"/>
      <w:bookmarkEnd w:id="205"/>
      <w:bookmarkEnd w:id="206"/>
      <w:bookmarkEnd w:id="207"/>
      <w:bookmarkEnd w:id="208"/>
    </w:p>
    <w:p w14:paraId="56CBE615">
      <w:pPr>
        <w:snapToGrid w:val="0"/>
        <w:spacing w:line="300" w:lineRule="auto"/>
        <w:rPr>
          <w:sz w:val="24"/>
        </w:rPr>
      </w:pPr>
      <w:r>
        <w:rPr>
          <w:b/>
          <w:bCs/>
          <w:sz w:val="24"/>
        </w:rPr>
        <w:t>6.4.1</w:t>
      </w:r>
      <w:r>
        <w:rPr>
          <w:rFonts w:hint="eastAsia"/>
          <w:sz w:val="24"/>
        </w:rPr>
        <w:t xml:space="preserve"> </w:t>
      </w:r>
      <w:r>
        <w:rPr>
          <w:sz w:val="24"/>
        </w:rPr>
        <w:t>光伏构件所选用的玻璃应符合现行行业标准《建筑玻璃应用技术规程》JGJ113的有关规定。</w:t>
      </w:r>
    </w:p>
    <w:p w14:paraId="126F9534">
      <w:pPr>
        <w:snapToGrid w:val="0"/>
        <w:spacing w:line="300" w:lineRule="auto"/>
        <w:jc w:val="left"/>
        <w:rPr>
          <w:sz w:val="24"/>
        </w:rPr>
      </w:pPr>
      <w:r>
        <w:rPr>
          <w:b/>
          <w:bCs/>
          <w:sz w:val="24"/>
        </w:rPr>
        <w:t>6.4.2</w:t>
      </w:r>
      <w:r>
        <w:rPr>
          <w:rFonts w:hint="eastAsia"/>
          <w:sz w:val="24"/>
        </w:rPr>
        <w:t xml:space="preserve"> </w:t>
      </w:r>
      <w:r>
        <w:rPr>
          <w:sz w:val="24"/>
        </w:rPr>
        <w:t>光伏构件挠度计算宜按照有限元方法进行，也可按现行行业标准《玻璃幕墙工程技术规范》JGJ102进行计算。</w:t>
      </w:r>
    </w:p>
    <w:p w14:paraId="4D4A5DC6">
      <w:pPr>
        <w:snapToGrid w:val="0"/>
        <w:spacing w:line="300" w:lineRule="auto"/>
        <w:jc w:val="left"/>
        <w:rPr>
          <w:sz w:val="24"/>
        </w:rPr>
      </w:pPr>
      <w:r>
        <w:rPr>
          <w:b/>
          <w:bCs/>
          <w:sz w:val="24"/>
        </w:rPr>
        <w:t>6.4.3</w:t>
      </w:r>
      <w:r>
        <w:rPr>
          <w:rFonts w:hint="eastAsia"/>
          <w:sz w:val="24"/>
        </w:rPr>
        <w:t xml:space="preserve"> </w:t>
      </w:r>
      <w:r>
        <w:rPr>
          <w:sz w:val="24"/>
        </w:rPr>
        <w:t>光伏构件的挠度应符合建筑构件及光伏组件功能的规定。</w:t>
      </w:r>
    </w:p>
    <w:p w14:paraId="1C827517">
      <w:pPr>
        <w:snapToGrid w:val="0"/>
        <w:spacing w:line="300" w:lineRule="auto"/>
        <w:jc w:val="left"/>
        <w:rPr>
          <w:sz w:val="24"/>
        </w:rPr>
      </w:pPr>
      <w:r>
        <w:rPr>
          <w:b/>
          <w:bCs/>
          <w:sz w:val="24"/>
        </w:rPr>
        <w:t>6.4.4</w:t>
      </w:r>
      <w:r>
        <w:rPr>
          <w:rFonts w:hint="eastAsia"/>
          <w:sz w:val="24"/>
        </w:rPr>
        <w:t xml:space="preserve"> </w:t>
      </w:r>
      <w:r>
        <w:rPr>
          <w:sz w:val="24"/>
        </w:rPr>
        <w:t>带边框的光伏构件其边框挠度不应大于其计算跨度的1/120。</w:t>
      </w:r>
    </w:p>
    <w:p w14:paraId="3B0E49BB">
      <w:pPr>
        <w:keepNext/>
        <w:keepLines/>
        <w:snapToGrid w:val="0"/>
        <w:spacing w:before="72" w:beforeLines="30" w:after="72" w:afterLines="30" w:line="300" w:lineRule="auto"/>
        <w:jc w:val="center"/>
        <w:outlineLvl w:val="2"/>
        <w:rPr>
          <w:b/>
          <w:sz w:val="24"/>
          <w:szCs w:val="32"/>
        </w:rPr>
      </w:pPr>
      <w:bookmarkStart w:id="209" w:name="_Toc11806"/>
      <w:bookmarkStart w:id="210" w:name="_Toc22006"/>
      <w:bookmarkStart w:id="211" w:name="_Toc19740"/>
      <w:bookmarkStart w:id="212" w:name="_Toc17657"/>
      <w:bookmarkStart w:id="213" w:name="_Toc2817"/>
      <w:bookmarkStart w:id="214" w:name="_Toc2938"/>
      <w:bookmarkStart w:id="215" w:name="_Toc21334"/>
      <w:bookmarkStart w:id="216" w:name="_Toc27572"/>
      <w:r>
        <w:rPr>
          <w:b/>
          <w:sz w:val="24"/>
          <w:szCs w:val="32"/>
        </w:rPr>
        <w:t>6.5支撑结构设计</w:t>
      </w:r>
      <w:bookmarkEnd w:id="209"/>
      <w:bookmarkEnd w:id="210"/>
      <w:bookmarkEnd w:id="211"/>
      <w:bookmarkEnd w:id="212"/>
      <w:bookmarkEnd w:id="213"/>
      <w:bookmarkEnd w:id="214"/>
      <w:bookmarkEnd w:id="215"/>
      <w:bookmarkEnd w:id="216"/>
    </w:p>
    <w:p w14:paraId="626DE9F9">
      <w:pPr>
        <w:snapToGrid w:val="0"/>
        <w:spacing w:line="300" w:lineRule="auto"/>
        <w:jc w:val="left"/>
        <w:rPr>
          <w:sz w:val="24"/>
        </w:rPr>
      </w:pPr>
      <w:r>
        <w:rPr>
          <w:b/>
          <w:bCs/>
          <w:sz w:val="24"/>
        </w:rPr>
        <w:t>6.5.1</w:t>
      </w:r>
      <w:r>
        <w:rPr>
          <w:sz w:val="24"/>
        </w:rPr>
        <w:t xml:space="preserve"> 荷载标准值作用下产生的挠度应符合表6.5.1的规定。</w:t>
      </w:r>
    </w:p>
    <w:p w14:paraId="0D9F3361">
      <w:pPr>
        <w:snapToGrid w:val="0"/>
        <w:spacing w:line="300" w:lineRule="auto"/>
        <w:jc w:val="center"/>
        <w:rPr>
          <w:b/>
          <w:bCs/>
          <w:sz w:val="21"/>
          <w:szCs w:val="21"/>
        </w:rPr>
      </w:pPr>
      <w:r>
        <w:rPr>
          <w:b/>
          <w:bCs/>
          <w:sz w:val="21"/>
          <w:szCs w:val="21"/>
        </w:rPr>
        <w:t>表6.5.1荷载标准值作用下产生的挠度</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35084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shd w:val="clear" w:color="auto" w:fill="auto"/>
            <w:vAlign w:val="center"/>
          </w:tcPr>
          <w:p w14:paraId="7CFCA3C2">
            <w:pPr>
              <w:snapToGrid w:val="0"/>
              <w:spacing w:line="300" w:lineRule="auto"/>
              <w:jc w:val="center"/>
              <w:rPr>
                <w:sz w:val="21"/>
                <w:szCs w:val="21"/>
              </w:rPr>
            </w:pPr>
            <w:r>
              <w:rPr>
                <w:sz w:val="21"/>
                <w:szCs w:val="21"/>
              </w:rPr>
              <w:t>铝合金结构</w:t>
            </w:r>
          </w:p>
        </w:tc>
        <w:tc>
          <w:tcPr>
            <w:tcW w:w="2841" w:type="dxa"/>
            <w:shd w:val="clear" w:color="auto" w:fill="auto"/>
            <w:vAlign w:val="center"/>
          </w:tcPr>
          <w:p w14:paraId="4050D441">
            <w:pPr>
              <w:snapToGrid w:val="0"/>
              <w:spacing w:line="300" w:lineRule="auto"/>
              <w:jc w:val="center"/>
              <w:rPr>
                <w:sz w:val="21"/>
                <w:szCs w:val="21"/>
              </w:rPr>
            </w:pPr>
            <w:r>
              <w:rPr>
                <w:sz w:val="21"/>
                <w:szCs w:val="21"/>
              </w:rPr>
              <w:t>1/180</w:t>
            </w:r>
          </w:p>
        </w:tc>
      </w:tr>
      <w:tr w14:paraId="3A4C2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shd w:val="clear" w:color="auto" w:fill="auto"/>
            <w:vAlign w:val="center"/>
          </w:tcPr>
          <w:p w14:paraId="44535710">
            <w:pPr>
              <w:snapToGrid w:val="0"/>
              <w:spacing w:line="300" w:lineRule="auto"/>
              <w:jc w:val="center"/>
              <w:rPr>
                <w:sz w:val="21"/>
                <w:szCs w:val="21"/>
              </w:rPr>
            </w:pPr>
            <w:r>
              <w:rPr>
                <w:sz w:val="21"/>
                <w:szCs w:val="21"/>
              </w:rPr>
              <w:t>钢结构</w:t>
            </w:r>
          </w:p>
        </w:tc>
        <w:tc>
          <w:tcPr>
            <w:tcW w:w="2841" w:type="dxa"/>
            <w:shd w:val="clear" w:color="auto" w:fill="auto"/>
            <w:vAlign w:val="center"/>
          </w:tcPr>
          <w:p w14:paraId="0118E3F2">
            <w:pPr>
              <w:snapToGrid w:val="0"/>
              <w:spacing w:line="300" w:lineRule="auto"/>
              <w:jc w:val="center"/>
              <w:rPr>
                <w:sz w:val="21"/>
                <w:szCs w:val="21"/>
              </w:rPr>
            </w:pPr>
            <w:r>
              <w:rPr>
                <w:sz w:val="21"/>
                <w:szCs w:val="21"/>
              </w:rPr>
              <w:t>1/200</w:t>
            </w:r>
          </w:p>
        </w:tc>
      </w:tr>
      <w:tr w14:paraId="49F40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shd w:val="clear" w:color="auto" w:fill="auto"/>
            <w:vAlign w:val="center"/>
          </w:tcPr>
          <w:p w14:paraId="28624CEC">
            <w:pPr>
              <w:snapToGrid w:val="0"/>
              <w:spacing w:line="300" w:lineRule="auto"/>
              <w:jc w:val="center"/>
              <w:rPr>
                <w:sz w:val="21"/>
                <w:szCs w:val="21"/>
              </w:rPr>
            </w:pPr>
            <w:r>
              <w:rPr>
                <w:sz w:val="21"/>
                <w:szCs w:val="21"/>
              </w:rPr>
              <w:t>木结构</w:t>
            </w:r>
          </w:p>
        </w:tc>
        <w:tc>
          <w:tcPr>
            <w:tcW w:w="2841" w:type="dxa"/>
            <w:shd w:val="clear" w:color="auto" w:fill="auto"/>
            <w:vAlign w:val="center"/>
          </w:tcPr>
          <w:p w14:paraId="39B7A889">
            <w:pPr>
              <w:snapToGrid w:val="0"/>
              <w:spacing w:line="300" w:lineRule="auto"/>
              <w:jc w:val="center"/>
              <w:rPr>
                <w:sz w:val="21"/>
                <w:szCs w:val="21"/>
              </w:rPr>
            </w:pPr>
            <w:r>
              <w:rPr>
                <w:sz w:val="21"/>
                <w:szCs w:val="21"/>
              </w:rPr>
              <w:t>L≤3.3m</w:t>
            </w:r>
          </w:p>
        </w:tc>
        <w:tc>
          <w:tcPr>
            <w:tcW w:w="2841" w:type="dxa"/>
            <w:shd w:val="clear" w:color="auto" w:fill="auto"/>
            <w:vAlign w:val="center"/>
          </w:tcPr>
          <w:p w14:paraId="4E958FC2">
            <w:pPr>
              <w:snapToGrid w:val="0"/>
              <w:spacing w:line="300" w:lineRule="auto"/>
              <w:jc w:val="center"/>
              <w:rPr>
                <w:sz w:val="21"/>
                <w:szCs w:val="21"/>
              </w:rPr>
            </w:pPr>
            <w:r>
              <w:rPr>
                <w:sz w:val="21"/>
                <w:szCs w:val="21"/>
              </w:rPr>
              <w:t>1/200</w:t>
            </w:r>
          </w:p>
        </w:tc>
      </w:tr>
      <w:tr w14:paraId="2599A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shd w:val="clear" w:color="auto" w:fill="auto"/>
            <w:vAlign w:val="center"/>
          </w:tcPr>
          <w:p w14:paraId="7530075D">
            <w:pPr>
              <w:snapToGrid w:val="0"/>
              <w:spacing w:line="300" w:lineRule="auto"/>
              <w:jc w:val="center"/>
              <w:rPr>
                <w:sz w:val="21"/>
                <w:szCs w:val="21"/>
              </w:rPr>
            </w:pPr>
          </w:p>
        </w:tc>
        <w:tc>
          <w:tcPr>
            <w:tcW w:w="2841" w:type="dxa"/>
            <w:shd w:val="clear" w:color="auto" w:fill="auto"/>
            <w:vAlign w:val="center"/>
          </w:tcPr>
          <w:p w14:paraId="32520A83">
            <w:pPr>
              <w:snapToGrid w:val="0"/>
              <w:spacing w:line="300" w:lineRule="auto"/>
              <w:jc w:val="center"/>
              <w:rPr>
                <w:sz w:val="21"/>
                <w:szCs w:val="21"/>
              </w:rPr>
            </w:pPr>
            <w:r>
              <w:rPr>
                <w:sz w:val="21"/>
                <w:szCs w:val="21"/>
              </w:rPr>
              <w:t>L＞3.3m</w:t>
            </w:r>
          </w:p>
        </w:tc>
        <w:tc>
          <w:tcPr>
            <w:tcW w:w="2841" w:type="dxa"/>
            <w:shd w:val="clear" w:color="auto" w:fill="auto"/>
            <w:vAlign w:val="center"/>
          </w:tcPr>
          <w:p w14:paraId="564CFFB8">
            <w:pPr>
              <w:snapToGrid w:val="0"/>
              <w:spacing w:line="300" w:lineRule="auto"/>
              <w:jc w:val="center"/>
              <w:rPr>
                <w:sz w:val="21"/>
                <w:szCs w:val="21"/>
              </w:rPr>
            </w:pPr>
            <w:r>
              <w:rPr>
                <w:sz w:val="21"/>
                <w:szCs w:val="21"/>
              </w:rPr>
              <w:t>1/250</w:t>
            </w:r>
          </w:p>
        </w:tc>
      </w:tr>
    </w:tbl>
    <w:p w14:paraId="3487F1B4">
      <w:pPr>
        <w:pStyle w:val="2"/>
        <w:spacing w:line="300" w:lineRule="auto"/>
        <w:rPr>
          <w:sz w:val="24"/>
        </w:rPr>
      </w:pPr>
      <w:r>
        <w:rPr>
          <w:b/>
          <w:bCs/>
          <w:sz w:val="24"/>
        </w:rPr>
        <w:t>6.5.2</w:t>
      </w:r>
      <w:r>
        <w:rPr>
          <w:sz w:val="24"/>
        </w:rPr>
        <w:t xml:space="preserve"> 在风荷载标准值作用下，面板支架的顶点水平位移不宜大于其高度的1/150。</w:t>
      </w:r>
    </w:p>
    <w:p w14:paraId="4AFDEE18">
      <w:pPr>
        <w:keepNext/>
        <w:keepLines/>
        <w:snapToGrid w:val="0"/>
        <w:spacing w:before="72" w:beforeLines="30" w:after="72" w:afterLines="30" w:line="300" w:lineRule="auto"/>
        <w:jc w:val="center"/>
        <w:outlineLvl w:val="2"/>
        <w:rPr>
          <w:b/>
          <w:sz w:val="24"/>
          <w:szCs w:val="32"/>
        </w:rPr>
      </w:pPr>
      <w:bookmarkStart w:id="217" w:name="_Toc28626"/>
      <w:bookmarkStart w:id="218" w:name="_Toc11730"/>
      <w:bookmarkStart w:id="219" w:name="_Toc18501"/>
      <w:bookmarkStart w:id="220" w:name="_Toc573"/>
      <w:bookmarkStart w:id="221" w:name="_Toc7476"/>
      <w:bookmarkStart w:id="222" w:name="_Toc20876"/>
      <w:bookmarkStart w:id="223" w:name="_Toc12622"/>
      <w:bookmarkStart w:id="224" w:name="_Toc23557"/>
      <w:r>
        <w:rPr>
          <w:b/>
          <w:sz w:val="24"/>
          <w:szCs w:val="32"/>
        </w:rPr>
        <w:t>6.6连接结构设计</w:t>
      </w:r>
      <w:bookmarkEnd w:id="217"/>
      <w:bookmarkEnd w:id="218"/>
      <w:bookmarkEnd w:id="219"/>
      <w:bookmarkEnd w:id="220"/>
      <w:bookmarkEnd w:id="221"/>
      <w:bookmarkEnd w:id="222"/>
      <w:bookmarkEnd w:id="223"/>
      <w:bookmarkEnd w:id="224"/>
    </w:p>
    <w:p w14:paraId="7BF56B5D">
      <w:pPr>
        <w:snapToGrid w:val="0"/>
        <w:spacing w:line="300" w:lineRule="auto"/>
        <w:jc w:val="left"/>
        <w:rPr>
          <w:rFonts w:eastAsia="宋体"/>
          <w:sz w:val="24"/>
        </w:rPr>
      </w:pPr>
      <w:r>
        <w:rPr>
          <w:b/>
          <w:bCs/>
          <w:sz w:val="24"/>
        </w:rPr>
        <w:t>6.</w:t>
      </w:r>
      <w:r>
        <w:rPr>
          <w:rFonts w:hint="eastAsia"/>
          <w:b/>
          <w:bCs/>
          <w:sz w:val="24"/>
        </w:rPr>
        <w:t>6.1</w:t>
      </w:r>
      <w:r>
        <w:rPr>
          <w:rFonts w:hint="eastAsia"/>
          <w:sz w:val="24"/>
        </w:rPr>
        <w:t xml:space="preserve"> </w:t>
      </w:r>
      <w:r>
        <w:rPr>
          <w:rFonts w:hint="default" w:eastAsia="宋体"/>
          <w:sz w:val="24"/>
        </w:rPr>
        <w:t>支撑与主体结构的连接应能承受光伏屋面结构传来的应力，应能有效传递至主体结构。</w:t>
      </w:r>
    </w:p>
    <w:p w14:paraId="2960C075">
      <w:pPr>
        <w:snapToGrid w:val="0"/>
        <w:spacing w:line="300" w:lineRule="auto"/>
        <w:jc w:val="left"/>
        <w:rPr>
          <w:sz w:val="24"/>
        </w:rPr>
      </w:pPr>
      <w:r>
        <w:rPr>
          <w:b/>
          <w:bCs/>
          <w:sz w:val="24"/>
        </w:rPr>
        <w:t>6.</w:t>
      </w:r>
      <w:r>
        <w:rPr>
          <w:rFonts w:hint="eastAsia"/>
          <w:b/>
          <w:bCs/>
          <w:sz w:val="24"/>
        </w:rPr>
        <w:t>6.2</w:t>
      </w:r>
      <w:r>
        <w:rPr>
          <w:rFonts w:hint="eastAsia"/>
          <w:sz w:val="24"/>
        </w:rPr>
        <w:t xml:space="preserve"> </w:t>
      </w:r>
      <w:r>
        <w:rPr>
          <w:sz w:val="24"/>
        </w:rPr>
        <w:t>在金属屋面和瓦屋面上安装建筑光伏系统，支撑系统所承受的荷载应通过连接件传递至屋面</w:t>
      </w:r>
      <w:r>
        <w:rPr>
          <w:rFonts w:hint="eastAsia"/>
          <w:sz w:val="24"/>
          <w:lang w:val="en-US" w:eastAsia="zh-CN"/>
        </w:rPr>
        <w:t>檩</w:t>
      </w:r>
      <w:r>
        <w:rPr>
          <w:sz w:val="24"/>
        </w:rPr>
        <w:t>条。</w:t>
      </w:r>
    </w:p>
    <w:p w14:paraId="363CD6A7">
      <w:pPr>
        <w:snapToGrid w:val="0"/>
        <w:spacing w:line="300" w:lineRule="auto"/>
        <w:jc w:val="left"/>
        <w:rPr>
          <w:sz w:val="24"/>
        </w:rPr>
      </w:pPr>
      <w:r>
        <w:rPr>
          <w:b/>
          <w:bCs/>
          <w:sz w:val="24"/>
        </w:rPr>
        <w:t>6.</w:t>
      </w:r>
      <w:r>
        <w:rPr>
          <w:rFonts w:hint="eastAsia"/>
          <w:b/>
          <w:bCs/>
          <w:sz w:val="24"/>
        </w:rPr>
        <w:t>6.3</w:t>
      </w:r>
      <w:r>
        <w:rPr>
          <w:rFonts w:hint="eastAsia"/>
          <w:sz w:val="24"/>
        </w:rPr>
        <w:t xml:space="preserve"> </w:t>
      </w:r>
      <w:r>
        <w:rPr>
          <w:sz w:val="24"/>
        </w:rPr>
        <w:t>建筑光伏方阵的支撑系统与主体混凝土结构宜通过预埋件连接。预埋件的计算宜采用有限元的方法进行，也可按现行行业标准《玻璃幕墙工程技术规范》JGJ102计算。</w:t>
      </w:r>
    </w:p>
    <w:p w14:paraId="02C00FAA">
      <w:pPr>
        <w:snapToGrid w:val="0"/>
        <w:spacing w:line="300" w:lineRule="auto"/>
        <w:jc w:val="left"/>
        <w:rPr>
          <w:sz w:val="24"/>
        </w:rPr>
      </w:pPr>
      <w:r>
        <w:rPr>
          <w:b/>
          <w:bCs/>
          <w:sz w:val="24"/>
        </w:rPr>
        <w:t>6.6.4</w:t>
      </w:r>
      <w:r>
        <w:rPr>
          <w:sz w:val="24"/>
        </w:rPr>
        <w:t xml:space="preserve"> </w:t>
      </w:r>
      <w:r>
        <w:rPr>
          <w:rFonts w:hint="eastAsia"/>
          <w:sz w:val="24"/>
        </w:rPr>
        <w:t>建筑附加光伏发电系统的预埋件设计</w:t>
      </w:r>
      <w:r>
        <w:rPr>
          <w:rFonts w:hint="eastAsia"/>
          <w:sz w:val="24"/>
          <w:lang w:val="en-US" w:eastAsia="zh-CN"/>
        </w:rPr>
        <w:t>工作</w:t>
      </w:r>
      <w:r>
        <w:rPr>
          <w:rFonts w:hint="eastAsia"/>
          <w:sz w:val="24"/>
        </w:rPr>
        <w:t>年限应与主体结构相同。</w:t>
      </w:r>
    </w:p>
    <w:p w14:paraId="3973189D">
      <w:pPr>
        <w:snapToGrid w:val="0"/>
        <w:spacing w:line="300" w:lineRule="auto"/>
        <w:jc w:val="left"/>
        <w:rPr>
          <w:sz w:val="24"/>
        </w:rPr>
      </w:pPr>
      <w:r>
        <w:rPr>
          <w:b/>
          <w:bCs/>
          <w:sz w:val="24"/>
        </w:rPr>
        <w:t>6.6.</w:t>
      </w:r>
      <w:r>
        <w:rPr>
          <w:rFonts w:hint="eastAsia"/>
          <w:b/>
          <w:bCs/>
          <w:sz w:val="24"/>
        </w:rPr>
        <w:t>5</w:t>
      </w:r>
      <w:r>
        <w:rPr>
          <w:rFonts w:hint="eastAsia"/>
          <w:sz w:val="24"/>
        </w:rPr>
        <w:t xml:space="preserve"> </w:t>
      </w:r>
      <w:r>
        <w:rPr>
          <w:sz w:val="24"/>
        </w:rPr>
        <w:t>当光伏方阵的支撑系统与主体混凝土结构采用后加锚栓连接时，</w:t>
      </w:r>
      <w:r>
        <w:rPr>
          <w:rFonts w:hint="eastAsia"/>
          <w:sz w:val="24"/>
        </w:rPr>
        <w:t>除应符合现行行业标准《混凝土结构后锚固技术规程》JGJ 145 规定之外，尚</w:t>
      </w:r>
      <w:r>
        <w:rPr>
          <w:sz w:val="24"/>
        </w:rPr>
        <w:t>应符合下列规定：</w:t>
      </w:r>
    </w:p>
    <w:p w14:paraId="76B56371">
      <w:pPr>
        <w:snapToGrid w:val="0"/>
        <w:spacing w:line="300" w:lineRule="auto"/>
        <w:ind w:firstLine="482" w:firstLineChars="200"/>
        <w:jc w:val="left"/>
        <w:rPr>
          <w:rFonts w:hint="eastAsia" w:eastAsia="宋体"/>
          <w:sz w:val="24"/>
          <w:lang w:eastAsia="zh-CN"/>
        </w:rPr>
      </w:pPr>
      <w:r>
        <w:rPr>
          <w:b/>
          <w:bCs/>
          <w:sz w:val="24"/>
        </w:rPr>
        <w:t>1</w:t>
      </w:r>
      <w:r>
        <w:rPr>
          <w:rFonts w:hint="eastAsia"/>
          <w:sz w:val="24"/>
          <w:lang w:val="en-US" w:eastAsia="zh-CN"/>
        </w:rPr>
        <w:t xml:space="preserve"> </w:t>
      </w:r>
      <w:r>
        <w:rPr>
          <w:sz w:val="24"/>
        </w:rPr>
        <w:t>锚栓连接应进行承载力现场试验和极限拉拔试验</w:t>
      </w:r>
      <w:r>
        <w:rPr>
          <w:rFonts w:hint="eastAsia"/>
          <w:sz w:val="24"/>
          <w:lang w:eastAsia="zh-CN"/>
        </w:rPr>
        <w:t>；</w:t>
      </w:r>
    </w:p>
    <w:p w14:paraId="313BB4E8">
      <w:pPr>
        <w:snapToGrid w:val="0"/>
        <w:spacing w:line="300" w:lineRule="auto"/>
        <w:ind w:firstLine="482" w:firstLineChars="200"/>
        <w:jc w:val="left"/>
        <w:rPr>
          <w:rFonts w:hint="eastAsia" w:eastAsia="宋体"/>
          <w:sz w:val="24"/>
          <w:lang w:eastAsia="zh-CN"/>
        </w:rPr>
      </w:pPr>
      <w:r>
        <w:rPr>
          <w:rFonts w:hint="eastAsia"/>
          <w:b/>
          <w:bCs/>
          <w:sz w:val="24"/>
          <w:lang w:val="en-US" w:eastAsia="zh-CN"/>
        </w:rPr>
        <w:t>2</w:t>
      </w:r>
      <w:r>
        <w:rPr>
          <w:rFonts w:hint="eastAsia"/>
          <w:sz w:val="24"/>
          <w:lang w:val="en-US" w:eastAsia="zh-CN"/>
        </w:rPr>
        <w:t xml:space="preserve"> </w:t>
      </w:r>
      <w:r>
        <w:rPr>
          <w:sz w:val="24"/>
        </w:rPr>
        <w:t>每个连接点锚栓不应少于2个，锚栓直径不应小于10mm</w:t>
      </w:r>
      <w:r>
        <w:rPr>
          <w:rFonts w:hint="eastAsia"/>
          <w:sz w:val="24"/>
          <w:lang w:eastAsia="zh-CN"/>
        </w:rPr>
        <w:t>；</w:t>
      </w:r>
    </w:p>
    <w:p w14:paraId="6BA5E2D2">
      <w:pPr>
        <w:snapToGrid w:val="0"/>
        <w:spacing w:line="300" w:lineRule="auto"/>
        <w:ind w:firstLine="482" w:firstLineChars="200"/>
        <w:jc w:val="left"/>
        <w:rPr>
          <w:rFonts w:hint="eastAsia" w:eastAsia="宋体"/>
          <w:sz w:val="24"/>
          <w:lang w:eastAsia="zh-CN"/>
        </w:rPr>
      </w:pPr>
      <w:r>
        <w:rPr>
          <w:rFonts w:hint="eastAsia"/>
          <w:b/>
          <w:bCs/>
          <w:sz w:val="24"/>
          <w:lang w:val="en-US" w:eastAsia="zh-CN"/>
        </w:rPr>
        <w:t>3</w:t>
      </w:r>
      <w:r>
        <w:rPr>
          <w:rFonts w:hint="eastAsia"/>
          <w:sz w:val="24"/>
          <w:lang w:val="en-US" w:eastAsia="zh-CN"/>
        </w:rPr>
        <w:t xml:space="preserve"> </w:t>
      </w:r>
      <w:r>
        <w:rPr>
          <w:sz w:val="24"/>
        </w:rPr>
        <w:t>碳素钢锚栓应进行防腐蚀处理</w:t>
      </w:r>
      <w:r>
        <w:rPr>
          <w:rFonts w:hint="eastAsia"/>
          <w:sz w:val="24"/>
          <w:lang w:eastAsia="zh-CN"/>
        </w:rPr>
        <w:t>；</w:t>
      </w:r>
    </w:p>
    <w:p w14:paraId="24E8DC2E">
      <w:pPr>
        <w:snapToGrid w:val="0"/>
        <w:spacing w:line="300" w:lineRule="auto"/>
        <w:ind w:firstLine="482" w:firstLineChars="200"/>
        <w:jc w:val="left"/>
        <w:rPr>
          <w:sz w:val="24"/>
        </w:rPr>
      </w:pPr>
      <w:r>
        <w:rPr>
          <w:rFonts w:hint="eastAsia"/>
          <w:b/>
          <w:bCs/>
          <w:sz w:val="24"/>
          <w:lang w:val="en-US" w:eastAsia="zh-CN"/>
        </w:rPr>
        <w:t>4</w:t>
      </w:r>
      <w:r>
        <w:rPr>
          <w:rFonts w:hint="eastAsia"/>
          <w:sz w:val="24"/>
          <w:lang w:val="en-US" w:eastAsia="zh-CN"/>
        </w:rPr>
        <w:t xml:space="preserve"> </w:t>
      </w:r>
      <w:r>
        <w:rPr>
          <w:sz w:val="24"/>
        </w:rPr>
        <w:t>在地震设防区应使用抗震型锚栓。</w:t>
      </w:r>
    </w:p>
    <w:p w14:paraId="0197226E">
      <w:pPr>
        <w:widowControl/>
        <w:snapToGrid w:val="0"/>
        <w:spacing w:line="300" w:lineRule="auto"/>
        <w:jc w:val="left"/>
        <w:rPr>
          <w:sz w:val="24"/>
        </w:rPr>
      </w:pPr>
      <w:bookmarkStart w:id="225" w:name="_Toc32236"/>
      <w:r>
        <w:rPr>
          <w:rFonts w:hint="default"/>
          <w:b/>
          <w:bCs/>
          <w:sz w:val="24"/>
          <w:lang w:val="en-US" w:eastAsia="zh-CN"/>
        </w:rPr>
        <w:t xml:space="preserve">6.6.6 </w:t>
      </w:r>
      <w:r>
        <w:rPr>
          <w:rFonts w:hint="default"/>
          <w:b w:val="0"/>
          <w:bCs w:val="0"/>
          <w:sz w:val="24"/>
          <w:lang w:val="en-US" w:eastAsia="zh-CN"/>
        </w:rPr>
        <w:t>连接</w:t>
      </w:r>
      <w:r>
        <w:rPr>
          <w:rFonts w:hint="default"/>
          <w:b w:val="0"/>
          <w:bCs w:val="0"/>
          <w:sz w:val="24"/>
        </w:rPr>
        <w:t>光伏组件</w:t>
      </w:r>
      <w:r>
        <w:rPr>
          <w:rFonts w:hint="default"/>
          <w:b w:val="0"/>
          <w:bCs w:val="0"/>
          <w:sz w:val="24"/>
          <w:lang w:val="en-US" w:eastAsia="zh-CN"/>
        </w:rPr>
        <w:t>与支撑系统</w:t>
      </w:r>
      <w:r>
        <w:rPr>
          <w:rFonts w:hint="default"/>
          <w:b w:val="0"/>
          <w:bCs w:val="0"/>
          <w:sz w:val="24"/>
        </w:rPr>
        <w:t>的</w:t>
      </w:r>
      <w:r>
        <w:rPr>
          <w:rFonts w:hint="default"/>
          <w:b w:val="0"/>
          <w:bCs w:val="0"/>
          <w:sz w:val="24"/>
          <w:lang w:val="en-US" w:eastAsia="zh-CN"/>
        </w:rPr>
        <w:t>紧固</w:t>
      </w:r>
      <w:r>
        <w:rPr>
          <w:rFonts w:hint="default"/>
          <w:b w:val="0"/>
          <w:bCs w:val="0"/>
          <w:sz w:val="24"/>
        </w:rPr>
        <w:t>件</w:t>
      </w:r>
      <w:r>
        <w:rPr>
          <w:rFonts w:hint="default"/>
          <w:b w:val="0"/>
          <w:bCs w:val="0"/>
          <w:sz w:val="24"/>
          <w:lang w:val="en-US" w:eastAsia="zh-CN"/>
        </w:rPr>
        <w:t>应</w:t>
      </w:r>
      <w:r>
        <w:rPr>
          <w:rFonts w:hint="default"/>
          <w:b w:val="0"/>
          <w:bCs w:val="0"/>
          <w:sz w:val="24"/>
        </w:rPr>
        <w:t>满足抗风</w:t>
      </w:r>
      <w:r>
        <w:rPr>
          <w:rFonts w:hint="default"/>
          <w:b w:val="0"/>
          <w:bCs w:val="0"/>
          <w:sz w:val="24"/>
          <w:lang w:val="en-US" w:eastAsia="zh-CN"/>
        </w:rPr>
        <w:t>及</w:t>
      </w:r>
      <w:r>
        <w:rPr>
          <w:rFonts w:hint="default"/>
          <w:b w:val="0"/>
          <w:bCs w:val="0"/>
          <w:sz w:val="24"/>
        </w:rPr>
        <w:t>耐久性</w:t>
      </w:r>
      <w:r>
        <w:rPr>
          <w:rFonts w:hint="default"/>
          <w:b w:val="0"/>
          <w:bCs w:val="0"/>
          <w:sz w:val="24"/>
          <w:lang w:val="en-US" w:eastAsia="zh-CN"/>
        </w:rPr>
        <w:t>要求。</w:t>
      </w:r>
      <w:bookmarkEnd w:id="225"/>
      <w:r>
        <w:rPr>
          <w:sz w:val="24"/>
        </w:rPr>
        <w:br w:type="page"/>
      </w:r>
    </w:p>
    <w:p w14:paraId="2402233C">
      <w:pPr>
        <w:pStyle w:val="5"/>
        <w:spacing w:before="95" w:beforeLines="30" w:after="95" w:afterLines="30" w:line="300" w:lineRule="auto"/>
        <w:jc w:val="center"/>
        <w:rPr>
          <w:rFonts w:ascii="Times New Roman" w:hAnsi="Times New Roman" w:eastAsia="黑体" w:cs="Times New Roman"/>
          <w:sz w:val="28"/>
          <w:szCs w:val="28"/>
        </w:rPr>
      </w:pPr>
      <w:bookmarkStart w:id="226" w:name="_Toc29345"/>
      <w:bookmarkStart w:id="227" w:name="_Toc29771"/>
      <w:bookmarkStart w:id="228" w:name="_Toc1132"/>
      <w:bookmarkStart w:id="229" w:name="_Toc11343"/>
      <w:bookmarkStart w:id="230" w:name="_Toc28215"/>
      <w:bookmarkStart w:id="231" w:name="_Toc22099"/>
      <w:bookmarkStart w:id="232" w:name="_Toc13588"/>
      <w:bookmarkStart w:id="233" w:name="_Toc6780"/>
      <w:r>
        <w:rPr>
          <w:rFonts w:ascii="Times New Roman" w:hAnsi="Times New Roman" w:eastAsia="黑体" w:cs="Times New Roman"/>
          <w:sz w:val="28"/>
          <w:szCs w:val="28"/>
        </w:rPr>
        <w:t>7 光伏发电系统设计</w:t>
      </w:r>
      <w:bookmarkEnd w:id="226"/>
      <w:bookmarkEnd w:id="227"/>
      <w:bookmarkEnd w:id="228"/>
      <w:bookmarkEnd w:id="229"/>
      <w:bookmarkEnd w:id="230"/>
      <w:bookmarkEnd w:id="231"/>
      <w:bookmarkEnd w:id="232"/>
      <w:bookmarkEnd w:id="233"/>
    </w:p>
    <w:p w14:paraId="5652EB32">
      <w:pPr>
        <w:keepNext/>
        <w:keepLines/>
        <w:snapToGrid w:val="0"/>
        <w:spacing w:before="95" w:beforeLines="30" w:after="95" w:afterLines="30" w:line="300" w:lineRule="auto"/>
        <w:jc w:val="center"/>
        <w:outlineLvl w:val="2"/>
        <w:rPr>
          <w:b/>
          <w:sz w:val="24"/>
          <w:szCs w:val="32"/>
        </w:rPr>
      </w:pPr>
      <w:bookmarkStart w:id="234" w:name="_Toc12331"/>
      <w:bookmarkStart w:id="235" w:name="_Toc21766"/>
      <w:bookmarkStart w:id="236" w:name="_Toc29930"/>
      <w:bookmarkStart w:id="237" w:name="_Toc20018"/>
      <w:bookmarkStart w:id="238" w:name="_Toc23444"/>
      <w:bookmarkStart w:id="239" w:name="_Toc19577"/>
      <w:r>
        <w:rPr>
          <w:b/>
          <w:sz w:val="24"/>
          <w:szCs w:val="32"/>
        </w:rPr>
        <w:t>7.1一般规定</w:t>
      </w:r>
      <w:bookmarkEnd w:id="234"/>
      <w:bookmarkEnd w:id="235"/>
      <w:bookmarkEnd w:id="236"/>
      <w:bookmarkEnd w:id="237"/>
      <w:bookmarkEnd w:id="238"/>
      <w:bookmarkEnd w:id="239"/>
    </w:p>
    <w:p w14:paraId="03A9A6CF">
      <w:pPr>
        <w:snapToGrid w:val="0"/>
        <w:spacing w:line="300" w:lineRule="auto"/>
        <w:rPr>
          <w:sz w:val="24"/>
        </w:rPr>
      </w:pPr>
      <w:r>
        <w:rPr>
          <w:rFonts w:hint="eastAsia"/>
          <w:b/>
          <w:bCs/>
          <w:sz w:val="24"/>
        </w:rPr>
        <w:t xml:space="preserve">7.1.1 </w:t>
      </w:r>
      <w:r>
        <w:rPr>
          <w:rFonts w:hint="eastAsia"/>
          <w:sz w:val="24"/>
        </w:rPr>
        <w:t>光伏系统应结合建筑条件，综合发电量、系统效率、并网条件、用电负荷、安全和运行维护等要求进行设计，应符合现行国家标准《建筑光伏系统应用技术标准》GB/T 51368的有关规定。</w:t>
      </w:r>
    </w:p>
    <w:p w14:paraId="401F32DD">
      <w:pPr>
        <w:snapToGrid w:val="0"/>
        <w:spacing w:line="300" w:lineRule="auto"/>
        <w:rPr>
          <w:sz w:val="24"/>
        </w:rPr>
      </w:pPr>
      <w:r>
        <w:rPr>
          <w:rFonts w:hint="eastAsia"/>
          <w:b/>
          <w:bCs/>
          <w:sz w:val="24"/>
        </w:rPr>
        <w:t>7.1.</w:t>
      </w:r>
      <w:r>
        <w:rPr>
          <w:rFonts w:hint="eastAsia"/>
          <w:b/>
          <w:bCs/>
          <w:sz w:val="24"/>
          <w:lang w:val="en-US" w:eastAsia="zh-CN"/>
        </w:rPr>
        <w:t>2</w:t>
      </w:r>
      <w:r>
        <w:rPr>
          <w:rFonts w:hint="eastAsia"/>
          <w:sz w:val="24"/>
        </w:rPr>
        <w:t>用户侧并网的建筑光伏发电系统与并入公共电网的建筑光伏发电系统的接入方式应符合现行国家标准《建筑光伏系统应用技术标准》GB/T 51368的有关规定。</w:t>
      </w:r>
    </w:p>
    <w:p w14:paraId="0DFB00A6">
      <w:pPr>
        <w:snapToGrid w:val="0"/>
        <w:spacing w:line="300" w:lineRule="auto"/>
        <w:jc w:val="left"/>
        <w:rPr>
          <w:kern w:val="0"/>
          <w:sz w:val="24"/>
        </w:rPr>
      </w:pPr>
      <w:r>
        <w:rPr>
          <w:rFonts w:hint="eastAsia"/>
          <w:b/>
          <w:bCs/>
          <w:sz w:val="24"/>
        </w:rPr>
        <w:t>7.1.</w:t>
      </w:r>
      <w:r>
        <w:rPr>
          <w:rFonts w:hint="eastAsia"/>
          <w:b/>
          <w:bCs/>
          <w:sz w:val="24"/>
          <w:lang w:val="en-US" w:eastAsia="zh-CN"/>
        </w:rPr>
        <w:t>3</w:t>
      </w:r>
      <w:r>
        <w:rPr>
          <w:rFonts w:hint="eastAsia"/>
          <w:sz w:val="24"/>
        </w:rPr>
        <w:t xml:space="preserve"> </w:t>
      </w:r>
      <w:r>
        <w:rPr>
          <w:rFonts w:hint="eastAsia"/>
          <w:kern w:val="0"/>
          <w:sz w:val="24"/>
        </w:rPr>
        <w:t>光伏发电系统的选型</w:t>
      </w:r>
      <w:r>
        <w:rPr>
          <w:kern w:val="0"/>
          <w:sz w:val="24"/>
        </w:rPr>
        <w:t>应根据当地电网条件、负荷性质和系统运行方式等因素确定</w:t>
      </w:r>
      <w:r>
        <w:rPr>
          <w:rFonts w:hint="eastAsia"/>
          <w:kern w:val="0"/>
          <w:sz w:val="24"/>
          <w:lang w:val="en-US" w:eastAsia="zh-CN"/>
        </w:rPr>
        <w:t>。</w:t>
      </w:r>
    </w:p>
    <w:p w14:paraId="75F2BD26">
      <w:pPr>
        <w:snapToGrid w:val="0"/>
        <w:spacing w:line="300" w:lineRule="auto"/>
        <w:jc w:val="left"/>
      </w:pPr>
      <w:r>
        <w:rPr>
          <w:rFonts w:hint="eastAsia" w:ascii="仿宋" w:hAnsi="仿宋" w:eastAsia="仿宋" w:cs="仿宋"/>
          <w:b/>
          <w:bCs/>
          <w:i/>
          <w:iCs/>
          <w:color w:val="0623BA"/>
          <w:sz w:val="24"/>
        </w:rPr>
        <w:t>【条文说明】</w:t>
      </w:r>
    </w:p>
    <w:p w14:paraId="32043C14">
      <w:pPr>
        <w:snapToGrid w:val="0"/>
        <w:spacing w:line="300" w:lineRule="auto"/>
        <w:rPr>
          <w:rFonts w:ascii="仿宋" w:hAnsi="仿宋" w:eastAsia="仿宋" w:cs="仿宋"/>
          <w:i/>
          <w:iCs/>
          <w:color w:val="0623BA"/>
          <w:sz w:val="24"/>
        </w:rPr>
      </w:pPr>
      <w:r>
        <w:rPr>
          <w:rFonts w:hint="eastAsia" w:ascii="仿宋" w:hAnsi="仿宋" w:eastAsia="仿宋" w:cs="仿宋"/>
          <w:i/>
          <w:iCs/>
          <w:color w:val="0623BA"/>
          <w:sz w:val="24"/>
        </w:rPr>
        <w:t>7.1.</w:t>
      </w:r>
      <w:r>
        <w:rPr>
          <w:rFonts w:hint="eastAsia" w:ascii="仿宋" w:hAnsi="仿宋" w:eastAsia="仿宋" w:cs="仿宋"/>
          <w:i/>
          <w:iCs/>
          <w:color w:val="0623BA"/>
          <w:sz w:val="24"/>
          <w:lang w:val="en-US" w:eastAsia="zh-CN"/>
        </w:rPr>
        <w:t>3</w:t>
      </w:r>
      <w:r>
        <w:rPr>
          <w:rFonts w:hint="eastAsia" w:ascii="仿宋" w:hAnsi="仿宋" w:eastAsia="仿宋" w:cs="仿宋"/>
          <w:i/>
          <w:iCs/>
          <w:color w:val="0623BA"/>
          <w:sz w:val="24"/>
        </w:rPr>
        <w:t>光伏发电系统的选型宜按表</w:t>
      </w:r>
      <w:r>
        <w:rPr>
          <w:rFonts w:hint="eastAsia" w:ascii="仿宋" w:hAnsi="仿宋" w:eastAsia="仿宋" w:cs="仿宋"/>
          <w:i/>
          <w:iCs/>
          <w:color w:val="0623BA"/>
          <w:sz w:val="24"/>
          <w:lang w:val="en-US" w:eastAsia="zh-CN"/>
        </w:rPr>
        <w:t>7-1</w:t>
      </w:r>
      <w:r>
        <w:rPr>
          <w:rFonts w:hint="eastAsia" w:ascii="仿宋" w:hAnsi="仿宋" w:eastAsia="仿宋" w:cs="仿宋"/>
          <w:i/>
          <w:iCs/>
          <w:color w:val="0623BA"/>
          <w:sz w:val="24"/>
        </w:rPr>
        <w:t>进行选择</w:t>
      </w:r>
    </w:p>
    <w:p w14:paraId="1AE81FD1">
      <w:pPr>
        <w:snapToGrid w:val="0"/>
        <w:spacing w:line="300" w:lineRule="auto"/>
        <w:jc w:val="center"/>
        <w:rPr>
          <w:rFonts w:ascii="仿宋" w:hAnsi="仿宋" w:eastAsia="仿宋" w:cs="仿宋"/>
          <w:i/>
          <w:iCs/>
          <w:color w:val="0623BA"/>
          <w:sz w:val="24"/>
        </w:rPr>
      </w:pPr>
      <w:r>
        <w:rPr>
          <w:rFonts w:hint="eastAsia" w:ascii="仿宋" w:hAnsi="仿宋" w:eastAsia="仿宋" w:cs="仿宋"/>
          <w:i/>
          <w:iCs/>
          <w:color w:val="0623BA"/>
          <w:sz w:val="24"/>
        </w:rPr>
        <w:t>表</w:t>
      </w:r>
      <w:r>
        <w:rPr>
          <w:rFonts w:hint="eastAsia" w:ascii="仿宋" w:hAnsi="仿宋" w:eastAsia="仿宋" w:cs="仿宋"/>
          <w:i/>
          <w:iCs/>
          <w:color w:val="0623BA"/>
          <w:sz w:val="24"/>
          <w:lang w:val="en-US" w:eastAsia="zh-CN"/>
        </w:rPr>
        <w:t xml:space="preserve">7-1 </w:t>
      </w:r>
      <w:r>
        <w:rPr>
          <w:rFonts w:hint="eastAsia" w:ascii="仿宋" w:hAnsi="仿宋" w:eastAsia="仿宋" w:cs="仿宋"/>
          <w:i/>
          <w:iCs/>
          <w:color w:val="0623BA"/>
          <w:sz w:val="24"/>
        </w:rPr>
        <w:t>系统选型</w:t>
      </w:r>
    </w:p>
    <w:tbl>
      <w:tblPr>
        <w:tblStyle w:val="15"/>
        <w:tblW w:w="0" w:type="auto"/>
        <w:tblInd w:w="0" w:type="dxa"/>
        <w:tblLayout w:type="fixed"/>
        <w:tblCellMar>
          <w:top w:w="0" w:type="dxa"/>
          <w:left w:w="108" w:type="dxa"/>
          <w:bottom w:w="0" w:type="dxa"/>
          <w:right w:w="108" w:type="dxa"/>
        </w:tblCellMar>
      </w:tblPr>
      <w:tblGrid>
        <w:gridCol w:w="1512"/>
        <w:gridCol w:w="1444"/>
        <w:gridCol w:w="1444"/>
        <w:gridCol w:w="3988"/>
      </w:tblGrid>
      <w:tr w14:paraId="62D4CF75">
        <w:tblPrEx>
          <w:tblCellMar>
            <w:top w:w="0" w:type="dxa"/>
            <w:left w:w="108" w:type="dxa"/>
            <w:bottom w:w="0" w:type="dxa"/>
            <w:right w:w="108" w:type="dxa"/>
          </w:tblCellMar>
        </w:tblPrEx>
        <w:tc>
          <w:tcPr>
            <w:tcW w:w="1512" w:type="dxa"/>
            <w:tcBorders>
              <w:top w:val="single" w:color="000000" w:sz="4" w:space="0"/>
              <w:left w:val="single" w:color="000000" w:sz="4" w:space="0"/>
              <w:bottom w:val="single" w:color="000000" w:sz="4" w:space="0"/>
              <w:right w:val="single" w:color="000000" w:sz="4" w:space="0"/>
            </w:tcBorders>
            <w:vAlign w:val="center"/>
          </w:tcPr>
          <w:p w14:paraId="1DCA85E5">
            <w:pPr>
              <w:snapToGrid w:val="0"/>
              <w:spacing w:line="300" w:lineRule="auto"/>
              <w:jc w:val="center"/>
              <w:rPr>
                <w:rFonts w:ascii="仿宋" w:hAnsi="仿宋" w:eastAsia="仿宋" w:cs="仿宋"/>
                <w:i/>
                <w:iCs/>
                <w:color w:val="0623BA"/>
                <w:sz w:val="24"/>
              </w:rPr>
            </w:pPr>
            <w:r>
              <w:rPr>
                <w:rFonts w:hint="eastAsia" w:ascii="仿宋" w:hAnsi="仿宋" w:eastAsia="仿宋" w:cs="仿宋"/>
                <w:i/>
                <w:iCs/>
                <w:color w:val="0623BA"/>
                <w:sz w:val="24"/>
              </w:rPr>
              <w:t>系统类型</w:t>
            </w:r>
          </w:p>
        </w:tc>
        <w:tc>
          <w:tcPr>
            <w:tcW w:w="1444" w:type="dxa"/>
            <w:tcBorders>
              <w:top w:val="single" w:color="000000" w:sz="4" w:space="0"/>
              <w:left w:val="nil"/>
              <w:bottom w:val="single" w:color="000000" w:sz="4" w:space="0"/>
              <w:right w:val="single" w:color="000000" w:sz="4" w:space="0"/>
            </w:tcBorders>
            <w:vAlign w:val="center"/>
          </w:tcPr>
          <w:p w14:paraId="19EE94C7">
            <w:pPr>
              <w:snapToGrid w:val="0"/>
              <w:spacing w:line="300" w:lineRule="auto"/>
              <w:jc w:val="center"/>
              <w:rPr>
                <w:rFonts w:ascii="仿宋" w:hAnsi="仿宋" w:eastAsia="仿宋" w:cs="仿宋"/>
                <w:i/>
                <w:iCs/>
                <w:color w:val="0623BA"/>
                <w:sz w:val="24"/>
              </w:rPr>
            </w:pPr>
            <w:r>
              <w:rPr>
                <w:rFonts w:hint="eastAsia" w:ascii="仿宋" w:hAnsi="仿宋" w:eastAsia="仿宋" w:cs="仿宋"/>
                <w:i/>
                <w:iCs/>
                <w:color w:val="0623BA"/>
                <w:sz w:val="24"/>
              </w:rPr>
              <w:t>电流类型</w:t>
            </w:r>
          </w:p>
        </w:tc>
        <w:tc>
          <w:tcPr>
            <w:tcW w:w="1444" w:type="dxa"/>
            <w:tcBorders>
              <w:top w:val="single" w:color="000000" w:sz="4" w:space="0"/>
              <w:left w:val="nil"/>
              <w:bottom w:val="single" w:color="000000" w:sz="4" w:space="0"/>
              <w:right w:val="single" w:color="000000" w:sz="4" w:space="0"/>
            </w:tcBorders>
            <w:vAlign w:val="center"/>
          </w:tcPr>
          <w:p w14:paraId="02705356">
            <w:pPr>
              <w:snapToGrid w:val="0"/>
              <w:spacing w:line="300" w:lineRule="auto"/>
              <w:jc w:val="center"/>
              <w:rPr>
                <w:rFonts w:ascii="仿宋" w:hAnsi="仿宋" w:eastAsia="仿宋" w:cs="仿宋"/>
                <w:i/>
                <w:iCs/>
                <w:color w:val="0623BA"/>
                <w:sz w:val="24"/>
              </w:rPr>
            </w:pPr>
            <w:r>
              <w:rPr>
                <w:rFonts w:hint="eastAsia" w:ascii="仿宋" w:hAnsi="仿宋" w:eastAsia="仿宋" w:cs="仿宋"/>
                <w:i/>
                <w:iCs/>
                <w:color w:val="0623BA"/>
                <w:sz w:val="24"/>
              </w:rPr>
              <w:t>有无储能装置</w:t>
            </w:r>
          </w:p>
        </w:tc>
        <w:tc>
          <w:tcPr>
            <w:tcW w:w="3988" w:type="dxa"/>
            <w:tcBorders>
              <w:top w:val="single" w:color="000000" w:sz="4" w:space="0"/>
              <w:left w:val="nil"/>
              <w:bottom w:val="single" w:color="000000" w:sz="4" w:space="0"/>
              <w:right w:val="single" w:color="000000" w:sz="4" w:space="0"/>
            </w:tcBorders>
            <w:vAlign w:val="center"/>
          </w:tcPr>
          <w:p w14:paraId="4DD891EC">
            <w:pPr>
              <w:snapToGrid w:val="0"/>
              <w:spacing w:line="300" w:lineRule="auto"/>
              <w:jc w:val="center"/>
              <w:rPr>
                <w:rFonts w:ascii="仿宋" w:hAnsi="仿宋" w:eastAsia="仿宋" w:cs="仿宋"/>
                <w:i/>
                <w:iCs/>
                <w:color w:val="0623BA"/>
                <w:sz w:val="24"/>
              </w:rPr>
            </w:pPr>
            <w:r>
              <w:rPr>
                <w:rFonts w:hint="eastAsia" w:ascii="仿宋" w:hAnsi="仿宋" w:eastAsia="仿宋" w:cs="仿宋"/>
                <w:i/>
                <w:iCs/>
                <w:color w:val="0623BA"/>
                <w:sz w:val="24"/>
              </w:rPr>
              <w:t>适用范围</w:t>
            </w:r>
          </w:p>
        </w:tc>
      </w:tr>
      <w:tr w14:paraId="4D47507E">
        <w:tblPrEx>
          <w:tblCellMar>
            <w:top w:w="0" w:type="dxa"/>
            <w:left w:w="108" w:type="dxa"/>
            <w:bottom w:w="0" w:type="dxa"/>
            <w:right w:w="108" w:type="dxa"/>
          </w:tblCellMar>
        </w:tblPrEx>
        <w:trPr>
          <w:trHeight w:val="449" w:hRule="atLeast"/>
        </w:trPr>
        <w:tc>
          <w:tcPr>
            <w:tcW w:w="1512" w:type="dxa"/>
            <w:vMerge w:val="restart"/>
            <w:tcBorders>
              <w:top w:val="nil"/>
              <w:left w:val="single" w:color="000000" w:sz="4" w:space="0"/>
              <w:bottom w:val="single" w:color="000000" w:sz="4" w:space="0"/>
              <w:right w:val="single" w:color="000000" w:sz="4" w:space="0"/>
            </w:tcBorders>
            <w:vAlign w:val="center"/>
          </w:tcPr>
          <w:p w14:paraId="082256EF">
            <w:pPr>
              <w:snapToGrid w:val="0"/>
              <w:spacing w:line="300" w:lineRule="auto"/>
              <w:jc w:val="center"/>
              <w:rPr>
                <w:rFonts w:ascii="仿宋" w:hAnsi="仿宋" w:eastAsia="仿宋" w:cs="仿宋"/>
                <w:i/>
                <w:iCs/>
                <w:color w:val="0623BA"/>
                <w:sz w:val="24"/>
              </w:rPr>
            </w:pPr>
            <w:r>
              <w:rPr>
                <w:rFonts w:hint="eastAsia" w:ascii="仿宋" w:hAnsi="仿宋" w:eastAsia="仿宋" w:cs="仿宋"/>
                <w:i/>
                <w:iCs/>
                <w:color w:val="0623BA"/>
                <w:sz w:val="24"/>
              </w:rPr>
              <w:t>并网光伏系统</w:t>
            </w:r>
          </w:p>
        </w:tc>
        <w:tc>
          <w:tcPr>
            <w:tcW w:w="1444" w:type="dxa"/>
            <w:vMerge w:val="restart"/>
            <w:tcBorders>
              <w:top w:val="nil"/>
              <w:left w:val="nil"/>
              <w:bottom w:val="single" w:color="000000" w:sz="4" w:space="0"/>
              <w:right w:val="single" w:color="000000" w:sz="4" w:space="0"/>
            </w:tcBorders>
            <w:vAlign w:val="center"/>
          </w:tcPr>
          <w:p w14:paraId="6FAD8263">
            <w:pPr>
              <w:snapToGrid w:val="0"/>
              <w:spacing w:line="300" w:lineRule="auto"/>
              <w:jc w:val="center"/>
              <w:rPr>
                <w:rFonts w:ascii="仿宋" w:hAnsi="仿宋" w:eastAsia="仿宋" w:cs="仿宋"/>
                <w:i/>
                <w:iCs/>
                <w:color w:val="0623BA"/>
                <w:sz w:val="24"/>
              </w:rPr>
            </w:pPr>
            <w:r>
              <w:rPr>
                <w:rFonts w:hint="eastAsia" w:ascii="仿宋" w:hAnsi="仿宋" w:eastAsia="仿宋" w:cs="仿宋"/>
                <w:i/>
                <w:iCs/>
                <w:color w:val="0623BA"/>
                <w:sz w:val="24"/>
              </w:rPr>
              <w:t>交流系统</w:t>
            </w:r>
          </w:p>
        </w:tc>
        <w:tc>
          <w:tcPr>
            <w:tcW w:w="1444" w:type="dxa"/>
            <w:tcBorders>
              <w:top w:val="single" w:color="000000" w:sz="4" w:space="0"/>
              <w:left w:val="nil"/>
              <w:right w:val="single" w:color="000000" w:sz="4" w:space="0"/>
            </w:tcBorders>
            <w:vAlign w:val="center"/>
          </w:tcPr>
          <w:p w14:paraId="763DF808">
            <w:pPr>
              <w:snapToGrid w:val="0"/>
              <w:spacing w:line="300" w:lineRule="auto"/>
              <w:jc w:val="center"/>
              <w:rPr>
                <w:rFonts w:ascii="仿宋" w:hAnsi="仿宋" w:eastAsia="仿宋" w:cs="仿宋"/>
                <w:i/>
                <w:iCs/>
                <w:color w:val="0623BA"/>
                <w:sz w:val="24"/>
              </w:rPr>
            </w:pPr>
            <w:r>
              <w:rPr>
                <w:rFonts w:hint="eastAsia" w:ascii="仿宋" w:hAnsi="仿宋" w:eastAsia="仿宋" w:cs="仿宋"/>
                <w:i/>
                <w:iCs/>
                <w:color w:val="0623BA"/>
                <w:sz w:val="24"/>
              </w:rPr>
              <w:t>有</w:t>
            </w:r>
          </w:p>
        </w:tc>
        <w:tc>
          <w:tcPr>
            <w:tcW w:w="3988" w:type="dxa"/>
            <w:tcBorders>
              <w:top w:val="single" w:color="000000" w:sz="4" w:space="0"/>
              <w:left w:val="nil"/>
              <w:right w:val="single" w:color="000000" w:sz="4" w:space="0"/>
            </w:tcBorders>
            <w:vAlign w:val="center"/>
          </w:tcPr>
          <w:p w14:paraId="73287916">
            <w:pPr>
              <w:snapToGrid w:val="0"/>
              <w:spacing w:line="300" w:lineRule="auto"/>
              <w:jc w:val="center"/>
              <w:rPr>
                <w:rFonts w:ascii="仿宋" w:hAnsi="仿宋" w:eastAsia="仿宋" w:cs="仿宋"/>
                <w:i/>
                <w:iCs/>
                <w:color w:val="0623BA"/>
                <w:sz w:val="24"/>
              </w:rPr>
            </w:pPr>
            <w:r>
              <w:rPr>
                <w:rFonts w:hint="eastAsia" w:ascii="仿宋" w:hAnsi="仿宋" w:eastAsia="仿宋" w:cs="仿宋"/>
                <w:i/>
                <w:iCs/>
                <w:color w:val="0623BA"/>
                <w:sz w:val="24"/>
              </w:rPr>
              <w:t>用于一</w:t>
            </w:r>
            <w:r>
              <w:rPr>
                <w:rFonts w:hint="eastAsia" w:ascii="仿宋" w:hAnsi="仿宋" w:eastAsia="仿宋" w:cs="仿宋"/>
                <w:i/>
                <w:iCs/>
                <w:color w:val="0623BA"/>
                <w:sz w:val="24"/>
                <w:lang w:eastAsia="zh-CN"/>
              </w:rPr>
              <w:t>、</w:t>
            </w:r>
            <w:r>
              <w:rPr>
                <w:rFonts w:hint="eastAsia" w:ascii="仿宋" w:hAnsi="仿宋" w:eastAsia="仿宋" w:cs="仿宋"/>
                <w:i/>
                <w:iCs/>
                <w:color w:val="0623BA"/>
                <w:sz w:val="24"/>
                <w:lang w:val="en-US" w:eastAsia="zh-CN"/>
              </w:rPr>
              <w:t>二</w:t>
            </w:r>
            <w:r>
              <w:rPr>
                <w:rFonts w:hint="eastAsia" w:ascii="仿宋" w:hAnsi="仿宋" w:eastAsia="仿宋" w:cs="仿宋"/>
                <w:i/>
                <w:iCs/>
                <w:color w:val="0623BA"/>
                <w:sz w:val="24"/>
              </w:rPr>
              <w:t>类负荷供电</w:t>
            </w:r>
          </w:p>
        </w:tc>
      </w:tr>
      <w:tr w14:paraId="791B8E67">
        <w:tblPrEx>
          <w:tblCellMar>
            <w:top w:w="0" w:type="dxa"/>
            <w:left w:w="108" w:type="dxa"/>
            <w:bottom w:w="0" w:type="dxa"/>
            <w:right w:w="108" w:type="dxa"/>
          </w:tblCellMar>
        </w:tblPrEx>
        <w:tc>
          <w:tcPr>
            <w:tcW w:w="1512" w:type="dxa"/>
            <w:vMerge w:val="continue"/>
            <w:tcBorders>
              <w:top w:val="nil"/>
              <w:left w:val="single" w:color="000000" w:sz="4" w:space="0"/>
              <w:bottom w:val="single" w:color="000000" w:sz="4" w:space="0"/>
              <w:right w:val="single" w:color="000000" w:sz="4" w:space="0"/>
            </w:tcBorders>
            <w:vAlign w:val="center"/>
          </w:tcPr>
          <w:p w14:paraId="3176335C">
            <w:pPr>
              <w:snapToGrid w:val="0"/>
              <w:spacing w:line="300" w:lineRule="auto"/>
              <w:jc w:val="center"/>
              <w:rPr>
                <w:rFonts w:ascii="仿宋" w:hAnsi="仿宋" w:eastAsia="仿宋" w:cs="仿宋"/>
                <w:i/>
                <w:iCs/>
                <w:color w:val="0623BA"/>
                <w:sz w:val="24"/>
              </w:rPr>
            </w:pPr>
          </w:p>
        </w:tc>
        <w:tc>
          <w:tcPr>
            <w:tcW w:w="1444" w:type="dxa"/>
            <w:vMerge w:val="continue"/>
            <w:tcBorders>
              <w:top w:val="nil"/>
              <w:left w:val="nil"/>
              <w:bottom w:val="single" w:color="000000" w:sz="4" w:space="0"/>
              <w:right w:val="single" w:color="000000" w:sz="4" w:space="0"/>
            </w:tcBorders>
            <w:vAlign w:val="center"/>
          </w:tcPr>
          <w:p w14:paraId="40BFBDEF">
            <w:pPr>
              <w:snapToGrid w:val="0"/>
              <w:spacing w:line="300" w:lineRule="auto"/>
              <w:jc w:val="center"/>
              <w:rPr>
                <w:rFonts w:ascii="仿宋" w:hAnsi="仿宋" w:eastAsia="仿宋" w:cs="仿宋"/>
                <w:i/>
                <w:iCs/>
                <w:color w:val="0623BA"/>
                <w:sz w:val="24"/>
              </w:rPr>
            </w:pPr>
          </w:p>
        </w:tc>
        <w:tc>
          <w:tcPr>
            <w:tcW w:w="1444" w:type="dxa"/>
            <w:tcBorders>
              <w:top w:val="single" w:color="000000" w:sz="4" w:space="0"/>
              <w:left w:val="nil"/>
              <w:bottom w:val="single" w:color="000000" w:sz="4" w:space="0"/>
              <w:right w:val="single" w:color="000000" w:sz="4" w:space="0"/>
            </w:tcBorders>
            <w:vAlign w:val="center"/>
          </w:tcPr>
          <w:p w14:paraId="3105EF01">
            <w:pPr>
              <w:snapToGrid w:val="0"/>
              <w:spacing w:line="300" w:lineRule="auto"/>
              <w:jc w:val="center"/>
              <w:rPr>
                <w:rFonts w:ascii="仿宋" w:hAnsi="仿宋" w:eastAsia="仿宋" w:cs="仿宋"/>
                <w:i/>
                <w:iCs/>
                <w:color w:val="0623BA"/>
                <w:sz w:val="24"/>
              </w:rPr>
            </w:pPr>
            <w:r>
              <w:rPr>
                <w:rFonts w:hint="eastAsia" w:ascii="仿宋" w:hAnsi="仿宋" w:eastAsia="仿宋" w:cs="仿宋"/>
                <w:i/>
                <w:iCs/>
                <w:color w:val="0623BA"/>
                <w:sz w:val="24"/>
              </w:rPr>
              <w:t>无</w:t>
            </w:r>
          </w:p>
        </w:tc>
        <w:tc>
          <w:tcPr>
            <w:tcW w:w="3988" w:type="dxa"/>
            <w:tcBorders>
              <w:top w:val="single" w:color="000000" w:sz="4" w:space="0"/>
              <w:left w:val="nil"/>
              <w:bottom w:val="single" w:color="000000" w:sz="4" w:space="0"/>
              <w:right w:val="single" w:color="000000" w:sz="4" w:space="0"/>
            </w:tcBorders>
            <w:vAlign w:val="center"/>
          </w:tcPr>
          <w:p w14:paraId="63B042E4">
            <w:pPr>
              <w:snapToGrid w:val="0"/>
              <w:spacing w:line="300" w:lineRule="auto"/>
              <w:jc w:val="center"/>
              <w:rPr>
                <w:rFonts w:ascii="仿宋" w:hAnsi="仿宋" w:eastAsia="仿宋" w:cs="仿宋"/>
                <w:i/>
                <w:iCs/>
                <w:color w:val="0623BA"/>
                <w:sz w:val="24"/>
              </w:rPr>
            </w:pPr>
            <w:r>
              <w:rPr>
                <w:rFonts w:hint="eastAsia" w:ascii="仿宋" w:hAnsi="仿宋" w:eastAsia="仿宋" w:cs="仿宋"/>
                <w:i/>
                <w:iCs/>
                <w:color w:val="0623BA"/>
                <w:sz w:val="24"/>
              </w:rPr>
              <w:t>用于三类负荷供电</w:t>
            </w:r>
          </w:p>
        </w:tc>
      </w:tr>
      <w:tr w14:paraId="71A29F79">
        <w:tblPrEx>
          <w:tblCellMar>
            <w:top w:w="0" w:type="dxa"/>
            <w:left w:w="108" w:type="dxa"/>
            <w:bottom w:w="0" w:type="dxa"/>
            <w:right w:w="108" w:type="dxa"/>
          </w:tblCellMar>
        </w:tblPrEx>
        <w:tc>
          <w:tcPr>
            <w:tcW w:w="1512" w:type="dxa"/>
            <w:vMerge w:val="restart"/>
            <w:tcBorders>
              <w:top w:val="nil"/>
              <w:left w:val="single" w:color="000000" w:sz="4" w:space="0"/>
              <w:bottom w:val="single" w:color="000000" w:sz="4" w:space="0"/>
              <w:right w:val="single" w:color="000000" w:sz="4" w:space="0"/>
            </w:tcBorders>
            <w:vAlign w:val="center"/>
          </w:tcPr>
          <w:p w14:paraId="4B4EEC2C">
            <w:pPr>
              <w:snapToGrid w:val="0"/>
              <w:spacing w:line="300" w:lineRule="auto"/>
              <w:jc w:val="center"/>
              <w:rPr>
                <w:rFonts w:ascii="仿宋" w:hAnsi="仿宋" w:eastAsia="仿宋" w:cs="仿宋"/>
                <w:i/>
                <w:iCs/>
                <w:color w:val="0623BA"/>
                <w:sz w:val="24"/>
              </w:rPr>
            </w:pPr>
            <w:r>
              <w:rPr>
                <w:rFonts w:hint="eastAsia" w:ascii="仿宋" w:hAnsi="仿宋" w:eastAsia="仿宋" w:cs="仿宋"/>
                <w:i/>
                <w:iCs/>
                <w:color w:val="0623BA"/>
                <w:sz w:val="24"/>
              </w:rPr>
              <w:t>独立光伏系统</w:t>
            </w:r>
          </w:p>
        </w:tc>
        <w:tc>
          <w:tcPr>
            <w:tcW w:w="1444" w:type="dxa"/>
            <w:vMerge w:val="restart"/>
            <w:tcBorders>
              <w:top w:val="nil"/>
              <w:left w:val="nil"/>
              <w:bottom w:val="single" w:color="000000" w:sz="4" w:space="0"/>
              <w:right w:val="single" w:color="000000" w:sz="4" w:space="0"/>
            </w:tcBorders>
            <w:vAlign w:val="center"/>
          </w:tcPr>
          <w:p w14:paraId="2E309924">
            <w:pPr>
              <w:snapToGrid w:val="0"/>
              <w:spacing w:line="300" w:lineRule="auto"/>
              <w:jc w:val="center"/>
              <w:rPr>
                <w:rFonts w:ascii="仿宋" w:hAnsi="仿宋" w:eastAsia="仿宋" w:cs="仿宋"/>
                <w:i/>
                <w:iCs/>
                <w:color w:val="0623BA"/>
                <w:sz w:val="24"/>
              </w:rPr>
            </w:pPr>
            <w:r>
              <w:rPr>
                <w:rFonts w:hint="eastAsia" w:ascii="仿宋" w:hAnsi="仿宋" w:eastAsia="仿宋" w:cs="仿宋"/>
                <w:i/>
                <w:iCs/>
                <w:color w:val="0623BA"/>
                <w:sz w:val="24"/>
              </w:rPr>
              <w:t>直流系统</w:t>
            </w:r>
          </w:p>
        </w:tc>
        <w:tc>
          <w:tcPr>
            <w:tcW w:w="1444" w:type="dxa"/>
            <w:tcBorders>
              <w:top w:val="single" w:color="000000" w:sz="4" w:space="0"/>
              <w:left w:val="nil"/>
              <w:bottom w:val="single" w:color="000000" w:sz="4" w:space="0"/>
              <w:right w:val="single" w:color="000000" w:sz="4" w:space="0"/>
            </w:tcBorders>
            <w:vAlign w:val="center"/>
          </w:tcPr>
          <w:p w14:paraId="55A3202A">
            <w:pPr>
              <w:snapToGrid w:val="0"/>
              <w:spacing w:line="300" w:lineRule="auto"/>
              <w:jc w:val="center"/>
              <w:rPr>
                <w:rFonts w:ascii="仿宋" w:hAnsi="仿宋" w:eastAsia="仿宋" w:cs="仿宋"/>
                <w:i/>
                <w:iCs/>
                <w:color w:val="0623BA"/>
                <w:sz w:val="24"/>
              </w:rPr>
            </w:pPr>
            <w:r>
              <w:rPr>
                <w:rFonts w:hint="eastAsia" w:ascii="仿宋" w:hAnsi="仿宋" w:eastAsia="仿宋" w:cs="仿宋"/>
                <w:i/>
                <w:iCs/>
                <w:color w:val="0623BA"/>
                <w:sz w:val="24"/>
              </w:rPr>
              <w:t>有</w:t>
            </w:r>
          </w:p>
        </w:tc>
        <w:tc>
          <w:tcPr>
            <w:tcW w:w="3988" w:type="dxa"/>
            <w:tcBorders>
              <w:top w:val="single" w:color="000000" w:sz="4" w:space="0"/>
              <w:left w:val="nil"/>
              <w:bottom w:val="single" w:color="000000" w:sz="4" w:space="0"/>
              <w:right w:val="single" w:color="000000" w:sz="4" w:space="0"/>
            </w:tcBorders>
            <w:vAlign w:val="center"/>
          </w:tcPr>
          <w:p w14:paraId="780605C5">
            <w:pPr>
              <w:snapToGrid w:val="0"/>
              <w:spacing w:line="300" w:lineRule="auto"/>
              <w:jc w:val="center"/>
              <w:rPr>
                <w:rFonts w:ascii="仿宋" w:hAnsi="仿宋" w:eastAsia="仿宋" w:cs="仿宋"/>
                <w:i/>
                <w:iCs/>
                <w:color w:val="0623BA"/>
                <w:sz w:val="24"/>
              </w:rPr>
            </w:pPr>
            <w:r>
              <w:rPr>
                <w:rFonts w:hint="eastAsia" w:ascii="仿宋" w:hAnsi="仿宋" w:eastAsia="仿宋" w:cs="仿宋"/>
                <w:i/>
                <w:iCs/>
                <w:color w:val="0623BA"/>
                <w:sz w:val="24"/>
              </w:rPr>
              <w:t>偏远无电网地区，电力负荷为直流设备且供电连续性要求较高</w:t>
            </w:r>
          </w:p>
        </w:tc>
      </w:tr>
      <w:tr w14:paraId="63A6F77C">
        <w:tblPrEx>
          <w:tblCellMar>
            <w:top w:w="0" w:type="dxa"/>
            <w:left w:w="108" w:type="dxa"/>
            <w:bottom w:w="0" w:type="dxa"/>
            <w:right w:w="108" w:type="dxa"/>
          </w:tblCellMar>
        </w:tblPrEx>
        <w:trPr>
          <w:trHeight w:val="568" w:hRule="atLeast"/>
        </w:trPr>
        <w:tc>
          <w:tcPr>
            <w:tcW w:w="1512" w:type="dxa"/>
            <w:vMerge w:val="continue"/>
            <w:tcBorders>
              <w:top w:val="nil"/>
              <w:left w:val="single" w:color="000000" w:sz="4" w:space="0"/>
              <w:bottom w:val="single" w:color="000000" w:sz="4" w:space="0"/>
              <w:right w:val="single" w:color="000000" w:sz="4" w:space="0"/>
            </w:tcBorders>
            <w:vAlign w:val="center"/>
          </w:tcPr>
          <w:p w14:paraId="7C1E33E0">
            <w:pPr>
              <w:snapToGrid w:val="0"/>
              <w:spacing w:line="300" w:lineRule="auto"/>
              <w:jc w:val="center"/>
              <w:rPr>
                <w:rFonts w:ascii="仿宋" w:hAnsi="仿宋" w:eastAsia="仿宋" w:cs="仿宋"/>
                <w:i/>
                <w:iCs/>
                <w:color w:val="0623BA"/>
                <w:sz w:val="24"/>
              </w:rPr>
            </w:pPr>
          </w:p>
        </w:tc>
        <w:tc>
          <w:tcPr>
            <w:tcW w:w="1444" w:type="dxa"/>
            <w:vMerge w:val="continue"/>
            <w:tcBorders>
              <w:top w:val="nil"/>
              <w:left w:val="nil"/>
              <w:bottom w:val="single" w:color="000000" w:sz="4" w:space="0"/>
              <w:right w:val="single" w:color="000000" w:sz="4" w:space="0"/>
            </w:tcBorders>
            <w:vAlign w:val="center"/>
          </w:tcPr>
          <w:p w14:paraId="2978DF74">
            <w:pPr>
              <w:snapToGrid w:val="0"/>
              <w:spacing w:line="300" w:lineRule="auto"/>
              <w:jc w:val="center"/>
              <w:rPr>
                <w:rFonts w:ascii="仿宋" w:hAnsi="仿宋" w:eastAsia="仿宋" w:cs="仿宋"/>
                <w:i/>
                <w:iCs/>
                <w:color w:val="0623BA"/>
                <w:sz w:val="24"/>
              </w:rPr>
            </w:pPr>
          </w:p>
        </w:tc>
        <w:tc>
          <w:tcPr>
            <w:tcW w:w="1444" w:type="dxa"/>
            <w:tcBorders>
              <w:top w:val="single" w:color="000000" w:sz="4" w:space="0"/>
              <w:left w:val="nil"/>
              <w:bottom w:val="single" w:color="000000" w:sz="4" w:space="0"/>
              <w:right w:val="single" w:color="000000" w:sz="4" w:space="0"/>
            </w:tcBorders>
            <w:vAlign w:val="center"/>
          </w:tcPr>
          <w:p w14:paraId="3AFC6A83">
            <w:pPr>
              <w:snapToGrid w:val="0"/>
              <w:spacing w:line="300" w:lineRule="auto"/>
              <w:jc w:val="center"/>
              <w:rPr>
                <w:rFonts w:ascii="仿宋" w:hAnsi="仿宋" w:eastAsia="仿宋" w:cs="仿宋"/>
                <w:i/>
                <w:iCs/>
                <w:color w:val="0623BA"/>
                <w:sz w:val="24"/>
              </w:rPr>
            </w:pPr>
            <w:r>
              <w:rPr>
                <w:rFonts w:hint="eastAsia" w:ascii="仿宋" w:hAnsi="仿宋" w:eastAsia="仿宋" w:cs="仿宋"/>
                <w:i/>
                <w:iCs/>
                <w:color w:val="0623BA"/>
                <w:sz w:val="24"/>
              </w:rPr>
              <w:t>无</w:t>
            </w:r>
          </w:p>
        </w:tc>
        <w:tc>
          <w:tcPr>
            <w:tcW w:w="3988" w:type="dxa"/>
            <w:tcBorders>
              <w:top w:val="single" w:color="000000" w:sz="4" w:space="0"/>
              <w:left w:val="nil"/>
              <w:bottom w:val="single" w:color="000000" w:sz="4" w:space="0"/>
              <w:right w:val="single" w:color="000000" w:sz="4" w:space="0"/>
            </w:tcBorders>
            <w:vAlign w:val="center"/>
          </w:tcPr>
          <w:p w14:paraId="7A54B7E6">
            <w:pPr>
              <w:snapToGrid w:val="0"/>
              <w:spacing w:line="300" w:lineRule="auto"/>
              <w:jc w:val="center"/>
              <w:rPr>
                <w:rFonts w:ascii="仿宋" w:hAnsi="仿宋" w:eastAsia="仿宋" w:cs="仿宋"/>
                <w:i/>
                <w:iCs/>
                <w:color w:val="0623BA"/>
                <w:sz w:val="24"/>
              </w:rPr>
            </w:pPr>
            <w:r>
              <w:rPr>
                <w:rFonts w:hint="eastAsia" w:ascii="仿宋" w:hAnsi="仿宋" w:eastAsia="仿宋" w:cs="仿宋"/>
                <w:i/>
                <w:iCs/>
                <w:color w:val="0623BA"/>
                <w:sz w:val="24"/>
              </w:rPr>
              <w:t>偏远无电网地区，电力负荷为直流设备且供电无连续性要求</w:t>
            </w:r>
          </w:p>
        </w:tc>
      </w:tr>
      <w:tr w14:paraId="5A960F19">
        <w:tblPrEx>
          <w:tblCellMar>
            <w:top w:w="0" w:type="dxa"/>
            <w:left w:w="108" w:type="dxa"/>
            <w:bottom w:w="0" w:type="dxa"/>
            <w:right w:w="108" w:type="dxa"/>
          </w:tblCellMar>
        </w:tblPrEx>
        <w:trPr>
          <w:trHeight w:val="568" w:hRule="atLeast"/>
        </w:trPr>
        <w:tc>
          <w:tcPr>
            <w:tcW w:w="1512" w:type="dxa"/>
            <w:vMerge w:val="continue"/>
            <w:tcBorders>
              <w:top w:val="nil"/>
              <w:left w:val="single" w:color="000000" w:sz="4" w:space="0"/>
              <w:bottom w:val="single" w:color="000000" w:sz="4" w:space="0"/>
              <w:right w:val="single" w:color="000000" w:sz="4" w:space="0"/>
            </w:tcBorders>
            <w:vAlign w:val="center"/>
          </w:tcPr>
          <w:p w14:paraId="041EC867">
            <w:pPr>
              <w:snapToGrid w:val="0"/>
              <w:spacing w:line="300" w:lineRule="auto"/>
              <w:jc w:val="center"/>
              <w:rPr>
                <w:rFonts w:ascii="仿宋" w:hAnsi="仿宋" w:eastAsia="仿宋" w:cs="仿宋"/>
                <w:i/>
                <w:iCs/>
                <w:color w:val="0623BA"/>
                <w:sz w:val="24"/>
              </w:rPr>
            </w:pPr>
          </w:p>
        </w:tc>
        <w:tc>
          <w:tcPr>
            <w:tcW w:w="1444" w:type="dxa"/>
            <w:vMerge w:val="restart"/>
            <w:tcBorders>
              <w:top w:val="nil"/>
              <w:left w:val="nil"/>
              <w:right w:val="single" w:color="000000" w:sz="4" w:space="0"/>
            </w:tcBorders>
            <w:vAlign w:val="center"/>
          </w:tcPr>
          <w:p w14:paraId="029D6EA2">
            <w:pPr>
              <w:snapToGrid w:val="0"/>
              <w:spacing w:line="300" w:lineRule="auto"/>
              <w:jc w:val="center"/>
              <w:rPr>
                <w:rFonts w:ascii="仿宋" w:hAnsi="仿宋" w:eastAsia="仿宋" w:cs="仿宋"/>
                <w:i/>
                <w:iCs/>
                <w:color w:val="0623BA"/>
                <w:sz w:val="24"/>
              </w:rPr>
            </w:pPr>
            <w:r>
              <w:rPr>
                <w:rFonts w:hint="eastAsia" w:ascii="仿宋" w:hAnsi="仿宋" w:eastAsia="仿宋" w:cs="仿宋"/>
                <w:i/>
                <w:iCs/>
                <w:color w:val="0623BA"/>
                <w:sz w:val="24"/>
              </w:rPr>
              <w:t>交流系统</w:t>
            </w:r>
          </w:p>
        </w:tc>
        <w:tc>
          <w:tcPr>
            <w:tcW w:w="1444" w:type="dxa"/>
            <w:tcBorders>
              <w:top w:val="single" w:color="000000" w:sz="4" w:space="0"/>
              <w:left w:val="nil"/>
              <w:bottom w:val="single" w:color="000000" w:sz="4" w:space="0"/>
              <w:right w:val="single" w:color="000000" w:sz="4" w:space="0"/>
            </w:tcBorders>
            <w:vAlign w:val="center"/>
          </w:tcPr>
          <w:p w14:paraId="77B3B8BB">
            <w:pPr>
              <w:snapToGrid w:val="0"/>
              <w:spacing w:line="300" w:lineRule="auto"/>
              <w:jc w:val="center"/>
              <w:rPr>
                <w:rFonts w:ascii="仿宋" w:hAnsi="仿宋" w:eastAsia="仿宋" w:cs="仿宋"/>
                <w:i/>
                <w:iCs/>
                <w:color w:val="0623BA"/>
                <w:sz w:val="24"/>
              </w:rPr>
            </w:pPr>
            <w:r>
              <w:rPr>
                <w:rFonts w:hint="eastAsia" w:ascii="仿宋" w:hAnsi="仿宋" w:eastAsia="仿宋" w:cs="仿宋"/>
                <w:i/>
                <w:iCs/>
                <w:color w:val="0623BA"/>
                <w:sz w:val="24"/>
              </w:rPr>
              <w:t>有</w:t>
            </w:r>
          </w:p>
        </w:tc>
        <w:tc>
          <w:tcPr>
            <w:tcW w:w="3988" w:type="dxa"/>
            <w:tcBorders>
              <w:top w:val="single" w:color="000000" w:sz="4" w:space="0"/>
              <w:left w:val="nil"/>
              <w:bottom w:val="single" w:color="000000" w:sz="4" w:space="0"/>
              <w:right w:val="single" w:color="000000" w:sz="4" w:space="0"/>
            </w:tcBorders>
            <w:vAlign w:val="center"/>
          </w:tcPr>
          <w:p w14:paraId="66B2BA9C">
            <w:pPr>
              <w:snapToGrid w:val="0"/>
              <w:spacing w:line="300" w:lineRule="auto"/>
              <w:jc w:val="center"/>
              <w:rPr>
                <w:rFonts w:ascii="仿宋" w:hAnsi="仿宋" w:eastAsia="仿宋" w:cs="仿宋"/>
                <w:i/>
                <w:iCs/>
                <w:color w:val="0623BA"/>
                <w:sz w:val="24"/>
              </w:rPr>
            </w:pPr>
            <w:r>
              <w:rPr>
                <w:rFonts w:hint="eastAsia" w:ascii="仿宋" w:hAnsi="仿宋" w:eastAsia="仿宋" w:cs="仿宋"/>
                <w:i/>
                <w:iCs/>
                <w:color w:val="0623BA"/>
                <w:sz w:val="24"/>
              </w:rPr>
              <w:t>偏远无电网地区，电力负荷为交流设备且供电连续性要求较高</w:t>
            </w:r>
          </w:p>
        </w:tc>
      </w:tr>
      <w:tr w14:paraId="30B2905E">
        <w:tblPrEx>
          <w:tblCellMar>
            <w:top w:w="0" w:type="dxa"/>
            <w:left w:w="108" w:type="dxa"/>
            <w:bottom w:w="0" w:type="dxa"/>
            <w:right w:w="108" w:type="dxa"/>
          </w:tblCellMar>
        </w:tblPrEx>
        <w:trPr>
          <w:trHeight w:val="604" w:hRule="atLeast"/>
        </w:trPr>
        <w:tc>
          <w:tcPr>
            <w:tcW w:w="1512" w:type="dxa"/>
            <w:vMerge w:val="continue"/>
            <w:tcBorders>
              <w:top w:val="nil"/>
              <w:left w:val="single" w:color="000000" w:sz="4" w:space="0"/>
              <w:bottom w:val="single" w:color="000000" w:sz="4" w:space="0"/>
              <w:right w:val="single" w:color="000000" w:sz="4" w:space="0"/>
            </w:tcBorders>
            <w:vAlign w:val="center"/>
          </w:tcPr>
          <w:p w14:paraId="43FD6538">
            <w:pPr>
              <w:snapToGrid w:val="0"/>
              <w:spacing w:line="300" w:lineRule="auto"/>
              <w:jc w:val="center"/>
              <w:rPr>
                <w:rFonts w:ascii="仿宋" w:hAnsi="仿宋" w:eastAsia="仿宋" w:cs="仿宋"/>
                <w:i/>
                <w:iCs/>
                <w:color w:val="0623BA"/>
                <w:sz w:val="24"/>
              </w:rPr>
            </w:pPr>
          </w:p>
        </w:tc>
        <w:tc>
          <w:tcPr>
            <w:tcW w:w="1444" w:type="dxa"/>
            <w:vMerge w:val="continue"/>
            <w:tcBorders>
              <w:left w:val="nil"/>
              <w:bottom w:val="single" w:color="000000" w:sz="4" w:space="0"/>
              <w:right w:val="single" w:color="000000" w:sz="4" w:space="0"/>
            </w:tcBorders>
            <w:vAlign w:val="center"/>
          </w:tcPr>
          <w:p w14:paraId="3FFACB8A">
            <w:pPr>
              <w:snapToGrid w:val="0"/>
              <w:spacing w:line="300" w:lineRule="auto"/>
              <w:jc w:val="center"/>
              <w:rPr>
                <w:rFonts w:ascii="仿宋" w:hAnsi="仿宋" w:eastAsia="仿宋" w:cs="仿宋"/>
                <w:i/>
                <w:iCs/>
                <w:color w:val="0623BA"/>
                <w:sz w:val="24"/>
              </w:rPr>
            </w:pPr>
          </w:p>
        </w:tc>
        <w:tc>
          <w:tcPr>
            <w:tcW w:w="1444" w:type="dxa"/>
            <w:tcBorders>
              <w:top w:val="single" w:color="000000" w:sz="4" w:space="0"/>
              <w:left w:val="nil"/>
              <w:bottom w:val="single" w:color="000000" w:sz="4" w:space="0"/>
              <w:right w:val="single" w:color="000000" w:sz="4" w:space="0"/>
            </w:tcBorders>
            <w:vAlign w:val="center"/>
          </w:tcPr>
          <w:p w14:paraId="7C55A7F1">
            <w:pPr>
              <w:snapToGrid w:val="0"/>
              <w:spacing w:line="300" w:lineRule="auto"/>
              <w:jc w:val="center"/>
              <w:rPr>
                <w:rFonts w:ascii="仿宋" w:hAnsi="仿宋" w:eastAsia="仿宋" w:cs="仿宋"/>
                <w:i/>
                <w:iCs/>
                <w:color w:val="0623BA"/>
                <w:sz w:val="24"/>
              </w:rPr>
            </w:pPr>
            <w:r>
              <w:rPr>
                <w:rFonts w:hint="eastAsia" w:ascii="仿宋" w:hAnsi="仿宋" w:eastAsia="仿宋" w:cs="仿宋"/>
                <w:i/>
                <w:iCs/>
                <w:color w:val="0623BA"/>
                <w:sz w:val="24"/>
              </w:rPr>
              <w:t>无</w:t>
            </w:r>
          </w:p>
        </w:tc>
        <w:tc>
          <w:tcPr>
            <w:tcW w:w="3988" w:type="dxa"/>
            <w:tcBorders>
              <w:top w:val="single" w:color="000000" w:sz="4" w:space="0"/>
              <w:left w:val="nil"/>
              <w:bottom w:val="single" w:color="000000" w:sz="4" w:space="0"/>
              <w:right w:val="single" w:color="000000" w:sz="4" w:space="0"/>
            </w:tcBorders>
            <w:vAlign w:val="center"/>
          </w:tcPr>
          <w:p w14:paraId="23C17595">
            <w:pPr>
              <w:snapToGrid w:val="0"/>
              <w:spacing w:line="300" w:lineRule="auto"/>
              <w:jc w:val="center"/>
              <w:rPr>
                <w:rFonts w:ascii="仿宋" w:hAnsi="仿宋" w:eastAsia="仿宋" w:cs="仿宋"/>
                <w:i/>
                <w:iCs/>
                <w:color w:val="0623BA"/>
                <w:sz w:val="24"/>
              </w:rPr>
            </w:pPr>
            <w:r>
              <w:rPr>
                <w:rFonts w:hint="eastAsia" w:ascii="仿宋" w:hAnsi="仿宋" w:eastAsia="仿宋" w:cs="仿宋"/>
                <w:i/>
                <w:iCs/>
                <w:color w:val="0623BA"/>
                <w:sz w:val="24"/>
              </w:rPr>
              <w:t>偏远无电网地区，电力负荷为交流设备且供电无连续性要求</w:t>
            </w:r>
          </w:p>
        </w:tc>
      </w:tr>
    </w:tbl>
    <w:p w14:paraId="329AB0F4">
      <w:pPr>
        <w:spacing w:beforeLines="0" w:afterLines="0" w:line="300" w:lineRule="auto"/>
        <w:rPr>
          <w:highlight w:val="yellow"/>
        </w:rPr>
      </w:pPr>
      <w:r>
        <w:rPr>
          <w:rFonts w:hint="eastAsia"/>
          <w:b/>
          <w:bCs/>
          <w:sz w:val="24"/>
          <w:highlight w:val="none"/>
        </w:rPr>
        <w:t>7.1.</w:t>
      </w:r>
      <w:r>
        <w:rPr>
          <w:rFonts w:hint="eastAsia"/>
          <w:b/>
          <w:bCs/>
          <w:sz w:val="24"/>
          <w:highlight w:val="none"/>
          <w:lang w:eastAsia="zh-CN"/>
        </w:rPr>
        <w:t>4</w:t>
      </w:r>
      <w:r>
        <w:rPr>
          <w:rFonts w:hint="eastAsia"/>
          <w:highlight w:val="none"/>
        </w:rPr>
        <w:t xml:space="preserve"> </w:t>
      </w:r>
      <w:r>
        <w:rPr>
          <w:rFonts w:hint="eastAsia" w:ascii="Times New Roman" w:hAnsi="Times New Roman" w:eastAsia="宋体" w:cs="Times New Roman"/>
          <w:b w:val="0"/>
          <w:bCs w:val="0"/>
          <w:i w:val="0"/>
          <w:iCs w:val="0"/>
          <w:color w:val="auto"/>
          <w:sz w:val="24"/>
          <w:szCs w:val="24"/>
        </w:rPr>
        <w:t>建筑光伏系统的并网应当符合《光伏发电系统接入配电网技术规定》GB/T 29319和《光伏发电站接入电力系统技术规定》GB/T 19964的规定，其接入设计应当符合《光伏发电接入配电网设计规范》GB/T 50865和《光伏发电站接入电力系统设计规范》GB/T 50866的规定。</w:t>
      </w:r>
    </w:p>
    <w:p w14:paraId="73735FF4">
      <w:pPr>
        <w:snapToGrid w:val="0"/>
        <w:spacing w:beforeLines="0" w:afterLines="0" w:line="300" w:lineRule="auto"/>
        <w:rPr>
          <w:sz w:val="24"/>
        </w:rPr>
      </w:pPr>
      <w:r>
        <w:rPr>
          <w:b/>
          <w:bCs/>
          <w:sz w:val="24"/>
        </w:rPr>
        <w:t>7.1.</w:t>
      </w:r>
      <w:r>
        <w:rPr>
          <w:rFonts w:hint="eastAsia"/>
          <w:b/>
          <w:bCs/>
          <w:sz w:val="24"/>
          <w:lang w:val="en-US" w:eastAsia="zh-CN"/>
        </w:rPr>
        <w:t>5</w:t>
      </w:r>
      <w:r>
        <w:rPr>
          <w:sz w:val="24"/>
        </w:rPr>
        <w:t xml:space="preserve"> </w:t>
      </w:r>
      <w:r>
        <w:rPr>
          <w:rFonts w:hint="eastAsia"/>
          <w:sz w:val="24"/>
        </w:rPr>
        <w:t>建筑光伏系统中逆变器、汇流箱、变压器、配电柜、无功补偿装置等应满足的使用环境条件要求应符合现行国家标准《建筑光伏系统应用技术标准》GB/T 51368的有关规定。</w:t>
      </w:r>
    </w:p>
    <w:p w14:paraId="7D094C55">
      <w:pPr>
        <w:snapToGrid w:val="0"/>
        <w:spacing w:beforeLines="0" w:afterLines="0" w:line="300" w:lineRule="auto"/>
        <w:rPr>
          <w:rFonts w:hint="eastAsia"/>
          <w:sz w:val="24"/>
        </w:rPr>
      </w:pPr>
      <w:r>
        <w:rPr>
          <w:b/>
          <w:bCs/>
          <w:sz w:val="24"/>
        </w:rPr>
        <w:t>7.1.</w:t>
      </w:r>
      <w:r>
        <w:rPr>
          <w:rFonts w:hint="eastAsia"/>
          <w:b/>
          <w:bCs/>
          <w:sz w:val="24"/>
          <w:lang w:val="en-US" w:eastAsia="zh-CN"/>
        </w:rPr>
        <w:t>6</w:t>
      </w:r>
      <w:r>
        <w:rPr>
          <w:sz w:val="24"/>
        </w:rPr>
        <w:t xml:space="preserve"> </w:t>
      </w:r>
      <w:r>
        <w:rPr>
          <w:rFonts w:hint="eastAsia"/>
          <w:sz w:val="24"/>
        </w:rPr>
        <w:t>光伏系统中的所有设备和部件，应符合现行国家和行业相关产品标准的规定，主要设备应有国家相关认证机构的产品认证。</w:t>
      </w:r>
    </w:p>
    <w:p w14:paraId="005B7E8D">
      <w:pPr>
        <w:keepNext/>
        <w:keepLines/>
        <w:snapToGrid w:val="0"/>
        <w:spacing w:before="0" w:beforeLines="0" w:after="0" w:afterLines="0" w:line="300" w:lineRule="auto"/>
        <w:jc w:val="center"/>
        <w:outlineLvl w:val="2"/>
        <w:rPr>
          <w:b/>
          <w:sz w:val="24"/>
          <w:szCs w:val="32"/>
        </w:rPr>
      </w:pPr>
      <w:bookmarkStart w:id="240" w:name="_Toc6948"/>
      <w:bookmarkStart w:id="241" w:name="_Toc7966"/>
      <w:bookmarkStart w:id="242" w:name="_Toc7252"/>
      <w:bookmarkStart w:id="243" w:name="_Toc12040"/>
      <w:bookmarkStart w:id="244" w:name="_Toc24383"/>
      <w:bookmarkStart w:id="245" w:name="_Toc29835"/>
      <w:r>
        <w:rPr>
          <w:b/>
          <w:sz w:val="24"/>
          <w:szCs w:val="32"/>
        </w:rPr>
        <w:t>7.</w:t>
      </w:r>
      <w:r>
        <w:rPr>
          <w:rFonts w:hint="default"/>
          <w:b/>
          <w:sz w:val="24"/>
          <w:szCs w:val="32"/>
        </w:rPr>
        <w:t>2光伏</w:t>
      </w:r>
      <w:r>
        <w:rPr>
          <w:rFonts w:hint="default"/>
          <w:b/>
          <w:bCs w:val="0"/>
          <w:sz w:val="24"/>
          <w:szCs w:val="32"/>
        </w:rPr>
        <w:t>发电</w:t>
      </w:r>
      <w:r>
        <w:rPr>
          <w:rFonts w:hint="default"/>
          <w:b/>
          <w:sz w:val="24"/>
          <w:szCs w:val="32"/>
        </w:rPr>
        <w:t>系统技术要求</w:t>
      </w:r>
      <w:bookmarkEnd w:id="240"/>
      <w:bookmarkEnd w:id="241"/>
      <w:bookmarkEnd w:id="242"/>
      <w:bookmarkEnd w:id="243"/>
      <w:bookmarkEnd w:id="244"/>
      <w:bookmarkEnd w:id="245"/>
    </w:p>
    <w:p w14:paraId="50F69AAA">
      <w:pPr>
        <w:snapToGrid w:val="0"/>
        <w:spacing w:beforeLines="0" w:afterLines="0" w:line="300" w:lineRule="auto"/>
        <w:rPr>
          <w:sz w:val="24"/>
        </w:rPr>
      </w:pPr>
      <w:r>
        <w:rPr>
          <w:b/>
          <w:bCs/>
          <w:sz w:val="24"/>
        </w:rPr>
        <w:t>7.</w:t>
      </w:r>
      <w:r>
        <w:rPr>
          <w:rFonts w:hint="eastAsia"/>
          <w:b/>
          <w:bCs/>
          <w:sz w:val="24"/>
        </w:rPr>
        <w:t>2</w:t>
      </w:r>
      <w:r>
        <w:rPr>
          <w:b/>
          <w:bCs/>
          <w:sz w:val="24"/>
        </w:rPr>
        <w:t>.</w:t>
      </w:r>
      <w:r>
        <w:rPr>
          <w:rFonts w:hint="eastAsia"/>
          <w:b/>
          <w:bCs/>
          <w:sz w:val="24"/>
        </w:rPr>
        <w:t>1</w:t>
      </w:r>
      <w:r>
        <w:rPr>
          <w:sz w:val="24"/>
        </w:rPr>
        <w:t xml:space="preserve"> </w:t>
      </w:r>
      <w:r>
        <w:rPr>
          <w:rFonts w:hint="eastAsia"/>
          <w:sz w:val="24"/>
        </w:rPr>
        <w:t>建筑</w:t>
      </w:r>
      <w:r>
        <w:rPr>
          <w:sz w:val="24"/>
        </w:rPr>
        <w:t>光伏发电一次系统</w:t>
      </w:r>
      <w:r>
        <w:rPr>
          <w:rFonts w:hint="eastAsia"/>
          <w:sz w:val="24"/>
        </w:rPr>
        <w:t>的设备配置、母线电压设定、接线方式等应符合现行国家标准《建筑光伏系统应用技术标准》GB/T 51368的有关规定。</w:t>
      </w:r>
    </w:p>
    <w:p w14:paraId="4CA6D8F6">
      <w:pPr>
        <w:spacing w:beforeLines="0" w:afterLines="0" w:line="300" w:lineRule="auto"/>
        <w:rPr>
          <w:sz w:val="24"/>
        </w:rPr>
      </w:pPr>
      <w:r>
        <w:rPr>
          <w:b/>
          <w:bCs/>
          <w:sz w:val="24"/>
        </w:rPr>
        <w:t>7.</w:t>
      </w:r>
      <w:r>
        <w:rPr>
          <w:rFonts w:hint="eastAsia"/>
          <w:b/>
          <w:bCs/>
          <w:sz w:val="24"/>
        </w:rPr>
        <w:t>2</w:t>
      </w:r>
      <w:r>
        <w:rPr>
          <w:b/>
          <w:bCs/>
          <w:sz w:val="24"/>
        </w:rPr>
        <w:t>.</w:t>
      </w:r>
      <w:r>
        <w:rPr>
          <w:rFonts w:hint="eastAsia"/>
          <w:b/>
          <w:bCs/>
          <w:sz w:val="24"/>
        </w:rPr>
        <w:t>2</w:t>
      </w:r>
      <w:r>
        <w:rPr>
          <w:sz w:val="24"/>
        </w:rPr>
        <w:t xml:space="preserve"> </w:t>
      </w:r>
      <w:r>
        <w:rPr>
          <w:rFonts w:hint="eastAsia"/>
          <w:sz w:val="24"/>
        </w:rPr>
        <w:t>建筑光伏发电二次系统的继电保护功能、监控系统功能、并网自动化系统功能等应符合现行国家标准《建筑光伏系统应用技术标准》GB/T 51368的有关规定。</w:t>
      </w:r>
    </w:p>
    <w:p w14:paraId="5EE6CDF2">
      <w:pPr>
        <w:pStyle w:val="2"/>
        <w:spacing w:beforeLines="0" w:after="0" w:afterLines="0" w:line="300" w:lineRule="auto"/>
        <w:rPr>
          <w:sz w:val="24"/>
        </w:rPr>
      </w:pPr>
      <w:r>
        <w:rPr>
          <w:b/>
          <w:bCs/>
          <w:sz w:val="24"/>
        </w:rPr>
        <w:t>7.</w:t>
      </w:r>
      <w:r>
        <w:rPr>
          <w:rFonts w:hint="eastAsia"/>
          <w:b/>
          <w:bCs/>
          <w:sz w:val="24"/>
        </w:rPr>
        <w:t>2</w:t>
      </w:r>
      <w:r>
        <w:rPr>
          <w:b/>
          <w:bCs/>
          <w:sz w:val="24"/>
        </w:rPr>
        <w:t>.</w:t>
      </w:r>
      <w:r>
        <w:rPr>
          <w:rFonts w:hint="eastAsia"/>
          <w:b/>
          <w:bCs/>
          <w:sz w:val="24"/>
        </w:rPr>
        <w:t>3</w:t>
      </w:r>
      <w:r>
        <w:rPr>
          <w:sz w:val="24"/>
        </w:rPr>
        <w:t xml:space="preserve"> </w:t>
      </w:r>
      <w:r>
        <w:rPr>
          <w:rFonts w:hint="eastAsia"/>
          <w:sz w:val="24"/>
        </w:rPr>
        <w:t>建筑光伏发电自用电系统的电压等级、接地方式、工作电源引接方式、供电电源配置等应符合现行国家标准《建筑光伏系统应用技术标准》GB/T 51368的有关规定。</w:t>
      </w:r>
    </w:p>
    <w:p w14:paraId="5F20154D">
      <w:pPr>
        <w:snapToGrid w:val="0"/>
        <w:spacing w:beforeLines="0" w:afterLines="0" w:line="300" w:lineRule="auto"/>
        <w:rPr>
          <w:sz w:val="24"/>
        </w:rPr>
      </w:pPr>
      <w:r>
        <w:rPr>
          <w:b/>
          <w:bCs/>
          <w:sz w:val="24"/>
        </w:rPr>
        <w:t>7.</w:t>
      </w:r>
      <w:r>
        <w:rPr>
          <w:rFonts w:hint="eastAsia"/>
          <w:b/>
          <w:bCs/>
          <w:sz w:val="24"/>
        </w:rPr>
        <w:t>2</w:t>
      </w:r>
      <w:r>
        <w:rPr>
          <w:b/>
          <w:bCs/>
          <w:sz w:val="24"/>
        </w:rPr>
        <w:t>.</w:t>
      </w:r>
      <w:r>
        <w:rPr>
          <w:rFonts w:hint="eastAsia"/>
          <w:b/>
          <w:bCs/>
          <w:sz w:val="24"/>
        </w:rPr>
        <w:t>4</w:t>
      </w:r>
      <w:r>
        <w:rPr>
          <w:sz w:val="24"/>
        </w:rPr>
        <w:t xml:space="preserve"> </w:t>
      </w:r>
      <w:r>
        <w:rPr>
          <w:rFonts w:hint="eastAsia"/>
          <w:sz w:val="24"/>
        </w:rPr>
        <w:t>建筑</w:t>
      </w:r>
      <w:r>
        <w:rPr>
          <w:sz w:val="24"/>
        </w:rPr>
        <w:t>光伏发电</w:t>
      </w:r>
      <w:r>
        <w:rPr>
          <w:rFonts w:hint="eastAsia"/>
          <w:sz w:val="24"/>
        </w:rPr>
        <w:t>直流</w:t>
      </w:r>
      <w:r>
        <w:rPr>
          <w:sz w:val="24"/>
        </w:rPr>
        <w:t>系统应符合以下</w:t>
      </w:r>
      <w:r>
        <w:rPr>
          <w:rFonts w:hint="eastAsia"/>
          <w:sz w:val="24"/>
          <w:lang w:val="en-US" w:eastAsia="zh-CN"/>
        </w:rPr>
        <w:t>规定</w:t>
      </w:r>
      <w:r>
        <w:rPr>
          <w:sz w:val="24"/>
        </w:rPr>
        <w:t>：</w:t>
      </w:r>
    </w:p>
    <w:p w14:paraId="57B46D49">
      <w:pPr>
        <w:snapToGrid w:val="0"/>
        <w:spacing w:beforeLines="0" w:afterLines="0" w:line="300" w:lineRule="auto"/>
        <w:ind w:firstLine="482" w:firstLineChars="200"/>
        <w:rPr>
          <w:sz w:val="24"/>
        </w:rPr>
      </w:pPr>
      <w:r>
        <w:rPr>
          <w:rFonts w:hint="eastAsia"/>
          <w:b/>
          <w:bCs/>
          <w:sz w:val="24"/>
        </w:rPr>
        <w:t xml:space="preserve">1 </w:t>
      </w:r>
      <w:r>
        <w:rPr>
          <w:sz w:val="24"/>
        </w:rPr>
        <w:t>光伏发电系统直流侧宜配置直流故障电弧检测和保护功能</w:t>
      </w:r>
      <w:r>
        <w:rPr>
          <w:rFonts w:hint="eastAsia"/>
          <w:sz w:val="24"/>
        </w:rPr>
        <w:t>；</w:t>
      </w:r>
    </w:p>
    <w:p w14:paraId="4B1298B1">
      <w:pPr>
        <w:snapToGrid w:val="0"/>
        <w:spacing w:beforeLines="0" w:afterLines="0" w:line="300" w:lineRule="auto"/>
        <w:ind w:firstLine="482" w:firstLineChars="200"/>
        <w:rPr>
          <w:sz w:val="24"/>
        </w:rPr>
      </w:pPr>
      <w:r>
        <w:rPr>
          <w:rFonts w:hint="eastAsia"/>
          <w:b/>
          <w:bCs/>
          <w:sz w:val="24"/>
        </w:rPr>
        <w:t xml:space="preserve">2 </w:t>
      </w:r>
      <w:r>
        <w:rPr>
          <w:rFonts w:hint="eastAsia"/>
          <w:sz w:val="24"/>
        </w:rPr>
        <w:t>直流线路耐压等级应高于光伏方阵电压的1.25倍；</w:t>
      </w:r>
    </w:p>
    <w:p w14:paraId="5DA636FD">
      <w:pPr>
        <w:snapToGrid w:val="0"/>
        <w:spacing w:beforeLines="0" w:afterLines="0" w:line="300" w:lineRule="auto"/>
        <w:ind w:firstLine="482" w:firstLineChars="200"/>
        <w:rPr>
          <w:sz w:val="24"/>
        </w:rPr>
      </w:pPr>
      <w:r>
        <w:rPr>
          <w:rFonts w:hint="eastAsia"/>
          <w:b/>
          <w:bCs/>
          <w:sz w:val="24"/>
        </w:rPr>
        <w:t xml:space="preserve">3 </w:t>
      </w:r>
      <w:r>
        <w:rPr>
          <w:rFonts w:hint="eastAsia"/>
          <w:sz w:val="24"/>
        </w:rPr>
        <w:t>额定载流量应高于短路保护电器整定值，短路保护电器整定值应高于光伏方阵的标称短路电流的1.25倍；</w:t>
      </w:r>
    </w:p>
    <w:p w14:paraId="295E55B7">
      <w:pPr>
        <w:snapToGrid w:val="0"/>
        <w:spacing w:beforeLines="0" w:afterLines="0" w:line="300" w:lineRule="auto"/>
        <w:ind w:firstLine="482" w:firstLineChars="200"/>
        <w:rPr>
          <w:sz w:val="24"/>
        </w:rPr>
      </w:pPr>
      <w:r>
        <w:rPr>
          <w:rFonts w:hint="eastAsia"/>
          <w:b/>
          <w:bCs/>
          <w:sz w:val="24"/>
        </w:rPr>
        <w:t xml:space="preserve">4 </w:t>
      </w:r>
      <w:r>
        <w:rPr>
          <w:rFonts w:hint="eastAsia"/>
          <w:sz w:val="24"/>
        </w:rPr>
        <w:t>满发状态下，直流线路电压损失应控制在3%以内。</w:t>
      </w:r>
    </w:p>
    <w:p w14:paraId="1EF3770D">
      <w:pPr>
        <w:pStyle w:val="2"/>
        <w:spacing w:beforeLines="0" w:after="0" w:afterLines="0" w:line="300" w:lineRule="auto"/>
        <w:rPr>
          <w:b/>
          <w:bCs/>
          <w:sz w:val="24"/>
        </w:rPr>
      </w:pPr>
      <w:r>
        <w:rPr>
          <w:rFonts w:hint="eastAsia"/>
          <w:b/>
          <w:bCs/>
          <w:sz w:val="24"/>
        </w:rPr>
        <w:t>7.2.5</w:t>
      </w:r>
      <w:r>
        <w:rPr>
          <w:rFonts w:hint="eastAsia"/>
          <w:sz w:val="24"/>
        </w:rPr>
        <w:t xml:space="preserve"> </w:t>
      </w:r>
      <w:r>
        <w:rPr>
          <w:rFonts w:hint="eastAsia"/>
          <w:kern w:val="0"/>
          <w:sz w:val="24"/>
        </w:rPr>
        <w:t>建筑光伏系统配置的储能宜采用以电化学储能为主，电化学储能系统设计应符合现行国家标准《电化学储能电站设计规范》GB 51048的有关规定；涉及到其他储能类型，如超级电容储能系统设计应符合现行国家标准《超级电容器 第1部分：总则》GB/T 34870.1的有关规定、压缩空气储能系统设计应符合现行国家标准《电力储能用压缩空气储能系统技术要求》GB/T 43687的有关规定等。</w:t>
      </w:r>
    </w:p>
    <w:p w14:paraId="341A38DA">
      <w:pPr>
        <w:pStyle w:val="2"/>
        <w:spacing w:beforeLines="0" w:after="0" w:afterLines="0" w:line="300" w:lineRule="auto"/>
        <w:rPr>
          <w:sz w:val="24"/>
        </w:rPr>
      </w:pPr>
      <w:r>
        <w:rPr>
          <w:rFonts w:hint="eastAsia"/>
          <w:b/>
          <w:bCs/>
          <w:sz w:val="24"/>
        </w:rPr>
        <w:t>7.2.6</w:t>
      </w:r>
      <w:r>
        <w:rPr>
          <w:rFonts w:hint="eastAsia"/>
          <w:sz w:val="24"/>
        </w:rPr>
        <w:t xml:space="preserve"> 建筑</w:t>
      </w:r>
      <w:r>
        <w:rPr>
          <w:sz w:val="24"/>
        </w:rPr>
        <w:t>光伏发电</w:t>
      </w:r>
      <w:r>
        <w:rPr>
          <w:rFonts w:hint="eastAsia"/>
          <w:sz w:val="24"/>
        </w:rPr>
        <w:t>储能系统的容量配置应符合现行国家标准《建筑光伏系统应用技术标准》GB/T 51368的有关规定。</w:t>
      </w:r>
    </w:p>
    <w:p w14:paraId="33C8834E">
      <w:pPr>
        <w:keepNext/>
        <w:keepLines/>
        <w:snapToGrid w:val="0"/>
        <w:spacing w:before="0" w:beforeLines="0" w:after="0" w:afterLines="0" w:line="300" w:lineRule="auto"/>
        <w:jc w:val="center"/>
        <w:outlineLvl w:val="2"/>
        <w:rPr>
          <w:b/>
          <w:bCs w:val="0"/>
          <w:sz w:val="24"/>
          <w:szCs w:val="32"/>
        </w:rPr>
      </w:pPr>
      <w:bookmarkStart w:id="246" w:name="_Toc27810"/>
      <w:bookmarkStart w:id="247" w:name="_Toc4384"/>
      <w:bookmarkStart w:id="248" w:name="_Toc4180"/>
      <w:bookmarkStart w:id="249" w:name="_Toc15963"/>
      <w:bookmarkStart w:id="250" w:name="_Toc8042"/>
      <w:bookmarkStart w:id="251" w:name="_Toc22981"/>
      <w:r>
        <w:rPr>
          <w:rFonts w:hint="default"/>
          <w:b/>
          <w:bCs w:val="0"/>
          <w:sz w:val="24"/>
          <w:szCs w:val="32"/>
        </w:rPr>
        <w:t>7.3光伏发电系统电气设计</w:t>
      </w:r>
      <w:bookmarkEnd w:id="246"/>
      <w:bookmarkEnd w:id="247"/>
      <w:bookmarkEnd w:id="248"/>
      <w:bookmarkEnd w:id="249"/>
      <w:bookmarkEnd w:id="250"/>
      <w:bookmarkEnd w:id="251"/>
    </w:p>
    <w:p w14:paraId="43DC61A5">
      <w:pPr>
        <w:spacing w:beforeLines="0" w:afterLines="0" w:line="300" w:lineRule="auto"/>
        <w:rPr>
          <w:sz w:val="24"/>
        </w:rPr>
      </w:pPr>
      <w:r>
        <w:rPr>
          <w:rFonts w:hint="eastAsia"/>
          <w:b/>
          <w:bCs/>
          <w:sz w:val="24"/>
        </w:rPr>
        <w:t>7.3.1</w:t>
      </w:r>
      <w:r>
        <w:rPr>
          <w:rFonts w:hint="eastAsia"/>
          <w:sz w:val="24"/>
        </w:rPr>
        <w:t xml:space="preserve"> 建筑</w:t>
      </w:r>
      <w:r>
        <w:rPr>
          <w:sz w:val="24"/>
        </w:rPr>
        <w:t>光伏</w:t>
      </w:r>
      <w:r>
        <w:rPr>
          <w:rFonts w:hint="eastAsia"/>
          <w:sz w:val="24"/>
        </w:rPr>
        <w:t>方阵电气系统设计，包括直流系统电压等级、逆变器接入组串或子方阵数量、方阵内线缆和组间线缆敷设等应符合现行国家标准《特殊装置或场所的要求 太阳能光伏（PV）电源系统》GB/T16895.32、地方标准《光伏建筑一体化设计要求》DB11/T 2037的有关规定。</w:t>
      </w:r>
    </w:p>
    <w:p w14:paraId="63678322">
      <w:pPr>
        <w:widowControl/>
        <w:spacing w:beforeLines="0" w:afterLines="0" w:line="300" w:lineRule="auto"/>
        <w:jc w:val="left"/>
        <w:rPr>
          <w:rFonts w:hint="eastAsia" w:eastAsia="宋体"/>
          <w:kern w:val="0"/>
          <w:sz w:val="24"/>
          <w:lang w:eastAsia="zh-CN"/>
        </w:rPr>
      </w:pPr>
      <w:r>
        <w:rPr>
          <w:rFonts w:hint="eastAsia"/>
          <w:b/>
          <w:bCs/>
          <w:sz w:val="24"/>
        </w:rPr>
        <w:t>7.3.2</w:t>
      </w:r>
      <w:r>
        <w:rPr>
          <w:rFonts w:hint="eastAsia"/>
          <w:sz w:val="24"/>
        </w:rPr>
        <w:t xml:space="preserve"> 建筑</w:t>
      </w:r>
      <w:r>
        <w:rPr>
          <w:sz w:val="24"/>
        </w:rPr>
        <w:t>光伏</w:t>
      </w:r>
      <w:r>
        <w:rPr>
          <w:rFonts w:hint="eastAsia"/>
          <w:sz w:val="24"/>
        </w:rPr>
        <w:t>方阵</w:t>
      </w:r>
      <w:r>
        <w:rPr>
          <w:rFonts w:hint="eastAsia"/>
          <w:kern w:val="0"/>
          <w:sz w:val="24"/>
        </w:rPr>
        <w:t>中同一组串中各光伏组件的电性能参数宜保持一致，同一组串光伏组件的短路电流和最大工作点电流的离散性应小于±5%，并联的各组串间总开路电压和最大功率点电压的离散性应小于±5%</w:t>
      </w:r>
      <w:r>
        <w:rPr>
          <w:rFonts w:hint="eastAsia"/>
          <w:kern w:val="0"/>
          <w:sz w:val="24"/>
          <w:lang w:eastAsia="zh-CN"/>
        </w:rPr>
        <w:t>，</w:t>
      </w:r>
      <w:r>
        <w:rPr>
          <w:rFonts w:hint="eastAsia"/>
          <w:sz w:val="24"/>
          <w:lang w:val="en-US" w:eastAsia="zh-CN"/>
        </w:rPr>
        <w:t>可</w:t>
      </w:r>
      <w:r>
        <w:rPr>
          <w:rFonts w:hint="eastAsia"/>
          <w:sz w:val="24"/>
        </w:rPr>
        <w:t>根据辐射量仿真结果，进行电气组串设计</w:t>
      </w:r>
      <w:r>
        <w:rPr>
          <w:rFonts w:hint="eastAsia"/>
          <w:sz w:val="24"/>
          <w:lang w:eastAsia="zh-CN"/>
        </w:rPr>
        <w:t>。</w:t>
      </w:r>
    </w:p>
    <w:p w14:paraId="5863A492">
      <w:pPr>
        <w:widowControl/>
        <w:spacing w:beforeLines="0" w:afterLines="0" w:line="300" w:lineRule="auto"/>
        <w:jc w:val="left"/>
        <w:rPr>
          <w:kern w:val="0"/>
          <w:sz w:val="24"/>
        </w:rPr>
      </w:pPr>
      <w:r>
        <w:rPr>
          <w:rFonts w:hint="eastAsia"/>
          <w:b/>
          <w:bCs/>
          <w:sz w:val="24"/>
        </w:rPr>
        <w:t xml:space="preserve">7.3.3 </w:t>
      </w:r>
      <w:r>
        <w:rPr>
          <w:rFonts w:hint="eastAsia"/>
          <w:sz w:val="24"/>
        </w:rPr>
        <w:t>建筑</w:t>
      </w:r>
      <w:r>
        <w:rPr>
          <w:rFonts w:hint="eastAsia"/>
          <w:kern w:val="0"/>
          <w:sz w:val="24"/>
        </w:rPr>
        <w:t>光伏方阵应根据控制设备的额定直流电压、最大功率跟踪控制范围、环境温度、光伏组件的最大输出工作电压及其温度系数，确定光伏组件的串联数。光伏组件串的串联数可按下列公式计算：</w:t>
      </w: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7"/>
        <w:gridCol w:w="6177"/>
        <w:gridCol w:w="1348"/>
      </w:tblGrid>
      <w:tr w14:paraId="5A01E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997" w:type="dxa"/>
            <w:vAlign w:val="center"/>
          </w:tcPr>
          <w:p w14:paraId="270145C2">
            <w:pPr>
              <w:pStyle w:val="2"/>
              <w:spacing w:beforeLines="0" w:after="0" w:afterLines="0" w:line="300" w:lineRule="auto"/>
              <w:jc w:val="center"/>
            </w:pPr>
          </w:p>
        </w:tc>
        <w:tc>
          <w:tcPr>
            <w:tcW w:w="6177" w:type="dxa"/>
            <w:vAlign w:val="center"/>
          </w:tcPr>
          <w:p w14:paraId="3611E8CD">
            <w:pPr>
              <w:pStyle w:val="2"/>
              <w:spacing w:beforeLines="0" w:after="0" w:afterLines="0" w:line="300" w:lineRule="auto"/>
              <w:jc w:val="center"/>
            </w:pPr>
            <w:r>
              <w:rPr>
                <w:position w:val="-30"/>
              </w:rPr>
              <w:object>
                <v:shape id="_x0000_i1034" o:spt="75" type="#_x0000_t75" style="height:34.1pt;width:129.1pt;" o:ole="t" filled="f" o:preferrelative="t" stroked="f" coordsize="21600,21600">
                  <v:path/>
                  <v:fill on="f" focussize="0,0"/>
                  <v:stroke on="f" joinstyle="miter"/>
                  <v:imagedata r:id="rId38" o:title=""/>
                  <o:lock v:ext="edit" aspectratio="t"/>
                  <w10:wrap type="none"/>
                  <w10:anchorlock/>
                </v:shape>
                <o:OLEObject Type="Embed" ProgID="Equation.DSMT4" ShapeID="_x0000_i1034" DrawAspect="Content" ObjectID="_1468075734" r:id="rId37">
                  <o:LockedField>false</o:LockedField>
                </o:OLEObject>
              </w:object>
            </w:r>
          </w:p>
        </w:tc>
        <w:tc>
          <w:tcPr>
            <w:tcW w:w="1348" w:type="dxa"/>
            <w:vAlign w:val="center"/>
          </w:tcPr>
          <w:p w14:paraId="5309DA87">
            <w:pPr>
              <w:pStyle w:val="2"/>
              <w:spacing w:beforeLines="0" w:after="0" w:afterLines="0" w:line="300" w:lineRule="auto"/>
              <w:jc w:val="right"/>
            </w:pPr>
            <w:r>
              <w:rPr>
                <w:sz w:val="24"/>
              </w:rPr>
              <w:t>（</w:t>
            </w:r>
            <w:r>
              <w:rPr>
                <w:rFonts w:hint="eastAsia"/>
                <w:sz w:val="24"/>
              </w:rPr>
              <w:t>7.3.</w:t>
            </w:r>
            <w:r>
              <w:rPr>
                <w:rFonts w:hint="eastAsia"/>
                <w:sz w:val="24"/>
                <w:lang w:val="en-US" w:eastAsia="zh-CN"/>
              </w:rPr>
              <w:t>3</w:t>
            </w:r>
            <w:r>
              <w:rPr>
                <w:rFonts w:hint="eastAsia"/>
                <w:sz w:val="24"/>
              </w:rPr>
              <w:t>-1</w:t>
            </w:r>
            <w:r>
              <w:rPr>
                <w:sz w:val="24"/>
              </w:rPr>
              <w:t>）</w:t>
            </w:r>
          </w:p>
        </w:tc>
      </w:tr>
      <w:tr w14:paraId="02873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997" w:type="dxa"/>
            <w:vAlign w:val="center"/>
          </w:tcPr>
          <w:p w14:paraId="4362A28D">
            <w:pPr>
              <w:pStyle w:val="2"/>
              <w:spacing w:beforeLines="0" w:after="0" w:afterLines="0" w:line="300" w:lineRule="auto"/>
              <w:jc w:val="center"/>
            </w:pPr>
          </w:p>
        </w:tc>
        <w:tc>
          <w:tcPr>
            <w:tcW w:w="6177" w:type="dxa"/>
            <w:vAlign w:val="center"/>
          </w:tcPr>
          <w:p w14:paraId="37C4A096">
            <w:pPr>
              <w:pStyle w:val="2"/>
              <w:spacing w:beforeLines="0" w:after="0" w:afterLines="0" w:line="300" w:lineRule="auto"/>
              <w:jc w:val="center"/>
            </w:pPr>
            <w:r>
              <w:rPr>
                <w:position w:val="-32"/>
              </w:rPr>
              <w:object>
                <v:shape id="_x0000_i1035" o:spt="75" type="#_x0000_t75" style="height:36.95pt;width:275.05pt;" o:ole="t" filled="f" o:preferrelative="t" stroked="f" coordsize="21600,21600">
                  <v:path/>
                  <v:fill on="f" focussize="0,0"/>
                  <v:stroke on="f" joinstyle="miter"/>
                  <v:imagedata r:id="rId40" o:title=""/>
                  <o:lock v:ext="edit" aspectratio="t"/>
                  <w10:wrap type="none"/>
                  <w10:anchorlock/>
                </v:shape>
                <o:OLEObject Type="Embed" ProgID="Equation.DSMT4" ShapeID="_x0000_i1035" DrawAspect="Content" ObjectID="_1468075735" r:id="rId39">
                  <o:LockedField>false</o:LockedField>
                </o:OLEObject>
              </w:object>
            </w:r>
          </w:p>
        </w:tc>
        <w:tc>
          <w:tcPr>
            <w:tcW w:w="1348" w:type="dxa"/>
            <w:vAlign w:val="center"/>
          </w:tcPr>
          <w:p w14:paraId="102AC170">
            <w:pPr>
              <w:pStyle w:val="2"/>
              <w:spacing w:beforeLines="0" w:after="0" w:afterLines="0" w:line="300" w:lineRule="auto"/>
              <w:jc w:val="right"/>
              <w:rPr>
                <w:sz w:val="24"/>
              </w:rPr>
            </w:pPr>
            <w:r>
              <w:rPr>
                <w:sz w:val="24"/>
              </w:rPr>
              <w:t>（</w:t>
            </w:r>
            <w:r>
              <w:rPr>
                <w:rFonts w:hint="eastAsia"/>
                <w:sz w:val="24"/>
              </w:rPr>
              <w:t>7.3.</w:t>
            </w:r>
            <w:r>
              <w:rPr>
                <w:rFonts w:hint="eastAsia"/>
                <w:sz w:val="24"/>
                <w:lang w:val="en-US" w:eastAsia="zh-CN"/>
              </w:rPr>
              <w:t>3</w:t>
            </w:r>
            <w:r>
              <w:rPr>
                <w:rFonts w:hint="eastAsia"/>
                <w:sz w:val="24"/>
              </w:rPr>
              <w:t>-2</w:t>
            </w:r>
            <w:r>
              <w:rPr>
                <w:sz w:val="24"/>
              </w:rPr>
              <w:t>）</w:t>
            </w:r>
          </w:p>
        </w:tc>
      </w:tr>
    </w:tbl>
    <w:p w14:paraId="0CCA69FC">
      <w:pPr>
        <w:spacing w:beforeLines="0" w:afterLines="0" w:line="300" w:lineRule="auto"/>
        <w:rPr>
          <w:sz w:val="24"/>
        </w:rPr>
      </w:pPr>
      <w:r>
        <w:rPr>
          <w:sz w:val="24"/>
        </w:rPr>
        <w:t>式中：</w:t>
      </w:r>
    </w:p>
    <w:p w14:paraId="20B17B1D">
      <w:pPr>
        <w:spacing w:beforeLines="0" w:afterLines="0" w:line="300" w:lineRule="auto"/>
        <w:ind w:firstLine="420" w:firstLineChars="200"/>
        <w:rPr>
          <w:sz w:val="24"/>
        </w:rPr>
      </w:pPr>
      <w:r>
        <w:rPr>
          <w:position w:val="-12"/>
        </w:rPr>
        <w:object>
          <v:shape id="_x0000_i1036" o:spt="75" type="#_x0000_t75" style="height:18.25pt;width:15.85pt;" o:ole="t" filled="f" o:preferrelative="t" stroked="f" coordsize="21600,21600">
            <v:path/>
            <v:fill on="f" focussize="0,0"/>
            <v:stroke on="f" joinstyle="miter"/>
            <v:imagedata r:id="rId42" o:title=""/>
            <o:lock v:ext="edit" aspectratio="t"/>
            <w10:wrap type="none"/>
            <w10:anchorlock/>
          </v:shape>
          <o:OLEObject Type="Embed" ProgID="Equation.DSMT4" ShapeID="_x0000_i1036" DrawAspect="Content" ObjectID="_1468075736" r:id="rId41">
            <o:LockedField>false</o:LockedField>
          </o:OLEObject>
        </w:object>
      </w:r>
      <w:r>
        <w:rPr>
          <w:sz w:val="24"/>
        </w:rPr>
        <w:t>——光伏组件的开路电压温度系数；</w:t>
      </w:r>
    </w:p>
    <w:p w14:paraId="69534CD3">
      <w:pPr>
        <w:spacing w:beforeLines="0" w:afterLines="0" w:line="300" w:lineRule="auto"/>
        <w:ind w:firstLine="420" w:firstLineChars="200"/>
        <w:rPr>
          <w:sz w:val="24"/>
        </w:rPr>
      </w:pPr>
      <w:r>
        <w:rPr>
          <w:position w:val="-12"/>
        </w:rPr>
        <w:object>
          <v:shape id="_x0000_i1037" o:spt="75" type="#_x0000_t75" style="height:19.2pt;width:15.85pt;" o:ole="t" filled="f" o:preferrelative="t" stroked="f" coordsize="21600,21600">
            <v:path/>
            <v:fill on="f" focussize="0,0"/>
            <v:stroke on="f" joinstyle="miter"/>
            <v:imagedata r:id="rId44" o:title=""/>
            <o:lock v:ext="edit" aspectratio="t"/>
            <w10:wrap type="none"/>
            <w10:anchorlock/>
          </v:shape>
          <o:OLEObject Type="Embed" ProgID="Equation.DSMT4" ShapeID="_x0000_i1037" DrawAspect="Content" ObjectID="_1468075737" r:id="rId43">
            <o:LockedField>false</o:LockedField>
          </o:OLEObject>
        </w:object>
      </w:r>
      <w:r>
        <w:rPr>
          <w:sz w:val="24"/>
        </w:rPr>
        <w:t>——光伏组件的工作电压温度系数；</w:t>
      </w:r>
    </w:p>
    <w:p w14:paraId="06C219B5">
      <w:pPr>
        <w:spacing w:beforeLines="0" w:afterLines="0" w:line="300" w:lineRule="auto"/>
        <w:ind w:firstLine="420" w:firstLineChars="200"/>
        <w:rPr>
          <w:sz w:val="24"/>
        </w:rPr>
      </w:pPr>
      <w:r>
        <w:rPr>
          <w:position w:val="-12"/>
        </w:rPr>
        <w:object>
          <v:shape id="_x0000_i1038" o:spt="75" type="#_x0000_t75" style="height:18.25pt;width:15.85pt;" o:ole="t" filled="f" o:preferrelative="t" stroked="f" coordsize="21600,21600">
            <v:path/>
            <v:fill on="f" focussize="0,0"/>
            <v:stroke on="f" joinstyle="miter"/>
            <v:imagedata r:id="rId46" o:title=""/>
            <o:lock v:ext="edit" aspectratio="t"/>
            <w10:wrap type="none"/>
            <w10:anchorlock/>
          </v:shape>
          <o:OLEObject Type="Embed" ProgID="Equation.DSMT4" ShapeID="_x0000_i1038" DrawAspect="Content" ObjectID="_1468075738" r:id="rId45">
            <o:LockedField>false</o:LockedField>
          </o:OLEObject>
        </w:object>
      </w:r>
      <w:r>
        <w:rPr>
          <w:sz w:val="24"/>
        </w:rPr>
        <w:t>——光伏组件的串联数（</w:t>
      </w:r>
      <w:r>
        <w:rPr>
          <w:position w:val="-12"/>
        </w:rPr>
        <w:object>
          <v:shape id="_x0000_i1039" o:spt="75" type="#_x0000_t75" style="height:18.25pt;width:15.85pt;" o:ole="t" filled="f" o:preferrelative="t" stroked="f" coordsize="21600,21600">
            <v:path/>
            <v:fill on="f" focussize="0,0"/>
            <v:stroke on="f" joinstyle="miter"/>
            <v:imagedata r:id="rId48" o:title=""/>
            <o:lock v:ext="edit" aspectratio="t"/>
            <w10:wrap type="none"/>
            <w10:anchorlock/>
          </v:shape>
          <o:OLEObject Type="Embed" ProgID="Equation.DSMT4" ShapeID="_x0000_i1039" DrawAspect="Content" ObjectID="_1468075739" r:id="rId47">
            <o:LockedField>false</o:LockedField>
          </o:OLEObject>
        </w:object>
      </w:r>
      <w:r>
        <w:rPr>
          <w:sz w:val="24"/>
        </w:rPr>
        <w:t>取整）；</w:t>
      </w:r>
    </w:p>
    <w:p w14:paraId="62049A00">
      <w:pPr>
        <w:spacing w:beforeLines="0" w:afterLines="0" w:line="300" w:lineRule="auto"/>
        <w:ind w:firstLine="420" w:firstLineChars="200"/>
        <w:rPr>
          <w:sz w:val="24"/>
        </w:rPr>
      </w:pPr>
      <w:r>
        <w:rPr>
          <w:position w:val="-12"/>
        </w:rPr>
        <w:object>
          <v:shape id="_x0000_i1040" o:spt="75" type="#_x0000_t75" style="height:18.25pt;width:18.25pt;" o:ole="t" filled="f" o:preferrelative="t" stroked="f" coordsize="21600,21600">
            <v:path/>
            <v:fill on="f" focussize="0,0"/>
            <v:stroke on="f" joinstyle="miter"/>
            <v:imagedata r:id="rId50" o:title=""/>
            <o:lock v:ext="edit" aspectratio="t"/>
            <w10:wrap type="none"/>
            <w10:anchorlock/>
          </v:shape>
          <o:OLEObject Type="Embed" ProgID="Equation.DSMT4" ShapeID="_x0000_i1040" DrawAspect="Content" ObjectID="_1468075740" r:id="rId49">
            <o:LockedField>false</o:LockedField>
          </o:OLEObject>
        </w:object>
      </w:r>
      <w:r>
        <w:rPr>
          <w:sz w:val="24"/>
        </w:rPr>
        <w:t>——光伏组件工作条件下的极限低温（</w:t>
      </w:r>
      <w:r>
        <w:rPr>
          <w:position w:val="-6"/>
        </w:rPr>
        <w:object>
          <v:shape id="_x0000_i1041" o:spt="75" type="#_x0000_t75" style="height:15.85pt;width:15.85pt;" o:ole="t" filled="f" o:preferrelative="t" stroked="f" coordsize="21600,21600">
            <v:path/>
            <v:fill on="f" focussize="0,0"/>
            <v:stroke on="f" joinstyle="miter"/>
            <v:imagedata r:id="rId52" o:title=""/>
            <o:lock v:ext="edit" aspectratio="t"/>
            <w10:wrap type="none"/>
            <w10:anchorlock/>
          </v:shape>
          <o:OLEObject Type="Embed" ProgID="Equation.DSMT4" ShapeID="_x0000_i1041" DrawAspect="Content" ObjectID="_1468075741" r:id="rId51">
            <o:LockedField>false</o:LockedField>
          </o:OLEObject>
        </w:object>
      </w:r>
      <w:r>
        <w:rPr>
          <w:sz w:val="24"/>
        </w:rPr>
        <w:t>）；</w:t>
      </w:r>
    </w:p>
    <w:p w14:paraId="7F575A25">
      <w:pPr>
        <w:spacing w:beforeLines="0" w:afterLines="0" w:line="300" w:lineRule="auto"/>
        <w:ind w:firstLine="420" w:firstLineChars="200"/>
        <w:rPr>
          <w:sz w:val="24"/>
        </w:rPr>
      </w:pPr>
      <w:r>
        <w:rPr>
          <w:position w:val="-12"/>
        </w:rPr>
        <w:object>
          <v:shape id="_x0000_i1042" o:spt="75" type="#_x0000_t75" style="height:18.25pt;width:19.2pt;" o:ole="t" filled="f" o:preferrelative="t" stroked="f" coordsize="21600,21600">
            <v:path/>
            <v:fill on="f" focussize="0,0"/>
            <v:stroke on="f" joinstyle="miter"/>
            <v:imagedata r:id="rId54" o:title=""/>
            <o:lock v:ext="edit" aspectratio="t"/>
            <w10:wrap type="none"/>
            <w10:anchorlock/>
          </v:shape>
          <o:OLEObject Type="Embed" ProgID="Equation.DSMT4" ShapeID="_x0000_i1042" DrawAspect="Content" ObjectID="_1468075742" r:id="rId53">
            <o:LockedField>false</o:LockedField>
          </o:OLEObject>
        </w:object>
      </w:r>
      <w:r>
        <w:rPr>
          <w:sz w:val="24"/>
        </w:rPr>
        <w:t>——光伏组件工作条件下的极限高温（</w:t>
      </w:r>
      <w:r>
        <w:rPr>
          <w:position w:val="-6"/>
        </w:rPr>
        <w:object>
          <v:shape id="_x0000_i1043" o:spt="75" type="#_x0000_t75" style="height:15.85pt;width:15.85pt;" o:ole="t" filled="f" o:preferrelative="t" stroked="f" coordsize="21600,21600">
            <v:path/>
            <v:fill on="f" focussize="0,0"/>
            <v:stroke on="f" joinstyle="miter"/>
            <v:imagedata r:id="rId52" o:title=""/>
            <o:lock v:ext="edit" aspectratio="t"/>
            <w10:wrap type="none"/>
            <w10:anchorlock/>
          </v:shape>
          <o:OLEObject Type="Embed" ProgID="Equation.DSMT4" ShapeID="_x0000_i1043" DrawAspect="Content" ObjectID="_1468075743" r:id="rId55">
            <o:LockedField>false</o:LockedField>
          </o:OLEObject>
        </w:object>
      </w:r>
      <w:r>
        <w:rPr>
          <w:sz w:val="24"/>
        </w:rPr>
        <w:t>）；</w:t>
      </w:r>
    </w:p>
    <w:p w14:paraId="08468385">
      <w:pPr>
        <w:spacing w:beforeLines="0" w:afterLines="0" w:line="300" w:lineRule="auto"/>
        <w:ind w:firstLine="420" w:firstLineChars="200"/>
        <w:rPr>
          <w:sz w:val="24"/>
        </w:rPr>
      </w:pPr>
      <w:r>
        <w:rPr>
          <w:position w:val="-12"/>
        </w:rPr>
        <w:object>
          <v:shape id="_x0000_i1044" o:spt="75" type="#_x0000_t75" style="height:18.25pt;width:28.8pt;" o:ole="t" filled="f" o:preferrelative="t" stroked="f" coordsize="21600,21600">
            <v:path/>
            <v:fill on="f" focussize="0,0"/>
            <v:stroke on="f" joinstyle="miter"/>
            <v:imagedata r:id="rId57" o:title=""/>
            <o:lock v:ext="edit" aspectratio="t"/>
            <w10:wrap type="none"/>
            <w10:anchorlock/>
          </v:shape>
          <o:OLEObject Type="Embed" ProgID="Equation.DSMT4" ShapeID="_x0000_i1044" DrawAspect="Content" ObjectID="_1468075744" r:id="rId56">
            <o:LockedField>false</o:LockedField>
          </o:OLEObject>
        </w:object>
      </w:r>
      <w:r>
        <w:rPr>
          <w:sz w:val="24"/>
        </w:rPr>
        <w:t>——逆变器允许的最大直流输入电压（V）；</w:t>
      </w:r>
    </w:p>
    <w:p w14:paraId="65F85B4F">
      <w:pPr>
        <w:spacing w:beforeLines="0" w:afterLines="0" w:line="300" w:lineRule="auto"/>
        <w:ind w:firstLine="420" w:firstLineChars="200"/>
        <w:rPr>
          <w:sz w:val="24"/>
        </w:rPr>
      </w:pPr>
      <w:r>
        <w:rPr>
          <w:position w:val="-14"/>
        </w:rPr>
        <w:object>
          <v:shape id="_x0000_i1045" o:spt="75" type="#_x0000_t75" style="height:19.2pt;width:36.95pt;" o:ole="t" filled="f" o:preferrelative="t" stroked="f" coordsize="21600,21600">
            <v:path/>
            <v:fill on="f" focussize="0,0"/>
            <v:stroke on="f" joinstyle="miter"/>
            <v:imagedata r:id="rId59" o:title=""/>
            <o:lock v:ext="edit" aspectratio="t"/>
            <w10:wrap type="none"/>
            <w10:anchorlock/>
          </v:shape>
          <o:OLEObject Type="Embed" ProgID="Equation.DSMT4" ShapeID="_x0000_i1045" DrawAspect="Content" ObjectID="_1468075745" r:id="rId58">
            <o:LockedField>false</o:LockedField>
          </o:OLEObject>
        </w:object>
      </w:r>
      <w:r>
        <w:rPr>
          <w:sz w:val="24"/>
        </w:rPr>
        <w:t>——逆变器MPPT电压最大值（V）；</w:t>
      </w:r>
    </w:p>
    <w:p w14:paraId="22C86458">
      <w:pPr>
        <w:spacing w:beforeLines="0" w:afterLines="0" w:line="300" w:lineRule="auto"/>
        <w:ind w:firstLine="420" w:firstLineChars="200"/>
        <w:rPr>
          <w:sz w:val="24"/>
        </w:rPr>
      </w:pPr>
      <w:r>
        <w:rPr>
          <w:position w:val="-14"/>
        </w:rPr>
        <w:object>
          <v:shape id="_x0000_i1046" o:spt="75" type="#_x0000_t75" style="height:19.2pt;width:36pt;" o:ole="t" filled="f" o:preferrelative="t" stroked="f" coordsize="21600,21600">
            <v:path/>
            <v:fill on="f" focussize="0,0"/>
            <v:stroke on="f" joinstyle="miter"/>
            <v:imagedata r:id="rId61" o:title=""/>
            <o:lock v:ext="edit" aspectratio="t"/>
            <w10:wrap type="none"/>
            <w10:anchorlock/>
          </v:shape>
          <o:OLEObject Type="Embed" ProgID="Equation.DSMT4" ShapeID="_x0000_i1046" DrawAspect="Content" ObjectID="_1468075746" r:id="rId60">
            <o:LockedField>false</o:LockedField>
          </o:OLEObject>
        </w:object>
      </w:r>
      <w:r>
        <w:rPr>
          <w:sz w:val="24"/>
        </w:rPr>
        <w:t>——逆变器MPPT电压最小值（V）；</w:t>
      </w:r>
    </w:p>
    <w:p w14:paraId="1E6DDD35">
      <w:pPr>
        <w:spacing w:beforeLines="0" w:afterLines="0" w:line="300" w:lineRule="auto"/>
        <w:ind w:firstLine="420" w:firstLineChars="200"/>
        <w:rPr>
          <w:sz w:val="24"/>
        </w:rPr>
      </w:pPr>
      <w:r>
        <w:rPr>
          <w:position w:val="-12"/>
        </w:rPr>
        <w:object>
          <v:shape id="_x0000_i1047" o:spt="75" type="#_x0000_t75" style="height:18.25pt;width:15.85pt;" o:ole="t" filled="f" o:preferrelative="t" stroked="f" coordsize="21600,21600">
            <v:path/>
            <v:fill on="f" focussize="0,0"/>
            <v:stroke on="f" joinstyle="miter"/>
            <v:imagedata r:id="rId63" o:title=""/>
            <o:lock v:ext="edit" aspectratio="t"/>
            <w10:wrap type="none"/>
            <w10:anchorlock/>
          </v:shape>
          <o:OLEObject Type="Embed" ProgID="Equation.DSMT4" ShapeID="_x0000_i1047" DrawAspect="Content" ObjectID="_1468075747" r:id="rId62">
            <o:LockedField>false</o:LockedField>
          </o:OLEObject>
        </w:object>
      </w:r>
      <w:r>
        <w:rPr>
          <w:sz w:val="24"/>
        </w:rPr>
        <w:t>——光伏组件的开路电压（V）；</w:t>
      </w:r>
    </w:p>
    <w:p w14:paraId="0CAFDC40">
      <w:pPr>
        <w:spacing w:beforeLines="0" w:afterLines="0" w:line="300" w:lineRule="auto"/>
        <w:ind w:firstLine="420" w:firstLineChars="200"/>
        <w:rPr>
          <w:rFonts w:hint="eastAsia" w:eastAsia="宋体"/>
          <w:sz w:val="24"/>
          <w:lang w:eastAsia="zh-CN"/>
        </w:rPr>
      </w:pPr>
      <w:r>
        <w:rPr>
          <w:position w:val="-14"/>
        </w:rPr>
        <w:object>
          <v:shape id="_x0000_i1048" o:spt="75" type="#_x0000_t75" style="height:19.2pt;width:19.2pt;" o:ole="t" filled="f" o:preferrelative="t" stroked="f" coordsize="21600,21600">
            <v:path/>
            <v:fill on="f" focussize="0,0"/>
            <v:stroke on="f" joinstyle="miter"/>
            <v:imagedata r:id="rId65" o:title=""/>
            <o:lock v:ext="edit" aspectratio="t"/>
            <w10:wrap type="none"/>
            <w10:anchorlock/>
          </v:shape>
          <o:OLEObject Type="Embed" ProgID="Equation.DSMT4" ShapeID="_x0000_i1048" DrawAspect="Content" ObjectID="_1468075748" r:id="rId64">
            <o:LockedField>false</o:LockedField>
          </o:OLEObject>
        </w:object>
      </w:r>
      <w:r>
        <w:rPr>
          <w:sz w:val="24"/>
        </w:rPr>
        <w:t>——光伏组件的工作电压（V）</w:t>
      </w:r>
      <w:r>
        <w:rPr>
          <w:rFonts w:hint="eastAsia"/>
          <w:sz w:val="24"/>
          <w:lang w:val="en-US" w:eastAsia="zh-CN"/>
        </w:rPr>
        <w:t>。</w:t>
      </w:r>
    </w:p>
    <w:p w14:paraId="64EC3F38">
      <w:pPr>
        <w:widowControl/>
        <w:spacing w:beforeLines="0" w:afterLines="0" w:line="300" w:lineRule="auto"/>
        <w:jc w:val="left"/>
        <w:rPr>
          <w:kern w:val="0"/>
          <w:sz w:val="24"/>
        </w:rPr>
      </w:pPr>
      <w:r>
        <w:rPr>
          <w:rFonts w:hint="eastAsia"/>
          <w:b/>
          <w:bCs/>
          <w:sz w:val="24"/>
        </w:rPr>
        <w:t>7.3.4</w:t>
      </w:r>
      <w:r>
        <w:rPr>
          <w:rFonts w:hint="eastAsia"/>
          <w:sz w:val="24"/>
        </w:rPr>
        <w:t xml:space="preserve"> 建筑</w:t>
      </w:r>
      <w:r>
        <w:rPr>
          <w:rFonts w:hint="eastAsia"/>
          <w:kern w:val="0"/>
          <w:sz w:val="24"/>
        </w:rPr>
        <w:t>光伏组件串的并联数应根据总装机容量及光伏组件串的容量确定。光伏组件并联数可按下式计算：</w:t>
      </w: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40"/>
        <w:gridCol w:w="2841"/>
        <w:gridCol w:w="2841"/>
      </w:tblGrid>
      <w:tr w14:paraId="7A343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840" w:type="dxa"/>
            <w:vAlign w:val="center"/>
          </w:tcPr>
          <w:p w14:paraId="653C69CA">
            <w:pPr>
              <w:pStyle w:val="2"/>
              <w:spacing w:beforeLines="0" w:after="0" w:afterLines="0" w:line="300" w:lineRule="auto"/>
              <w:jc w:val="center"/>
            </w:pPr>
          </w:p>
        </w:tc>
        <w:tc>
          <w:tcPr>
            <w:tcW w:w="2841" w:type="dxa"/>
            <w:vAlign w:val="center"/>
          </w:tcPr>
          <w:p w14:paraId="684B752C">
            <w:pPr>
              <w:pStyle w:val="2"/>
              <w:spacing w:beforeLines="0" w:after="0" w:afterLines="0" w:line="300" w:lineRule="auto"/>
              <w:jc w:val="center"/>
            </w:pPr>
            <w:r>
              <w:rPr>
                <w:position w:val="-30"/>
              </w:rPr>
              <w:object>
                <v:shape id="_x0000_i1049" o:spt="75" type="#_x0000_t75" style="height:34.1pt;width:68.15pt;" o:ole="t" filled="f" o:preferrelative="t" stroked="f" coordsize="21600,21600">
                  <v:path/>
                  <v:fill on="f" focussize="0,0"/>
                  <v:stroke on="f" joinstyle="miter"/>
                  <v:imagedata r:id="rId67" o:title=""/>
                  <o:lock v:ext="edit" aspectratio="t"/>
                  <w10:wrap type="none"/>
                  <w10:anchorlock/>
                </v:shape>
                <o:OLEObject Type="Embed" ProgID="Equation.DSMT4" ShapeID="_x0000_i1049" DrawAspect="Content" ObjectID="_1468075749" r:id="rId66">
                  <o:LockedField>false</o:LockedField>
                </o:OLEObject>
              </w:object>
            </w:r>
          </w:p>
        </w:tc>
        <w:tc>
          <w:tcPr>
            <w:tcW w:w="2841" w:type="dxa"/>
            <w:vAlign w:val="center"/>
          </w:tcPr>
          <w:p w14:paraId="63233719">
            <w:pPr>
              <w:pStyle w:val="2"/>
              <w:spacing w:beforeLines="0" w:after="0" w:afterLines="0" w:line="300" w:lineRule="auto"/>
              <w:jc w:val="right"/>
            </w:pPr>
            <w:r>
              <w:rPr>
                <w:sz w:val="24"/>
              </w:rPr>
              <w:t>（</w:t>
            </w:r>
            <w:r>
              <w:rPr>
                <w:rFonts w:hint="eastAsia"/>
                <w:sz w:val="24"/>
              </w:rPr>
              <w:t>7.3.</w:t>
            </w:r>
            <w:r>
              <w:rPr>
                <w:rFonts w:hint="eastAsia"/>
                <w:sz w:val="24"/>
                <w:lang w:val="en-US" w:eastAsia="zh-CN"/>
              </w:rPr>
              <w:t>4</w:t>
            </w:r>
            <w:r>
              <w:rPr>
                <w:sz w:val="24"/>
              </w:rPr>
              <w:t>）</w:t>
            </w:r>
          </w:p>
        </w:tc>
      </w:tr>
    </w:tbl>
    <w:p w14:paraId="36FD9EAE">
      <w:pPr>
        <w:spacing w:beforeLines="0" w:afterLines="0" w:line="300" w:lineRule="auto"/>
        <w:rPr>
          <w:sz w:val="24"/>
        </w:rPr>
      </w:pPr>
      <w:r>
        <w:rPr>
          <w:sz w:val="24"/>
        </w:rPr>
        <w:t>式中：</w:t>
      </w:r>
    </w:p>
    <w:p w14:paraId="55FE4132">
      <w:pPr>
        <w:spacing w:beforeLines="0" w:afterLines="0" w:line="300" w:lineRule="auto"/>
        <w:ind w:firstLine="420" w:firstLineChars="200"/>
        <w:rPr>
          <w:sz w:val="24"/>
        </w:rPr>
      </w:pPr>
      <w:r>
        <w:rPr>
          <w:position w:val="-14"/>
        </w:rPr>
        <w:object>
          <v:shape id="_x0000_i1050" o:spt="75" type="#_x0000_t75" style="height:19.2pt;width:18.25pt;" o:ole="t" filled="f" o:preferrelative="t" stroked="f" coordsize="21600,21600">
            <v:path/>
            <v:fill on="f" focussize="0,0"/>
            <v:stroke on="f" joinstyle="miter"/>
            <v:imagedata r:id="rId69" o:title=""/>
            <o:lock v:ext="edit" aspectratio="t"/>
            <w10:wrap type="none"/>
            <w10:anchorlock/>
          </v:shape>
          <o:OLEObject Type="Embed" ProgID="Equation.DSMT4" ShapeID="_x0000_i1050" DrawAspect="Content" ObjectID="_1468075750" r:id="rId68">
            <o:LockedField>false</o:LockedField>
          </o:OLEObject>
        </w:object>
      </w:r>
      <w:r>
        <w:rPr>
          <w:sz w:val="24"/>
        </w:rPr>
        <w:t>——光伏组件并联个数；</w:t>
      </w:r>
    </w:p>
    <w:p w14:paraId="05D866C1">
      <w:pPr>
        <w:spacing w:beforeLines="0" w:afterLines="0" w:line="300" w:lineRule="auto"/>
        <w:ind w:firstLine="420" w:firstLineChars="200"/>
        <w:rPr>
          <w:sz w:val="24"/>
        </w:rPr>
      </w:pPr>
      <w:r>
        <w:rPr>
          <w:position w:val="-12"/>
        </w:rPr>
        <w:object>
          <v:shape id="_x0000_i1051" o:spt="75" type="#_x0000_t75" style="height:18.25pt;width:12.95pt;" o:ole="t" filled="f" o:preferrelative="t" stroked="f" coordsize="21600,21600">
            <v:path/>
            <v:fill on="f" focussize="0,0"/>
            <v:stroke on="f" joinstyle="miter"/>
            <v:imagedata r:id="rId71" o:title=""/>
            <o:lock v:ext="edit" aspectratio="t"/>
            <w10:wrap type="none"/>
            <w10:anchorlock/>
          </v:shape>
          <o:OLEObject Type="Embed" ProgID="Equation.DSMT4" ShapeID="_x0000_i1051" DrawAspect="Content" ObjectID="_1468075751" r:id="rId70">
            <o:LockedField>false</o:LockedField>
          </o:OLEObject>
        </w:object>
      </w:r>
      <w:r>
        <w:rPr>
          <w:sz w:val="24"/>
        </w:rPr>
        <w:t>——系统输出总功率（Wp）；</w:t>
      </w:r>
    </w:p>
    <w:p w14:paraId="477F1112">
      <w:pPr>
        <w:spacing w:beforeLines="0" w:afterLines="0" w:line="300" w:lineRule="auto"/>
        <w:ind w:firstLine="420" w:firstLineChars="200"/>
        <w:rPr>
          <w:sz w:val="24"/>
        </w:rPr>
      </w:pPr>
      <w:r>
        <w:rPr>
          <w:position w:val="-12"/>
        </w:rPr>
        <w:object>
          <v:shape id="_x0000_i1052" o:spt="75" type="#_x0000_t75" style="height:18.25pt;width:14.9pt;" o:ole="t" filled="f" o:preferrelative="t" stroked="f" coordsize="21600,21600">
            <v:path/>
            <v:fill on="f" focussize="0,0"/>
            <v:stroke on="f" joinstyle="miter"/>
            <v:imagedata r:id="rId73" o:title=""/>
            <o:lock v:ext="edit" aspectratio="t"/>
            <w10:wrap type="none"/>
            <w10:anchorlock/>
          </v:shape>
          <o:OLEObject Type="Embed" ProgID="Equation.DSMT4" ShapeID="_x0000_i1052" DrawAspect="Content" ObjectID="_1468075752" r:id="rId72">
            <o:LockedField>false</o:LockedField>
          </o:OLEObject>
        </w:object>
      </w:r>
      <w:r>
        <w:rPr>
          <w:sz w:val="24"/>
        </w:rPr>
        <w:t>——单个组件最大输出功率（Wp）；</w:t>
      </w:r>
    </w:p>
    <w:p w14:paraId="59841443">
      <w:pPr>
        <w:spacing w:beforeLines="0" w:afterLines="0" w:line="300" w:lineRule="auto"/>
        <w:ind w:firstLine="420" w:firstLineChars="200"/>
        <w:rPr>
          <w:sz w:val="24"/>
        </w:rPr>
      </w:pPr>
      <w:r>
        <w:rPr>
          <w:position w:val="-12"/>
        </w:rPr>
        <w:object>
          <v:shape id="_x0000_i1053" o:spt="75" type="#_x0000_t75" style="height:18.25pt;width:15.85pt;" o:ole="t" filled="f" o:preferrelative="t" stroked="f" coordsize="21600,21600">
            <v:path/>
            <v:fill on="f" focussize="0,0"/>
            <v:stroke on="f" joinstyle="miter"/>
            <v:imagedata r:id="rId75" o:title=""/>
            <o:lock v:ext="edit" aspectratio="t"/>
            <w10:wrap type="none"/>
            <w10:anchorlock/>
          </v:shape>
          <o:OLEObject Type="Embed" ProgID="Equation.DSMT4" ShapeID="_x0000_i1053" DrawAspect="Content" ObjectID="_1468075753" r:id="rId74">
            <o:LockedField>false</o:LockedField>
          </o:OLEObject>
        </w:object>
      </w:r>
      <w:r>
        <w:rPr>
          <w:sz w:val="24"/>
        </w:rPr>
        <w:t>——组件串联个数。</w:t>
      </w:r>
    </w:p>
    <w:p w14:paraId="77AB516B">
      <w:pPr>
        <w:pStyle w:val="2"/>
        <w:spacing w:beforeLines="0" w:after="0" w:afterLines="0" w:line="300" w:lineRule="auto"/>
        <w:rPr>
          <w:sz w:val="24"/>
        </w:rPr>
      </w:pPr>
      <w:r>
        <w:rPr>
          <w:rFonts w:hint="eastAsia"/>
          <w:b/>
          <w:bCs/>
          <w:sz w:val="24"/>
        </w:rPr>
        <w:t>7.3.</w:t>
      </w:r>
      <w:r>
        <w:rPr>
          <w:rFonts w:hint="eastAsia"/>
          <w:b/>
          <w:bCs/>
          <w:sz w:val="24"/>
          <w:lang w:val="en-US" w:eastAsia="zh-CN"/>
        </w:rPr>
        <w:t>5</w:t>
      </w:r>
      <w:r>
        <w:rPr>
          <w:rFonts w:hint="eastAsia"/>
          <w:b/>
          <w:bCs/>
          <w:sz w:val="24"/>
        </w:rPr>
        <w:t xml:space="preserve"> </w:t>
      </w:r>
      <w:r>
        <w:rPr>
          <w:rFonts w:hint="eastAsia"/>
          <w:sz w:val="24"/>
        </w:rPr>
        <w:t>建筑光伏发电系统的变压器及配电设备的选型、结构与布置等应符合现行国家标准《建筑光伏系统应用技术标准》GB/T 51368的有关规定。</w:t>
      </w:r>
    </w:p>
    <w:p w14:paraId="25DF21F0">
      <w:pPr>
        <w:pStyle w:val="2"/>
        <w:spacing w:beforeLines="0" w:after="0" w:afterLines="0" w:line="300" w:lineRule="auto"/>
        <w:rPr>
          <w:sz w:val="24"/>
        </w:rPr>
      </w:pPr>
      <w:r>
        <w:rPr>
          <w:rFonts w:hint="eastAsia"/>
          <w:b/>
          <w:bCs/>
          <w:sz w:val="24"/>
        </w:rPr>
        <w:t>7.3.</w:t>
      </w:r>
      <w:r>
        <w:rPr>
          <w:rFonts w:hint="eastAsia"/>
          <w:b/>
          <w:bCs/>
          <w:sz w:val="24"/>
          <w:lang w:val="en-US" w:eastAsia="zh-CN"/>
        </w:rPr>
        <w:t>6</w:t>
      </w:r>
      <w:r>
        <w:rPr>
          <w:rFonts w:hint="eastAsia"/>
          <w:sz w:val="24"/>
        </w:rPr>
        <w:t xml:space="preserve"> 建筑光伏发电系统的电缆敷设应符合现行国家标准《建筑光伏系统应用技术标准》GB/T 51368的有关规定。</w:t>
      </w:r>
    </w:p>
    <w:p w14:paraId="2047E868">
      <w:pPr>
        <w:keepNext/>
        <w:keepLines/>
        <w:snapToGrid w:val="0"/>
        <w:spacing w:before="0" w:beforeLines="0" w:after="0" w:afterLines="0" w:line="300" w:lineRule="auto"/>
        <w:jc w:val="center"/>
        <w:outlineLvl w:val="2"/>
        <w:rPr>
          <w:b/>
          <w:sz w:val="24"/>
          <w:szCs w:val="32"/>
        </w:rPr>
      </w:pPr>
      <w:bookmarkStart w:id="252" w:name="_Toc12206"/>
      <w:bookmarkStart w:id="253" w:name="_Toc11112"/>
      <w:bookmarkStart w:id="254" w:name="_Toc10020"/>
      <w:bookmarkStart w:id="255" w:name="_Toc14311"/>
      <w:bookmarkStart w:id="256" w:name="_Toc20501"/>
      <w:bookmarkStart w:id="257" w:name="_Toc24955"/>
      <w:r>
        <w:rPr>
          <w:rFonts w:hint="default"/>
          <w:b/>
          <w:sz w:val="24"/>
          <w:szCs w:val="32"/>
        </w:rPr>
        <w:t>7.4光伏发电系统发电量估算</w:t>
      </w:r>
      <w:bookmarkEnd w:id="252"/>
      <w:bookmarkEnd w:id="253"/>
      <w:bookmarkEnd w:id="254"/>
      <w:bookmarkEnd w:id="255"/>
      <w:bookmarkEnd w:id="256"/>
      <w:bookmarkEnd w:id="257"/>
    </w:p>
    <w:p w14:paraId="4D37A9B8">
      <w:pPr>
        <w:spacing w:beforeLines="0" w:afterLines="0" w:line="300" w:lineRule="auto"/>
        <w:rPr>
          <w:sz w:val="24"/>
        </w:rPr>
      </w:pPr>
      <w:r>
        <w:rPr>
          <w:rFonts w:hint="eastAsia"/>
          <w:b/>
          <w:bCs/>
          <w:sz w:val="24"/>
        </w:rPr>
        <w:t>7.4.1</w:t>
      </w:r>
      <w:r>
        <w:rPr>
          <w:rFonts w:hint="eastAsia"/>
          <w:sz w:val="24"/>
        </w:rPr>
        <w:t xml:space="preserve"> 光伏系统分单元发电量估算应根据站址所在地的太阳能资源情况并考虑光伏系统设计、光伏方阵布置和环境条件等各种因素后确定。具体可按下式计算：</w:t>
      </w: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40"/>
        <w:gridCol w:w="2841"/>
        <w:gridCol w:w="2841"/>
      </w:tblGrid>
      <w:tr w14:paraId="522A8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40" w:type="dxa"/>
            <w:vAlign w:val="center"/>
          </w:tcPr>
          <w:p w14:paraId="1A19C4CC">
            <w:pPr>
              <w:pStyle w:val="2"/>
              <w:spacing w:beforeLines="0" w:after="0" w:afterLines="0" w:line="300" w:lineRule="auto"/>
              <w:jc w:val="center"/>
            </w:pPr>
          </w:p>
        </w:tc>
        <w:tc>
          <w:tcPr>
            <w:tcW w:w="2841" w:type="dxa"/>
            <w:vAlign w:val="center"/>
          </w:tcPr>
          <w:p w14:paraId="386B2A77">
            <w:pPr>
              <w:pStyle w:val="2"/>
              <w:spacing w:beforeLines="0" w:after="0" w:afterLines="0" w:line="300" w:lineRule="auto"/>
              <w:jc w:val="center"/>
            </w:pPr>
            <w:r>
              <w:rPr>
                <w:position w:val="-30"/>
              </w:rPr>
              <w:object>
                <v:shape id="_x0000_i1054" o:spt="75" type="#_x0000_t75" style="height:34.1pt;width:86.9pt;" o:ole="t" filled="f" o:preferrelative="t" stroked="f" coordsize="21600,21600">
                  <v:path/>
                  <v:fill on="f" focussize="0,0"/>
                  <v:stroke on="f" joinstyle="miter"/>
                  <v:imagedata r:id="rId77" o:title=""/>
                  <o:lock v:ext="edit" aspectratio="t"/>
                  <w10:wrap type="none"/>
                  <w10:anchorlock/>
                </v:shape>
                <o:OLEObject Type="Embed" ProgID="Equation.DSMT4" ShapeID="_x0000_i1054" DrawAspect="Content" ObjectID="_1468075754" r:id="rId76">
                  <o:LockedField>false</o:LockedField>
                </o:OLEObject>
              </w:object>
            </w:r>
          </w:p>
        </w:tc>
        <w:tc>
          <w:tcPr>
            <w:tcW w:w="2841" w:type="dxa"/>
            <w:vAlign w:val="center"/>
          </w:tcPr>
          <w:p w14:paraId="2753F3B7">
            <w:pPr>
              <w:pStyle w:val="2"/>
              <w:spacing w:beforeLines="0" w:after="0" w:afterLines="0" w:line="300" w:lineRule="auto"/>
              <w:jc w:val="right"/>
            </w:pPr>
            <w:r>
              <w:rPr>
                <w:sz w:val="24"/>
              </w:rPr>
              <w:t>（</w:t>
            </w:r>
            <w:r>
              <w:rPr>
                <w:rFonts w:hint="eastAsia"/>
                <w:sz w:val="24"/>
              </w:rPr>
              <w:t>7.4.1</w:t>
            </w:r>
            <w:r>
              <w:rPr>
                <w:sz w:val="24"/>
              </w:rPr>
              <w:t>）</w:t>
            </w:r>
          </w:p>
        </w:tc>
      </w:tr>
    </w:tbl>
    <w:p w14:paraId="28EF4432">
      <w:pPr>
        <w:spacing w:beforeLines="0" w:afterLines="0" w:line="300" w:lineRule="auto"/>
        <w:rPr>
          <w:sz w:val="24"/>
        </w:rPr>
      </w:pPr>
      <w:r>
        <w:rPr>
          <w:rFonts w:hint="eastAsia"/>
          <w:sz w:val="24"/>
        </w:rPr>
        <w:t>式中：</w:t>
      </w:r>
    </w:p>
    <w:p w14:paraId="6E073B89">
      <w:pPr>
        <w:spacing w:beforeLines="0" w:afterLines="0" w:line="300" w:lineRule="auto"/>
        <w:ind w:firstLine="840" w:firstLineChars="400"/>
        <w:rPr>
          <w:sz w:val="24"/>
        </w:rPr>
      </w:pPr>
      <w:r>
        <w:rPr>
          <w:position w:val="-12"/>
        </w:rPr>
        <w:object>
          <v:shape id="_x0000_i1055" o:spt="75" type="#_x0000_t75" style="height:18.25pt;width:16.8pt;" o:ole="t" filled="f" o:preferrelative="t" stroked="f" coordsize="21600,21600">
            <v:path/>
            <v:fill on="f" focussize="0,0"/>
            <v:stroke on="f" joinstyle="miter"/>
            <v:imagedata r:id="rId79" o:title=""/>
            <o:lock v:ext="edit" aspectratio="t"/>
            <w10:wrap type="none"/>
            <w10:anchorlock/>
          </v:shape>
          <o:OLEObject Type="Embed" ProgID="Equation.DSMT4" ShapeID="_x0000_i1055" DrawAspect="Content" ObjectID="_1468075755" r:id="rId78">
            <o:LockedField>false</o:LockedField>
          </o:OLEObject>
        </w:object>
      </w:r>
      <w:r>
        <w:rPr>
          <w:sz w:val="24"/>
        </w:rPr>
        <w:t>——</w:t>
      </w:r>
      <w:r>
        <w:rPr>
          <w:rFonts w:hint="eastAsia"/>
          <w:sz w:val="24"/>
        </w:rPr>
        <w:t>水平面太阳能总辐照量（kW</w:t>
      </w:r>
      <w:r>
        <w:rPr>
          <w:rFonts w:hint="default" w:ascii="Times New Roman" w:hAnsi="Times New Roman" w:cs="Times New Roman"/>
          <w:sz w:val="24"/>
        </w:rPr>
        <w:t>·</w:t>
      </w:r>
      <w:r>
        <w:rPr>
          <w:rFonts w:hint="eastAsia"/>
          <w:sz w:val="24"/>
        </w:rPr>
        <w:t>h/m</w:t>
      </w:r>
      <w:r>
        <w:rPr>
          <w:rFonts w:hint="eastAsia"/>
          <w:sz w:val="24"/>
          <w:vertAlign w:val="superscript"/>
        </w:rPr>
        <w:t>2</w:t>
      </w:r>
      <w:r>
        <w:rPr>
          <w:rFonts w:hint="eastAsia"/>
          <w:sz w:val="24"/>
        </w:rPr>
        <w:t>，峰值小时数）；</w:t>
      </w:r>
    </w:p>
    <w:p w14:paraId="579669A5">
      <w:pPr>
        <w:spacing w:beforeLines="0" w:afterLines="0" w:line="300" w:lineRule="auto"/>
        <w:ind w:firstLine="840" w:firstLineChars="400"/>
        <w:rPr>
          <w:sz w:val="24"/>
        </w:rPr>
      </w:pPr>
      <w:r>
        <w:rPr>
          <w:position w:val="-12"/>
        </w:rPr>
        <w:object>
          <v:shape id="_x0000_i1056" o:spt="75" type="#_x0000_t75" style="height:18.25pt;width:12.95pt;" o:ole="t" filled="f" o:preferrelative="t" stroked="f" coordsize="21600,21600">
            <v:path/>
            <v:fill on="f" focussize="0,0"/>
            <v:stroke on="f" joinstyle="miter"/>
            <v:imagedata r:id="rId81" o:title=""/>
            <o:lock v:ext="edit" aspectratio="t"/>
            <w10:wrap type="none"/>
            <w10:anchorlock/>
          </v:shape>
          <o:OLEObject Type="Embed" ProgID="Equation.DSMT4" ShapeID="_x0000_i1056" DrawAspect="Content" ObjectID="_1468075756" r:id="rId80">
            <o:LockedField>false</o:LockedField>
          </o:OLEObject>
        </w:object>
      </w:r>
      <w:r>
        <w:rPr>
          <w:sz w:val="24"/>
        </w:rPr>
        <w:t>——</w:t>
      </w:r>
      <w:r>
        <w:rPr>
          <w:rFonts w:hint="eastAsia"/>
          <w:sz w:val="24"/>
        </w:rPr>
        <w:t>第i单元上网发电量（kW</w:t>
      </w:r>
      <w:r>
        <w:rPr>
          <w:rFonts w:hint="default" w:ascii="Times New Roman" w:hAnsi="Times New Roman" w:cs="Times New Roman"/>
          <w:sz w:val="24"/>
        </w:rPr>
        <w:t>·</w:t>
      </w:r>
      <w:r>
        <w:rPr>
          <w:rFonts w:hint="eastAsia"/>
          <w:sz w:val="24"/>
        </w:rPr>
        <w:t>h）；</w:t>
      </w:r>
    </w:p>
    <w:p w14:paraId="7B1BD0C5">
      <w:pPr>
        <w:spacing w:beforeLines="0" w:afterLines="0" w:line="300" w:lineRule="auto"/>
        <w:ind w:firstLine="840" w:firstLineChars="400"/>
        <w:rPr>
          <w:sz w:val="24"/>
        </w:rPr>
      </w:pPr>
      <w:r>
        <w:rPr>
          <w:position w:val="-12"/>
        </w:rPr>
        <w:object>
          <v:shape id="_x0000_i1057" o:spt="75" type="#_x0000_t75" style="height:18.25pt;width:13.9pt;" o:ole="t" filled="f" o:preferrelative="t" stroked="f" coordsize="21600,21600">
            <v:path/>
            <v:fill on="f" focussize="0,0"/>
            <v:stroke on="f" joinstyle="miter"/>
            <v:imagedata r:id="rId83" o:title=""/>
            <o:lock v:ext="edit" aspectratio="t"/>
            <w10:wrap type="none"/>
            <w10:anchorlock/>
          </v:shape>
          <o:OLEObject Type="Embed" ProgID="Equation.DSMT4" ShapeID="_x0000_i1057" DrawAspect="Content" ObjectID="_1468075757" r:id="rId82">
            <o:LockedField>false</o:LockedField>
          </o:OLEObject>
        </w:object>
      </w:r>
      <w:r>
        <w:rPr>
          <w:sz w:val="24"/>
        </w:rPr>
        <w:t>——</w:t>
      </w:r>
      <w:r>
        <w:rPr>
          <w:rFonts w:hint="eastAsia"/>
          <w:sz w:val="24"/>
        </w:rPr>
        <w:t>标准条件的辐照度（常数=1 kW</w:t>
      </w:r>
      <w:r>
        <w:rPr>
          <w:rFonts w:hint="default" w:ascii="Times New Roman" w:hAnsi="Times New Roman" w:cs="Times New Roman"/>
          <w:sz w:val="24"/>
        </w:rPr>
        <w:t>·</w:t>
      </w:r>
      <w:r>
        <w:rPr>
          <w:rFonts w:hint="eastAsia"/>
          <w:sz w:val="24"/>
        </w:rPr>
        <w:t>h/m</w:t>
      </w:r>
      <w:r>
        <w:rPr>
          <w:rFonts w:hint="eastAsia"/>
          <w:sz w:val="24"/>
          <w:vertAlign w:val="superscript"/>
        </w:rPr>
        <w:t>2</w:t>
      </w:r>
      <w:r>
        <w:rPr>
          <w:rFonts w:hint="eastAsia"/>
          <w:sz w:val="24"/>
        </w:rPr>
        <w:t>）；</w:t>
      </w:r>
    </w:p>
    <w:p w14:paraId="77DE4ECB">
      <w:pPr>
        <w:spacing w:beforeLines="0" w:afterLines="0" w:line="300" w:lineRule="auto"/>
        <w:ind w:firstLine="840" w:firstLineChars="400"/>
        <w:rPr>
          <w:sz w:val="24"/>
        </w:rPr>
      </w:pPr>
      <w:r>
        <w:rPr>
          <w:position w:val="-12"/>
        </w:rPr>
        <w:object>
          <v:shape id="_x0000_i1058" o:spt="75" type="#_x0000_t75" style="height:18.25pt;width:19.2pt;" o:ole="t" filled="f" o:preferrelative="t" stroked="f" coordsize="21600,21600">
            <v:path/>
            <v:fill on="f" focussize="0,0"/>
            <v:stroke on="f" joinstyle="miter"/>
            <v:imagedata r:id="rId85" o:title=""/>
            <o:lock v:ext="edit" aspectratio="t"/>
            <w10:wrap type="none"/>
            <w10:anchorlock/>
          </v:shape>
          <o:OLEObject Type="Embed" ProgID="Equation.DSMT4" ShapeID="_x0000_i1058" DrawAspect="Content" ObjectID="_1468075758" r:id="rId84">
            <o:LockedField>false</o:LockedField>
          </o:OLEObject>
        </w:object>
      </w:r>
      <w:r>
        <w:rPr>
          <w:sz w:val="24"/>
        </w:rPr>
        <w:t>——</w:t>
      </w:r>
      <w:r>
        <w:rPr>
          <w:rFonts w:hint="eastAsia"/>
          <w:sz w:val="24"/>
        </w:rPr>
        <w:t>组件安装总容量（kWp）；</w:t>
      </w:r>
    </w:p>
    <w:p w14:paraId="29B1D124">
      <w:pPr>
        <w:spacing w:beforeLines="0" w:afterLines="0" w:line="300" w:lineRule="auto"/>
        <w:ind w:left="0" w:leftChars="0" w:firstLine="840" w:firstLineChars="400"/>
        <w:rPr>
          <w:rFonts w:hint="eastAsia"/>
          <w:sz w:val="24"/>
        </w:rPr>
      </w:pPr>
      <w:r>
        <w:rPr>
          <w:position w:val="-4"/>
        </w:rPr>
        <w:object>
          <v:shape id="_x0000_i1059" o:spt="75" type="#_x0000_t75" style="height:12.95pt;width:12.95pt;" o:ole="t" filled="f" o:preferrelative="t" stroked="f" coordsize="21600,21600">
            <v:path/>
            <v:fill on="f" focussize="0,0"/>
            <v:stroke on="f" joinstyle="miter"/>
            <v:imagedata r:id="rId87" o:title=""/>
            <o:lock v:ext="edit" aspectratio="t"/>
            <w10:wrap type="none"/>
            <w10:anchorlock/>
          </v:shape>
          <o:OLEObject Type="Embed" ProgID="Equation.DSMT4" ShapeID="_x0000_i1059" DrawAspect="Content" ObjectID="_1468075759" r:id="rId86">
            <o:LockedField>false</o:LockedField>
          </o:OLEObject>
        </w:object>
      </w:r>
      <w:r>
        <w:rPr>
          <w:sz w:val="24"/>
        </w:rPr>
        <w:t>——</w:t>
      </w:r>
      <w:r>
        <w:rPr>
          <w:rFonts w:hint="eastAsia"/>
          <w:sz w:val="24"/>
        </w:rPr>
        <w:t>综合效率系数。综合效率系数K包括：光伏组件类型修正系数、光伏方阵的倾角、方位角修正系数、光伏发电系统可用率、光照利用率、逆变器效率、集电线路损耗、升压变压器损耗、光伏组件表面污染修正系数、光伏组件转换效率修正系数</w:t>
      </w:r>
      <w:r>
        <w:rPr>
          <w:rFonts w:hint="eastAsia"/>
          <w:sz w:val="24"/>
          <w:lang w:eastAsia="zh-CN"/>
        </w:rPr>
        <w:t>、</w:t>
      </w:r>
      <w:r>
        <w:rPr>
          <w:rFonts w:hint="eastAsia"/>
          <w:sz w:val="24"/>
          <w:lang w:val="en-US" w:eastAsia="zh-CN"/>
        </w:rPr>
        <w:t>温度</w:t>
      </w:r>
      <w:r>
        <w:rPr>
          <w:rFonts w:hint="eastAsia"/>
          <w:sz w:val="24"/>
        </w:rPr>
        <w:t>影响系数。</w:t>
      </w:r>
    </w:p>
    <w:p w14:paraId="05AD5C0B">
      <w:pPr>
        <w:snapToGrid w:val="0"/>
        <w:spacing w:beforeLines="0" w:afterLines="0" w:line="300" w:lineRule="auto"/>
        <w:jc w:val="left"/>
        <w:rPr>
          <w:rFonts w:ascii="仿宋" w:hAnsi="仿宋" w:eastAsia="仿宋" w:cs="仿宋"/>
          <w:b/>
          <w:bCs/>
          <w:i/>
          <w:iCs/>
          <w:color w:val="0623BA"/>
          <w:sz w:val="24"/>
        </w:rPr>
      </w:pPr>
      <w:r>
        <w:rPr>
          <w:rFonts w:hint="eastAsia" w:ascii="仿宋" w:hAnsi="仿宋" w:eastAsia="仿宋" w:cs="仿宋"/>
          <w:b/>
          <w:bCs/>
          <w:i/>
          <w:iCs/>
          <w:color w:val="0623BA"/>
          <w:sz w:val="24"/>
        </w:rPr>
        <w:t>【条文说明】</w:t>
      </w:r>
    </w:p>
    <w:p w14:paraId="1B3AD27F">
      <w:pPr>
        <w:pStyle w:val="2"/>
        <w:spacing w:beforeLines="0" w:after="0" w:afterLines="0" w:line="300" w:lineRule="auto"/>
        <w:rPr>
          <w:rFonts w:hint="eastAsia" w:ascii="仿宋" w:hAnsi="仿宋" w:eastAsia="仿宋" w:cs="仿宋"/>
          <w:i/>
          <w:iCs/>
          <w:color w:val="0623BA"/>
          <w:kern w:val="2"/>
          <w:sz w:val="24"/>
          <w:szCs w:val="24"/>
          <w:lang w:val="en-US" w:eastAsia="zh-CN" w:bidi="ar-SA"/>
        </w:rPr>
      </w:pPr>
      <w:r>
        <w:rPr>
          <w:rFonts w:hint="eastAsia" w:ascii="仿宋" w:hAnsi="仿宋" w:eastAsia="仿宋" w:cs="仿宋"/>
          <w:i/>
          <w:iCs/>
          <w:color w:val="0623BA"/>
          <w:kern w:val="2"/>
          <w:sz w:val="24"/>
          <w:szCs w:val="24"/>
          <w:lang w:val="en-US" w:eastAsia="zh-CN" w:bidi="ar-SA"/>
        </w:rPr>
        <w:t>7.4.1 非开敞式设计的BIPV系统，温度影响系数应根据热工性能仿真作为依据。</w:t>
      </w:r>
    </w:p>
    <w:p w14:paraId="66C6224E">
      <w:pPr>
        <w:spacing w:beforeLines="0" w:afterLines="0" w:line="300" w:lineRule="auto"/>
        <w:rPr>
          <w:sz w:val="24"/>
        </w:rPr>
      </w:pPr>
      <w:r>
        <w:rPr>
          <w:rFonts w:hint="eastAsia"/>
          <w:b/>
          <w:bCs/>
          <w:sz w:val="24"/>
        </w:rPr>
        <w:t>7.4.2</w:t>
      </w:r>
      <w:r>
        <w:rPr>
          <w:rFonts w:hint="eastAsia"/>
          <w:sz w:val="24"/>
        </w:rPr>
        <w:t xml:space="preserve"> </w:t>
      </w:r>
      <w:r>
        <w:rPr>
          <w:sz w:val="24"/>
        </w:rPr>
        <w:t>建筑光伏系统</w:t>
      </w:r>
      <w:r>
        <w:rPr>
          <w:rFonts w:hint="eastAsia"/>
          <w:sz w:val="24"/>
        </w:rPr>
        <w:t>理论</w:t>
      </w:r>
      <w:r>
        <w:rPr>
          <w:sz w:val="24"/>
        </w:rPr>
        <w:t>发电量的</w:t>
      </w:r>
      <w:r>
        <w:rPr>
          <w:rFonts w:hint="eastAsia"/>
          <w:sz w:val="24"/>
        </w:rPr>
        <w:t>估算应符合现行国家标准《建筑光伏系统应用技术标准》GB/T 51368的有关规定。</w:t>
      </w:r>
    </w:p>
    <w:p w14:paraId="79421A7A">
      <w:pPr>
        <w:snapToGrid w:val="0"/>
        <w:spacing w:beforeLines="0" w:afterLines="0" w:line="300" w:lineRule="auto"/>
        <w:jc w:val="left"/>
        <w:rPr>
          <w:rFonts w:ascii="仿宋" w:hAnsi="仿宋" w:eastAsia="仿宋" w:cs="仿宋"/>
          <w:b/>
          <w:bCs/>
          <w:i/>
          <w:iCs/>
          <w:color w:val="0623BA"/>
          <w:sz w:val="24"/>
        </w:rPr>
      </w:pPr>
      <w:r>
        <w:rPr>
          <w:rFonts w:hint="eastAsia" w:ascii="仿宋" w:hAnsi="仿宋" w:eastAsia="仿宋" w:cs="仿宋"/>
          <w:b/>
          <w:bCs/>
          <w:i/>
          <w:iCs/>
          <w:color w:val="0623BA"/>
          <w:sz w:val="24"/>
        </w:rPr>
        <w:t>【条文说明】</w:t>
      </w:r>
    </w:p>
    <w:p w14:paraId="3871A0BB">
      <w:pPr>
        <w:snapToGrid w:val="0"/>
        <w:spacing w:beforeLines="0" w:afterLines="0" w:line="300" w:lineRule="auto"/>
        <w:rPr>
          <w:rFonts w:ascii="仿宋" w:hAnsi="仿宋" w:eastAsia="仿宋" w:cs="仿宋"/>
          <w:i/>
          <w:iCs/>
          <w:color w:val="0623BA"/>
          <w:sz w:val="24"/>
        </w:rPr>
      </w:pPr>
      <w:r>
        <w:rPr>
          <w:rFonts w:hint="eastAsia" w:ascii="仿宋" w:hAnsi="仿宋" w:eastAsia="仿宋" w:cs="仿宋"/>
          <w:i/>
          <w:iCs/>
          <w:color w:val="0623BA"/>
          <w:sz w:val="24"/>
        </w:rPr>
        <w:t>7.4.2 建筑光伏系统的发电量应按不同的系统类型、组件类型、方阵布置及设备的配置进行计算，宜以每个并网点为单元，分单元计算发电量，总的发电量应按下式计算：</w:t>
      </w:r>
    </w:p>
    <w:p w14:paraId="0D97118F">
      <w:pPr>
        <w:snapToGrid w:val="0"/>
        <w:spacing w:beforeLines="0" w:afterLines="0" w:line="300" w:lineRule="auto"/>
        <w:ind w:firstLine="420" w:firstLineChars="200"/>
        <w:jc w:val="center"/>
        <w:rPr>
          <w:rFonts w:hint="default" w:ascii="仿宋" w:hAnsi="仿宋" w:eastAsia="宋体" w:cs="仿宋"/>
          <w:i/>
          <w:iCs/>
          <w:color w:val="0623BA"/>
          <w:sz w:val="24"/>
          <w:lang w:val="en-US" w:eastAsia="zh-CN"/>
        </w:rPr>
      </w:pPr>
      <w:r>
        <w:rPr>
          <w:rFonts w:hint="eastAsia"/>
          <w:position w:val="-28"/>
          <w:lang w:val="en-US" w:eastAsia="zh-CN"/>
        </w:rPr>
        <w:t xml:space="preserve">                        </w:t>
      </w:r>
      <w:r>
        <w:rPr>
          <w:position w:val="-28"/>
        </w:rPr>
        <w:object>
          <v:shape id="_x0000_i1060" o:spt="75" type="#_x0000_t75" style="height:34.1pt;width:54.25pt;" o:ole="t" filled="f" o:preferrelative="t" stroked="f" coordsize="21600,21600">
            <v:path/>
            <v:fill on="f" focussize="0,0"/>
            <v:stroke on="f" joinstyle="miter"/>
            <v:imagedata r:id="rId89" o:title=""/>
            <o:lock v:ext="edit" aspectratio="t"/>
            <w10:wrap type="none"/>
            <w10:anchorlock/>
          </v:shape>
          <o:OLEObject Type="Embed" ProgID="Equation.DSMT4" ShapeID="_x0000_i1060" DrawAspect="Content" ObjectID="_1468075760" r:id="rId88">
            <o:LockedField>false</o:LockedField>
          </o:OLEObject>
        </w:object>
      </w:r>
      <w:r>
        <w:rPr>
          <w:rFonts w:hint="eastAsia"/>
          <w:position w:val="-28"/>
          <w:lang w:val="en-US" w:eastAsia="zh-CN"/>
        </w:rPr>
        <w:t xml:space="preserve">                                </w:t>
      </w:r>
      <w:r>
        <w:rPr>
          <w:sz w:val="24"/>
        </w:rPr>
        <w:t>（</w:t>
      </w:r>
      <w:r>
        <w:rPr>
          <w:rFonts w:hint="eastAsia"/>
          <w:sz w:val="24"/>
          <w:lang w:val="en-US" w:eastAsia="zh-CN"/>
        </w:rPr>
        <w:t>1</w:t>
      </w:r>
      <w:r>
        <w:rPr>
          <w:sz w:val="24"/>
        </w:rPr>
        <w:t>）</w:t>
      </w:r>
    </w:p>
    <w:p w14:paraId="49212725">
      <w:pPr>
        <w:snapToGrid w:val="0"/>
        <w:spacing w:beforeLines="0" w:afterLines="0" w:line="300" w:lineRule="auto"/>
        <w:ind w:firstLine="0" w:firstLineChars="0"/>
        <w:rPr>
          <w:rFonts w:ascii="仿宋" w:hAnsi="仿宋" w:eastAsia="仿宋" w:cs="仿宋"/>
          <w:i/>
          <w:iCs/>
          <w:color w:val="0623BA"/>
          <w:sz w:val="24"/>
        </w:rPr>
      </w:pPr>
      <w:r>
        <w:rPr>
          <w:rFonts w:hint="eastAsia" w:ascii="仿宋" w:hAnsi="仿宋" w:eastAsia="仿宋" w:cs="仿宋"/>
          <w:i/>
          <w:iCs/>
          <w:color w:val="0623BA"/>
          <w:sz w:val="24"/>
        </w:rPr>
        <w:t>式中：</w:t>
      </w:r>
    </w:p>
    <w:p w14:paraId="6B73D87C">
      <w:pPr>
        <w:snapToGrid w:val="0"/>
        <w:spacing w:beforeLines="0" w:afterLines="0" w:line="300" w:lineRule="auto"/>
        <w:ind w:firstLine="420" w:firstLineChars="200"/>
        <w:rPr>
          <w:rFonts w:ascii="仿宋" w:hAnsi="仿宋" w:eastAsia="仿宋" w:cs="仿宋"/>
          <w:i/>
          <w:iCs/>
          <w:color w:val="0623BA"/>
          <w:sz w:val="24"/>
        </w:rPr>
      </w:pPr>
      <w:r>
        <w:rPr>
          <w:position w:val="-14"/>
        </w:rPr>
        <w:object>
          <v:shape id="_x0000_i1061" o:spt="75" type="#_x0000_t75" style="height:19.2pt;width:14.9pt;" o:ole="t" filled="f" o:preferrelative="t" stroked="f" coordsize="21600,21600">
            <v:path/>
            <v:fill on="f" focussize="0,0"/>
            <v:stroke on="f" joinstyle="miter"/>
            <v:imagedata r:id="rId91" o:title=""/>
            <o:lock v:ext="edit" aspectratio="t"/>
            <w10:wrap type="none"/>
            <w10:anchorlock/>
          </v:shape>
          <o:OLEObject Type="Embed" ProgID="Equation.DSMT4" ShapeID="_x0000_i1061" DrawAspect="Content" ObjectID="_1468075761" r:id="rId90">
            <o:LockedField>false</o:LockedField>
          </o:OLEObject>
        </w:object>
      </w:r>
      <w:r>
        <w:rPr>
          <w:rFonts w:hint="eastAsia" w:ascii="仿宋" w:hAnsi="仿宋" w:eastAsia="仿宋" w:cs="仿宋"/>
          <w:i/>
          <w:iCs/>
          <w:color w:val="0623BA"/>
          <w:sz w:val="24"/>
        </w:rPr>
        <w:t>——光伏系统的总发电量（kWh）；</w:t>
      </w:r>
    </w:p>
    <w:p w14:paraId="1CBF5FE1">
      <w:pPr>
        <w:snapToGrid w:val="0"/>
        <w:spacing w:beforeLines="0" w:afterLines="0" w:line="300" w:lineRule="auto"/>
        <w:ind w:firstLine="420" w:firstLineChars="200"/>
        <w:rPr>
          <w:rFonts w:hint="eastAsia" w:ascii="仿宋" w:hAnsi="仿宋" w:eastAsia="仿宋" w:cs="仿宋"/>
          <w:i/>
          <w:iCs/>
          <w:color w:val="0623BA"/>
          <w:sz w:val="24"/>
        </w:rPr>
      </w:pPr>
      <w:r>
        <w:rPr>
          <w:position w:val="-12"/>
        </w:rPr>
        <w:object>
          <v:shape id="_x0000_i1062" o:spt="75" type="#_x0000_t75" style="height:18.25pt;width:13.9pt;" o:ole="t" filled="f" o:preferrelative="t" stroked="f" coordsize="21600,21600">
            <v:path/>
            <v:fill on="f" focussize="0,0"/>
            <v:stroke on="f" joinstyle="miter"/>
            <v:imagedata r:id="rId93" o:title=""/>
            <o:lock v:ext="edit" aspectratio="t"/>
            <w10:wrap type="none"/>
            <w10:anchorlock/>
          </v:shape>
          <o:OLEObject Type="Embed" ProgID="Equation.DSMT4" ShapeID="_x0000_i1062" DrawAspect="Content" ObjectID="_1468075762" r:id="rId92">
            <o:LockedField>false</o:LockedField>
          </o:OLEObject>
        </w:object>
      </w:r>
      <w:r>
        <w:rPr>
          <w:rFonts w:hint="eastAsia" w:ascii="仿宋" w:hAnsi="仿宋" w:eastAsia="仿宋" w:cs="仿宋"/>
          <w:i/>
          <w:iCs/>
          <w:color w:val="0623BA"/>
          <w:sz w:val="24"/>
        </w:rPr>
        <w:t>——第i单元上网发电量（kWh）。</w:t>
      </w:r>
    </w:p>
    <w:p w14:paraId="491EC392">
      <w:pPr>
        <w:spacing w:beforeLines="0" w:afterLines="0" w:line="300" w:lineRule="auto"/>
        <w:rPr>
          <w:sz w:val="24"/>
        </w:rPr>
      </w:pPr>
      <w:r>
        <w:rPr>
          <w:rFonts w:hint="eastAsia"/>
          <w:b/>
          <w:bCs/>
          <w:sz w:val="24"/>
        </w:rPr>
        <w:t xml:space="preserve">7.4.3 </w:t>
      </w:r>
      <w:r>
        <w:rPr>
          <w:sz w:val="24"/>
        </w:rPr>
        <w:t>建筑光伏系统</w:t>
      </w:r>
      <w:r>
        <w:rPr>
          <w:rFonts w:hint="eastAsia"/>
          <w:sz w:val="24"/>
        </w:rPr>
        <w:t>能效、光伏发电单元能效、光伏组件效率、光伏组件串联失配率、光伏组串并联失配率、线缆损耗、光伏逆变器转换效率以及变压器效率等</w:t>
      </w:r>
      <w:r>
        <w:rPr>
          <w:sz w:val="24"/>
        </w:rPr>
        <w:t>的</w:t>
      </w:r>
      <w:r>
        <w:rPr>
          <w:rFonts w:hint="eastAsia"/>
          <w:sz w:val="24"/>
        </w:rPr>
        <w:t>技术要求、测试方法及计算方式宜采用现行国家标准《光伏发电效率技术规范》GB/T 39857的有关规定。</w:t>
      </w:r>
    </w:p>
    <w:p w14:paraId="16FA4E07">
      <w:pPr>
        <w:keepNext/>
        <w:keepLines/>
        <w:snapToGrid w:val="0"/>
        <w:spacing w:before="0" w:beforeLines="0" w:after="0" w:afterLines="0" w:line="300" w:lineRule="auto"/>
        <w:jc w:val="center"/>
        <w:outlineLvl w:val="2"/>
        <w:rPr>
          <w:b/>
          <w:sz w:val="24"/>
          <w:szCs w:val="32"/>
        </w:rPr>
      </w:pPr>
      <w:bookmarkStart w:id="258" w:name="_Toc2240"/>
      <w:bookmarkStart w:id="259" w:name="_Toc14604"/>
      <w:bookmarkStart w:id="260" w:name="_Toc19034"/>
      <w:bookmarkStart w:id="261" w:name="_Toc23323"/>
      <w:bookmarkStart w:id="262" w:name="_Toc17375"/>
      <w:bookmarkStart w:id="263" w:name="_Toc27544"/>
      <w:r>
        <w:rPr>
          <w:b/>
          <w:sz w:val="24"/>
          <w:szCs w:val="32"/>
        </w:rPr>
        <w:t>7.</w:t>
      </w:r>
      <w:r>
        <w:rPr>
          <w:rFonts w:hint="default"/>
          <w:b/>
          <w:sz w:val="24"/>
          <w:szCs w:val="32"/>
        </w:rPr>
        <w:t>5防雷与接地</w:t>
      </w:r>
      <w:bookmarkEnd w:id="258"/>
      <w:bookmarkEnd w:id="259"/>
      <w:bookmarkEnd w:id="260"/>
      <w:bookmarkEnd w:id="261"/>
      <w:bookmarkEnd w:id="262"/>
      <w:bookmarkEnd w:id="263"/>
    </w:p>
    <w:p w14:paraId="7B4D5D15">
      <w:pPr>
        <w:snapToGrid w:val="0"/>
        <w:spacing w:beforeLines="0" w:afterLines="0" w:line="300" w:lineRule="auto"/>
        <w:rPr>
          <w:b/>
          <w:bCs/>
          <w:sz w:val="24"/>
        </w:rPr>
      </w:pPr>
      <w:r>
        <w:rPr>
          <w:b/>
          <w:bCs/>
          <w:sz w:val="24"/>
        </w:rPr>
        <w:t>7.</w:t>
      </w:r>
      <w:r>
        <w:rPr>
          <w:rFonts w:hint="eastAsia"/>
          <w:b/>
          <w:bCs/>
          <w:sz w:val="24"/>
        </w:rPr>
        <w:t>5</w:t>
      </w:r>
      <w:r>
        <w:rPr>
          <w:b/>
          <w:bCs/>
          <w:sz w:val="24"/>
        </w:rPr>
        <w:t>.1</w:t>
      </w:r>
      <w:r>
        <w:rPr>
          <w:sz w:val="24"/>
        </w:rPr>
        <w:t xml:space="preserve"> </w:t>
      </w:r>
      <w:r>
        <w:rPr>
          <w:rFonts w:hint="eastAsia"/>
          <w:sz w:val="24"/>
        </w:rPr>
        <w:t>建筑光伏系统应采取防雷措施，以防止或减少雷电造成的危害，保护人身和设备安全，所采取设施不应遮挡光伏组件。</w:t>
      </w:r>
    </w:p>
    <w:p w14:paraId="4D8A67D5">
      <w:pPr>
        <w:snapToGrid w:val="0"/>
        <w:spacing w:beforeLines="0" w:afterLines="0" w:line="300" w:lineRule="auto"/>
        <w:rPr>
          <w:sz w:val="24"/>
        </w:rPr>
      </w:pPr>
      <w:r>
        <w:rPr>
          <w:b/>
          <w:bCs/>
          <w:sz w:val="24"/>
        </w:rPr>
        <w:t>7.</w:t>
      </w:r>
      <w:r>
        <w:rPr>
          <w:rFonts w:hint="eastAsia"/>
          <w:b/>
          <w:bCs/>
          <w:sz w:val="24"/>
        </w:rPr>
        <w:t>5</w:t>
      </w:r>
      <w:r>
        <w:rPr>
          <w:b/>
          <w:bCs/>
          <w:sz w:val="24"/>
        </w:rPr>
        <w:t>.</w:t>
      </w:r>
      <w:r>
        <w:rPr>
          <w:rFonts w:hint="eastAsia"/>
          <w:b/>
          <w:bCs/>
          <w:sz w:val="24"/>
        </w:rPr>
        <w:t>2</w:t>
      </w:r>
      <w:r>
        <w:rPr>
          <w:sz w:val="24"/>
        </w:rPr>
        <w:t xml:space="preserve"> </w:t>
      </w:r>
      <w:r>
        <w:rPr>
          <w:rFonts w:hint="eastAsia"/>
          <w:sz w:val="24"/>
        </w:rPr>
        <w:t>新建建筑光伏系统的防雷</w:t>
      </w:r>
      <w:r>
        <w:rPr>
          <w:rFonts w:hint="eastAsia"/>
          <w:sz w:val="24"/>
          <w:lang w:val="en-US" w:eastAsia="zh-CN"/>
        </w:rPr>
        <w:t>等级</w:t>
      </w:r>
      <w:r>
        <w:rPr>
          <w:rFonts w:hint="eastAsia"/>
          <w:sz w:val="24"/>
        </w:rPr>
        <w:t>应与建筑本身的防雷</w:t>
      </w:r>
      <w:r>
        <w:rPr>
          <w:rFonts w:hint="eastAsia"/>
          <w:sz w:val="24"/>
          <w:lang w:val="en-US" w:eastAsia="zh-CN"/>
        </w:rPr>
        <w:t>等级</w:t>
      </w:r>
      <w:r>
        <w:rPr>
          <w:rFonts w:hint="eastAsia"/>
          <w:sz w:val="24"/>
        </w:rPr>
        <w:t>一致。建筑物屋面光伏方阵接闪器应与建筑物防雷系统进行综合设计。太阳能光伏系统防雷接地系统应符合现行国家标准GB 50057《建筑物防雷设计规范》、GB / T 50065《交流电气装置的接地设计规范》等相关标准有关规定。</w:t>
      </w:r>
    </w:p>
    <w:p w14:paraId="0B337623">
      <w:pPr>
        <w:snapToGrid w:val="0"/>
        <w:spacing w:beforeLines="0" w:afterLines="0" w:line="300" w:lineRule="auto"/>
        <w:rPr>
          <w:sz w:val="24"/>
        </w:rPr>
      </w:pPr>
      <w:r>
        <w:rPr>
          <w:b/>
          <w:bCs/>
          <w:sz w:val="24"/>
        </w:rPr>
        <w:t>7.</w:t>
      </w:r>
      <w:r>
        <w:rPr>
          <w:rFonts w:hint="eastAsia"/>
          <w:b/>
          <w:bCs/>
          <w:sz w:val="24"/>
        </w:rPr>
        <w:t>5</w:t>
      </w:r>
      <w:r>
        <w:rPr>
          <w:b/>
          <w:bCs/>
          <w:sz w:val="24"/>
        </w:rPr>
        <w:t>.</w:t>
      </w:r>
      <w:r>
        <w:rPr>
          <w:rFonts w:hint="eastAsia"/>
          <w:b/>
          <w:bCs/>
          <w:sz w:val="24"/>
        </w:rPr>
        <w:t>3</w:t>
      </w:r>
      <w:r>
        <w:rPr>
          <w:sz w:val="24"/>
        </w:rPr>
        <w:t xml:space="preserve"> </w:t>
      </w:r>
      <w:r>
        <w:rPr>
          <w:rFonts w:hint="eastAsia"/>
          <w:sz w:val="24"/>
        </w:rPr>
        <w:t>既有建筑改造光伏系统时，改造后建筑防雷</w:t>
      </w:r>
      <w:r>
        <w:rPr>
          <w:rFonts w:hint="eastAsia"/>
          <w:sz w:val="24"/>
          <w:lang w:val="en-US" w:eastAsia="zh-CN"/>
        </w:rPr>
        <w:t>等级</w:t>
      </w:r>
      <w:r>
        <w:rPr>
          <w:rFonts w:hint="eastAsia"/>
          <w:sz w:val="24"/>
        </w:rPr>
        <w:t>应不低于原建筑建成时的防雷</w:t>
      </w:r>
      <w:r>
        <w:rPr>
          <w:rFonts w:hint="eastAsia"/>
          <w:sz w:val="24"/>
          <w:lang w:val="en-US" w:eastAsia="zh-CN"/>
        </w:rPr>
        <w:t>等级</w:t>
      </w:r>
      <w:r>
        <w:rPr>
          <w:rFonts w:hint="eastAsia"/>
          <w:sz w:val="24"/>
        </w:rPr>
        <w:t>。</w:t>
      </w:r>
    </w:p>
    <w:p w14:paraId="021B37E4">
      <w:pPr>
        <w:pStyle w:val="2"/>
        <w:spacing w:beforeLines="0" w:after="0" w:afterLines="0" w:line="300" w:lineRule="auto"/>
        <w:rPr>
          <w:sz w:val="24"/>
        </w:rPr>
      </w:pPr>
      <w:r>
        <w:rPr>
          <w:b/>
          <w:bCs/>
          <w:sz w:val="24"/>
        </w:rPr>
        <w:t>7.</w:t>
      </w:r>
      <w:r>
        <w:rPr>
          <w:rFonts w:hint="eastAsia"/>
          <w:b/>
          <w:bCs/>
          <w:sz w:val="24"/>
        </w:rPr>
        <w:t>5</w:t>
      </w:r>
      <w:r>
        <w:rPr>
          <w:b/>
          <w:bCs/>
          <w:sz w:val="24"/>
        </w:rPr>
        <w:t>.</w:t>
      </w:r>
      <w:r>
        <w:rPr>
          <w:rFonts w:hint="eastAsia"/>
          <w:b/>
          <w:bCs/>
          <w:sz w:val="24"/>
        </w:rPr>
        <w:t>4</w:t>
      </w:r>
      <w:r>
        <w:rPr>
          <w:sz w:val="24"/>
        </w:rPr>
        <w:t xml:space="preserve"> </w:t>
      </w:r>
      <w:r>
        <w:rPr>
          <w:rFonts w:hint="eastAsia"/>
          <w:sz w:val="24"/>
        </w:rPr>
        <w:t>屋面工程的防雷设计、建筑光伏系统采用的接闪器、引下线及接地体应符合现行国家标准《建筑物防雷设计规范》GB 50057、《光伏发电站防雷技术要求》GB/T 32512、《光伏建筑一体化系统防雷技术规范》GB/T 36963、《建筑光伏系统应用技术标准》GB/T 51368及其他标准的相关规定，应根据建筑防雷</w:t>
      </w:r>
      <w:r>
        <w:rPr>
          <w:rFonts w:hint="eastAsia"/>
          <w:sz w:val="24"/>
          <w:lang w:val="en-US" w:eastAsia="zh-CN"/>
        </w:rPr>
        <w:t>等级</w:t>
      </w:r>
      <w:r>
        <w:rPr>
          <w:rFonts w:hint="eastAsia"/>
          <w:sz w:val="24"/>
        </w:rPr>
        <w:t>要求、现场土壤条件和气候条件进行选择。</w:t>
      </w:r>
    </w:p>
    <w:p w14:paraId="08D08156">
      <w:pPr>
        <w:pStyle w:val="2"/>
        <w:spacing w:beforeLines="0" w:after="0" w:afterLines="0" w:line="300" w:lineRule="auto"/>
        <w:rPr>
          <w:sz w:val="24"/>
        </w:rPr>
      </w:pPr>
      <w:r>
        <w:rPr>
          <w:b/>
          <w:bCs/>
          <w:sz w:val="24"/>
        </w:rPr>
        <w:t>7.</w:t>
      </w:r>
      <w:r>
        <w:rPr>
          <w:rFonts w:hint="eastAsia"/>
          <w:b/>
          <w:bCs/>
          <w:sz w:val="24"/>
        </w:rPr>
        <w:t>5</w:t>
      </w:r>
      <w:r>
        <w:rPr>
          <w:b/>
          <w:bCs/>
          <w:sz w:val="24"/>
        </w:rPr>
        <w:t>.</w:t>
      </w:r>
      <w:r>
        <w:rPr>
          <w:rFonts w:hint="eastAsia"/>
          <w:b/>
          <w:bCs/>
          <w:sz w:val="24"/>
        </w:rPr>
        <w:t xml:space="preserve">5 </w:t>
      </w:r>
      <w:r>
        <w:rPr>
          <w:rFonts w:hint="eastAsia"/>
          <w:sz w:val="24"/>
        </w:rPr>
        <w:t>等电位及防雷接地应可靠连接并有效贯通，连接点间的连接电阻不应高于0.1</w:t>
      </w:r>
      <w:r>
        <w:rPr>
          <w:rFonts w:hint="default" w:ascii="Times New Roman" w:hAnsi="Times New Roman" w:cs="Times New Roman"/>
          <w:sz w:val="24"/>
        </w:rPr>
        <w:t>Ω</w:t>
      </w:r>
      <w:r>
        <w:rPr>
          <w:rFonts w:hint="eastAsia"/>
          <w:sz w:val="24"/>
        </w:rPr>
        <w:t>。</w:t>
      </w:r>
    </w:p>
    <w:p w14:paraId="5B35B28C">
      <w:pPr>
        <w:snapToGrid w:val="0"/>
        <w:spacing w:beforeLines="0" w:afterLines="0" w:line="300" w:lineRule="auto"/>
        <w:jc w:val="left"/>
        <w:rPr>
          <w:rFonts w:ascii="仿宋" w:hAnsi="仿宋" w:eastAsia="仿宋" w:cs="仿宋"/>
          <w:b/>
          <w:bCs/>
          <w:i/>
          <w:iCs/>
          <w:color w:val="0623BA"/>
          <w:sz w:val="24"/>
        </w:rPr>
      </w:pPr>
      <w:r>
        <w:rPr>
          <w:rFonts w:hint="eastAsia" w:ascii="仿宋" w:hAnsi="仿宋" w:eastAsia="仿宋" w:cs="仿宋"/>
          <w:b/>
          <w:bCs/>
          <w:i/>
          <w:iCs/>
          <w:color w:val="0623BA"/>
          <w:sz w:val="24"/>
        </w:rPr>
        <w:t>【条文说明】</w:t>
      </w:r>
    </w:p>
    <w:p w14:paraId="7817325C">
      <w:pPr>
        <w:snapToGrid w:val="0"/>
        <w:spacing w:beforeLines="0" w:afterLines="0" w:line="300" w:lineRule="auto"/>
        <w:jc w:val="left"/>
        <w:rPr>
          <w:rFonts w:ascii="仿宋" w:hAnsi="仿宋" w:eastAsia="仿宋" w:cs="仿宋"/>
          <w:i/>
          <w:iCs/>
          <w:color w:val="0623BA"/>
          <w:sz w:val="24"/>
        </w:rPr>
      </w:pPr>
      <w:r>
        <w:rPr>
          <w:rFonts w:hint="eastAsia" w:ascii="仿宋" w:hAnsi="仿宋" w:eastAsia="仿宋" w:cs="仿宋"/>
          <w:i/>
          <w:iCs/>
          <w:color w:val="0623BA"/>
          <w:sz w:val="24"/>
        </w:rPr>
        <w:t>7.5.</w:t>
      </w:r>
      <w:r>
        <w:rPr>
          <w:rFonts w:hint="eastAsia" w:ascii="仿宋" w:hAnsi="仿宋" w:eastAsia="仿宋" w:cs="仿宋"/>
          <w:i/>
          <w:iCs/>
          <w:color w:val="0623BA"/>
          <w:sz w:val="24"/>
          <w:lang w:val="en-US" w:eastAsia="zh-CN"/>
        </w:rPr>
        <w:t>5</w:t>
      </w:r>
      <w:r>
        <w:rPr>
          <w:rFonts w:hint="eastAsia" w:ascii="仿宋" w:hAnsi="仿宋" w:eastAsia="仿宋" w:cs="仿宋"/>
          <w:i/>
          <w:iCs/>
          <w:color w:val="0623BA"/>
          <w:sz w:val="24"/>
        </w:rPr>
        <w:t xml:space="preserve"> 连接点包括：</w:t>
      </w:r>
    </w:p>
    <w:p w14:paraId="700EF261">
      <w:pPr>
        <w:snapToGrid w:val="0"/>
        <w:spacing w:beforeLines="0" w:afterLines="0" w:line="300" w:lineRule="auto"/>
        <w:ind w:firstLine="480" w:firstLineChars="200"/>
        <w:jc w:val="left"/>
        <w:rPr>
          <w:rFonts w:ascii="仿宋" w:hAnsi="仿宋" w:eastAsia="仿宋" w:cs="仿宋"/>
          <w:i/>
          <w:iCs/>
          <w:color w:val="0623BA"/>
          <w:sz w:val="24"/>
        </w:rPr>
      </w:pPr>
      <w:r>
        <w:rPr>
          <w:rFonts w:hint="eastAsia" w:ascii="仿宋" w:hAnsi="仿宋" w:eastAsia="仿宋" w:cs="仿宋"/>
          <w:i/>
          <w:iCs/>
          <w:color w:val="0623BA"/>
          <w:sz w:val="24"/>
          <w:lang w:val="en-US" w:eastAsia="zh-CN"/>
        </w:rPr>
        <w:t>1</w:t>
      </w:r>
      <w:r>
        <w:rPr>
          <w:rFonts w:ascii="仿宋" w:hAnsi="仿宋" w:eastAsia="仿宋" w:cs="仿宋"/>
          <w:i/>
          <w:iCs/>
          <w:color w:val="0623BA"/>
          <w:sz w:val="24"/>
        </w:rPr>
        <w:t xml:space="preserve"> </w:t>
      </w:r>
      <w:r>
        <w:rPr>
          <w:rFonts w:hint="eastAsia" w:ascii="仿宋" w:hAnsi="仿宋" w:eastAsia="仿宋" w:cs="仿宋"/>
          <w:i/>
          <w:iCs/>
          <w:color w:val="0623BA"/>
          <w:sz w:val="24"/>
        </w:rPr>
        <w:t>组件边框间和</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或</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与下部支撑结构间的等电位连接及其与接地主干网间的连接；</w:t>
      </w:r>
    </w:p>
    <w:p w14:paraId="57ED8AE1">
      <w:pPr>
        <w:snapToGrid w:val="0"/>
        <w:spacing w:beforeLines="0" w:afterLines="0" w:line="300" w:lineRule="auto"/>
        <w:ind w:firstLine="480" w:firstLineChars="200"/>
        <w:jc w:val="left"/>
        <w:rPr>
          <w:rFonts w:ascii="仿宋" w:hAnsi="仿宋" w:eastAsia="仿宋" w:cs="仿宋"/>
          <w:i/>
          <w:iCs/>
          <w:color w:val="0623BA"/>
          <w:sz w:val="24"/>
        </w:rPr>
      </w:pPr>
      <w:r>
        <w:rPr>
          <w:rFonts w:hint="eastAsia" w:ascii="仿宋" w:hAnsi="仿宋" w:eastAsia="仿宋" w:cs="仿宋"/>
          <w:i/>
          <w:iCs/>
          <w:color w:val="0623BA"/>
          <w:sz w:val="24"/>
          <w:lang w:val="en-US" w:eastAsia="zh-CN"/>
        </w:rPr>
        <w:t>2</w:t>
      </w:r>
      <w:r>
        <w:rPr>
          <w:rFonts w:ascii="仿宋" w:hAnsi="仿宋" w:eastAsia="仿宋" w:cs="仿宋"/>
          <w:i/>
          <w:iCs/>
          <w:color w:val="0623BA"/>
          <w:sz w:val="24"/>
        </w:rPr>
        <w:t xml:space="preserve"> </w:t>
      </w:r>
      <w:r>
        <w:rPr>
          <w:rFonts w:hint="eastAsia" w:ascii="仿宋" w:hAnsi="仿宋" w:eastAsia="仿宋" w:cs="仿宋"/>
          <w:i/>
          <w:iCs/>
          <w:color w:val="0623BA"/>
          <w:sz w:val="24"/>
        </w:rPr>
        <w:t>逆变器、汇流箱及其他布置于建筑屋面或墙体的电气设备与接地主干网间的连接；</w:t>
      </w:r>
    </w:p>
    <w:p w14:paraId="0622327D">
      <w:pPr>
        <w:snapToGrid w:val="0"/>
        <w:spacing w:beforeLines="0" w:afterLines="0" w:line="300" w:lineRule="auto"/>
        <w:ind w:firstLine="480" w:firstLineChars="200"/>
        <w:jc w:val="left"/>
        <w:rPr>
          <w:rFonts w:ascii="仿宋" w:hAnsi="仿宋" w:eastAsia="仿宋" w:cs="仿宋"/>
          <w:i/>
          <w:iCs/>
          <w:color w:val="0623BA"/>
          <w:sz w:val="24"/>
        </w:rPr>
      </w:pPr>
      <w:r>
        <w:rPr>
          <w:rFonts w:hint="eastAsia" w:ascii="仿宋" w:hAnsi="仿宋" w:eastAsia="仿宋" w:cs="仿宋"/>
          <w:i/>
          <w:iCs/>
          <w:color w:val="0623BA"/>
          <w:sz w:val="24"/>
          <w:lang w:val="en-US" w:eastAsia="zh-CN"/>
        </w:rPr>
        <w:t>3</w:t>
      </w:r>
      <w:r>
        <w:rPr>
          <w:rFonts w:ascii="仿宋" w:hAnsi="仿宋" w:eastAsia="仿宋" w:cs="仿宋"/>
          <w:i/>
          <w:iCs/>
          <w:color w:val="0623BA"/>
          <w:sz w:val="24"/>
        </w:rPr>
        <w:t xml:space="preserve"> </w:t>
      </w:r>
      <w:r>
        <w:rPr>
          <w:rFonts w:hint="eastAsia" w:ascii="仿宋" w:hAnsi="仿宋" w:eastAsia="仿宋" w:cs="仿宋"/>
          <w:i/>
          <w:iCs/>
          <w:color w:val="0623BA"/>
          <w:sz w:val="24"/>
        </w:rPr>
        <w:t>光伏建筑一体化防雷体系与建筑主体结构防雷体系间的连接</w:t>
      </w:r>
      <w:r>
        <w:rPr>
          <w:rFonts w:ascii="仿宋" w:hAnsi="仿宋" w:eastAsia="仿宋" w:cs="仿宋"/>
          <w:i/>
          <w:iCs/>
          <w:color w:val="0623BA"/>
          <w:sz w:val="24"/>
        </w:rPr>
        <w:t>。</w:t>
      </w:r>
    </w:p>
    <w:p w14:paraId="3741D994">
      <w:pPr>
        <w:pStyle w:val="2"/>
        <w:spacing w:beforeLines="0" w:after="0" w:afterLines="0" w:line="300" w:lineRule="auto"/>
        <w:rPr>
          <w:rFonts w:hint="eastAsia"/>
          <w:sz w:val="24"/>
        </w:rPr>
      </w:pPr>
      <w:r>
        <w:rPr>
          <w:rFonts w:hint="eastAsia" w:ascii="Times New Roman" w:hAnsi="Times New Roman" w:eastAsia="宋体" w:cs="Times New Roman"/>
          <w:b/>
          <w:bCs/>
          <w:sz w:val="24"/>
        </w:rPr>
        <w:t>7.5.</w:t>
      </w:r>
      <w:r>
        <w:rPr>
          <w:rFonts w:hint="eastAsia" w:ascii="Times New Roman" w:hAnsi="Times New Roman" w:eastAsia="宋体" w:cs="Times New Roman"/>
          <w:b/>
          <w:bCs/>
          <w:sz w:val="24"/>
          <w:lang w:val="en-US" w:eastAsia="zh-CN"/>
        </w:rPr>
        <w:t>6</w:t>
      </w:r>
      <w:r>
        <w:rPr>
          <w:rFonts w:hint="eastAsia" w:ascii="Times New Roman" w:hAnsi="Times New Roman" w:eastAsia="宋体" w:cs="Times New Roman"/>
          <w:b/>
          <w:bCs/>
          <w:sz w:val="24"/>
        </w:rPr>
        <w:t xml:space="preserve"> </w:t>
      </w:r>
      <w:r>
        <w:rPr>
          <w:rFonts w:hint="eastAsia"/>
          <w:sz w:val="24"/>
          <w:lang w:val="en-US" w:eastAsia="zh-CN"/>
        </w:rPr>
        <w:t>建筑</w:t>
      </w:r>
      <w:r>
        <w:rPr>
          <w:rFonts w:hint="eastAsia"/>
          <w:sz w:val="24"/>
        </w:rPr>
        <w:t>光伏系统防雷装置利用钢筋混凝土屋面、梁、柱、基础内的钢筋作为引下线和接地装置时，接地装置材料规格及尺寸应符合现行国家标准《建筑物防雷设计规范》GB50057</w:t>
      </w:r>
      <w:r>
        <w:rPr>
          <w:rFonts w:hint="eastAsia"/>
          <w:sz w:val="24"/>
          <w:lang w:eastAsia="zh-CN"/>
        </w:rPr>
        <w:t>、</w:t>
      </w:r>
      <w:r>
        <w:rPr>
          <w:rFonts w:hint="eastAsia"/>
          <w:sz w:val="24"/>
        </w:rPr>
        <w:t>《交流电气装置的过电压保护和绝缘配合设计规范》GB/T 50064</w:t>
      </w:r>
      <w:r>
        <w:rPr>
          <w:rFonts w:hint="eastAsia"/>
          <w:sz w:val="24"/>
          <w:lang w:val="en-US" w:eastAsia="zh-CN"/>
        </w:rPr>
        <w:t>和《建筑电气与智能化通用规范》GB 55024等</w:t>
      </w:r>
      <w:r>
        <w:rPr>
          <w:rFonts w:hint="eastAsia"/>
          <w:sz w:val="24"/>
        </w:rPr>
        <w:t>有关规定。</w:t>
      </w:r>
    </w:p>
    <w:p w14:paraId="513F9ED7">
      <w:pPr>
        <w:pStyle w:val="2"/>
        <w:spacing w:beforeLines="0" w:after="0" w:afterLines="0" w:line="300" w:lineRule="auto"/>
        <w:rPr>
          <w:rFonts w:hint="eastAsia"/>
          <w:sz w:val="24"/>
        </w:rPr>
      </w:pPr>
      <w:r>
        <w:rPr>
          <w:rFonts w:hint="eastAsia"/>
          <w:b/>
          <w:bCs/>
          <w:sz w:val="24"/>
        </w:rPr>
        <w:t>7.5.</w:t>
      </w:r>
      <w:r>
        <w:rPr>
          <w:rFonts w:hint="eastAsia"/>
          <w:b/>
          <w:bCs/>
          <w:sz w:val="24"/>
          <w:lang w:val="en-US" w:eastAsia="zh-CN"/>
        </w:rPr>
        <w:t>7</w:t>
      </w:r>
      <w:r>
        <w:rPr>
          <w:rFonts w:hint="eastAsia"/>
          <w:b/>
          <w:bCs/>
          <w:sz w:val="24"/>
        </w:rPr>
        <w:t xml:space="preserve"> </w:t>
      </w:r>
      <w:r>
        <w:rPr>
          <w:rFonts w:hint="eastAsia"/>
          <w:sz w:val="24"/>
          <w:lang w:val="en-US" w:eastAsia="zh-CN"/>
        </w:rPr>
        <w:t>建筑</w:t>
      </w:r>
      <w:r>
        <w:rPr>
          <w:rFonts w:hint="eastAsia"/>
          <w:sz w:val="24"/>
        </w:rPr>
        <w:t>光伏发电系统电气装置、设施的金属部件应进行等电位连接并接地。光伏阵列接地装置应连续、可靠，</w:t>
      </w:r>
      <w:r>
        <w:rPr>
          <w:rFonts w:hint="eastAsia" w:ascii="Times New Roman" w:hAnsi="Times New Roman" w:eastAsia="宋体" w:cs="Times New Roman"/>
          <w:b w:val="0"/>
          <w:bCs w:val="0"/>
          <w:sz w:val="24"/>
          <w:szCs w:val="24"/>
          <w:u w:val="none"/>
          <w:vertAlign w:val="baseline"/>
          <w:lang w:val="en-US" w:eastAsia="zh-CN"/>
        </w:rPr>
        <w:t>太阳能光伏发电系统的接地应为共用接地系统，其电阻值应与建筑物主体保持一致。</w:t>
      </w:r>
    </w:p>
    <w:p w14:paraId="3BCFDF94">
      <w:pPr>
        <w:spacing w:line="300" w:lineRule="auto"/>
      </w:pPr>
    </w:p>
    <w:p w14:paraId="4A123C70">
      <w:pPr>
        <w:widowControl/>
        <w:spacing w:line="300" w:lineRule="auto"/>
        <w:jc w:val="left"/>
        <w:rPr>
          <w:sz w:val="24"/>
        </w:rPr>
      </w:pPr>
      <w:r>
        <w:rPr>
          <w:sz w:val="24"/>
        </w:rPr>
        <w:br w:type="page"/>
      </w:r>
    </w:p>
    <w:p w14:paraId="4FA703BB">
      <w:pPr>
        <w:pStyle w:val="5"/>
        <w:spacing w:before="95" w:beforeLines="30" w:after="95" w:afterLines="30" w:line="300" w:lineRule="auto"/>
        <w:jc w:val="center"/>
        <w:rPr>
          <w:rFonts w:ascii="Times New Roman" w:hAnsi="Times New Roman" w:eastAsia="黑体" w:cs="Times New Roman"/>
          <w:sz w:val="28"/>
          <w:szCs w:val="28"/>
        </w:rPr>
      </w:pPr>
      <w:bookmarkStart w:id="264" w:name="_Toc25902"/>
      <w:bookmarkStart w:id="265" w:name="_Toc8023"/>
      <w:bookmarkStart w:id="266" w:name="_Toc18754"/>
      <w:bookmarkStart w:id="267" w:name="_Toc16313"/>
      <w:bookmarkStart w:id="268" w:name="_Toc18581"/>
      <w:bookmarkStart w:id="269" w:name="_Toc14893"/>
      <w:bookmarkStart w:id="270" w:name="_Toc31895"/>
      <w:bookmarkStart w:id="271" w:name="_Toc7277"/>
      <w:r>
        <w:rPr>
          <w:rFonts w:ascii="Times New Roman" w:hAnsi="Times New Roman" w:eastAsia="黑体" w:cs="Times New Roman"/>
          <w:sz w:val="28"/>
          <w:szCs w:val="28"/>
        </w:rPr>
        <w:t xml:space="preserve">8 </w:t>
      </w:r>
      <w:r>
        <w:rPr>
          <w:rFonts w:hint="default" w:ascii="Times New Roman" w:hAnsi="Times New Roman" w:eastAsia="黑体" w:cs="Times New Roman"/>
          <w:sz w:val="28"/>
          <w:szCs w:val="28"/>
        </w:rPr>
        <w:t>光伏发电</w:t>
      </w:r>
      <w:r>
        <w:rPr>
          <w:rFonts w:ascii="Times New Roman" w:hAnsi="Times New Roman" w:eastAsia="黑体" w:cs="Times New Roman"/>
          <w:sz w:val="28"/>
          <w:szCs w:val="28"/>
        </w:rPr>
        <w:t>系统接入</w:t>
      </w:r>
      <w:bookmarkEnd w:id="264"/>
      <w:bookmarkEnd w:id="265"/>
      <w:bookmarkEnd w:id="266"/>
      <w:bookmarkEnd w:id="267"/>
      <w:bookmarkEnd w:id="268"/>
      <w:bookmarkEnd w:id="269"/>
      <w:bookmarkEnd w:id="270"/>
      <w:bookmarkEnd w:id="271"/>
    </w:p>
    <w:p w14:paraId="1D47212C">
      <w:pPr>
        <w:keepNext/>
        <w:keepLines/>
        <w:snapToGrid w:val="0"/>
        <w:spacing w:before="95" w:beforeLines="30" w:after="95" w:afterLines="30" w:line="300" w:lineRule="auto"/>
        <w:jc w:val="center"/>
        <w:outlineLvl w:val="2"/>
        <w:rPr>
          <w:b/>
          <w:sz w:val="24"/>
          <w:szCs w:val="32"/>
        </w:rPr>
      </w:pPr>
      <w:bookmarkStart w:id="272" w:name="_Toc20421"/>
      <w:bookmarkStart w:id="273" w:name="_Toc20827"/>
      <w:bookmarkStart w:id="274" w:name="_Toc27078"/>
      <w:bookmarkStart w:id="275" w:name="_Toc27239"/>
      <w:bookmarkStart w:id="276" w:name="_Toc2932"/>
      <w:bookmarkStart w:id="277" w:name="_Toc3956"/>
      <w:bookmarkStart w:id="278" w:name="_Toc3595"/>
      <w:bookmarkStart w:id="279" w:name="_Toc21048"/>
      <w:r>
        <w:rPr>
          <w:b/>
          <w:sz w:val="24"/>
          <w:szCs w:val="32"/>
        </w:rPr>
        <w:t>8.1</w:t>
      </w:r>
      <w:r>
        <w:rPr>
          <w:rFonts w:hint="eastAsia"/>
          <w:b/>
          <w:sz w:val="24"/>
          <w:szCs w:val="32"/>
          <w:lang w:val="en-US" w:eastAsia="zh-CN"/>
        </w:rPr>
        <w:t xml:space="preserve"> </w:t>
      </w:r>
      <w:r>
        <w:rPr>
          <w:b/>
          <w:sz w:val="24"/>
          <w:szCs w:val="32"/>
        </w:rPr>
        <w:t>一般规定</w:t>
      </w:r>
      <w:bookmarkEnd w:id="272"/>
      <w:bookmarkEnd w:id="273"/>
      <w:bookmarkEnd w:id="274"/>
      <w:bookmarkEnd w:id="275"/>
      <w:bookmarkEnd w:id="276"/>
      <w:bookmarkEnd w:id="277"/>
    </w:p>
    <w:p w14:paraId="3CFC8C19">
      <w:pPr>
        <w:snapToGrid w:val="0"/>
        <w:spacing w:line="300" w:lineRule="auto"/>
        <w:rPr>
          <w:b/>
          <w:bCs/>
          <w:sz w:val="24"/>
        </w:rPr>
      </w:pPr>
      <w:r>
        <w:rPr>
          <w:b/>
          <w:bCs/>
          <w:sz w:val="24"/>
        </w:rPr>
        <w:t xml:space="preserve">8.1.1 </w:t>
      </w:r>
      <w:r>
        <w:rPr>
          <w:sz w:val="24"/>
        </w:rPr>
        <w:t>建筑光伏系统并网应符合现行国家标准《光伏发电系统接入配电网技术规定》GB/T29319和《光伏发电站接入电力系统技术规定》GB/T19964的有关规定。建筑光伏系统接入设计应符合现行国家标准《光伏发电接入配电网设计规范》GB/T50865和《光伏发电站接入电力系统设计规范》GB/T50866的有关规定。</w:t>
      </w:r>
    </w:p>
    <w:p w14:paraId="61DD5C98">
      <w:pPr>
        <w:snapToGrid w:val="0"/>
        <w:spacing w:line="300" w:lineRule="auto"/>
        <w:rPr>
          <w:sz w:val="24"/>
        </w:rPr>
      </w:pPr>
      <w:r>
        <w:rPr>
          <w:b/>
          <w:bCs/>
          <w:sz w:val="24"/>
        </w:rPr>
        <w:t>8.1.2</w:t>
      </w:r>
      <w:r>
        <w:rPr>
          <w:sz w:val="24"/>
        </w:rPr>
        <w:t xml:space="preserve"> </w:t>
      </w:r>
      <w:r>
        <w:rPr>
          <w:bCs/>
          <w:kern w:val="0"/>
          <w:sz w:val="24"/>
        </w:rPr>
        <w:t>建筑光伏系统应满足本地区并网要求，</w:t>
      </w:r>
      <w:r>
        <w:rPr>
          <w:sz w:val="24"/>
        </w:rPr>
        <w:t>各并网点电压等级宜根据装机容量按表8.1.2选取。最终并网电压等级应根据电网条件，通过技术经济比选论证确定。当高低两级电压均具备接入条件时，宜采用低电压等级接入。</w:t>
      </w:r>
    </w:p>
    <w:p w14:paraId="0E9B66FE">
      <w:pPr>
        <w:snapToGrid w:val="0"/>
        <w:spacing w:line="300" w:lineRule="auto"/>
        <w:jc w:val="center"/>
        <w:rPr>
          <w:b/>
          <w:bCs/>
          <w:sz w:val="21"/>
          <w:szCs w:val="21"/>
        </w:rPr>
      </w:pPr>
      <w:r>
        <w:rPr>
          <w:b/>
          <w:bCs/>
          <w:sz w:val="21"/>
          <w:szCs w:val="21"/>
        </w:rPr>
        <w:t>表8.1.2 光伏系统并网电压等级</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50916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28914E36">
            <w:pPr>
              <w:pStyle w:val="2"/>
              <w:spacing w:after="0" w:line="300" w:lineRule="auto"/>
              <w:jc w:val="center"/>
              <w:rPr>
                <w:b w:val="0"/>
                <w:bCs w:val="0"/>
                <w:sz w:val="21"/>
                <w:szCs w:val="21"/>
              </w:rPr>
            </w:pPr>
            <w:r>
              <w:rPr>
                <w:b w:val="0"/>
                <w:bCs w:val="0"/>
                <w:sz w:val="21"/>
                <w:szCs w:val="21"/>
              </w:rPr>
              <w:t>序号</w:t>
            </w:r>
          </w:p>
        </w:tc>
        <w:tc>
          <w:tcPr>
            <w:tcW w:w="2841" w:type="dxa"/>
            <w:vAlign w:val="center"/>
          </w:tcPr>
          <w:p w14:paraId="368858E8">
            <w:pPr>
              <w:pStyle w:val="2"/>
              <w:spacing w:after="0" w:line="300" w:lineRule="auto"/>
              <w:jc w:val="center"/>
              <w:rPr>
                <w:rFonts w:hint="eastAsia" w:eastAsia="宋体"/>
                <w:b w:val="0"/>
                <w:bCs w:val="0"/>
                <w:sz w:val="21"/>
                <w:szCs w:val="21"/>
                <w:lang w:eastAsia="zh-CN"/>
              </w:rPr>
            </w:pPr>
            <w:r>
              <w:rPr>
                <w:b w:val="0"/>
                <w:bCs w:val="0"/>
                <w:sz w:val="21"/>
                <w:szCs w:val="21"/>
              </w:rPr>
              <w:t>容量</w:t>
            </w:r>
            <w:r>
              <w:rPr>
                <w:rFonts w:hint="eastAsia"/>
                <w:b w:val="0"/>
                <w:bCs w:val="0"/>
                <w:sz w:val="21"/>
                <w:szCs w:val="21"/>
                <w:lang w:eastAsia="zh-CN"/>
              </w:rPr>
              <w:t>（</w:t>
            </w:r>
            <w:r>
              <w:rPr>
                <w:sz w:val="21"/>
                <w:szCs w:val="21"/>
              </w:rPr>
              <w:t>kW</w:t>
            </w:r>
            <w:r>
              <w:rPr>
                <w:rFonts w:hint="eastAsia"/>
                <w:b w:val="0"/>
                <w:bCs w:val="0"/>
                <w:sz w:val="21"/>
                <w:szCs w:val="21"/>
                <w:lang w:eastAsia="zh-CN"/>
              </w:rPr>
              <w:t>）</w:t>
            </w:r>
          </w:p>
        </w:tc>
        <w:tc>
          <w:tcPr>
            <w:tcW w:w="2841" w:type="dxa"/>
            <w:vAlign w:val="center"/>
          </w:tcPr>
          <w:p w14:paraId="24E778E4">
            <w:pPr>
              <w:pStyle w:val="2"/>
              <w:spacing w:after="0" w:line="300" w:lineRule="auto"/>
              <w:jc w:val="center"/>
              <w:rPr>
                <w:b w:val="0"/>
                <w:bCs w:val="0"/>
                <w:sz w:val="21"/>
                <w:szCs w:val="21"/>
              </w:rPr>
            </w:pPr>
            <w:r>
              <w:rPr>
                <w:b w:val="0"/>
                <w:bCs w:val="0"/>
                <w:sz w:val="21"/>
                <w:szCs w:val="21"/>
              </w:rPr>
              <w:t>电压等级</w:t>
            </w:r>
          </w:p>
        </w:tc>
      </w:tr>
      <w:tr w14:paraId="5BD21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12BC3B0B">
            <w:pPr>
              <w:pStyle w:val="2"/>
              <w:spacing w:after="0" w:line="300" w:lineRule="auto"/>
              <w:jc w:val="center"/>
              <w:rPr>
                <w:sz w:val="21"/>
                <w:szCs w:val="21"/>
              </w:rPr>
            </w:pPr>
            <w:r>
              <w:rPr>
                <w:sz w:val="21"/>
                <w:szCs w:val="21"/>
              </w:rPr>
              <w:t>1</w:t>
            </w:r>
          </w:p>
        </w:tc>
        <w:tc>
          <w:tcPr>
            <w:tcW w:w="2841" w:type="dxa"/>
            <w:vAlign w:val="center"/>
          </w:tcPr>
          <w:p w14:paraId="0CABAEF2">
            <w:pPr>
              <w:pStyle w:val="2"/>
              <w:spacing w:after="0" w:line="300" w:lineRule="auto"/>
              <w:jc w:val="center"/>
              <w:rPr>
                <w:sz w:val="21"/>
                <w:szCs w:val="21"/>
              </w:rPr>
            </w:pPr>
            <w:r>
              <w:rPr>
                <w:sz w:val="21"/>
                <w:szCs w:val="21"/>
              </w:rPr>
              <w:t>S</w:t>
            </w:r>
            <w:r>
              <w:rPr>
                <w:rFonts w:hint="eastAsia"/>
                <w:sz w:val="21"/>
                <w:szCs w:val="21"/>
              </w:rPr>
              <w:t>≤</w:t>
            </w:r>
            <w:r>
              <w:rPr>
                <w:sz w:val="21"/>
                <w:szCs w:val="21"/>
              </w:rPr>
              <w:t>8</w:t>
            </w:r>
          </w:p>
        </w:tc>
        <w:tc>
          <w:tcPr>
            <w:tcW w:w="2841" w:type="dxa"/>
            <w:vAlign w:val="center"/>
          </w:tcPr>
          <w:p w14:paraId="639DC52A">
            <w:pPr>
              <w:pStyle w:val="2"/>
              <w:spacing w:after="0" w:line="300" w:lineRule="auto"/>
              <w:jc w:val="center"/>
              <w:rPr>
                <w:sz w:val="21"/>
                <w:szCs w:val="21"/>
              </w:rPr>
            </w:pPr>
            <w:r>
              <w:rPr>
                <w:sz w:val="21"/>
                <w:szCs w:val="21"/>
              </w:rPr>
              <w:t>220V/单相</w:t>
            </w:r>
          </w:p>
        </w:tc>
      </w:tr>
      <w:tr w14:paraId="0683E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36C773B7">
            <w:pPr>
              <w:pStyle w:val="2"/>
              <w:spacing w:after="0" w:line="300" w:lineRule="auto"/>
              <w:jc w:val="center"/>
              <w:rPr>
                <w:sz w:val="21"/>
                <w:szCs w:val="21"/>
              </w:rPr>
            </w:pPr>
            <w:r>
              <w:rPr>
                <w:sz w:val="21"/>
                <w:szCs w:val="21"/>
              </w:rPr>
              <w:t>2</w:t>
            </w:r>
          </w:p>
        </w:tc>
        <w:tc>
          <w:tcPr>
            <w:tcW w:w="2841" w:type="dxa"/>
            <w:vAlign w:val="center"/>
          </w:tcPr>
          <w:p w14:paraId="25A6E402">
            <w:pPr>
              <w:pStyle w:val="2"/>
              <w:spacing w:after="0" w:line="300" w:lineRule="auto"/>
              <w:jc w:val="center"/>
              <w:rPr>
                <w:sz w:val="21"/>
                <w:szCs w:val="21"/>
              </w:rPr>
            </w:pPr>
            <w:r>
              <w:rPr>
                <w:sz w:val="21"/>
                <w:szCs w:val="21"/>
              </w:rPr>
              <w:t>8&lt;S</w:t>
            </w:r>
            <w:r>
              <w:rPr>
                <w:rFonts w:hint="eastAsia"/>
                <w:sz w:val="21"/>
                <w:szCs w:val="21"/>
              </w:rPr>
              <w:t>≤</w:t>
            </w:r>
            <w:r>
              <w:rPr>
                <w:sz w:val="21"/>
                <w:szCs w:val="21"/>
              </w:rPr>
              <w:t>500</w:t>
            </w:r>
          </w:p>
        </w:tc>
        <w:tc>
          <w:tcPr>
            <w:tcW w:w="2841" w:type="dxa"/>
            <w:vAlign w:val="center"/>
          </w:tcPr>
          <w:p w14:paraId="4F5D291D">
            <w:pPr>
              <w:pStyle w:val="2"/>
              <w:spacing w:after="0" w:line="300" w:lineRule="auto"/>
              <w:jc w:val="center"/>
              <w:rPr>
                <w:sz w:val="21"/>
                <w:szCs w:val="21"/>
              </w:rPr>
            </w:pPr>
            <w:r>
              <w:rPr>
                <w:sz w:val="21"/>
                <w:szCs w:val="21"/>
              </w:rPr>
              <w:t>380V/三相</w:t>
            </w:r>
          </w:p>
        </w:tc>
      </w:tr>
      <w:tr w14:paraId="4086C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5AEC998D">
            <w:pPr>
              <w:pStyle w:val="2"/>
              <w:spacing w:after="0" w:line="300" w:lineRule="auto"/>
              <w:jc w:val="center"/>
              <w:rPr>
                <w:sz w:val="21"/>
                <w:szCs w:val="21"/>
              </w:rPr>
            </w:pPr>
            <w:r>
              <w:rPr>
                <w:sz w:val="21"/>
                <w:szCs w:val="21"/>
              </w:rPr>
              <w:t>3</w:t>
            </w:r>
          </w:p>
        </w:tc>
        <w:tc>
          <w:tcPr>
            <w:tcW w:w="2841" w:type="dxa"/>
            <w:vAlign w:val="center"/>
          </w:tcPr>
          <w:p w14:paraId="513BF107">
            <w:pPr>
              <w:pStyle w:val="2"/>
              <w:spacing w:after="0" w:line="300" w:lineRule="auto"/>
              <w:jc w:val="center"/>
              <w:rPr>
                <w:sz w:val="21"/>
                <w:szCs w:val="21"/>
              </w:rPr>
            </w:pPr>
            <w:r>
              <w:rPr>
                <w:sz w:val="21"/>
                <w:szCs w:val="21"/>
              </w:rPr>
              <w:t>500&lt;S</w:t>
            </w:r>
            <w:r>
              <w:rPr>
                <w:rFonts w:hint="eastAsia"/>
                <w:sz w:val="21"/>
                <w:szCs w:val="21"/>
              </w:rPr>
              <w:t>≤</w:t>
            </w:r>
            <w:r>
              <w:rPr>
                <w:sz w:val="21"/>
                <w:szCs w:val="21"/>
              </w:rPr>
              <w:t>6000</w:t>
            </w:r>
          </w:p>
        </w:tc>
        <w:tc>
          <w:tcPr>
            <w:tcW w:w="2841" w:type="dxa"/>
            <w:vAlign w:val="center"/>
          </w:tcPr>
          <w:p w14:paraId="2FC5A40B">
            <w:pPr>
              <w:pStyle w:val="2"/>
              <w:spacing w:after="0" w:line="300" w:lineRule="auto"/>
              <w:jc w:val="center"/>
              <w:rPr>
                <w:sz w:val="21"/>
                <w:szCs w:val="21"/>
              </w:rPr>
            </w:pPr>
            <w:r>
              <w:rPr>
                <w:sz w:val="21"/>
                <w:szCs w:val="21"/>
              </w:rPr>
              <w:t>10kV/三相</w:t>
            </w:r>
          </w:p>
        </w:tc>
      </w:tr>
      <w:tr w14:paraId="07632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2281D69A">
            <w:pPr>
              <w:pStyle w:val="2"/>
              <w:spacing w:after="0" w:line="300" w:lineRule="auto"/>
              <w:jc w:val="center"/>
              <w:rPr>
                <w:sz w:val="21"/>
                <w:szCs w:val="21"/>
              </w:rPr>
            </w:pPr>
            <w:r>
              <w:rPr>
                <w:sz w:val="21"/>
                <w:szCs w:val="21"/>
              </w:rPr>
              <w:t>4</w:t>
            </w:r>
          </w:p>
        </w:tc>
        <w:tc>
          <w:tcPr>
            <w:tcW w:w="2841" w:type="dxa"/>
            <w:vAlign w:val="center"/>
          </w:tcPr>
          <w:p w14:paraId="15CC2161">
            <w:pPr>
              <w:pStyle w:val="2"/>
              <w:spacing w:after="0" w:line="300" w:lineRule="auto"/>
              <w:jc w:val="center"/>
              <w:rPr>
                <w:sz w:val="21"/>
                <w:szCs w:val="21"/>
              </w:rPr>
            </w:pPr>
            <w:r>
              <w:rPr>
                <w:sz w:val="21"/>
                <w:szCs w:val="21"/>
              </w:rPr>
              <w:t>S&gt;6000</w:t>
            </w:r>
          </w:p>
        </w:tc>
        <w:tc>
          <w:tcPr>
            <w:tcW w:w="2841" w:type="dxa"/>
            <w:vAlign w:val="center"/>
          </w:tcPr>
          <w:p w14:paraId="00969E9C">
            <w:pPr>
              <w:pStyle w:val="2"/>
              <w:spacing w:after="0" w:line="300" w:lineRule="auto"/>
              <w:jc w:val="center"/>
              <w:rPr>
                <w:sz w:val="21"/>
                <w:szCs w:val="21"/>
              </w:rPr>
            </w:pPr>
            <w:r>
              <w:rPr>
                <w:sz w:val="21"/>
                <w:szCs w:val="21"/>
              </w:rPr>
              <w:t>35kV及以上/三相</w:t>
            </w:r>
          </w:p>
        </w:tc>
      </w:tr>
    </w:tbl>
    <w:p w14:paraId="32DFB24D">
      <w:pPr>
        <w:widowControl/>
        <w:spacing w:line="300" w:lineRule="auto"/>
        <w:rPr>
          <w:bCs/>
          <w:kern w:val="0"/>
          <w:sz w:val="24"/>
        </w:rPr>
      </w:pPr>
      <w:r>
        <w:rPr>
          <w:b/>
          <w:kern w:val="0"/>
          <w:sz w:val="24"/>
        </w:rPr>
        <w:t>8.1.3</w:t>
      </w:r>
      <w:r>
        <w:rPr>
          <w:kern w:val="0"/>
          <w:sz w:val="24"/>
        </w:rPr>
        <w:t xml:space="preserve"> </w:t>
      </w:r>
      <w:r>
        <w:rPr>
          <w:bCs/>
          <w:kern w:val="0"/>
          <w:sz w:val="24"/>
        </w:rPr>
        <w:t>光伏系统接入电网的方式应根据光伏系统的容量及电网</w:t>
      </w:r>
      <w:r>
        <w:rPr>
          <w:rFonts w:hint="eastAsia"/>
          <w:bCs/>
          <w:kern w:val="0"/>
          <w:sz w:val="24"/>
        </w:rPr>
        <w:t>承载运行</w:t>
      </w:r>
      <w:r>
        <w:rPr>
          <w:bCs/>
          <w:kern w:val="0"/>
          <w:sz w:val="24"/>
        </w:rPr>
        <w:t>具体情况，在接入系统设计中通过经济比较后确定，接入方式可</w:t>
      </w:r>
      <w:r>
        <w:rPr>
          <w:rFonts w:hint="eastAsia"/>
          <w:bCs/>
          <w:kern w:val="0"/>
          <w:sz w:val="24"/>
          <w:lang w:val="en-US" w:eastAsia="zh-CN"/>
        </w:rPr>
        <w:t>参考</w:t>
      </w:r>
      <w:r>
        <w:rPr>
          <w:bCs/>
          <w:kern w:val="0"/>
          <w:sz w:val="24"/>
        </w:rPr>
        <w:t>表8.1.3进行设计</w:t>
      </w:r>
      <w:r>
        <w:rPr>
          <w:rFonts w:hint="default"/>
          <w:bCs/>
          <w:kern w:val="0"/>
          <w:sz w:val="24"/>
          <w:lang w:eastAsia="zh-CN"/>
        </w:rPr>
        <w:t>，</w:t>
      </w:r>
      <w:r>
        <w:rPr>
          <w:rFonts w:hint="default"/>
          <w:bCs/>
          <w:kern w:val="0"/>
          <w:sz w:val="24"/>
          <w:lang w:val="en-US" w:eastAsia="zh-CN"/>
        </w:rPr>
        <w:t>具体实施需</w:t>
      </w:r>
      <w:r>
        <w:rPr>
          <w:rFonts w:hint="default" w:ascii="Times New Roman" w:hAnsi="Times New Roman" w:eastAsia="宋体" w:cs="Times New Roman"/>
          <w:b w:val="0"/>
          <w:bCs/>
          <w:kern w:val="0"/>
          <w:sz w:val="24"/>
          <w:szCs w:val="24"/>
          <w:u w:val="none" w:color="auto"/>
          <w:vertAlign w:val="baseline"/>
          <w:lang w:val="en-US" w:eastAsia="zh-CN"/>
        </w:rPr>
        <w:t>与供电部门协商</w:t>
      </w:r>
      <w:r>
        <w:rPr>
          <w:bCs/>
          <w:kern w:val="0"/>
          <w:sz w:val="24"/>
        </w:rPr>
        <w:t>。</w:t>
      </w:r>
    </w:p>
    <w:p w14:paraId="6CB7C6C6">
      <w:pPr>
        <w:snapToGrid w:val="0"/>
        <w:spacing w:line="300" w:lineRule="auto"/>
        <w:jc w:val="center"/>
        <w:rPr>
          <w:b/>
          <w:bCs/>
          <w:sz w:val="21"/>
          <w:szCs w:val="21"/>
        </w:rPr>
      </w:pPr>
      <w:r>
        <w:rPr>
          <w:b/>
          <w:bCs/>
          <w:sz w:val="21"/>
          <w:szCs w:val="21"/>
        </w:rPr>
        <w:t>表8.1.3 光伏系统接入电网方式</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527"/>
        <w:gridCol w:w="2545"/>
        <w:gridCol w:w="3634"/>
      </w:tblGrid>
      <w:tr w14:paraId="60697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7DF8E12B">
            <w:pPr>
              <w:pStyle w:val="2"/>
              <w:spacing w:after="0" w:line="300" w:lineRule="auto"/>
              <w:jc w:val="center"/>
              <w:rPr>
                <w:b w:val="0"/>
                <w:bCs w:val="0"/>
                <w:sz w:val="21"/>
                <w:szCs w:val="21"/>
              </w:rPr>
            </w:pPr>
            <w:r>
              <w:rPr>
                <w:b w:val="0"/>
                <w:bCs w:val="0"/>
                <w:sz w:val="21"/>
                <w:szCs w:val="21"/>
              </w:rPr>
              <w:t>序号</w:t>
            </w:r>
          </w:p>
        </w:tc>
        <w:tc>
          <w:tcPr>
            <w:tcW w:w="896" w:type="pct"/>
            <w:vAlign w:val="center"/>
          </w:tcPr>
          <w:p w14:paraId="492EDA86">
            <w:pPr>
              <w:pStyle w:val="2"/>
              <w:spacing w:after="0" w:line="300" w:lineRule="auto"/>
              <w:jc w:val="center"/>
              <w:rPr>
                <w:b w:val="0"/>
                <w:bCs w:val="0"/>
                <w:sz w:val="21"/>
                <w:szCs w:val="21"/>
              </w:rPr>
            </w:pPr>
            <w:r>
              <w:rPr>
                <w:b w:val="0"/>
                <w:bCs w:val="0"/>
                <w:sz w:val="21"/>
                <w:szCs w:val="21"/>
              </w:rPr>
              <w:t>并网方式</w:t>
            </w:r>
          </w:p>
        </w:tc>
        <w:tc>
          <w:tcPr>
            <w:tcW w:w="1493" w:type="pct"/>
            <w:vAlign w:val="center"/>
          </w:tcPr>
          <w:p w14:paraId="68C71401">
            <w:pPr>
              <w:pStyle w:val="2"/>
              <w:spacing w:after="0" w:line="300" w:lineRule="auto"/>
              <w:jc w:val="center"/>
              <w:rPr>
                <w:b w:val="0"/>
                <w:bCs w:val="0"/>
                <w:sz w:val="21"/>
                <w:szCs w:val="21"/>
              </w:rPr>
            </w:pPr>
            <w:r>
              <w:rPr>
                <w:b w:val="0"/>
                <w:bCs w:val="0"/>
                <w:sz w:val="21"/>
                <w:szCs w:val="21"/>
              </w:rPr>
              <w:t>用电方式</w:t>
            </w:r>
          </w:p>
        </w:tc>
        <w:tc>
          <w:tcPr>
            <w:tcW w:w="2132" w:type="pct"/>
          </w:tcPr>
          <w:p w14:paraId="235C81A6">
            <w:pPr>
              <w:pStyle w:val="2"/>
              <w:spacing w:after="0" w:line="300" w:lineRule="auto"/>
              <w:jc w:val="center"/>
              <w:rPr>
                <w:b w:val="0"/>
                <w:bCs w:val="0"/>
                <w:sz w:val="21"/>
                <w:szCs w:val="21"/>
              </w:rPr>
            </w:pPr>
            <w:r>
              <w:rPr>
                <w:b w:val="0"/>
                <w:bCs w:val="0"/>
                <w:sz w:val="21"/>
                <w:szCs w:val="21"/>
              </w:rPr>
              <w:t>适用范围</w:t>
            </w:r>
          </w:p>
        </w:tc>
      </w:tr>
      <w:tr w14:paraId="03E18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2AD814ED">
            <w:pPr>
              <w:pStyle w:val="2"/>
              <w:spacing w:after="0" w:line="300" w:lineRule="auto"/>
              <w:jc w:val="center"/>
              <w:rPr>
                <w:sz w:val="21"/>
                <w:szCs w:val="21"/>
              </w:rPr>
            </w:pPr>
            <w:r>
              <w:rPr>
                <w:sz w:val="21"/>
                <w:szCs w:val="21"/>
              </w:rPr>
              <w:t>1</w:t>
            </w:r>
          </w:p>
        </w:tc>
        <w:tc>
          <w:tcPr>
            <w:tcW w:w="896" w:type="pct"/>
            <w:vAlign w:val="center"/>
          </w:tcPr>
          <w:p w14:paraId="17F478A9">
            <w:pPr>
              <w:pStyle w:val="2"/>
              <w:spacing w:after="0" w:line="300" w:lineRule="auto"/>
              <w:jc w:val="center"/>
              <w:rPr>
                <w:rFonts w:hint="eastAsia" w:ascii="Times New Roman" w:hAnsi="Times New Roman" w:eastAsia="宋体" w:cs="Times New Roman"/>
                <w:kern w:val="2"/>
                <w:sz w:val="21"/>
                <w:szCs w:val="21"/>
                <w:lang w:val="en-US" w:eastAsia="zh-CN" w:bidi="ar-SA"/>
              </w:rPr>
            </w:pPr>
            <w:r>
              <w:rPr>
                <w:rFonts w:hint="eastAsia"/>
                <w:sz w:val="21"/>
                <w:szCs w:val="21"/>
              </w:rPr>
              <w:t>自然人户用分布式光伏</w:t>
            </w:r>
          </w:p>
        </w:tc>
        <w:tc>
          <w:tcPr>
            <w:tcW w:w="1493" w:type="pct"/>
            <w:vAlign w:val="center"/>
          </w:tcPr>
          <w:p w14:paraId="77CC6BB0">
            <w:pPr>
              <w:pStyle w:val="2"/>
              <w:spacing w:after="0" w:line="300" w:lineRule="auto"/>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color w:val="auto"/>
                <w:kern w:val="2"/>
                <w:sz w:val="21"/>
                <w:szCs w:val="21"/>
                <w:lang w:val="en-US" w:eastAsia="zh-CN"/>
              </w:rPr>
              <w:t>可选择</w:t>
            </w:r>
            <w:r>
              <w:rPr>
                <w:rFonts w:hint="eastAsia" w:ascii="Times New Roman" w:hAnsi="Times New Roman" w:eastAsia="宋体" w:cs="Times New Roman"/>
                <w:color w:val="auto"/>
                <w:kern w:val="2"/>
                <w:sz w:val="21"/>
                <w:szCs w:val="21"/>
                <w:lang w:eastAsia="zh-CN"/>
              </w:rPr>
              <w:t>全额上网、全部自发自用</w:t>
            </w:r>
            <w:r>
              <w:rPr>
                <w:rFonts w:hint="eastAsia" w:ascii="Times New Roman" w:hAnsi="Times New Roman" w:eastAsia="宋体" w:cs="Times New Roman"/>
                <w:color w:val="auto"/>
                <w:kern w:val="2"/>
                <w:sz w:val="21"/>
                <w:szCs w:val="21"/>
                <w:lang w:val="en-US" w:eastAsia="zh-CN"/>
              </w:rPr>
              <w:t>或</w:t>
            </w:r>
            <w:r>
              <w:rPr>
                <w:rFonts w:hint="eastAsia" w:ascii="Times New Roman" w:hAnsi="Times New Roman" w:eastAsia="宋体" w:cs="Times New Roman"/>
                <w:color w:val="auto"/>
                <w:kern w:val="2"/>
                <w:sz w:val="21"/>
                <w:szCs w:val="21"/>
                <w:lang w:eastAsia="zh-CN"/>
              </w:rPr>
              <w:t>自发自用余电上网</w:t>
            </w:r>
            <w:r>
              <w:rPr>
                <w:rFonts w:hint="eastAsia" w:ascii="Times New Roman" w:hAnsi="Times New Roman" w:eastAsia="宋体" w:cs="Times New Roman"/>
                <w:color w:val="auto"/>
                <w:kern w:val="2"/>
                <w:sz w:val="21"/>
                <w:szCs w:val="21"/>
                <w:lang w:val="en-US" w:eastAsia="zh-CN"/>
              </w:rPr>
              <w:t>模式</w:t>
            </w:r>
          </w:p>
        </w:tc>
        <w:tc>
          <w:tcPr>
            <w:tcW w:w="2132" w:type="pct"/>
            <w:vAlign w:val="top"/>
          </w:tcPr>
          <w:p w14:paraId="0E4043B4">
            <w:pPr>
              <w:pStyle w:val="2"/>
              <w:spacing w:after="0" w:line="300" w:lineRule="auto"/>
              <w:jc w:val="center"/>
              <w:rPr>
                <w:rFonts w:hint="eastAsia" w:ascii="Times New Roman" w:hAnsi="Times New Roman" w:eastAsia="宋体" w:cs="Times New Roman"/>
                <w:kern w:val="2"/>
                <w:sz w:val="21"/>
                <w:szCs w:val="21"/>
                <w:lang w:val="en-US" w:eastAsia="zh-CN" w:bidi="ar-SA"/>
              </w:rPr>
            </w:pPr>
            <w:r>
              <w:rPr>
                <w:rFonts w:hint="eastAsia"/>
                <w:sz w:val="21"/>
                <w:szCs w:val="21"/>
              </w:rPr>
              <w:t>公共连接点电压等级不超过380伏的分布式光伏</w:t>
            </w:r>
          </w:p>
        </w:tc>
      </w:tr>
      <w:tr w14:paraId="48A0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6DEECA1F">
            <w:pPr>
              <w:pStyle w:val="2"/>
              <w:spacing w:after="0" w:line="300" w:lineRule="auto"/>
              <w:jc w:val="center"/>
              <w:rPr>
                <w:rFonts w:hint="eastAsia" w:eastAsia="宋体"/>
                <w:sz w:val="21"/>
                <w:szCs w:val="21"/>
                <w:lang w:val="en-US" w:eastAsia="zh-CN"/>
              </w:rPr>
            </w:pPr>
            <w:r>
              <w:rPr>
                <w:rFonts w:hint="eastAsia"/>
                <w:sz w:val="21"/>
                <w:szCs w:val="21"/>
                <w:lang w:val="en-US" w:eastAsia="zh-CN"/>
              </w:rPr>
              <w:t>2</w:t>
            </w:r>
          </w:p>
        </w:tc>
        <w:tc>
          <w:tcPr>
            <w:tcW w:w="896" w:type="pct"/>
            <w:vAlign w:val="center"/>
          </w:tcPr>
          <w:p w14:paraId="7CF86D94">
            <w:pPr>
              <w:pStyle w:val="2"/>
              <w:spacing w:after="0" w:line="300" w:lineRule="auto"/>
              <w:jc w:val="center"/>
              <w:rPr>
                <w:rFonts w:hint="eastAsia" w:ascii="Times New Roman" w:hAnsi="Times New Roman" w:eastAsia="宋体" w:cs="Times New Roman"/>
                <w:kern w:val="2"/>
                <w:sz w:val="21"/>
                <w:szCs w:val="21"/>
                <w:lang w:val="en-US" w:eastAsia="zh-CN" w:bidi="ar-SA"/>
              </w:rPr>
            </w:pPr>
            <w:r>
              <w:rPr>
                <w:rFonts w:hint="eastAsia"/>
                <w:sz w:val="21"/>
                <w:szCs w:val="21"/>
              </w:rPr>
              <w:t>非自然人户用分布式光伏</w:t>
            </w:r>
          </w:p>
        </w:tc>
        <w:tc>
          <w:tcPr>
            <w:tcW w:w="1493" w:type="pct"/>
            <w:vAlign w:val="center"/>
          </w:tcPr>
          <w:p w14:paraId="4EBF3123">
            <w:pPr>
              <w:pStyle w:val="2"/>
              <w:spacing w:after="0" w:line="300" w:lineRule="auto"/>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color w:val="auto"/>
                <w:kern w:val="2"/>
                <w:sz w:val="21"/>
                <w:szCs w:val="21"/>
                <w:lang w:val="en-US" w:eastAsia="zh-CN"/>
              </w:rPr>
              <w:t>可选择</w:t>
            </w:r>
            <w:r>
              <w:rPr>
                <w:rFonts w:hint="eastAsia" w:ascii="Times New Roman" w:hAnsi="Times New Roman" w:eastAsia="宋体" w:cs="Times New Roman"/>
                <w:color w:val="auto"/>
                <w:kern w:val="2"/>
                <w:sz w:val="21"/>
                <w:szCs w:val="21"/>
                <w:lang w:eastAsia="zh-CN"/>
              </w:rPr>
              <w:t>全额上网、全部自发自用</w:t>
            </w:r>
            <w:r>
              <w:rPr>
                <w:rFonts w:hint="eastAsia" w:ascii="Times New Roman" w:hAnsi="Times New Roman" w:eastAsia="宋体" w:cs="Times New Roman"/>
                <w:color w:val="auto"/>
                <w:kern w:val="2"/>
                <w:sz w:val="21"/>
                <w:szCs w:val="21"/>
                <w:lang w:val="en-US" w:eastAsia="zh-CN"/>
              </w:rPr>
              <w:t>或</w:t>
            </w:r>
            <w:r>
              <w:rPr>
                <w:rFonts w:hint="eastAsia" w:ascii="Times New Roman" w:hAnsi="Times New Roman" w:eastAsia="宋体" w:cs="Times New Roman"/>
                <w:color w:val="auto"/>
                <w:kern w:val="2"/>
                <w:sz w:val="21"/>
                <w:szCs w:val="21"/>
                <w:lang w:eastAsia="zh-CN"/>
              </w:rPr>
              <w:t>自发自用余电上网</w:t>
            </w:r>
            <w:r>
              <w:rPr>
                <w:rFonts w:hint="eastAsia" w:ascii="Times New Roman" w:hAnsi="Times New Roman" w:eastAsia="宋体" w:cs="Times New Roman"/>
                <w:color w:val="auto"/>
                <w:kern w:val="2"/>
                <w:sz w:val="21"/>
                <w:szCs w:val="21"/>
                <w:lang w:val="en-US" w:eastAsia="zh-CN"/>
              </w:rPr>
              <w:t>模式</w:t>
            </w:r>
          </w:p>
        </w:tc>
        <w:tc>
          <w:tcPr>
            <w:tcW w:w="2132" w:type="pct"/>
            <w:vAlign w:val="top"/>
          </w:tcPr>
          <w:p w14:paraId="2E5F4E26">
            <w:pPr>
              <w:pStyle w:val="2"/>
              <w:spacing w:after="0" w:line="300" w:lineRule="auto"/>
              <w:jc w:val="center"/>
              <w:rPr>
                <w:rFonts w:hint="eastAsia" w:ascii="Times New Roman" w:hAnsi="Times New Roman" w:eastAsia="宋体" w:cs="Times New Roman"/>
                <w:kern w:val="2"/>
                <w:sz w:val="21"/>
                <w:szCs w:val="21"/>
                <w:lang w:val="en-US" w:eastAsia="zh-CN" w:bidi="ar-SA"/>
              </w:rPr>
            </w:pPr>
            <w:r>
              <w:rPr>
                <w:rFonts w:hint="eastAsia"/>
                <w:sz w:val="21"/>
                <w:szCs w:val="21"/>
              </w:rPr>
              <w:t>公共连接点电压等级不超过10千伏、总装机容量不超过6兆瓦的分布式光伏</w:t>
            </w:r>
          </w:p>
        </w:tc>
      </w:tr>
      <w:tr w14:paraId="6BC46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2F7E8454">
            <w:pPr>
              <w:pStyle w:val="2"/>
              <w:spacing w:after="0" w:line="300" w:lineRule="auto"/>
              <w:jc w:val="center"/>
              <w:rPr>
                <w:rFonts w:hint="eastAsia" w:eastAsia="宋体"/>
                <w:sz w:val="21"/>
                <w:szCs w:val="21"/>
                <w:lang w:val="en-US" w:eastAsia="zh-CN"/>
              </w:rPr>
            </w:pPr>
            <w:r>
              <w:rPr>
                <w:rFonts w:hint="eastAsia"/>
                <w:sz w:val="21"/>
                <w:szCs w:val="21"/>
                <w:lang w:val="en-US" w:eastAsia="zh-CN"/>
              </w:rPr>
              <w:t>3</w:t>
            </w:r>
          </w:p>
        </w:tc>
        <w:tc>
          <w:tcPr>
            <w:tcW w:w="896" w:type="pct"/>
            <w:vAlign w:val="center"/>
          </w:tcPr>
          <w:p w14:paraId="1F9BD2FA">
            <w:pPr>
              <w:pStyle w:val="2"/>
              <w:spacing w:after="0" w:line="300" w:lineRule="auto"/>
              <w:jc w:val="center"/>
              <w:rPr>
                <w:rFonts w:hint="eastAsia" w:ascii="Times New Roman" w:hAnsi="Times New Roman" w:eastAsia="宋体" w:cs="Times New Roman"/>
                <w:kern w:val="2"/>
                <w:sz w:val="21"/>
                <w:szCs w:val="21"/>
                <w:lang w:val="en-US" w:eastAsia="zh-CN" w:bidi="ar-SA"/>
              </w:rPr>
            </w:pPr>
            <w:r>
              <w:rPr>
                <w:rFonts w:hint="eastAsia"/>
                <w:sz w:val="21"/>
                <w:szCs w:val="21"/>
              </w:rPr>
              <w:t>一般工商业分布式光伏</w:t>
            </w:r>
          </w:p>
        </w:tc>
        <w:tc>
          <w:tcPr>
            <w:tcW w:w="1493" w:type="pct"/>
            <w:vAlign w:val="center"/>
          </w:tcPr>
          <w:p w14:paraId="30685B66">
            <w:pPr>
              <w:pStyle w:val="2"/>
              <w:spacing w:after="0" w:line="300" w:lineRule="auto"/>
              <w:jc w:val="center"/>
              <w:rPr>
                <w:rFonts w:hint="default" w:ascii="Times New Roman" w:hAnsi="Times New Roman" w:eastAsia="宋体" w:cs="Times New Roman"/>
                <w:kern w:val="2"/>
                <w:sz w:val="21"/>
                <w:szCs w:val="21"/>
                <w:lang w:val="en-US" w:eastAsia="zh-CN" w:bidi="ar-SA"/>
              </w:rPr>
            </w:pPr>
            <w:r>
              <w:rPr>
                <w:rFonts w:hint="default" w:eastAsia="宋体"/>
                <w:sz w:val="21"/>
                <w:szCs w:val="21"/>
              </w:rPr>
              <w:t>可选择全部自发自用或自发自用余电上网</w:t>
            </w:r>
          </w:p>
        </w:tc>
        <w:tc>
          <w:tcPr>
            <w:tcW w:w="2132" w:type="pct"/>
            <w:vAlign w:val="top"/>
          </w:tcPr>
          <w:p w14:paraId="255D57DF">
            <w:pPr>
              <w:pStyle w:val="2"/>
              <w:spacing w:after="0" w:line="300" w:lineRule="auto"/>
              <w:jc w:val="center"/>
              <w:rPr>
                <w:rFonts w:hint="eastAsia" w:ascii="Times New Roman" w:hAnsi="Times New Roman" w:eastAsia="宋体" w:cs="Times New Roman"/>
                <w:kern w:val="2"/>
                <w:sz w:val="21"/>
                <w:szCs w:val="21"/>
                <w:lang w:val="en-US" w:eastAsia="zh-CN" w:bidi="ar-SA"/>
              </w:rPr>
            </w:pPr>
            <w:r>
              <w:rPr>
                <w:rFonts w:hint="eastAsia"/>
                <w:sz w:val="21"/>
                <w:szCs w:val="21"/>
              </w:rPr>
              <w:t>公共连接点电压等级为10千伏（20千伏）及以下、总装机容量不超过6兆瓦的分布式光伏</w:t>
            </w:r>
          </w:p>
        </w:tc>
      </w:tr>
      <w:tr w14:paraId="4D3CB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2F3D9696">
            <w:pPr>
              <w:pStyle w:val="2"/>
              <w:spacing w:after="0" w:line="300" w:lineRule="auto"/>
              <w:jc w:val="center"/>
              <w:rPr>
                <w:rFonts w:hint="eastAsia" w:eastAsia="宋体"/>
                <w:sz w:val="21"/>
                <w:szCs w:val="21"/>
                <w:lang w:val="en-US" w:eastAsia="zh-CN"/>
              </w:rPr>
            </w:pPr>
            <w:r>
              <w:rPr>
                <w:rFonts w:hint="eastAsia"/>
                <w:sz w:val="21"/>
                <w:szCs w:val="21"/>
                <w:lang w:val="en-US" w:eastAsia="zh-CN"/>
              </w:rPr>
              <w:t>4</w:t>
            </w:r>
          </w:p>
        </w:tc>
        <w:tc>
          <w:tcPr>
            <w:tcW w:w="896" w:type="pct"/>
            <w:vAlign w:val="center"/>
          </w:tcPr>
          <w:p w14:paraId="683AF30D">
            <w:pPr>
              <w:pStyle w:val="2"/>
              <w:spacing w:after="0" w:line="300" w:lineRule="auto"/>
              <w:jc w:val="center"/>
              <w:rPr>
                <w:rFonts w:ascii="Times New Roman" w:hAnsi="Times New Roman" w:eastAsia="宋体" w:cs="Times New Roman"/>
                <w:kern w:val="2"/>
                <w:sz w:val="21"/>
                <w:szCs w:val="21"/>
                <w:lang w:val="en-US" w:eastAsia="zh-CN" w:bidi="ar-SA"/>
              </w:rPr>
            </w:pPr>
            <w:r>
              <w:rPr>
                <w:rFonts w:hint="eastAsia"/>
                <w:sz w:val="21"/>
                <w:szCs w:val="21"/>
              </w:rPr>
              <w:t>大型工商业分布式光伏</w:t>
            </w:r>
          </w:p>
        </w:tc>
        <w:tc>
          <w:tcPr>
            <w:tcW w:w="1493" w:type="pct"/>
            <w:vAlign w:val="center"/>
          </w:tcPr>
          <w:p w14:paraId="4140E19E">
            <w:pPr>
              <w:pStyle w:val="2"/>
              <w:spacing w:after="0" w:line="300" w:lineRule="auto"/>
              <w:jc w:val="center"/>
              <w:rPr>
                <w:sz w:val="21"/>
                <w:szCs w:val="21"/>
              </w:rPr>
            </w:pPr>
            <w:r>
              <w:rPr>
                <w:rFonts w:hint="default" w:ascii="Times New Roman" w:hAnsi="Times New Roman" w:eastAsia="宋体" w:cs="Times New Roman"/>
                <w:kern w:val="2"/>
                <w:sz w:val="21"/>
                <w:szCs w:val="21"/>
                <w:lang w:val="en-US" w:eastAsia="zh-CN"/>
              </w:rPr>
              <w:t>全部</w:t>
            </w:r>
            <w:r>
              <w:rPr>
                <w:rFonts w:hint="default" w:ascii="Times New Roman" w:hAnsi="Times New Roman" w:eastAsia="宋体" w:cs="Times New Roman"/>
                <w:kern w:val="2"/>
                <w:sz w:val="21"/>
                <w:szCs w:val="21"/>
                <w:lang w:eastAsia="zh-CN"/>
              </w:rPr>
              <w:t>自发自用</w:t>
            </w:r>
          </w:p>
        </w:tc>
        <w:tc>
          <w:tcPr>
            <w:tcW w:w="2132" w:type="pct"/>
            <w:vAlign w:val="top"/>
          </w:tcPr>
          <w:p w14:paraId="73559F92">
            <w:pPr>
              <w:pStyle w:val="2"/>
              <w:spacing w:after="0" w:line="300" w:lineRule="auto"/>
              <w:jc w:val="center"/>
              <w:rPr>
                <w:rFonts w:ascii="Times New Roman" w:hAnsi="Times New Roman" w:eastAsia="宋体" w:cs="Times New Roman"/>
                <w:kern w:val="2"/>
                <w:sz w:val="21"/>
                <w:szCs w:val="21"/>
                <w:lang w:val="en-US" w:eastAsia="zh-CN" w:bidi="ar-SA"/>
              </w:rPr>
            </w:pPr>
            <w:r>
              <w:rPr>
                <w:rFonts w:hint="eastAsia"/>
                <w:sz w:val="21"/>
                <w:szCs w:val="21"/>
              </w:rPr>
              <w:t>公共连接点电压等级为35千伏、总装机容量不超过20兆瓦或公共连接点电压等级为110千伏（66千伏）、总装机容量不超过50兆瓦的分布式光伏。</w:t>
            </w:r>
          </w:p>
        </w:tc>
      </w:tr>
      <w:tr w14:paraId="71816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0C7A853F">
            <w:pPr>
              <w:pStyle w:val="2"/>
              <w:spacing w:after="0" w:line="300" w:lineRule="auto"/>
              <w:jc w:val="center"/>
              <w:rPr>
                <w:rFonts w:hint="eastAsia" w:eastAsia="宋体"/>
                <w:sz w:val="21"/>
                <w:szCs w:val="21"/>
                <w:lang w:eastAsia="zh-CN"/>
              </w:rPr>
            </w:pPr>
            <w:r>
              <w:rPr>
                <w:rFonts w:hint="eastAsia"/>
                <w:sz w:val="21"/>
                <w:szCs w:val="21"/>
                <w:lang w:val="en-US" w:eastAsia="zh-CN"/>
              </w:rPr>
              <w:t>5</w:t>
            </w:r>
          </w:p>
        </w:tc>
        <w:tc>
          <w:tcPr>
            <w:tcW w:w="896" w:type="pct"/>
            <w:vAlign w:val="center"/>
          </w:tcPr>
          <w:p w14:paraId="2485ED65">
            <w:pPr>
              <w:pStyle w:val="2"/>
              <w:spacing w:after="0" w:line="300" w:lineRule="auto"/>
              <w:jc w:val="center"/>
              <w:rPr>
                <w:sz w:val="21"/>
                <w:szCs w:val="21"/>
              </w:rPr>
            </w:pPr>
            <w:r>
              <w:rPr>
                <w:sz w:val="21"/>
                <w:szCs w:val="21"/>
              </w:rPr>
              <w:t>集中并网方式</w:t>
            </w:r>
          </w:p>
        </w:tc>
        <w:tc>
          <w:tcPr>
            <w:tcW w:w="1493" w:type="pct"/>
            <w:vAlign w:val="center"/>
          </w:tcPr>
          <w:p w14:paraId="45BC9196">
            <w:pPr>
              <w:pStyle w:val="2"/>
              <w:spacing w:after="0" w:line="300" w:lineRule="auto"/>
              <w:jc w:val="center"/>
              <w:rPr>
                <w:sz w:val="21"/>
                <w:szCs w:val="21"/>
              </w:rPr>
            </w:pPr>
            <w:r>
              <w:rPr>
                <w:sz w:val="21"/>
                <w:szCs w:val="21"/>
              </w:rPr>
              <w:t>光伏电站所发电量，全部</w:t>
            </w:r>
          </w:p>
        </w:tc>
        <w:tc>
          <w:tcPr>
            <w:tcW w:w="2132" w:type="pct"/>
          </w:tcPr>
          <w:p w14:paraId="2389BDD5">
            <w:pPr>
              <w:pStyle w:val="2"/>
              <w:spacing w:after="0" w:line="300" w:lineRule="auto"/>
              <w:jc w:val="center"/>
              <w:rPr>
                <w:sz w:val="21"/>
                <w:szCs w:val="21"/>
              </w:rPr>
            </w:pPr>
            <w:r>
              <w:rPr>
                <w:sz w:val="21"/>
                <w:szCs w:val="21"/>
              </w:rPr>
              <w:t>应用于大型屋顶电站，建筑负荷不稳</w:t>
            </w:r>
          </w:p>
        </w:tc>
      </w:tr>
    </w:tbl>
    <w:p w14:paraId="0A0FF34C">
      <w:pPr>
        <w:keepNext w:val="0"/>
        <w:keepLines w:val="0"/>
        <w:snapToGrid/>
        <w:spacing w:before="0" w:beforeLines="-2147483648" w:after="0" w:afterLines="-2147483648" w:line="240" w:lineRule="auto"/>
        <w:jc w:val="center"/>
        <w:outlineLvl w:val="9"/>
        <w:rPr>
          <w:rFonts w:hint="default" w:eastAsia="宋体"/>
          <w:b w:val="0"/>
          <w:bCs w:val="0"/>
          <w:lang w:val="en-US" w:eastAsia="zh-CN"/>
        </w:rPr>
      </w:pPr>
      <w:bookmarkStart w:id="280" w:name="_Toc8615"/>
      <w:bookmarkStart w:id="281" w:name="_Toc4860"/>
      <w:bookmarkStart w:id="282" w:name="_Toc3857"/>
      <w:bookmarkStart w:id="283" w:name="_Toc24599"/>
      <w:bookmarkStart w:id="284" w:name="_Toc7189"/>
      <w:r>
        <w:rPr>
          <w:rFonts w:hint="default"/>
          <w:b w:val="0"/>
          <w:bCs w:val="0"/>
          <w:szCs w:val="21"/>
          <w:lang w:val="en-US" w:eastAsia="zh-CN"/>
        </w:rPr>
        <w:t>续</w:t>
      </w:r>
      <w:r>
        <w:rPr>
          <w:b w:val="0"/>
          <w:bCs w:val="0"/>
          <w:sz w:val="21"/>
          <w:szCs w:val="21"/>
        </w:rPr>
        <w:t>表8.1.3</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527"/>
        <w:gridCol w:w="2545"/>
        <w:gridCol w:w="3634"/>
      </w:tblGrid>
      <w:tr w14:paraId="47E72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70906E99">
            <w:pPr>
              <w:pStyle w:val="2"/>
              <w:spacing w:after="0" w:line="300" w:lineRule="auto"/>
              <w:jc w:val="center"/>
              <w:rPr>
                <w:b w:val="0"/>
                <w:bCs w:val="0"/>
                <w:sz w:val="21"/>
                <w:szCs w:val="21"/>
              </w:rPr>
            </w:pPr>
            <w:r>
              <w:rPr>
                <w:b w:val="0"/>
                <w:bCs w:val="0"/>
                <w:sz w:val="21"/>
                <w:szCs w:val="21"/>
              </w:rPr>
              <w:t>序号</w:t>
            </w:r>
          </w:p>
        </w:tc>
        <w:tc>
          <w:tcPr>
            <w:tcW w:w="896" w:type="pct"/>
            <w:vAlign w:val="center"/>
          </w:tcPr>
          <w:p w14:paraId="54C5C60D">
            <w:pPr>
              <w:pStyle w:val="2"/>
              <w:spacing w:after="0" w:line="300" w:lineRule="auto"/>
              <w:jc w:val="center"/>
              <w:rPr>
                <w:b w:val="0"/>
                <w:bCs w:val="0"/>
                <w:sz w:val="21"/>
                <w:szCs w:val="21"/>
              </w:rPr>
            </w:pPr>
            <w:r>
              <w:rPr>
                <w:b w:val="0"/>
                <w:bCs w:val="0"/>
                <w:sz w:val="21"/>
                <w:szCs w:val="21"/>
              </w:rPr>
              <w:t>并网方式</w:t>
            </w:r>
          </w:p>
        </w:tc>
        <w:tc>
          <w:tcPr>
            <w:tcW w:w="1493" w:type="pct"/>
            <w:vAlign w:val="center"/>
          </w:tcPr>
          <w:p w14:paraId="62FFE180">
            <w:pPr>
              <w:pStyle w:val="2"/>
              <w:spacing w:after="0" w:line="300" w:lineRule="auto"/>
              <w:jc w:val="center"/>
              <w:rPr>
                <w:b w:val="0"/>
                <w:bCs w:val="0"/>
                <w:sz w:val="21"/>
                <w:szCs w:val="21"/>
              </w:rPr>
            </w:pPr>
            <w:r>
              <w:rPr>
                <w:b w:val="0"/>
                <w:bCs w:val="0"/>
                <w:sz w:val="21"/>
                <w:szCs w:val="21"/>
              </w:rPr>
              <w:t>用电方式</w:t>
            </w:r>
          </w:p>
        </w:tc>
        <w:tc>
          <w:tcPr>
            <w:tcW w:w="2132" w:type="pct"/>
          </w:tcPr>
          <w:p w14:paraId="56FDF26B">
            <w:pPr>
              <w:pStyle w:val="2"/>
              <w:spacing w:after="0" w:line="300" w:lineRule="auto"/>
              <w:jc w:val="center"/>
              <w:rPr>
                <w:b w:val="0"/>
                <w:bCs w:val="0"/>
                <w:sz w:val="21"/>
                <w:szCs w:val="21"/>
              </w:rPr>
            </w:pPr>
            <w:r>
              <w:rPr>
                <w:b w:val="0"/>
                <w:bCs w:val="0"/>
                <w:sz w:val="21"/>
                <w:szCs w:val="21"/>
              </w:rPr>
              <w:t>适用范围</w:t>
            </w:r>
          </w:p>
        </w:tc>
      </w:tr>
      <w:tr w14:paraId="296D5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6F06C294">
            <w:pPr>
              <w:pStyle w:val="2"/>
              <w:spacing w:after="0" w:line="300" w:lineRule="auto"/>
              <w:jc w:val="center"/>
              <w:rPr>
                <w:sz w:val="21"/>
                <w:szCs w:val="21"/>
              </w:rPr>
            </w:pPr>
          </w:p>
        </w:tc>
        <w:tc>
          <w:tcPr>
            <w:tcW w:w="896" w:type="pct"/>
            <w:vAlign w:val="center"/>
          </w:tcPr>
          <w:p w14:paraId="46E12987">
            <w:pPr>
              <w:pStyle w:val="2"/>
              <w:spacing w:after="0" w:line="300" w:lineRule="auto"/>
              <w:jc w:val="center"/>
              <w:rPr>
                <w:rFonts w:hint="eastAsia" w:ascii="Times New Roman" w:hAnsi="Times New Roman" w:eastAsia="宋体" w:cs="Times New Roman"/>
                <w:kern w:val="2"/>
                <w:sz w:val="21"/>
                <w:szCs w:val="21"/>
                <w:lang w:val="en-US" w:eastAsia="zh-CN" w:bidi="ar-SA"/>
              </w:rPr>
            </w:pPr>
          </w:p>
        </w:tc>
        <w:tc>
          <w:tcPr>
            <w:tcW w:w="1493" w:type="pct"/>
            <w:vAlign w:val="center"/>
          </w:tcPr>
          <w:p w14:paraId="239E9A35">
            <w:pPr>
              <w:pStyle w:val="2"/>
              <w:spacing w:after="0" w:line="300" w:lineRule="auto"/>
              <w:jc w:val="center"/>
              <w:rPr>
                <w:rFonts w:hint="eastAsia" w:ascii="Times New Roman" w:hAnsi="Times New Roman" w:eastAsia="宋体" w:cs="Times New Roman"/>
                <w:kern w:val="2"/>
                <w:sz w:val="21"/>
                <w:szCs w:val="21"/>
                <w:lang w:val="en-US" w:eastAsia="zh-CN" w:bidi="ar-SA"/>
              </w:rPr>
            </w:pPr>
            <w:r>
              <w:rPr>
                <w:sz w:val="21"/>
                <w:szCs w:val="21"/>
              </w:rPr>
              <w:t>上网，以并网电价形式计量</w:t>
            </w:r>
          </w:p>
        </w:tc>
        <w:tc>
          <w:tcPr>
            <w:tcW w:w="2132" w:type="pct"/>
            <w:vAlign w:val="top"/>
          </w:tcPr>
          <w:p w14:paraId="5C1DFDBF">
            <w:pPr>
              <w:pStyle w:val="2"/>
              <w:spacing w:after="0" w:line="300" w:lineRule="auto"/>
              <w:jc w:val="center"/>
              <w:rPr>
                <w:rFonts w:hint="eastAsia" w:ascii="Times New Roman" w:hAnsi="Times New Roman" w:eastAsia="宋体" w:cs="Times New Roman"/>
                <w:kern w:val="2"/>
                <w:sz w:val="21"/>
                <w:szCs w:val="21"/>
                <w:lang w:val="en-US" w:eastAsia="zh-CN" w:bidi="ar-SA"/>
              </w:rPr>
            </w:pPr>
            <w:r>
              <w:rPr>
                <w:sz w:val="21"/>
                <w:szCs w:val="21"/>
              </w:rPr>
              <w:t>定、不能完全消纳且离变电所较近的场所。</w:t>
            </w:r>
          </w:p>
        </w:tc>
      </w:tr>
    </w:tbl>
    <w:p w14:paraId="0720BF24">
      <w:pPr>
        <w:keepNext/>
        <w:keepLines/>
        <w:snapToGrid w:val="0"/>
        <w:spacing w:before="95" w:beforeLines="30" w:after="95" w:afterLines="30" w:line="300" w:lineRule="auto"/>
        <w:jc w:val="center"/>
        <w:outlineLvl w:val="2"/>
        <w:rPr>
          <w:b/>
          <w:sz w:val="24"/>
          <w:szCs w:val="32"/>
        </w:rPr>
      </w:pPr>
      <w:r>
        <w:rPr>
          <w:b/>
          <w:sz w:val="24"/>
          <w:szCs w:val="32"/>
        </w:rPr>
        <w:t>8.2</w:t>
      </w:r>
      <w:r>
        <w:rPr>
          <w:rFonts w:hint="default" w:ascii="Times New Roman" w:hAnsi="Times New Roman" w:eastAsia="宋体" w:cs="Times New Roman"/>
          <w:b/>
          <w:sz w:val="24"/>
          <w:szCs w:val="32"/>
          <w:lang w:val="en-US" w:eastAsia="zh-CN"/>
        </w:rPr>
        <w:t>系统</w:t>
      </w:r>
      <w:r>
        <w:rPr>
          <w:b/>
          <w:sz w:val="24"/>
          <w:szCs w:val="32"/>
        </w:rPr>
        <w:t>运行</w:t>
      </w:r>
      <w:bookmarkEnd w:id="280"/>
      <w:bookmarkEnd w:id="281"/>
      <w:bookmarkEnd w:id="282"/>
    </w:p>
    <w:p w14:paraId="3D191704">
      <w:pPr>
        <w:keepNext w:val="0"/>
        <w:keepLines w:val="0"/>
        <w:snapToGrid/>
        <w:spacing w:before="0" w:beforeLines="-2147483648" w:after="0" w:afterLines="-2147483648" w:line="360" w:lineRule="auto"/>
        <w:jc w:val="left"/>
        <w:outlineLvl w:val="9"/>
        <w:rPr>
          <w:rFonts w:hint="default"/>
          <w:sz w:val="24"/>
          <w:lang w:eastAsia="zh-CN"/>
        </w:rPr>
      </w:pPr>
      <w:bookmarkStart w:id="285" w:name="_Toc22302"/>
      <w:bookmarkStart w:id="286" w:name="_Toc16241"/>
      <w:r>
        <w:rPr>
          <w:b/>
          <w:bCs/>
          <w:sz w:val="24"/>
        </w:rPr>
        <w:t xml:space="preserve">8.2.1 </w:t>
      </w:r>
      <w:r>
        <w:rPr>
          <w:sz w:val="24"/>
        </w:rPr>
        <w:t>建筑光伏系统并网运行技术规范应符合现行国家标准《建筑光伏系统应用技术标准》GB/T51368</w:t>
      </w:r>
      <w:r>
        <w:rPr>
          <w:rFonts w:hint="eastAsia"/>
          <w:sz w:val="24"/>
          <w:lang w:val="en-US" w:eastAsia="zh-CN"/>
        </w:rPr>
        <w:t>和</w:t>
      </w:r>
      <w:r>
        <w:rPr>
          <w:sz w:val="24"/>
        </w:rPr>
        <w:t>《光伏系统并网技术要求》GB/T19939</w:t>
      </w:r>
      <w:r>
        <w:rPr>
          <w:rFonts w:hint="eastAsia"/>
          <w:sz w:val="24"/>
        </w:rPr>
        <w:t>的有关规定</w:t>
      </w:r>
      <w:r>
        <w:rPr>
          <w:rFonts w:hint="default"/>
          <w:sz w:val="24"/>
          <w:lang w:eastAsia="zh-CN"/>
        </w:rPr>
        <w:t>。</w:t>
      </w:r>
      <w:bookmarkEnd w:id="285"/>
      <w:bookmarkEnd w:id="286"/>
    </w:p>
    <w:p w14:paraId="14BC73A7">
      <w:pPr>
        <w:spacing w:line="360" w:lineRule="auto"/>
        <w:rPr>
          <w:sz w:val="24"/>
        </w:rPr>
      </w:pPr>
      <w:r>
        <w:rPr>
          <w:b/>
          <w:bCs/>
          <w:sz w:val="24"/>
        </w:rPr>
        <w:t>8.</w:t>
      </w:r>
      <w:r>
        <w:rPr>
          <w:rFonts w:hint="eastAsia"/>
          <w:b/>
          <w:bCs/>
          <w:sz w:val="24"/>
          <w:lang w:val="en-US" w:eastAsia="zh-CN"/>
        </w:rPr>
        <w:t>2</w:t>
      </w:r>
      <w:r>
        <w:rPr>
          <w:b/>
          <w:bCs/>
          <w:sz w:val="24"/>
        </w:rPr>
        <w:t>.</w:t>
      </w:r>
      <w:r>
        <w:rPr>
          <w:rFonts w:hint="eastAsia"/>
          <w:b/>
          <w:bCs/>
          <w:sz w:val="24"/>
          <w:lang w:val="en-US" w:eastAsia="zh-CN"/>
        </w:rPr>
        <w:t>2</w:t>
      </w:r>
      <w:r>
        <w:rPr>
          <w:sz w:val="24"/>
        </w:rPr>
        <w:t xml:space="preserve"> 建筑光伏系统在满足以下条件时宜采用自发自用离网运行模式：</w:t>
      </w:r>
    </w:p>
    <w:p w14:paraId="63FBA744">
      <w:pPr>
        <w:pStyle w:val="2"/>
        <w:snapToGrid w:val="0"/>
        <w:spacing w:after="0" w:line="360" w:lineRule="auto"/>
        <w:ind w:firstLine="482" w:firstLineChars="200"/>
        <w:rPr>
          <w:sz w:val="24"/>
        </w:rPr>
      </w:pPr>
      <w:r>
        <w:rPr>
          <w:b/>
          <w:bCs/>
          <w:sz w:val="24"/>
        </w:rPr>
        <w:t xml:space="preserve">1 </w:t>
      </w:r>
      <w:r>
        <w:rPr>
          <w:sz w:val="24"/>
        </w:rPr>
        <w:t>电力需求较高且用电模式与光伏发电模式相匹配的建筑，如大型商业中心、工业设施等；</w:t>
      </w:r>
    </w:p>
    <w:p w14:paraId="7CA3375D">
      <w:pPr>
        <w:pStyle w:val="2"/>
        <w:snapToGrid w:val="0"/>
        <w:spacing w:after="0" w:line="360" w:lineRule="auto"/>
        <w:ind w:firstLine="482" w:firstLineChars="200"/>
        <w:rPr>
          <w:sz w:val="24"/>
        </w:rPr>
      </w:pPr>
      <w:r>
        <w:rPr>
          <w:b/>
          <w:bCs/>
          <w:sz w:val="24"/>
        </w:rPr>
        <w:t xml:space="preserve">2 </w:t>
      </w:r>
      <w:r>
        <w:rPr>
          <w:sz w:val="24"/>
        </w:rPr>
        <w:t>建筑在白天有较高的电力需求（如办公楼、商场等），此时光伏发电可在高峰期直接供电；</w:t>
      </w:r>
    </w:p>
    <w:p w14:paraId="7BA54F76">
      <w:pPr>
        <w:pStyle w:val="2"/>
        <w:snapToGrid w:val="0"/>
        <w:spacing w:after="0" w:line="360" w:lineRule="auto"/>
        <w:ind w:firstLine="482" w:firstLineChars="200"/>
        <w:rPr>
          <w:sz w:val="24"/>
        </w:rPr>
      </w:pPr>
      <w:r>
        <w:rPr>
          <w:b/>
          <w:bCs/>
          <w:sz w:val="24"/>
        </w:rPr>
        <w:t xml:space="preserve">3 </w:t>
      </w:r>
      <w:r>
        <w:rPr>
          <w:sz w:val="24"/>
        </w:rPr>
        <w:t>建筑具备智能用电管理系统，能够在光伏发电量高时优先调动建筑内部大功率设备（如空调、热水器等）运行；</w:t>
      </w:r>
    </w:p>
    <w:p w14:paraId="719D33B8">
      <w:pPr>
        <w:pStyle w:val="2"/>
        <w:snapToGrid w:val="0"/>
        <w:spacing w:after="0" w:line="360" w:lineRule="auto"/>
        <w:ind w:firstLine="482" w:firstLineChars="200"/>
        <w:rPr>
          <w:sz w:val="24"/>
        </w:rPr>
      </w:pPr>
      <w:r>
        <w:rPr>
          <w:b/>
          <w:bCs/>
          <w:sz w:val="24"/>
        </w:rPr>
        <w:t xml:space="preserve">4 </w:t>
      </w:r>
      <w:r>
        <w:rPr>
          <w:sz w:val="24"/>
        </w:rPr>
        <w:t>建筑配备高效储能系统，能够在光伏发电高峰期储存多余电能，以满足夜间或阴雨天气的用电需求。</w:t>
      </w:r>
    </w:p>
    <w:p w14:paraId="2128B9F7">
      <w:pPr>
        <w:keepNext/>
        <w:keepLines/>
        <w:snapToGrid w:val="0"/>
        <w:spacing w:before="95" w:beforeLines="30" w:after="95" w:afterLines="30" w:line="300" w:lineRule="auto"/>
        <w:jc w:val="center"/>
        <w:outlineLvl w:val="2"/>
        <w:rPr>
          <w:b/>
          <w:sz w:val="24"/>
          <w:szCs w:val="32"/>
        </w:rPr>
      </w:pPr>
      <w:bookmarkStart w:id="287" w:name="_Toc32156"/>
      <w:bookmarkStart w:id="288" w:name="_Toc13553"/>
      <w:bookmarkStart w:id="289" w:name="_Toc21511"/>
      <w:r>
        <w:rPr>
          <w:b/>
          <w:sz w:val="24"/>
          <w:szCs w:val="32"/>
        </w:rPr>
        <w:t>8.</w:t>
      </w:r>
      <w:r>
        <w:rPr>
          <w:rFonts w:hint="default"/>
          <w:b/>
          <w:sz w:val="24"/>
          <w:szCs w:val="32"/>
          <w:lang w:val="en-US" w:eastAsia="zh-CN"/>
        </w:rPr>
        <w:t>3</w:t>
      </w:r>
      <w:r>
        <w:rPr>
          <w:b/>
          <w:sz w:val="24"/>
          <w:szCs w:val="32"/>
        </w:rPr>
        <w:t>智能运行</w:t>
      </w:r>
      <w:bookmarkEnd w:id="287"/>
      <w:bookmarkEnd w:id="288"/>
      <w:bookmarkEnd w:id="289"/>
    </w:p>
    <w:p w14:paraId="26F5F4D6">
      <w:pPr>
        <w:spacing w:line="360" w:lineRule="auto"/>
        <w:rPr>
          <w:sz w:val="24"/>
        </w:rPr>
      </w:pPr>
      <w:r>
        <w:rPr>
          <w:b/>
          <w:bCs/>
          <w:sz w:val="24"/>
        </w:rPr>
        <w:t>8.</w:t>
      </w:r>
      <w:r>
        <w:rPr>
          <w:rFonts w:hint="eastAsia"/>
          <w:b/>
          <w:bCs/>
          <w:sz w:val="24"/>
          <w:lang w:val="en-US" w:eastAsia="zh-CN"/>
        </w:rPr>
        <w:t>3</w:t>
      </w:r>
      <w:r>
        <w:rPr>
          <w:b/>
          <w:bCs/>
          <w:sz w:val="24"/>
        </w:rPr>
        <w:t>.1</w:t>
      </w:r>
      <w:r>
        <w:rPr>
          <w:sz w:val="24"/>
        </w:rPr>
        <w:t xml:space="preserve"> 中、大型建筑光伏系统的系统架构、智能运行、智能检修维护、物资管理、市场营销管理、安全管理的技术要求宜参考现行国家标准《智能光伏发电站 第1部分：总则》GB/T 44228.1的有关规定。</w:t>
      </w:r>
    </w:p>
    <w:p w14:paraId="37124C3E">
      <w:pPr>
        <w:pStyle w:val="2"/>
        <w:spacing w:line="360" w:lineRule="auto"/>
        <w:rPr>
          <w:sz w:val="24"/>
        </w:rPr>
      </w:pPr>
      <w:r>
        <w:rPr>
          <w:b/>
          <w:bCs/>
          <w:sz w:val="24"/>
        </w:rPr>
        <w:t>8.</w:t>
      </w:r>
      <w:r>
        <w:rPr>
          <w:rFonts w:hint="eastAsia"/>
          <w:b/>
          <w:bCs/>
          <w:sz w:val="24"/>
          <w:lang w:val="en-US" w:eastAsia="zh-CN"/>
        </w:rPr>
        <w:t>3</w:t>
      </w:r>
      <w:r>
        <w:rPr>
          <w:b/>
          <w:bCs/>
          <w:sz w:val="24"/>
        </w:rPr>
        <w:t xml:space="preserve">.2 </w:t>
      </w:r>
      <w:r>
        <w:rPr>
          <w:sz w:val="24"/>
        </w:rPr>
        <w:t>建筑光伏发电的监控计量系统应符合现行国家标准《建筑光伏系统应用技术标准》GB/T51368、《电测量及电能计量装置设计技术规程》DL/T 5137</w:t>
      </w:r>
      <w:r>
        <w:rPr>
          <w:rFonts w:hint="eastAsia"/>
          <w:sz w:val="24"/>
          <w:lang w:val="en-US" w:eastAsia="zh-CN"/>
        </w:rPr>
        <w:t>和</w:t>
      </w:r>
      <w:r>
        <w:rPr>
          <w:sz w:val="24"/>
        </w:rPr>
        <w:t>《电能计量装置技术管理规程》DL/T 448的有关规定。</w:t>
      </w:r>
    </w:p>
    <w:p w14:paraId="44B6CAC3">
      <w:pPr>
        <w:pStyle w:val="2"/>
        <w:snapToGrid w:val="0"/>
        <w:spacing w:after="0" w:line="360" w:lineRule="auto"/>
        <w:rPr>
          <w:sz w:val="24"/>
        </w:rPr>
      </w:pPr>
      <w:r>
        <w:rPr>
          <w:b/>
          <w:bCs/>
          <w:sz w:val="24"/>
        </w:rPr>
        <w:t>8.</w:t>
      </w:r>
      <w:r>
        <w:rPr>
          <w:rFonts w:hint="eastAsia"/>
          <w:b/>
          <w:bCs/>
          <w:sz w:val="24"/>
          <w:lang w:val="en-US" w:eastAsia="zh-CN"/>
        </w:rPr>
        <w:t>3</w:t>
      </w:r>
      <w:r>
        <w:rPr>
          <w:b/>
          <w:bCs/>
          <w:sz w:val="24"/>
        </w:rPr>
        <w:t>.3</w:t>
      </w:r>
      <w:r>
        <w:rPr>
          <w:sz w:val="24"/>
        </w:rPr>
        <w:t xml:space="preserve"> 建筑光伏系统宜配置与智能控制终端相兼容的通用数据接口，可接受智能控制终端对光伏系统离并网接入模式的远程切换控制。该终端能对光伏系统工作范围内的环境参数、电气参数、设备工作状态、系统经济性进行实时数据监测与计算，使光伏系统在安全可靠的条件下尽量以经济性最优模式运行。</w:t>
      </w:r>
    </w:p>
    <w:p w14:paraId="16BA2E0E">
      <w:pPr>
        <w:pStyle w:val="2"/>
        <w:spacing w:line="360" w:lineRule="auto"/>
        <w:rPr>
          <w:sz w:val="24"/>
        </w:rPr>
      </w:pPr>
      <w:r>
        <w:rPr>
          <w:b/>
          <w:bCs/>
          <w:sz w:val="24"/>
        </w:rPr>
        <w:t>8.</w:t>
      </w:r>
      <w:r>
        <w:rPr>
          <w:rFonts w:hint="eastAsia"/>
          <w:b/>
          <w:bCs/>
          <w:sz w:val="24"/>
          <w:lang w:val="en-US" w:eastAsia="zh-CN"/>
        </w:rPr>
        <w:t>3</w:t>
      </w:r>
      <w:r>
        <w:rPr>
          <w:b/>
          <w:bCs/>
          <w:sz w:val="24"/>
        </w:rPr>
        <w:t>.4</w:t>
      </w:r>
      <w:r>
        <w:rPr>
          <w:sz w:val="24"/>
        </w:rPr>
        <w:t xml:space="preserve"> 建筑光伏系统宜配置智能调配系统，该系统能根据监控计量系统的实时数据，自动调整光伏系统发电量和电网供电量的配比，优化电力供应。</w:t>
      </w:r>
    </w:p>
    <w:p w14:paraId="28DEF742">
      <w:pPr>
        <w:pStyle w:val="2"/>
        <w:spacing w:line="360" w:lineRule="auto"/>
        <w:rPr>
          <w:sz w:val="24"/>
        </w:rPr>
      </w:pPr>
      <w:r>
        <w:rPr>
          <w:b/>
          <w:bCs/>
          <w:sz w:val="24"/>
        </w:rPr>
        <w:t>8.</w:t>
      </w:r>
      <w:r>
        <w:rPr>
          <w:rFonts w:hint="eastAsia"/>
          <w:b/>
          <w:bCs/>
          <w:sz w:val="24"/>
          <w:lang w:val="en-US" w:eastAsia="zh-CN"/>
        </w:rPr>
        <w:t>3</w:t>
      </w:r>
      <w:r>
        <w:rPr>
          <w:b/>
          <w:bCs/>
          <w:sz w:val="24"/>
        </w:rPr>
        <w:t>.5</w:t>
      </w:r>
      <w:r>
        <w:rPr>
          <w:sz w:val="24"/>
        </w:rPr>
        <w:t xml:space="preserve"> 建筑光伏系统</w:t>
      </w:r>
      <w:r>
        <w:rPr>
          <w:rFonts w:hint="eastAsia"/>
          <w:sz w:val="24"/>
        </w:rPr>
        <w:t>的运行维护</w:t>
      </w:r>
      <w:r>
        <w:rPr>
          <w:sz w:val="24"/>
        </w:rPr>
        <w:t>宜</w:t>
      </w:r>
      <w:r>
        <w:rPr>
          <w:rFonts w:hint="eastAsia"/>
          <w:sz w:val="24"/>
        </w:rPr>
        <w:t>采用人工智能、物联网等</w:t>
      </w:r>
      <w:r>
        <w:rPr>
          <w:sz w:val="24"/>
        </w:rPr>
        <w:t>智能运</w:t>
      </w:r>
      <w:r>
        <w:rPr>
          <w:rFonts w:hint="eastAsia"/>
          <w:sz w:val="24"/>
        </w:rPr>
        <w:t>维</w:t>
      </w:r>
      <w:r>
        <w:rPr>
          <w:sz w:val="24"/>
        </w:rPr>
        <w:t>技术，</w:t>
      </w:r>
      <w:r>
        <w:rPr>
          <w:rFonts w:hint="eastAsia"/>
          <w:sz w:val="24"/>
        </w:rPr>
        <w:t>运行方式可采用</w:t>
      </w:r>
      <w:r>
        <w:rPr>
          <w:sz w:val="24"/>
        </w:rPr>
        <w:t>如</w:t>
      </w:r>
      <w:r>
        <w:rPr>
          <w:rFonts w:hint="eastAsia"/>
          <w:sz w:val="24"/>
        </w:rPr>
        <w:t>：智能微电网、</w:t>
      </w:r>
      <w:r>
        <w:rPr>
          <w:sz w:val="24"/>
        </w:rPr>
        <w:t>虚拟电厂与光储直柔等</w:t>
      </w:r>
      <w:r>
        <w:rPr>
          <w:rFonts w:hint="eastAsia"/>
          <w:sz w:val="24"/>
        </w:rPr>
        <w:t>先进</w:t>
      </w:r>
      <w:r>
        <w:rPr>
          <w:sz w:val="24"/>
        </w:rPr>
        <w:t>技术，提升能源管理效率与可再生能源利用率。</w:t>
      </w:r>
    </w:p>
    <w:p w14:paraId="1374EE81">
      <w:pPr>
        <w:snapToGrid w:val="0"/>
        <w:spacing w:line="360" w:lineRule="auto"/>
        <w:jc w:val="left"/>
        <w:rPr>
          <w:rFonts w:eastAsia="仿宋"/>
          <w:b/>
          <w:bCs/>
          <w:i/>
          <w:iCs/>
          <w:color w:val="0623BA"/>
          <w:sz w:val="24"/>
        </w:rPr>
      </w:pPr>
      <w:r>
        <w:rPr>
          <w:rFonts w:eastAsia="仿宋"/>
          <w:b/>
          <w:bCs/>
          <w:i/>
          <w:iCs/>
          <w:color w:val="0623BA"/>
          <w:sz w:val="24"/>
        </w:rPr>
        <w:t>【条文说明】</w:t>
      </w:r>
    </w:p>
    <w:p w14:paraId="284D85B3">
      <w:pPr>
        <w:snapToGrid w:val="0"/>
        <w:spacing w:beforeLines="0" w:afterLines="0" w:line="300" w:lineRule="auto"/>
        <w:ind w:firstLine="0" w:firstLineChars="0"/>
        <w:jc w:val="left"/>
        <w:rPr>
          <w:rFonts w:hint="eastAsia" w:ascii="仿宋" w:hAnsi="仿宋" w:eastAsia="仿宋" w:cs="仿宋"/>
          <w:i/>
          <w:iCs/>
          <w:color w:val="0623BA"/>
          <w:sz w:val="24"/>
        </w:rPr>
      </w:pPr>
      <w:r>
        <w:rPr>
          <w:rFonts w:eastAsia="仿宋"/>
          <w:i/>
          <w:iCs/>
          <w:color w:val="0623BA"/>
          <w:sz w:val="24"/>
        </w:rPr>
        <w:t>8.</w:t>
      </w:r>
      <w:r>
        <w:rPr>
          <w:rFonts w:hint="eastAsia" w:eastAsia="仿宋"/>
          <w:i/>
          <w:iCs/>
          <w:color w:val="0623BA"/>
          <w:sz w:val="24"/>
          <w:lang w:val="en-US" w:eastAsia="zh-CN"/>
        </w:rPr>
        <w:t>3</w:t>
      </w:r>
      <w:r>
        <w:rPr>
          <w:rFonts w:eastAsia="仿宋"/>
          <w:i/>
          <w:iCs/>
          <w:color w:val="0623BA"/>
          <w:sz w:val="24"/>
        </w:rPr>
        <w:t xml:space="preserve">.5  </w:t>
      </w:r>
      <w:r>
        <w:rPr>
          <w:rFonts w:hint="eastAsia" w:ascii="仿宋" w:hAnsi="仿宋" w:eastAsia="仿宋" w:cs="仿宋"/>
          <w:i/>
          <w:iCs/>
          <w:color w:val="0623BA"/>
          <w:sz w:val="24"/>
        </w:rPr>
        <w:t>智能运行技术可以是：</w:t>
      </w:r>
    </w:p>
    <w:p w14:paraId="28EE07B8">
      <w:pPr>
        <w:snapToGrid w:val="0"/>
        <w:spacing w:beforeLines="0" w:afterLines="0" w:line="300" w:lineRule="auto"/>
        <w:ind w:firstLine="480" w:firstLineChars="200"/>
        <w:jc w:val="left"/>
        <w:rPr>
          <w:rFonts w:hint="eastAsia" w:ascii="仿宋" w:hAnsi="仿宋" w:eastAsia="仿宋" w:cs="仿宋"/>
          <w:i/>
          <w:iCs/>
          <w:color w:val="0623BA"/>
          <w:sz w:val="24"/>
        </w:rPr>
      </w:pPr>
      <w:r>
        <w:rPr>
          <w:rFonts w:hint="eastAsia" w:ascii="仿宋" w:hAnsi="仿宋" w:eastAsia="仿宋" w:cs="仿宋"/>
          <w:i/>
          <w:iCs/>
          <w:color w:val="0623BA"/>
          <w:sz w:val="24"/>
        </w:rPr>
        <w:t>1</w:t>
      </w:r>
      <w:r>
        <w:rPr>
          <w:rFonts w:hint="eastAsia" w:ascii="仿宋" w:hAnsi="仿宋" w:eastAsia="仿宋" w:cs="仿宋"/>
          <w:i/>
          <w:iCs/>
          <w:color w:val="0623BA"/>
          <w:sz w:val="24"/>
          <w:lang w:val="en-US" w:eastAsia="zh-CN"/>
        </w:rPr>
        <w:t xml:space="preserve"> </w:t>
      </w:r>
      <w:r>
        <w:rPr>
          <w:rFonts w:hint="eastAsia" w:ascii="仿宋" w:hAnsi="仿宋" w:eastAsia="仿宋" w:cs="仿宋"/>
          <w:i/>
          <w:iCs/>
          <w:color w:val="0623BA"/>
          <w:sz w:val="24"/>
        </w:rPr>
        <w:t>虚拟电厂智能运行技术能通过信息技术整合建筑光伏系统与周边分布式能源资源（如电动汽车、热泵等），实现集中管理与优化调度的系统；</w:t>
      </w:r>
    </w:p>
    <w:p w14:paraId="70732587">
      <w:pPr>
        <w:snapToGrid w:val="0"/>
        <w:spacing w:beforeLines="0" w:afterLines="0" w:line="300" w:lineRule="auto"/>
        <w:ind w:firstLine="480" w:firstLineChars="200"/>
        <w:jc w:val="left"/>
        <w:rPr>
          <w:rFonts w:hint="eastAsia" w:ascii="仿宋" w:hAnsi="仿宋" w:eastAsia="仿宋" w:cs="仿宋"/>
          <w:i/>
          <w:iCs/>
          <w:color w:val="0623BA"/>
          <w:sz w:val="24"/>
        </w:rPr>
      </w:pPr>
      <w:r>
        <w:rPr>
          <w:rFonts w:hint="eastAsia" w:ascii="仿宋" w:hAnsi="仿宋" w:eastAsia="仿宋" w:cs="仿宋"/>
          <w:i/>
          <w:iCs/>
          <w:color w:val="0623BA"/>
          <w:sz w:val="24"/>
        </w:rPr>
        <w:t>2</w:t>
      </w:r>
      <w:r>
        <w:rPr>
          <w:rFonts w:hint="eastAsia" w:ascii="仿宋" w:hAnsi="仿宋" w:eastAsia="仿宋" w:cs="仿宋"/>
          <w:i/>
          <w:iCs/>
          <w:color w:val="0623BA"/>
          <w:sz w:val="24"/>
          <w:lang w:val="en-US" w:eastAsia="zh-CN"/>
        </w:rPr>
        <w:t xml:space="preserve"> </w:t>
      </w:r>
      <w:r>
        <w:rPr>
          <w:rFonts w:hint="eastAsia" w:ascii="仿宋" w:hAnsi="仿宋" w:eastAsia="仿宋" w:cs="仿宋"/>
          <w:i/>
          <w:iCs/>
          <w:color w:val="0623BA"/>
          <w:sz w:val="24"/>
        </w:rPr>
        <w:t>光储直柔智能运行技术能将光伏发电与储能系统直接连接，实时调节电力供应与需求的灵活接入方式，确保建筑在用电高峰和低谷时的供电稳定。</w:t>
      </w:r>
    </w:p>
    <w:p w14:paraId="6B0C47CD">
      <w:pPr>
        <w:keepNext/>
        <w:keepLines/>
        <w:snapToGrid w:val="0"/>
        <w:spacing w:before="95" w:beforeLines="30" w:after="95" w:afterLines="30" w:line="300" w:lineRule="auto"/>
        <w:jc w:val="center"/>
        <w:outlineLvl w:val="2"/>
        <w:rPr>
          <w:b/>
          <w:sz w:val="24"/>
          <w:szCs w:val="32"/>
        </w:rPr>
      </w:pPr>
      <w:bookmarkStart w:id="290" w:name="_Toc3142"/>
      <w:bookmarkStart w:id="291" w:name="_Toc18833"/>
      <w:bookmarkStart w:id="292" w:name="_Toc28615"/>
      <w:bookmarkStart w:id="293" w:name="_Toc25829"/>
      <w:r>
        <w:rPr>
          <w:b/>
          <w:sz w:val="24"/>
          <w:szCs w:val="32"/>
        </w:rPr>
        <w:t>8.</w:t>
      </w:r>
      <w:r>
        <w:rPr>
          <w:rFonts w:hint="default"/>
          <w:b/>
          <w:sz w:val="24"/>
          <w:szCs w:val="32"/>
          <w:lang w:val="en-US" w:eastAsia="zh-CN"/>
        </w:rPr>
        <w:t>4</w:t>
      </w:r>
      <w:r>
        <w:rPr>
          <w:b/>
          <w:sz w:val="24"/>
          <w:szCs w:val="32"/>
        </w:rPr>
        <w:t>安全及保护</w:t>
      </w:r>
      <w:bookmarkEnd w:id="283"/>
      <w:bookmarkEnd w:id="284"/>
      <w:bookmarkEnd w:id="290"/>
      <w:bookmarkEnd w:id="291"/>
      <w:bookmarkEnd w:id="292"/>
      <w:bookmarkEnd w:id="293"/>
    </w:p>
    <w:p w14:paraId="4DB01D1E">
      <w:pPr>
        <w:widowControl/>
        <w:spacing w:line="300" w:lineRule="auto"/>
        <w:rPr>
          <w:kern w:val="0"/>
          <w:sz w:val="24"/>
        </w:rPr>
      </w:pPr>
      <w:r>
        <w:rPr>
          <w:b/>
          <w:bCs/>
          <w:kern w:val="0"/>
          <w:sz w:val="24"/>
        </w:rPr>
        <w:t>8.</w:t>
      </w:r>
      <w:r>
        <w:rPr>
          <w:rFonts w:hint="eastAsia"/>
          <w:b/>
          <w:bCs/>
          <w:kern w:val="0"/>
          <w:sz w:val="24"/>
          <w:lang w:val="en-US" w:eastAsia="zh-CN"/>
        </w:rPr>
        <w:t>4</w:t>
      </w:r>
      <w:r>
        <w:rPr>
          <w:b/>
          <w:bCs/>
          <w:kern w:val="0"/>
          <w:sz w:val="24"/>
        </w:rPr>
        <w:t>.1</w:t>
      </w:r>
      <w:r>
        <w:rPr>
          <w:kern w:val="0"/>
          <w:sz w:val="24"/>
        </w:rPr>
        <w:t xml:space="preserve"> 并网建筑光伏系统的安全及保护要求应</w:t>
      </w:r>
      <w:r>
        <w:rPr>
          <w:sz w:val="24"/>
        </w:rPr>
        <w:t>参考现行国家标准</w:t>
      </w:r>
      <w:r>
        <w:rPr>
          <w:kern w:val="0"/>
          <w:sz w:val="24"/>
        </w:rPr>
        <w:t>《光伏系统并网技术要求》GB/T 19939</w:t>
      </w:r>
      <w:r>
        <w:rPr>
          <w:sz w:val="24"/>
        </w:rPr>
        <w:t>的有关规定</w:t>
      </w:r>
      <w:r>
        <w:rPr>
          <w:kern w:val="0"/>
          <w:sz w:val="24"/>
        </w:rPr>
        <w:t>。</w:t>
      </w:r>
    </w:p>
    <w:p w14:paraId="2836EA18">
      <w:pPr>
        <w:pStyle w:val="2"/>
        <w:spacing w:line="300" w:lineRule="auto"/>
        <w:rPr>
          <w:bCs/>
          <w:kern w:val="0"/>
          <w:sz w:val="24"/>
        </w:rPr>
      </w:pPr>
      <w:r>
        <w:rPr>
          <w:b/>
          <w:bCs/>
          <w:kern w:val="0"/>
          <w:sz w:val="24"/>
        </w:rPr>
        <w:t>8.</w:t>
      </w:r>
      <w:r>
        <w:rPr>
          <w:rFonts w:hint="eastAsia"/>
          <w:b/>
          <w:bCs/>
          <w:kern w:val="0"/>
          <w:sz w:val="24"/>
          <w:lang w:val="en-US" w:eastAsia="zh-CN"/>
        </w:rPr>
        <w:t>4</w:t>
      </w:r>
      <w:r>
        <w:rPr>
          <w:b/>
          <w:bCs/>
          <w:kern w:val="0"/>
          <w:sz w:val="24"/>
        </w:rPr>
        <w:t>.2</w:t>
      </w:r>
      <w:r>
        <w:rPr>
          <w:kern w:val="0"/>
          <w:sz w:val="24"/>
        </w:rPr>
        <w:t xml:space="preserve"> 并网建筑光伏系统应具有自动检测功能及并网切断保护功能并满足以下</w:t>
      </w:r>
      <w:r>
        <w:rPr>
          <w:rFonts w:hint="eastAsia"/>
          <w:kern w:val="0"/>
          <w:sz w:val="24"/>
          <w:lang w:val="en-US" w:eastAsia="zh-CN"/>
        </w:rPr>
        <w:t>规定</w:t>
      </w:r>
      <w:r>
        <w:rPr>
          <w:bCs/>
          <w:kern w:val="0"/>
          <w:sz w:val="24"/>
        </w:rPr>
        <w:t>：</w:t>
      </w:r>
    </w:p>
    <w:p w14:paraId="5A46F051">
      <w:pPr>
        <w:spacing w:line="300" w:lineRule="auto"/>
        <w:ind w:firstLine="482" w:firstLineChars="200"/>
      </w:pPr>
      <w:r>
        <w:rPr>
          <w:b/>
          <w:bCs w:val="0"/>
          <w:kern w:val="0"/>
          <w:sz w:val="24"/>
          <w:szCs w:val="22"/>
        </w:rPr>
        <w:t xml:space="preserve">1 </w:t>
      </w:r>
      <w:r>
        <w:rPr>
          <w:bCs/>
          <w:kern w:val="0"/>
          <w:sz w:val="24"/>
          <w:szCs w:val="22"/>
        </w:rPr>
        <w:t>在公共电网接口处的电压超出表8.</w:t>
      </w:r>
      <w:r>
        <w:rPr>
          <w:rFonts w:hint="eastAsia"/>
          <w:bCs/>
          <w:kern w:val="0"/>
          <w:sz w:val="24"/>
          <w:szCs w:val="22"/>
          <w:lang w:val="en-US" w:eastAsia="zh-CN"/>
        </w:rPr>
        <w:t>4</w:t>
      </w:r>
      <w:r>
        <w:rPr>
          <w:bCs/>
          <w:kern w:val="0"/>
          <w:sz w:val="24"/>
          <w:szCs w:val="22"/>
        </w:rPr>
        <w:t>.</w:t>
      </w:r>
      <w:r>
        <w:rPr>
          <w:rFonts w:hint="eastAsia"/>
          <w:bCs/>
          <w:kern w:val="0"/>
          <w:sz w:val="24"/>
          <w:szCs w:val="22"/>
          <w:lang w:val="en-US" w:eastAsia="zh-CN"/>
        </w:rPr>
        <w:t>2</w:t>
      </w:r>
      <w:r>
        <w:rPr>
          <w:bCs/>
          <w:kern w:val="0"/>
          <w:sz w:val="24"/>
          <w:szCs w:val="22"/>
        </w:rPr>
        <w:t>规定的范围时，光伏系统应停止向公共电网送电；</w:t>
      </w:r>
    </w:p>
    <w:p w14:paraId="49B9EC97">
      <w:pPr>
        <w:snapToGrid w:val="0"/>
        <w:spacing w:line="300" w:lineRule="auto"/>
        <w:jc w:val="center"/>
        <w:rPr>
          <w:b/>
          <w:bCs/>
          <w:sz w:val="21"/>
          <w:szCs w:val="21"/>
        </w:rPr>
      </w:pPr>
      <w:r>
        <w:rPr>
          <w:b/>
          <w:bCs/>
          <w:sz w:val="21"/>
          <w:szCs w:val="21"/>
        </w:rPr>
        <w:t>表8.</w:t>
      </w:r>
      <w:r>
        <w:rPr>
          <w:rFonts w:hint="eastAsia"/>
          <w:b/>
          <w:bCs/>
          <w:sz w:val="21"/>
          <w:szCs w:val="21"/>
          <w:lang w:val="en-US" w:eastAsia="zh-CN"/>
        </w:rPr>
        <w:t>4</w:t>
      </w:r>
      <w:r>
        <w:rPr>
          <w:b/>
          <w:bCs/>
          <w:sz w:val="21"/>
          <w:szCs w:val="21"/>
        </w:rPr>
        <w:t>.</w:t>
      </w:r>
      <w:r>
        <w:rPr>
          <w:rFonts w:hint="eastAsia"/>
          <w:b/>
          <w:bCs/>
          <w:sz w:val="21"/>
          <w:szCs w:val="21"/>
          <w:lang w:val="en-US" w:eastAsia="zh-CN"/>
        </w:rPr>
        <w:t>2</w:t>
      </w:r>
      <w:r>
        <w:rPr>
          <w:b/>
          <w:bCs/>
          <w:sz w:val="21"/>
          <w:szCs w:val="21"/>
        </w:rPr>
        <w:t xml:space="preserve"> 异常电压的响应</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0"/>
        <w:gridCol w:w="4252"/>
      </w:tblGrid>
      <w:tr w14:paraId="348EA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0" w:type="dxa"/>
          </w:tcPr>
          <w:p w14:paraId="512C168D">
            <w:pPr>
              <w:pStyle w:val="2"/>
              <w:spacing w:after="0" w:line="300" w:lineRule="auto"/>
              <w:jc w:val="center"/>
              <w:rPr>
                <w:b/>
                <w:bCs/>
                <w:sz w:val="21"/>
                <w:szCs w:val="21"/>
              </w:rPr>
            </w:pPr>
            <w:r>
              <w:rPr>
                <w:b/>
                <w:bCs/>
                <w:sz w:val="21"/>
                <w:szCs w:val="21"/>
              </w:rPr>
              <w:t>电压（公共电网接口处）</w:t>
            </w:r>
          </w:p>
        </w:tc>
        <w:tc>
          <w:tcPr>
            <w:tcW w:w="4252" w:type="dxa"/>
          </w:tcPr>
          <w:p w14:paraId="190AB516">
            <w:pPr>
              <w:pStyle w:val="2"/>
              <w:spacing w:after="0" w:line="300" w:lineRule="auto"/>
              <w:jc w:val="center"/>
              <w:rPr>
                <w:b/>
                <w:bCs/>
                <w:sz w:val="21"/>
                <w:szCs w:val="21"/>
              </w:rPr>
            </w:pPr>
            <w:r>
              <w:rPr>
                <w:b/>
                <w:bCs/>
                <w:sz w:val="21"/>
                <w:szCs w:val="21"/>
              </w:rPr>
              <w:t>最大分闸时间</w:t>
            </w:r>
          </w:p>
        </w:tc>
      </w:tr>
      <w:tr w14:paraId="1CDC8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0" w:type="dxa"/>
          </w:tcPr>
          <w:p w14:paraId="0AA84BBD">
            <w:pPr>
              <w:pStyle w:val="2"/>
              <w:spacing w:after="0" w:line="300" w:lineRule="auto"/>
              <w:jc w:val="center"/>
              <w:rPr>
                <w:sz w:val="21"/>
                <w:szCs w:val="21"/>
              </w:rPr>
            </w:pPr>
            <w:r>
              <w:rPr>
                <w:sz w:val="21"/>
                <w:szCs w:val="21"/>
              </w:rPr>
              <w:t>U &lt;50% UN</w:t>
            </w:r>
          </w:p>
        </w:tc>
        <w:tc>
          <w:tcPr>
            <w:tcW w:w="4252" w:type="dxa"/>
          </w:tcPr>
          <w:p w14:paraId="2B304386">
            <w:pPr>
              <w:pStyle w:val="2"/>
              <w:spacing w:after="0" w:line="300" w:lineRule="auto"/>
              <w:jc w:val="center"/>
              <w:rPr>
                <w:rFonts w:hint="eastAsia" w:eastAsia="宋体"/>
                <w:sz w:val="21"/>
                <w:szCs w:val="21"/>
                <w:lang w:eastAsia="zh-CN"/>
              </w:rPr>
            </w:pPr>
            <w:r>
              <w:rPr>
                <w:sz w:val="21"/>
                <w:szCs w:val="21"/>
              </w:rPr>
              <w:t>0.1</w:t>
            </w:r>
            <w:r>
              <w:rPr>
                <w:rFonts w:hint="eastAsia"/>
                <w:sz w:val="21"/>
                <w:szCs w:val="21"/>
                <w:lang w:val="en-US" w:eastAsia="zh-CN"/>
              </w:rPr>
              <w:t>0s</w:t>
            </w:r>
          </w:p>
        </w:tc>
      </w:tr>
      <w:tr w14:paraId="3E8CA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0" w:type="dxa"/>
          </w:tcPr>
          <w:p w14:paraId="1A8573BE">
            <w:pPr>
              <w:pStyle w:val="2"/>
              <w:spacing w:after="0" w:line="300" w:lineRule="auto"/>
              <w:jc w:val="center"/>
              <w:rPr>
                <w:sz w:val="21"/>
                <w:szCs w:val="21"/>
              </w:rPr>
            </w:pPr>
            <w:r>
              <w:rPr>
                <w:sz w:val="21"/>
                <w:szCs w:val="21"/>
              </w:rPr>
              <w:t>50% UN</w:t>
            </w:r>
            <w:r>
              <w:rPr>
                <w:rFonts w:hint="eastAsia"/>
                <w:sz w:val="21"/>
                <w:szCs w:val="21"/>
              </w:rPr>
              <w:t>≤</w:t>
            </w:r>
            <w:r>
              <w:rPr>
                <w:sz w:val="21"/>
                <w:szCs w:val="21"/>
              </w:rPr>
              <w:t>U&lt;85% UN</w:t>
            </w:r>
          </w:p>
        </w:tc>
        <w:tc>
          <w:tcPr>
            <w:tcW w:w="4252" w:type="dxa"/>
          </w:tcPr>
          <w:p w14:paraId="2FBB5825">
            <w:pPr>
              <w:pStyle w:val="2"/>
              <w:spacing w:after="0" w:line="300" w:lineRule="auto"/>
              <w:jc w:val="center"/>
              <w:rPr>
                <w:rFonts w:hint="eastAsia" w:eastAsia="宋体"/>
                <w:sz w:val="21"/>
                <w:szCs w:val="21"/>
                <w:lang w:eastAsia="zh-CN"/>
              </w:rPr>
            </w:pPr>
            <w:r>
              <w:rPr>
                <w:sz w:val="21"/>
                <w:szCs w:val="21"/>
              </w:rPr>
              <w:t>2.0</w:t>
            </w:r>
            <w:r>
              <w:rPr>
                <w:rFonts w:hint="eastAsia"/>
                <w:sz w:val="21"/>
                <w:szCs w:val="21"/>
                <w:lang w:val="en-US" w:eastAsia="zh-CN"/>
              </w:rPr>
              <w:t>0s</w:t>
            </w:r>
          </w:p>
        </w:tc>
      </w:tr>
      <w:tr w14:paraId="67E33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0" w:type="dxa"/>
          </w:tcPr>
          <w:p w14:paraId="5D2036AC">
            <w:pPr>
              <w:pStyle w:val="2"/>
              <w:spacing w:after="0" w:line="300" w:lineRule="auto"/>
              <w:jc w:val="center"/>
              <w:rPr>
                <w:sz w:val="21"/>
                <w:szCs w:val="21"/>
              </w:rPr>
            </w:pPr>
            <w:r>
              <w:rPr>
                <w:sz w:val="21"/>
                <w:szCs w:val="21"/>
              </w:rPr>
              <w:t>85% UN</w:t>
            </w:r>
            <w:r>
              <w:rPr>
                <w:rFonts w:hint="eastAsia"/>
                <w:sz w:val="21"/>
                <w:szCs w:val="21"/>
              </w:rPr>
              <w:t>≤</w:t>
            </w:r>
            <w:r>
              <w:rPr>
                <w:sz w:val="21"/>
                <w:szCs w:val="21"/>
              </w:rPr>
              <w:t>U</w:t>
            </w:r>
            <w:r>
              <w:rPr>
                <w:rFonts w:hint="eastAsia"/>
                <w:sz w:val="21"/>
                <w:szCs w:val="21"/>
              </w:rPr>
              <w:t>≤</w:t>
            </w:r>
            <w:r>
              <w:rPr>
                <w:sz w:val="21"/>
                <w:szCs w:val="21"/>
              </w:rPr>
              <w:t>110% UN</w:t>
            </w:r>
          </w:p>
        </w:tc>
        <w:tc>
          <w:tcPr>
            <w:tcW w:w="4252" w:type="dxa"/>
          </w:tcPr>
          <w:p w14:paraId="02FEB676">
            <w:pPr>
              <w:pStyle w:val="2"/>
              <w:spacing w:after="0" w:line="300" w:lineRule="auto"/>
              <w:jc w:val="center"/>
              <w:rPr>
                <w:sz w:val="21"/>
                <w:szCs w:val="21"/>
              </w:rPr>
            </w:pPr>
            <w:r>
              <w:rPr>
                <w:sz w:val="21"/>
                <w:szCs w:val="21"/>
              </w:rPr>
              <w:t>保持运行</w:t>
            </w:r>
          </w:p>
        </w:tc>
      </w:tr>
      <w:tr w14:paraId="09CF2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0" w:type="dxa"/>
          </w:tcPr>
          <w:p w14:paraId="3234F540">
            <w:pPr>
              <w:pStyle w:val="2"/>
              <w:spacing w:after="0" w:line="300" w:lineRule="auto"/>
              <w:jc w:val="center"/>
              <w:rPr>
                <w:sz w:val="21"/>
                <w:szCs w:val="21"/>
              </w:rPr>
            </w:pPr>
            <w:r>
              <w:rPr>
                <w:sz w:val="21"/>
                <w:szCs w:val="21"/>
              </w:rPr>
              <w:t>110% UN&lt;U&lt;135% UN</w:t>
            </w:r>
          </w:p>
        </w:tc>
        <w:tc>
          <w:tcPr>
            <w:tcW w:w="4252" w:type="dxa"/>
          </w:tcPr>
          <w:p w14:paraId="1B00BBE7">
            <w:pPr>
              <w:pStyle w:val="2"/>
              <w:spacing w:after="0" w:line="300" w:lineRule="auto"/>
              <w:jc w:val="center"/>
              <w:rPr>
                <w:rFonts w:hint="eastAsia" w:eastAsia="宋体"/>
                <w:sz w:val="21"/>
                <w:szCs w:val="21"/>
                <w:lang w:eastAsia="zh-CN"/>
              </w:rPr>
            </w:pPr>
            <w:r>
              <w:rPr>
                <w:sz w:val="21"/>
                <w:szCs w:val="21"/>
              </w:rPr>
              <w:t>2.0</w:t>
            </w:r>
            <w:r>
              <w:rPr>
                <w:rFonts w:hint="eastAsia"/>
                <w:sz w:val="21"/>
                <w:szCs w:val="21"/>
                <w:lang w:val="en-US" w:eastAsia="zh-CN"/>
              </w:rPr>
              <w:t>0s</w:t>
            </w:r>
          </w:p>
        </w:tc>
      </w:tr>
      <w:tr w14:paraId="7A2E5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0" w:type="dxa"/>
          </w:tcPr>
          <w:p w14:paraId="67863658">
            <w:pPr>
              <w:pStyle w:val="2"/>
              <w:spacing w:after="0" w:line="300" w:lineRule="auto"/>
              <w:jc w:val="center"/>
              <w:rPr>
                <w:sz w:val="21"/>
                <w:szCs w:val="21"/>
              </w:rPr>
            </w:pPr>
            <w:r>
              <w:rPr>
                <w:sz w:val="21"/>
                <w:szCs w:val="21"/>
              </w:rPr>
              <w:t>135% UN</w:t>
            </w:r>
            <w:r>
              <w:rPr>
                <w:rFonts w:hint="eastAsia"/>
                <w:sz w:val="21"/>
                <w:szCs w:val="21"/>
              </w:rPr>
              <w:t>≤</w:t>
            </w:r>
            <w:r>
              <w:rPr>
                <w:sz w:val="21"/>
                <w:szCs w:val="21"/>
              </w:rPr>
              <w:t xml:space="preserve"> U</w:t>
            </w:r>
          </w:p>
        </w:tc>
        <w:tc>
          <w:tcPr>
            <w:tcW w:w="4252" w:type="dxa"/>
          </w:tcPr>
          <w:p w14:paraId="5255A91C">
            <w:pPr>
              <w:pStyle w:val="2"/>
              <w:spacing w:after="0" w:line="300" w:lineRule="auto"/>
              <w:jc w:val="center"/>
              <w:rPr>
                <w:rFonts w:hint="eastAsia" w:eastAsia="宋体"/>
                <w:sz w:val="21"/>
                <w:szCs w:val="21"/>
                <w:lang w:eastAsia="zh-CN"/>
              </w:rPr>
            </w:pPr>
            <w:r>
              <w:rPr>
                <w:sz w:val="21"/>
                <w:szCs w:val="21"/>
              </w:rPr>
              <w:t>0.05</w:t>
            </w:r>
            <w:r>
              <w:rPr>
                <w:rFonts w:hint="eastAsia"/>
                <w:sz w:val="21"/>
                <w:szCs w:val="21"/>
                <w:lang w:val="en-US" w:eastAsia="zh-CN"/>
              </w:rPr>
              <w:t>s</w:t>
            </w:r>
          </w:p>
        </w:tc>
      </w:tr>
    </w:tbl>
    <w:p w14:paraId="28A14E2F">
      <w:pPr>
        <w:widowControl/>
        <w:spacing w:line="300" w:lineRule="auto"/>
        <w:ind w:firstLine="480" w:firstLineChars="200"/>
        <w:rPr>
          <w:bCs/>
          <w:kern w:val="0"/>
          <w:sz w:val="24"/>
        </w:rPr>
      </w:pPr>
      <w:r>
        <w:rPr>
          <w:bCs/>
          <w:kern w:val="0"/>
          <w:sz w:val="24"/>
        </w:rPr>
        <w:t>注：最大分闸时间是指异常状态发生到逆变器停止向公共电网送电的时间，U</w:t>
      </w:r>
      <w:r>
        <w:rPr>
          <w:bCs/>
          <w:kern w:val="0"/>
          <w:sz w:val="24"/>
          <w:vertAlign w:val="subscript"/>
        </w:rPr>
        <w:t>N</w:t>
      </w:r>
      <w:r>
        <w:rPr>
          <w:bCs/>
          <w:kern w:val="0"/>
          <w:sz w:val="24"/>
        </w:rPr>
        <w:t>为额定电压。</w:t>
      </w:r>
    </w:p>
    <w:p w14:paraId="307563BA">
      <w:pPr>
        <w:widowControl/>
        <w:spacing w:line="300" w:lineRule="auto"/>
        <w:ind w:firstLine="482" w:firstLineChars="200"/>
        <w:rPr>
          <w:bCs/>
          <w:kern w:val="0"/>
          <w:sz w:val="24"/>
          <w:szCs w:val="22"/>
        </w:rPr>
      </w:pPr>
      <w:r>
        <w:rPr>
          <w:b/>
          <w:bCs w:val="0"/>
          <w:kern w:val="0"/>
          <w:sz w:val="24"/>
          <w:szCs w:val="22"/>
        </w:rPr>
        <w:t xml:space="preserve">2 </w:t>
      </w:r>
      <w:r>
        <w:rPr>
          <w:sz w:val="24"/>
        </w:rPr>
        <w:t>建筑</w:t>
      </w:r>
      <w:r>
        <w:rPr>
          <w:bCs/>
          <w:kern w:val="0"/>
          <w:sz w:val="24"/>
          <w:szCs w:val="22"/>
        </w:rPr>
        <w:t>光伏系统在公共电网接口处频率偏差超出规定限值时，频率保护应在0.2</w:t>
      </w:r>
      <w:r>
        <w:rPr>
          <w:rFonts w:hint="eastAsia"/>
          <w:bCs/>
          <w:kern w:val="0"/>
          <w:sz w:val="24"/>
          <w:szCs w:val="22"/>
          <w:lang w:val="en-US" w:eastAsia="zh-CN"/>
        </w:rPr>
        <w:t>s</w:t>
      </w:r>
      <w:r>
        <w:rPr>
          <w:bCs/>
          <w:kern w:val="0"/>
          <w:sz w:val="24"/>
          <w:szCs w:val="22"/>
        </w:rPr>
        <w:t>内动作，将光伏系统与公共电网断开；</w:t>
      </w:r>
    </w:p>
    <w:p w14:paraId="4FCD0D0B">
      <w:pPr>
        <w:widowControl/>
        <w:spacing w:line="300" w:lineRule="auto"/>
        <w:ind w:firstLine="482" w:firstLineChars="200"/>
        <w:rPr>
          <w:bCs/>
          <w:kern w:val="0"/>
          <w:sz w:val="24"/>
          <w:szCs w:val="22"/>
        </w:rPr>
      </w:pPr>
      <w:r>
        <w:rPr>
          <w:b/>
          <w:bCs w:val="0"/>
          <w:kern w:val="0"/>
          <w:sz w:val="24"/>
          <w:szCs w:val="22"/>
        </w:rPr>
        <w:t xml:space="preserve">3 </w:t>
      </w:r>
      <w:r>
        <w:rPr>
          <w:bCs/>
          <w:kern w:val="0"/>
          <w:sz w:val="24"/>
          <w:szCs w:val="22"/>
        </w:rPr>
        <w:t>当公共电网失压时，防孤岛效应保护应在2</w:t>
      </w:r>
      <w:r>
        <w:rPr>
          <w:rFonts w:hint="eastAsia"/>
          <w:bCs/>
          <w:kern w:val="0"/>
          <w:sz w:val="24"/>
          <w:szCs w:val="22"/>
          <w:lang w:val="en-US" w:eastAsia="zh-CN"/>
        </w:rPr>
        <w:t>s</w:t>
      </w:r>
      <w:r>
        <w:rPr>
          <w:bCs/>
          <w:kern w:val="0"/>
          <w:sz w:val="24"/>
          <w:szCs w:val="22"/>
        </w:rPr>
        <w:t>内完成，将</w:t>
      </w:r>
      <w:r>
        <w:rPr>
          <w:sz w:val="24"/>
        </w:rPr>
        <w:t>建筑</w:t>
      </w:r>
      <w:r>
        <w:rPr>
          <w:bCs/>
          <w:kern w:val="0"/>
          <w:sz w:val="24"/>
          <w:szCs w:val="22"/>
        </w:rPr>
        <w:t>光伏系统与公共电网断开；</w:t>
      </w:r>
    </w:p>
    <w:p w14:paraId="07CE5D79">
      <w:pPr>
        <w:widowControl/>
        <w:spacing w:line="300" w:lineRule="auto"/>
        <w:ind w:firstLine="482" w:firstLineChars="200"/>
        <w:rPr>
          <w:bCs/>
          <w:kern w:val="0"/>
          <w:sz w:val="24"/>
          <w:szCs w:val="22"/>
        </w:rPr>
      </w:pPr>
      <w:r>
        <w:rPr>
          <w:b/>
          <w:bCs w:val="0"/>
          <w:kern w:val="0"/>
          <w:sz w:val="24"/>
          <w:szCs w:val="22"/>
        </w:rPr>
        <w:t xml:space="preserve">4 </w:t>
      </w:r>
      <w:r>
        <w:rPr>
          <w:sz w:val="24"/>
        </w:rPr>
        <w:t>建筑</w:t>
      </w:r>
      <w:r>
        <w:rPr>
          <w:bCs/>
          <w:kern w:val="0"/>
          <w:sz w:val="24"/>
          <w:szCs w:val="22"/>
        </w:rPr>
        <w:t>光伏系统对公共电网应设置短路保护。当公共电网短路时，逆变器的过电流应不大于额定电流的1.5倍，应在0.1</w:t>
      </w:r>
      <w:r>
        <w:rPr>
          <w:rFonts w:hint="eastAsia"/>
          <w:bCs/>
          <w:kern w:val="0"/>
          <w:sz w:val="24"/>
          <w:szCs w:val="22"/>
          <w:lang w:val="en-US" w:eastAsia="zh-CN"/>
        </w:rPr>
        <w:t>s</w:t>
      </w:r>
      <w:r>
        <w:rPr>
          <w:bCs/>
          <w:kern w:val="0"/>
          <w:sz w:val="24"/>
          <w:szCs w:val="22"/>
        </w:rPr>
        <w:t>内将光伏系统与公共电网断开；</w:t>
      </w:r>
    </w:p>
    <w:p w14:paraId="1F725C70">
      <w:pPr>
        <w:widowControl/>
        <w:spacing w:line="300" w:lineRule="auto"/>
        <w:ind w:firstLine="482" w:firstLineChars="200"/>
        <w:rPr>
          <w:bCs/>
          <w:kern w:val="0"/>
          <w:sz w:val="24"/>
          <w:szCs w:val="22"/>
        </w:rPr>
      </w:pPr>
      <w:r>
        <w:rPr>
          <w:b/>
          <w:bCs w:val="0"/>
          <w:kern w:val="0"/>
          <w:sz w:val="24"/>
          <w:szCs w:val="22"/>
        </w:rPr>
        <w:t xml:space="preserve">5 </w:t>
      </w:r>
      <w:r>
        <w:rPr>
          <w:bCs/>
          <w:kern w:val="0"/>
          <w:sz w:val="24"/>
          <w:szCs w:val="22"/>
        </w:rPr>
        <w:t>非逆流并网</w:t>
      </w:r>
      <w:r>
        <w:rPr>
          <w:sz w:val="24"/>
        </w:rPr>
        <w:t>建筑</w:t>
      </w:r>
      <w:r>
        <w:rPr>
          <w:bCs/>
          <w:kern w:val="0"/>
          <w:sz w:val="24"/>
          <w:szCs w:val="22"/>
        </w:rPr>
        <w:t>光伏系统应在公共电网供电变压器次级设置逆流检测装置。当检测到的逆电流超出逆变器额定输出的5%时，逆向功率保护应在0.5</w:t>
      </w:r>
      <w:r>
        <w:rPr>
          <w:rFonts w:hint="eastAsia"/>
          <w:bCs/>
          <w:kern w:val="0"/>
          <w:sz w:val="24"/>
          <w:szCs w:val="22"/>
          <w:lang w:val="en-US" w:eastAsia="zh-CN"/>
        </w:rPr>
        <w:t>s</w:t>
      </w:r>
      <w:r>
        <w:rPr>
          <w:bCs/>
          <w:kern w:val="0"/>
          <w:sz w:val="24"/>
          <w:szCs w:val="22"/>
        </w:rPr>
        <w:t>至2</w:t>
      </w:r>
      <w:r>
        <w:rPr>
          <w:rFonts w:hint="eastAsia"/>
          <w:bCs/>
          <w:kern w:val="0"/>
          <w:sz w:val="24"/>
          <w:szCs w:val="22"/>
          <w:lang w:val="en-US" w:eastAsia="zh-CN"/>
        </w:rPr>
        <w:t>s</w:t>
      </w:r>
      <w:r>
        <w:rPr>
          <w:bCs/>
          <w:kern w:val="0"/>
          <w:sz w:val="24"/>
          <w:szCs w:val="22"/>
        </w:rPr>
        <w:t>内将光伏系统与公共电网断开。</w:t>
      </w:r>
    </w:p>
    <w:p w14:paraId="46EFF114">
      <w:pPr>
        <w:widowControl/>
        <w:spacing w:line="300" w:lineRule="auto"/>
        <w:rPr>
          <w:bCs/>
          <w:kern w:val="0"/>
          <w:sz w:val="24"/>
        </w:rPr>
      </w:pPr>
      <w:r>
        <w:rPr>
          <w:b/>
          <w:bCs/>
          <w:kern w:val="0"/>
          <w:sz w:val="24"/>
        </w:rPr>
        <w:t>8.</w:t>
      </w:r>
      <w:r>
        <w:rPr>
          <w:rFonts w:hint="eastAsia"/>
          <w:b/>
          <w:bCs/>
          <w:kern w:val="0"/>
          <w:sz w:val="24"/>
          <w:lang w:val="en-US" w:eastAsia="zh-CN"/>
        </w:rPr>
        <w:t>4</w:t>
      </w:r>
      <w:r>
        <w:rPr>
          <w:b/>
          <w:bCs/>
          <w:kern w:val="0"/>
          <w:sz w:val="24"/>
        </w:rPr>
        <w:t>.3</w:t>
      </w:r>
      <w:r>
        <w:rPr>
          <w:kern w:val="0"/>
          <w:sz w:val="24"/>
        </w:rPr>
        <w:t xml:space="preserve"> 建筑</w:t>
      </w:r>
      <w:r>
        <w:rPr>
          <w:bCs/>
          <w:kern w:val="0"/>
          <w:sz w:val="24"/>
        </w:rPr>
        <w:t>光伏系统应根据系统接入条件和供电部门要求选择安装电网保护装置并应符合国家现行标准《光伏（PV）系统电网接口特性》GB/T 20046和《继电保护和安全自动装置技术规程》GB/T 14285的有关规定。</w:t>
      </w:r>
    </w:p>
    <w:p w14:paraId="6409AA2D">
      <w:pPr>
        <w:widowControl/>
        <w:spacing w:line="300" w:lineRule="auto"/>
        <w:rPr>
          <w:bCs/>
          <w:kern w:val="0"/>
          <w:sz w:val="24"/>
        </w:rPr>
      </w:pPr>
      <w:r>
        <w:rPr>
          <w:b/>
          <w:bCs/>
          <w:kern w:val="0"/>
          <w:sz w:val="24"/>
        </w:rPr>
        <w:t>8.</w:t>
      </w:r>
      <w:r>
        <w:rPr>
          <w:rFonts w:hint="eastAsia"/>
          <w:b/>
          <w:bCs/>
          <w:kern w:val="0"/>
          <w:sz w:val="24"/>
          <w:lang w:val="en-US" w:eastAsia="zh-CN"/>
        </w:rPr>
        <w:t>4</w:t>
      </w:r>
      <w:r>
        <w:rPr>
          <w:b/>
          <w:bCs/>
          <w:kern w:val="0"/>
          <w:sz w:val="24"/>
        </w:rPr>
        <w:t>.4</w:t>
      </w:r>
      <w:r>
        <w:rPr>
          <w:kern w:val="0"/>
          <w:sz w:val="24"/>
        </w:rPr>
        <w:t xml:space="preserve"> </w:t>
      </w:r>
      <w:r>
        <w:rPr>
          <w:bCs/>
          <w:kern w:val="0"/>
          <w:sz w:val="24"/>
        </w:rPr>
        <w:t>当公用电网电能质量超限时，</w:t>
      </w:r>
      <w:r>
        <w:rPr>
          <w:sz w:val="24"/>
        </w:rPr>
        <w:t>建筑</w:t>
      </w:r>
      <w:r>
        <w:rPr>
          <w:bCs/>
          <w:kern w:val="0"/>
          <w:sz w:val="24"/>
        </w:rPr>
        <w:t>光伏系统应自动与公用电网解列，在公用电网质量恢复正常后的5min之内，光伏系统不得向电网供电。</w:t>
      </w:r>
    </w:p>
    <w:p w14:paraId="27EF34CC">
      <w:pPr>
        <w:snapToGrid w:val="0"/>
        <w:spacing w:line="300" w:lineRule="auto"/>
        <w:rPr>
          <w:sz w:val="24"/>
        </w:rPr>
      </w:pPr>
      <w:r>
        <w:rPr>
          <w:b/>
          <w:bCs/>
          <w:sz w:val="24"/>
        </w:rPr>
        <w:t>8.</w:t>
      </w:r>
      <w:r>
        <w:rPr>
          <w:rFonts w:hint="eastAsia"/>
          <w:b/>
          <w:bCs/>
          <w:sz w:val="24"/>
          <w:lang w:val="en-US" w:eastAsia="zh-CN"/>
        </w:rPr>
        <w:t>4</w:t>
      </w:r>
      <w:r>
        <w:rPr>
          <w:b/>
          <w:bCs/>
          <w:sz w:val="24"/>
        </w:rPr>
        <w:t>.5</w:t>
      </w:r>
      <w:r>
        <w:rPr>
          <w:sz w:val="24"/>
        </w:rPr>
        <w:t xml:space="preserve"> 建筑光伏发电系统交流侧电气装置过电压保护和接地应符合现行国家标准《交流电气装置的过电压保护和绝缘配合设计规范》GB/T 50064和《交流电气装置的接地设计规范》GB/T 50065的有关规定。</w:t>
      </w:r>
    </w:p>
    <w:p w14:paraId="1214A0CA">
      <w:pPr>
        <w:snapToGrid w:val="0"/>
        <w:spacing w:line="300" w:lineRule="auto"/>
        <w:rPr>
          <w:sz w:val="24"/>
        </w:rPr>
      </w:pPr>
      <w:r>
        <w:rPr>
          <w:b/>
          <w:bCs/>
          <w:sz w:val="24"/>
        </w:rPr>
        <w:t>8.</w:t>
      </w:r>
      <w:r>
        <w:rPr>
          <w:rFonts w:hint="eastAsia"/>
          <w:b/>
          <w:bCs/>
          <w:sz w:val="24"/>
          <w:lang w:val="en-US" w:eastAsia="zh-CN"/>
        </w:rPr>
        <w:t>4</w:t>
      </w:r>
      <w:r>
        <w:rPr>
          <w:b/>
          <w:bCs/>
          <w:sz w:val="24"/>
        </w:rPr>
        <w:t>.6</w:t>
      </w:r>
      <w:r>
        <w:rPr>
          <w:sz w:val="24"/>
        </w:rPr>
        <w:t xml:space="preserve"> 建筑光伏系统应具有漏电保护和漏电火灾报警系统的功能并满足现行国家标准《低压配电设计规范》GB 50054的有关规定。</w:t>
      </w:r>
    </w:p>
    <w:p w14:paraId="3F628B47">
      <w:pPr>
        <w:pStyle w:val="2"/>
        <w:spacing w:line="300" w:lineRule="auto"/>
        <w:rPr>
          <w:sz w:val="24"/>
        </w:rPr>
      </w:pPr>
      <w:r>
        <w:rPr>
          <w:b/>
          <w:bCs/>
          <w:sz w:val="24"/>
        </w:rPr>
        <w:t>8.</w:t>
      </w:r>
      <w:r>
        <w:rPr>
          <w:rFonts w:hint="eastAsia"/>
          <w:b/>
          <w:bCs/>
          <w:sz w:val="24"/>
          <w:lang w:val="en-US" w:eastAsia="zh-CN"/>
        </w:rPr>
        <w:t>4</w:t>
      </w:r>
      <w:r>
        <w:rPr>
          <w:b/>
          <w:bCs/>
          <w:sz w:val="24"/>
        </w:rPr>
        <w:t>.7</w:t>
      </w:r>
      <w:r>
        <w:rPr>
          <w:sz w:val="24"/>
        </w:rPr>
        <w:t xml:space="preserve"> 中、大型建筑光伏监控系统的设计和配置应符合现行国家标准《分布式光伏发电系统远程监控技术规范》GB/T34932的有关规定。</w:t>
      </w:r>
    </w:p>
    <w:bookmarkEnd w:id="278"/>
    <w:bookmarkEnd w:id="279"/>
    <w:p w14:paraId="31E8D2FD">
      <w:pPr>
        <w:spacing w:line="300" w:lineRule="auto"/>
      </w:pPr>
    </w:p>
    <w:p w14:paraId="1B81102F">
      <w:pPr>
        <w:widowControl/>
        <w:spacing w:line="300" w:lineRule="auto"/>
        <w:jc w:val="left"/>
        <w:rPr>
          <w:sz w:val="24"/>
        </w:rPr>
      </w:pPr>
      <w:r>
        <w:rPr>
          <w:sz w:val="24"/>
        </w:rPr>
        <w:br w:type="page"/>
      </w:r>
    </w:p>
    <w:p w14:paraId="19F23B3F">
      <w:pPr>
        <w:pStyle w:val="5"/>
        <w:spacing w:before="95" w:beforeLines="30" w:after="95" w:afterLines="30" w:line="300" w:lineRule="auto"/>
        <w:jc w:val="center"/>
        <w:rPr>
          <w:rFonts w:ascii="Times New Roman" w:hAnsi="Times New Roman" w:eastAsia="黑体" w:cs="Times New Roman"/>
          <w:sz w:val="28"/>
          <w:szCs w:val="28"/>
        </w:rPr>
      </w:pPr>
      <w:bookmarkStart w:id="294" w:name="_Toc8359"/>
      <w:bookmarkStart w:id="295" w:name="_Toc1576"/>
      <w:bookmarkStart w:id="296" w:name="_Toc28560"/>
      <w:bookmarkStart w:id="297" w:name="_Toc12599"/>
      <w:bookmarkStart w:id="298" w:name="_Toc8725"/>
      <w:bookmarkStart w:id="299" w:name="_Toc13022"/>
      <w:bookmarkStart w:id="300" w:name="_Toc12666"/>
      <w:bookmarkStart w:id="301" w:name="_Toc23991"/>
      <w:r>
        <w:rPr>
          <w:rFonts w:hint="default" w:ascii="Times New Roman" w:hAnsi="Times New Roman" w:eastAsia="黑体" w:cs="Times New Roman"/>
          <w:sz w:val="28"/>
          <w:szCs w:val="28"/>
          <w:lang w:val="en-US" w:eastAsia="zh-CN"/>
        </w:rPr>
        <w:t>9</w:t>
      </w:r>
      <w:r>
        <w:rPr>
          <w:rFonts w:ascii="Times New Roman" w:hAnsi="Times New Roman" w:eastAsia="黑体" w:cs="Times New Roman"/>
          <w:sz w:val="28"/>
          <w:szCs w:val="28"/>
        </w:rPr>
        <w:t xml:space="preserve"> 给排水设计</w:t>
      </w:r>
      <w:bookmarkEnd w:id="294"/>
      <w:bookmarkEnd w:id="295"/>
      <w:bookmarkEnd w:id="296"/>
      <w:bookmarkEnd w:id="297"/>
      <w:bookmarkEnd w:id="298"/>
      <w:bookmarkEnd w:id="299"/>
      <w:bookmarkEnd w:id="300"/>
      <w:bookmarkEnd w:id="301"/>
    </w:p>
    <w:p w14:paraId="4C06D2A8">
      <w:pPr>
        <w:keepNext/>
        <w:keepLines/>
        <w:snapToGrid w:val="0"/>
        <w:spacing w:before="95" w:beforeLines="30" w:after="95" w:afterLines="30" w:line="300" w:lineRule="auto"/>
        <w:jc w:val="center"/>
        <w:outlineLvl w:val="2"/>
        <w:rPr>
          <w:b/>
          <w:sz w:val="24"/>
          <w:szCs w:val="32"/>
        </w:rPr>
      </w:pPr>
      <w:bookmarkStart w:id="302" w:name="_Toc22268"/>
      <w:bookmarkStart w:id="303" w:name="_Toc26878"/>
      <w:bookmarkStart w:id="304" w:name="_Toc30673"/>
      <w:bookmarkStart w:id="305" w:name="_Toc32101"/>
      <w:bookmarkStart w:id="306" w:name="_Toc11979"/>
      <w:bookmarkStart w:id="307" w:name="_Toc27181"/>
      <w:bookmarkStart w:id="308" w:name="_Toc2105"/>
      <w:bookmarkStart w:id="309" w:name="_Toc30082"/>
      <w:r>
        <w:rPr>
          <w:rFonts w:hint="default"/>
          <w:b/>
          <w:sz w:val="24"/>
          <w:szCs w:val="32"/>
          <w:lang w:val="en-US" w:eastAsia="zh-CN"/>
        </w:rPr>
        <w:t>9</w:t>
      </w:r>
      <w:r>
        <w:rPr>
          <w:b/>
          <w:sz w:val="24"/>
          <w:szCs w:val="32"/>
        </w:rPr>
        <w:t>.1 一般规定</w:t>
      </w:r>
      <w:bookmarkEnd w:id="302"/>
      <w:bookmarkEnd w:id="303"/>
      <w:bookmarkEnd w:id="304"/>
      <w:bookmarkEnd w:id="305"/>
      <w:bookmarkEnd w:id="306"/>
      <w:bookmarkEnd w:id="307"/>
      <w:bookmarkEnd w:id="308"/>
      <w:bookmarkEnd w:id="309"/>
    </w:p>
    <w:p w14:paraId="7D0D81CB">
      <w:pPr>
        <w:snapToGrid w:val="0"/>
        <w:spacing w:line="300" w:lineRule="auto"/>
        <w:jc w:val="left"/>
        <w:rPr>
          <w:sz w:val="24"/>
        </w:rPr>
      </w:pPr>
      <w:r>
        <w:rPr>
          <w:rFonts w:hint="eastAsia"/>
          <w:b/>
          <w:bCs/>
          <w:sz w:val="24"/>
          <w:lang w:val="en-US" w:eastAsia="zh-CN"/>
        </w:rPr>
        <w:t>9</w:t>
      </w:r>
      <w:r>
        <w:rPr>
          <w:b/>
          <w:bCs/>
          <w:sz w:val="24"/>
        </w:rPr>
        <w:t>.</w:t>
      </w:r>
      <w:r>
        <w:rPr>
          <w:rFonts w:hint="eastAsia"/>
          <w:b/>
          <w:bCs/>
          <w:sz w:val="24"/>
        </w:rPr>
        <w:t>1</w:t>
      </w:r>
      <w:r>
        <w:rPr>
          <w:b/>
          <w:bCs/>
          <w:sz w:val="24"/>
        </w:rPr>
        <w:t>.1</w:t>
      </w:r>
      <w:r>
        <w:rPr>
          <w:rFonts w:hint="eastAsia"/>
          <w:sz w:val="24"/>
        </w:rPr>
        <w:t xml:space="preserve"> </w:t>
      </w:r>
      <w:r>
        <w:rPr>
          <w:sz w:val="24"/>
        </w:rPr>
        <w:t>光伏组件清洗宜使用再生水。</w:t>
      </w:r>
    </w:p>
    <w:p w14:paraId="2DA7A662">
      <w:pPr>
        <w:pStyle w:val="2"/>
        <w:spacing w:line="300" w:lineRule="auto"/>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43780869">
      <w:pPr>
        <w:pStyle w:val="2"/>
        <w:snapToGrid/>
        <w:spacing w:line="300" w:lineRule="auto"/>
        <w:jc w:val="left"/>
        <w:rPr>
          <w:rFonts w:hint="eastAsia" w:ascii="仿宋" w:hAnsi="仿宋" w:eastAsia="仿宋" w:cs="仿宋"/>
          <w:i/>
          <w:iCs/>
          <w:color w:val="0623BA"/>
          <w:sz w:val="24"/>
          <w:highlight w:val="none"/>
        </w:rPr>
      </w:pPr>
      <w:r>
        <w:rPr>
          <w:rFonts w:hint="eastAsia" w:ascii="仿宋" w:hAnsi="仿宋" w:eastAsia="仿宋" w:cs="仿宋"/>
          <w:b/>
          <w:bCs/>
          <w:i/>
          <w:iCs/>
          <w:color w:val="0623BA"/>
          <w:sz w:val="24"/>
          <w:lang w:val="en-US" w:eastAsia="zh-CN"/>
        </w:rPr>
        <w:t>9</w:t>
      </w:r>
      <w:r>
        <w:rPr>
          <w:rFonts w:hint="eastAsia" w:ascii="仿宋" w:hAnsi="仿宋" w:eastAsia="仿宋" w:cs="仿宋"/>
          <w:b/>
          <w:bCs/>
          <w:i/>
          <w:iCs/>
          <w:color w:val="0623BA"/>
          <w:sz w:val="24"/>
        </w:rPr>
        <w:t xml:space="preserve">.1.1 </w:t>
      </w:r>
      <w:r>
        <w:rPr>
          <w:rFonts w:hint="eastAsia" w:ascii="仿宋" w:hAnsi="仿宋" w:eastAsia="仿宋" w:cs="仿宋"/>
          <w:i/>
          <w:iCs/>
          <w:color w:val="0623BA"/>
          <w:sz w:val="24"/>
        </w:rPr>
        <w:t>设置中水处理、雨水回用等设施，出水水质满足车辆冲洗标准的场所，优先使用再生水作为清洗水源。</w:t>
      </w:r>
    </w:p>
    <w:p w14:paraId="29DA43FB">
      <w:pPr>
        <w:snapToGrid w:val="0"/>
        <w:spacing w:line="300" w:lineRule="auto"/>
        <w:jc w:val="left"/>
        <w:rPr>
          <w:rFonts w:hint="default"/>
          <w:b w:val="0"/>
          <w:bCs w:val="0"/>
          <w:sz w:val="24"/>
          <w:lang w:val="en-US" w:eastAsia="zh-CN"/>
        </w:rPr>
      </w:pPr>
      <w:r>
        <w:rPr>
          <w:rFonts w:hint="default"/>
          <w:b/>
          <w:bCs/>
          <w:sz w:val="24"/>
          <w:lang w:val="en-US" w:eastAsia="zh-CN"/>
        </w:rPr>
        <w:t>9.1.2</w:t>
      </w:r>
      <w:r>
        <w:rPr>
          <w:rFonts w:hint="eastAsia"/>
          <w:b/>
          <w:bCs/>
          <w:sz w:val="24"/>
          <w:lang w:val="en-US" w:eastAsia="zh-CN"/>
        </w:rPr>
        <w:t xml:space="preserve"> </w:t>
      </w:r>
      <w:r>
        <w:rPr>
          <w:rFonts w:hint="default"/>
          <w:b w:val="0"/>
          <w:bCs w:val="0"/>
          <w:sz w:val="24"/>
          <w:lang w:val="en-US" w:eastAsia="zh-CN"/>
        </w:rPr>
        <w:t>光伏组件排水宜采用有组织排水，设置独立的收集管道，就近排入雨水系统。</w:t>
      </w:r>
    </w:p>
    <w:p w14:paraId="0F9E6003">
      <w:pPr>
        <w:snapToGrid w:val="0"/>
        <w:spacing w:line="300" w:lineRule="auto"/>
        <w:jc w:val="left"/>
        <w:rPr>
          <w:sz w:val="24"/>
        </w:rPr>
      </w:pPr>
      <w:r>
        <w:rPr>
          <w:rFonts w:hint="eastAsia"/>
          <w:b/>
          <w:bCs/>
          <w:sz w:val="24"/>
          <w:lang w:val="en-US" w:eastAsia="zh-CN"/>
        </w:rPr>
        <w:t>9</w:t>
      </w:r>
      <w:r>
        <w:rPr>
          <w:b/>
          <w:bCs/>
          <w:sz w:val="24"/>
        </w:rPr>
        <w:t>.</w:t>
      </w:r>
      <w:r>
        <w:rPr>
          <w:rFonts w:hint="eastAsia"/>
          <w:b/>
          <w:bCs/>
          <w:sz w:val="24"/>
        </w:rPr>
        <w:t>1</w:t>
      </w:r>
      <w:r>
        <w:rPr>
          <w:b/>
          <w:bCs/>
          <w:sz w:val="24"/>
        </w:rPr>
        <w:t>.</w:t>
      </w:r>
      <w:r>
        <w:rPr>
          <w:rFonts w:hint="eastAsia"/>
          <w:b/>
          <w:bCs/>
          <w:sz w:val="24"/>
          <w:lang w:val="en-US" w:eastAsia="zh-CN"/>
        </w:rPr>
        <w:t>3</w:t>
      </w:r>
      <w:r>
        <w:rPr>
          <w:rFonts w:hint="eastAsia"/>
          <w:sz w:val="24"/>
        </w:rPr>
        <w:t xml:space="preserve"> </w:t>
      </w:r>
      <w:r>
        <w:rPr>
          <w:sz w:val="24"/>
        </w:rPr>
        <w:t>屋面排水和防水应符合现行国家标准《建筑给水排水设计规范》GB 50015 的规定。</w:t>
      </w:r>
    </w:p>
    <w:p w14:paraId="742AA3B8">
      <w:pPr>
        <w:snapToGrid w:val="0"/>
        <w:spacing w:line="300" w:lineRule="auto"/>
        <w:jc w:val="left"/>
        <w:rPr>
          <w:sz w:val="24"/>
        </w:rPr>
      </w:pPr>
      <w:r>
        <w:rPr>
          <w:rFonts w:hint="eastAsia"/>
          <w:b/>
          <w:bCs/>
          <w:sz w:val="24"/>
          <w:lang w:val="en-US" w:eastAsia="zh-CN"/>
        </w:rPr>
        <w:t>9</w:t>
      </w:r>
      <w:r>
        <w:rPr>
          <w:b/>
          <w:bCs/>
          <w:sz w:val="24"/>
        </w:rPr>
        <w:t>.</w:t>
      </w:r>
      <w:r>
        <w:rPr>
          <w:rFonts w:hint="eastAsia"/>
          <w:b/>
          <w:bCs/>
          <w:sz w:val="24"/>
        </w:rPr>
        <w:t>1</w:t>
      </w:r>
      <w:r>
        <w:rPr>
          <w:b/>
          <w:bCs/>
          <w:sz w:val="24"/>
        </w:rPr>
        <w:t>.</w:t>
      </w:r>
      <w:r>
        <w:rPr>
          <w:rFonts w:hint="eastAsia"/>
          <w:b/>
          <w:bCs/>
          <w:sz w:val="24"/>
          <w:lang w:val="en-US" w:eastAsia="zh-CN"/>
        </w:rPr>
        <w:t>4</w:t>
      </w:r>
      <w:r>
        <w:rPr>
          <w:rFonts w:hint="eastAsia"/>
          <w:sz w:val="24"/>
        </w:rPr>
        <w:t xml:space="preserve"> </w:t>
      </w:r>
      <w:r>
        <w:rPr>
          <w:sz w:val="24"/>
        </w:rPr>
        <w:t>光伏系统各组成部分在建筑中的位置应合理确定</w:t>
      </w:r>
      <w:r>
        <w:rPr>
          <w:rFonts w:hint="eastAsia"/>
          <w:sz w:val="24"/>
          <w:lang w:eastAsia="zh-CN"/>
        </w:rPr>
        <w:t>，</w:t>
      </w:r>
      <w:r>
        <w:rPr>
          <w:sz w:val="24"/>
        </w:rPr>
        <w:t>满足其所在部位的建筑防水、排水、雨水、隔热及节能、美观等功能要求。</w:t>
      </w:r>
    </w:p>
    <w:p w14:paraId="339413EC">
      <w:pPr>
        <w:pStyle w:val="2"/>
        <w:spacing w:line="300" w:lineRule="auto"/>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249B8D92">
      <w:pPr>
        <w:pStyle w:val="2"/>
        <w:spacing w:line="300" w:lineRule="auto"/>
        <w:rPr>
          <w:rFonts w:hint="eastAsia" w:ascii="仿宋" w:hAnsi="仿宋" w:eastAsia="仿宋" w:cs="仿宋"/>
          <w:i/>
          <w:iCs/>
          <w:color w:val="0623BA"/>
          <w:sz w:val="24"/>
        </w:rPr>
      </w:pPr>
      <w:r>
        <w:rPr>
          <w:rFonts w:hint="eastAsia" w:ascii="仿宋" w:hAnsi="仿宋" w:eastAsia="仿宋" w:cs="仿宋"/>
          <w:i/>
          <w:iCs/>
          <w:color w:val="0623BA"/>
          <w:sz w:val="24"/>
          <w:lang w:val="en-US" w:eastAsia="zh-CN"/>
        </w:rPr>
        <w:t>9</w:t>
      </w:r>
      <w:r>
        <w:rPr>
          <w:rFonts w:hint="eastAsia" w:ascii="仿宋" w:hAnsi="仿宋" w:eastAsia="仿宋" w:cs="仿宋"/>
          <w:i/>
          <w:iCs/>
          <w:color w:val="0623BA"/>
          <w:sz w:val="24"/>
        </w:rPr>
        <w:t>.1.</w:t>
      </w:r>
      <w:r>
        <w:rPr>
          <w:rFonts w:hint="eastAsia" w:ascii="仿宋" w:hAnsi="仿宋" w:eastAsia="仿宋" w:cs="仿宋"/>
          <w:i/>
          <w:iCs/>
          <w:color w:val="0623BA"/>
          <w:sz w:val="24"/>
          <w:lang w:val="en-US" w:eastAsia="zh-CN"/>
        </w:rPr>
        <w:t>4</w:t>
      </w:r>
      <w:r>
        <w:rPr>
          <w:rFonts w:hint="eastAsia" w:ascii="仿宋" w:hAnsi="仿宋" w:eastAsia="仿宋" w:cs="仿宋"/>
          <w:i/>
          <w:iCs/>
          <w:color w:val="0623BA"/>
          <w:sz w:val="24"/>
        </w:rPr>
        <w:t xml:space="preserve"> 建筑设计应与光伏系统设计同步进行。建筑设计根据选定的光伏系统类型，确定光伏组件形式、安装面积、尺寸大小、安装位置及方式；了解连接管线走向</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考虑辅助能源及辅助设施条件；明确光伏系统各部分的相对关系。然后，合理安排光伏系统各组成部分在建筑中的位置。光伏组件安装在建筑屋面、阳台、墙面或其他部位时，不应造成局部积水、防水层破坏、渗漏和影响建筑保温、隔热及美观等功能要求。</w:t>
      </w:r>
    </w:p>
    <w:p w14:paraId="4314FD03">
      <w:pPr>
        <w:keepNext/>
        <w:keepLines/>
        <w:snapToGrid w:val="0"/>
        <w:spacing w:before="95" w:beforeLines="30" w:after="95" w:afterLines="30" w:line="300" w:lineRule="auto"/>
        <w:jc w:val="center"/>
        <w:outlineLvl w:val="2"/>
        <w:rPr>
          <w:b/>
          <w:sz w:val="24"/>
          <w:szCs w:val="32"/>
        </w:rPr>
      </w:pPr>
      <w:bookmarkStart w:id="310" w:name="_Toc20049"/>
      <w:bookmarkStart w:id="311" w:name="_Toc30860"/>
      <w:bookmarkStart w:id="312" w:name="_Toc2899"/>
      <w:bookmarkStart w:id="313" w:name="_Toc17007"/>
      <w:bookmarkStart w:id="314" w:name="_Toc12"/>
      <w:bookmarkStart w:id="315" w:name="_Toc6423"/>
      <w:bookmarkStart w:id="316" w:name="_Toc19845"/>
      <w:bookmarkStart w:id="317" w:name="_Toc7671"/>
      <w:r>
        <w:rPr>
          <w:rFonts w:hint="default"/>
          <w:b/>
          <w:sz w:val="24"/>
          <w:szCs w:val="32"/>
          <w:lang w:val="en-US" w:eastAsia="zh-CN"/>
        </w:rPr>
        <w:t>9</w:t>
      </w:r>
      <w:r>
        <w:rPr>
          <w:b/>
          <w:sz w:val="24"/>
          <w:szCs w:val="32"/>
        </w:rPr>
        <w:t>.</w:t>
      </w:r>
      <w:r>
        <w:rPr>
          <w:rFonts w:hint="default"/>
          <w:b/>
          <w:sz w:val="24"/>
          <w:szCs w:val="32"/>
        </w:rPr>
        <w:t>2</w:t>
      </w:r>
      <w:r>
        <w:rPr>
          <w:b/>
          <w:sz w:val="24"/>
          <w:szCs w:val="32"/>
        </w:rPr>
        <w:t xml:space="preserve"> </w:t>
      </w:r>
      <w:r>
        <w:rPr>
          <w:rFonts w:hint="default"/>
          <w:b/>
          <w:sz w:val="24"/>
          <w:szCs w:val="32"/>
        </w:rPr>
        <w:t>屋面排水</w:t>
      </w:r>
      <w:bookmarkEnd w:id="310"/>
      <w:bookmarkEnd w:id="311"/>
      <w:bookmarkEnd w:id="312"/>
      <w:bookmarkEnd w:id="313"/>
      <w:bookmarkEnd w:id="314"/>
      <w:bookmarkEnd w:id="315"/>
      <w:bookmarkEnd w:id="316"/>
      <w:bookmarkEnd w:id="317"/>
    </w:p>
    <w:p w14:paraId="33088425">
      <w:pPr>
        <w:snapToGrid w:val="0"/>
        <w:spacing w:line="300" w:lineRule="auto"/>
        <w:jc w:val="left"/>
        <w:rPr>
          <w:sz w:val="24"/>
        </w:rPr>
      </w:pPr>
      <w:r>
        <w:rPr>
          <w:rFonts w:hint="eastAsia"/>
          <w:b/>
          <w:bCs/>
          <w:sz w:val="24"/>
          <w:lang w:val="en-US" w:eastAsia="zh-CN"/>
        </w:rPr>
        <w:t>9</w:t>
      </w:r>
      <w:r>
        <w:rPr>
          <w:b/>
          <w:bCs/>
          <w:sz w:val="24"/>
        </w:rPr>
        <w:t>.</w:t>
      </w:r>
      <w:r>
        <w:rPr>
          <w:rFonts w:hint="eastAsia"/>
          <w:b/>
          <w:bCs/>
          <w:sz w:val="24"/>
          <w:lang w:val="en-US" w:eastAsia="zh-CN"/>
        </w:rPr>
        <w:t>2</w:t>
      </w:r>
      <w:r>
        <w:rPr>
          <w:b/>
          <w:bCs/>
          <w:sz w:val="24"/>
        </w:rPr>
        <w:t>.</w:t>
      </w:r>
      <w:r>
        <w:rPr>
          <w:rFonts w:hint="eastAsia"/>
          <w:b/>
          <w:bCs/>
          <w:sz w:val="24"/>
          <w:lang w:val="en-US" w:eastAsia="zh-CN"/>
        </w:rPr>
        <w:t>1</w:t>
      </w:r>
      <w:r>
        <w:rPr>
          <w:rFonts w:hint="eastAsia"/>
          <w:sz w:val="24"/>
        </w:rPr>
        <w:t xml:space="preserve"> </w:t>
      </w:r>
      <w:r>
        <w:rPr>
          <w:sz w:val="24"/>
        </w:rPr>
        <w:t>光伏组件不应影响安装部位建筑雨水系统设计，不应造成局部积水、防水层破坏、渗漏等情况。</w:t>
      </w:r>
    </w:p>
    <w:p w14:paraId="0312CAE2">
      <w:pPr>
        <w:snapToGrid w:val="0"/>
        <w:spacing w:line="300" w:lineRule="auto"/>
        <w:jc w:val="left"/>
        <w:rPr>
          <w:sz w:val="24"/>
        </w:rPr>
      </w:pPr>
      <w:r>
        <w:rPr>
          <w:rFonts w:hint="eastAsia"/>
          <w:b/>
          <w:bCs/>
          <w:sz w:val="24"/>
          <w:lang w:val="en-US" w:eastAsia="zh-CN"/>
        </w:rPr>
        <w:t>9</w:t>
      </w:r>
      <w:r>
        <w:rPr>
          <w:rFonts w:hint="eastAsia"/>
          <w:b/>
          <w:bCs/>
          <w:sz w:val="24"/>
        </w:rPr>
        <w:t>.</w:t>
      </w:r>
      <w:r>
        <w:rPr>
          <w:rFonts w:hint="eastAsia"/>
          <w:b/>
          <w:bCs/>
          <w:sz w:val="24"/>
          <w:lang w:val="en-US" w:eastAsia="zh-CN"/>
        </w:rPr>
        <w:t>2</w:t>
      </w:r>
      <w:r>
        <w:rPr>
          <w:rFonts w:hint="eastAsia"/>
          <w:b/>
          <w:bCs/>
          <w:sz w:val="24"/>
        </w:rPr>
        <w:t>.</w:t>
      </w:r>
      <w:r>
        <w:rPr>
          <w:rFonts w:hint="eastAsia"/>
          <w:b/>
          <w:bCs/>
          <w:sz w:val="24"/>
          <w:lang w:val="en-US" w:eastAsia="zh-CN"/>
        </w:rPr>
        <w:t>2</w:t>
      </w:r>
      <w:r>
        <w:rPr>
          <w:rFonts w:hint="eastAsia"/>
          <w:sz w:val="24"/>
        </w:rPr>
        <w:t xml:space="preserve"> 在建筑屋面上安装光伏的组件，基座形式应利于屋面排水，避免与屋面排水方向垂直的条形基座。</w:t>
      </w:r>
    </w:p>
    <w:p w14:paraId="2E5F8350">
      <w:pPr>
        <w:pStyle w:val="2"/>
        <w:spacing w:line="300" w:lineRule="auto"/>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0C951539">
      <w:pPr>
        <w:pStyle w:val="2"/>
        <w:spacing w:line="300" w:lineRule="auto"/>
        <w:rPr>
          <w:rFonts w:hint="eastAsia" w:ascii="仿宋" w:hAnsi="仿宋" w:eastAsia="仿宋" w:cs="仿宋"/>
          <w:i/>
          <w:iCs/>
          <w:color w:val="0623BA"/>
          <w:sz w:val="24"/>
        </w:rPr>
      </w:pPr>
      <w:r>
        <w:rPr>
          <w:rFonts w:hint="eastAsia" w:ascii="仿宋" w:hAnsi="仿宋" w:eastAsia="仿宋" w:cs="仿宋"/>
          <w:i/>
          <w:iCs/>
          <w:color w:val="0623BA"/>
          <w:sz w:val="24"/>
          <w:lang w:val="en-US" w:eastAsia="zh-CN"/>
        </w:rPr>
        <w:t>9</w:t>
      </w:r>
      <w:r>
        <w:rPr>
          <w:rFonts w:hint="eastAsia" w:ascii="仿宋" w:hAnsi="仿宋" w:eastAsia="仿宋" w:cs="仿宋"/>
          <w:i/>
          <w:iCs/>
          <w:color w:val="0623BA"/>
          <w:sz w:val="24"/>
        </w:rPr>
        <w:t>.</w:t>
      </w:r>
      <w:r>
        <w:rPr>
          <w:rFonts w:hint="eastAsia" w:ascii="仿宋" w:hAnsi="仿宋" w:eastAsia="仿宋" w:cs="仿宋"/>
          <w:i/>
          <w:iCs/>
          <w:color w:val="0623BA"/>
          <w:sz w:val="24"/>
          <w:lang w:val="en-US" w:eastAsia="zh-CN"/>
        </w:rPr>
        <w:t>2</w:t>
      </w:r>
      <w:r>
        <w:rPr>
          <w:rFonts w:hint="eastAsia" w:ascii="仿宋" w:hAnsi="仿宋" w:eastAsia="仿宋" w:cs="仿宋"/>
          <w:i/>
          <w:iCs/>
          <w:color w:val="0623BA"/>
          <w:sz w:val="24"/>
        </w:rPr>
        <w:t>.</w:t>
      </w:r>
      <w:r>
        <w:rPr>
          <w:rFonts w:hint="eastAsia" w:ascii="仿宋" w:hAnsi="仿宋" w:eastAsia="仿宋" w:cs="仿宋"/>
          <w:i/>
          <w:iCs/>
          <w:color w:val="0623BA"/>
          <w:sz w:val="24"/>
          <w:lang w:val="en-US" w:eastAsia="zh-CN"/>
        </w:rPr>
        <w:t>2</w:t>
      </w:r>
      <w:r>
        <w:rPr>
          <w:rFonts w:hint="eastAsia" w:ascii="仿宋" w:hAnsi="仿宋" w:eastAsia="仿宋" w:cs="仿宋"/>
          <w:i/>
          <w:iCs/>
          <w:color w:val="0623BA"/>
          <w:sz w:val="24"/>
        </w:rPr>
        <w:t xml:space="preserve"> </w:t>
      </w:r>
      <w:r>
        <w:rPr>
          <w:rFonts w:ascii="仿宋" w:hAnsi="仿宋" w:eastAsia="仿宋" w:cs="仿宋"/>
          <w:i/>
          <w:iCs/>
          <w:color w:val="0623BA"/>
          <w:sz w:val="24"/>
        </w:rPr>
        <w:t>屋面上安装光伏组件还应符合以下要求：</w:t>
      </w:r>
    </w:p>
    <w:p w14:paraId="5272E515">
      <w:pPr>
        <w:pStyle w:val="2"/>
        <w:spacing w:line="300" w:lineRule="auto"/>
        <w:ind w:firstLine="480" w:firstLineChars="200"/>
        <w:rPr>
          <w:rFonts w:hint="eastAsia" w:ascii="仿宋" w:hAnsi="仿宋" w:eastAsia="仿宋" w:cs="仿宋"/>
          <w:i/>
          <w:iCs/>
          <w:color w:val="0623BA"/>
          <w:sz w:val="24"/>
        </w:rPr>
      </w:pPr>
      <w:r>
        <w:rPr>
          <w:rFonts w:ascii="仿宋" w:hAnsi="仿宋" w:eastAsia="仿宋" w:cs="仿宋"/>
          <w:i/>
          <w:iCs/>
          <w:color w:val="0623BA"/>
          <w:sz w:val="24"/>
        </w:rPr>
        <w:t>1 采用自动跟踪型和手动调节型支架可提高系统的发电量。自动跟踪型支架还需配置包括太阳辐射测量设备、计算机控制的步进电机等自动跟踪系统。手动调节型支架经济可靠，适合于以月、季度为周期的调节系统；</w:t>
      </w:r>
    </w:p>
    <w:p w14:paraId="2DED74E4">
      <w:pPr>
        <w:pStyle w:val="2"/>
        <w:spacing w:line="300" w:lineRule="auto"/>
        <w:ind w:firstLine="480" w:firstLineChars="200"/>
        <w:rPr>
          <w:rFonts w:hint="eastAsia" w:ascii="仿宋" w:hAnsi="仿宋" w:eastAsia="仿宋" w:cs="仿宋"/>
          <w:i/>
          <w:iCs/>
          <w:color w:val="0623BA"/>
          <w:sz w:val="24"/>
        </w:rPr>
      </w:pPr>
      <w:r>
        <w:rPr>
          <w:rFonts w:ascii="仿宋" w:hAnsi="仿宋" w:eastAsia="仿宋" w:cs="仿宋"/>
          <w:i/>
          <w:iCs/>
          <w:color w:val="0623BA"/>
          <w:sz w:val="24"/>
        </w:rPr>
        <w:t>2 屋面上设置光伏方阵时，前排光伏组件的阴影不应影响后排光伏组件正常工作。另外，还应注意组件的日斑影响；</w:t>
      </w:r>
    </w:p>
    <w:p w14:paraId="084162F8">
      <w:pPr>
        <w:pStyle w:val="2"/>
        <w:spacing w:line="300" w:lineRule="auto"/>
        <w:ind w:firstLine="480" w:firstLineChars="200"/>
        <w:rPr>
          <w:rFonts w:hint="eastAsia" w:ascii="仿宋" w:hAnsi="仿宋" w:eastAsia="仿宋" w:cs="仿宋"/>
          <w:i/>
          <w:iCs/>
          <w:color w:val="0623BA"/>
          <w:sz w:val="24"/>
        </w:rPr>
      </w:pPr>
      <w:r>
        <w:rPr>
          <w:rFonts w:ascii="仿宋" w:hAnsi="仿宋" w:eastAsia="仿宋" w:cs="仿宋"/>
          <w:i/>
          <w:iCs/>
          <w:color w:val="0623BA"/>
          <w:sz w:val="24"/>
        </w:rPr>
        <w:t>3 在建筑屋面上安装光伏组件支架，应选择点式的基座形式，以利于屋面排水。特别要避免与屋面排水方向垂直的条形基座；</w:t>
      </w:r>
    </w:p>
    <w:p w14:paraId="089EA20D">
      <w:pPr>
        <w:pStyle w:val="2"/>
        <w:spacing w:line="300" w:lineRule="auto"/>
        <w:ind w:firstLine="480" w:firstLineChars="200"/>
        <w:rPr>
          <w:rFonts w:hint="eastAsia" w:ascii="仿宋" w:hAnsi="仿宋" w:eastAsia="仿宋" w:cs="仿宋"/>
          <w:i/>
          <w:iCs/>
          <w:color w:val="0623BA"/>
          <w:sz w:val="24"/>
        </w:rPr>
      </w:pPr>
      <w:r>
        <w:rPr>
          <w:rFonts w:ascii="仿宋" w:hAnsi="仿宋" w:eastAsia="仿宋" w:cs="仿宋"/>
          <w:i/>
          <w:iCs/>
          <w:color w:val="0623BA"/>
          <w:sz w:val="24"/>
        </w:rPr>
        <w:t>4 光伏组件基座与结构层相连时，防水层应包到支座和金属埋件的上部，形成较高的泛水，地脚螺栓周围缝隙容易渗水，应作密封处理；</w:t>
      </w:r>
    </w:p>
    <w:p w14:paraId="17635B16">
      <w:pPr>
        <w:pStyle w:val="2"/>
        <w:spacing w:line="300" w:lineRule="auto"/>
        <w:ind w:firstLine="480" w:firstLineChars="200"/>
        <w:rPr>
          <w:rFonts w:hint="eastAsia" w:ascii="仿宋" w:hAnsi="仿宋" w:eastAsia="仿宋" w:cs="仿宋"/>
          <w:i/>
          <w:iCs/>
          <w:color w:val="0623BA"/>
          <w:sz w:val="24"/>
        </w:rPr>
      </w:pPr>
      <w:r>
        <w:rPr>
          <w:rFonts w:ascii="仿宋" w:hAnsi="仿宋" w:eastAsia="仿宋" w:cs="仿宋"/>
          <w:i/>
          <w:iCs/>
          <w:color w:val="0623BA"/>
          <w:sz w:val="24"/>
        </w:rPr>
        <w:t>5 基座部位应做附加防水层。附加层宜空铺，空铺宽度不应小于200mm。为防止卷材防水层收头翘边，避免雨水从开口处渗入防水层下部，应按设计要求做好收头处理。卷材防水层应用压条钉压固定或用密封材料封严</w:t>
      </w:r>
      <w:r>
        <w:rPr>
          <w:rFonts w:hint="eastAsia" w:ascii="仿宋" w:hAnsi="仿宋" w:eastAsia="仿宋" w:cs="仿宋"/>
          <w:i/>
          <w:iCs/>
          <w:color w:val="0623BA"/>
          <w:sz w:val="24"/>
        </w:rPr>
        <w:t>。</w:t>
      </w:r>
    </w:p>
    <w:p w14:paraId="78DA6B93">
      <w:pPr>
        <w:snapToGrid w:val="0"/>
        <w:spacing w:line="300" w:lineRule="auto"/>
        <w:ind w:firstLine="0" w:firstLineChars="0"/>
        <w:jc w:val="left"/>
        <w:rPr>
          <w:sz w:val="24"/>
        </w:rPr>
      </w:pPr>
      <w:r>
        <w:rPr>
          <w:rFonts w:hint="default"/>
          <w:b/>
          <w:bCs/>
          <w:sz w:val="24"/>
          <w:lang w:val="en-US" w:eastAsia="zh-CN"/>
        </w:rPr>
        <w:t>9</w:t>
      </w:r>
      <w:r>
        <w:rPr>
          <w:b/>
          <w:bCs/>
          <w:sz w:val="24"/>
        </w:rPr>
        <w:t>.</w:t>
      </w:r>
      <w:r>
        <w:rPr>
          <w:rFonts w:hint="default"/>
          <w:b/>
          <w:bCs/>
          <w:sz w:val="24"/>
          <w:lang w:val="en-US" w:eastAsia="zh-CN"/>
        </w:rPr>
        <w:t>2</w:t>
      </w:r>
      <w:r>
        <w:rPr>
          <w:b/>
          <w:bCs/>
          <w:sz w:val="24"/>
        </w:rPr>
        <w:t>.</w:t>
      </w:r>
      <w:r>
        <w:rPr>
          <w:rFonts w:hint="default"/>
          <w:b/>
          <w:bCs/>
          <w:sz w:val="24"/>
          <w:lang w:val="en-US" w:eastAsia="zh-CN"/>
        </w:rPr>
        <w:t>3</w:t>
      </w:r>
      <w:r>
        <w:rPr>
          <w:sz w:val="24"/>
        </w:rPr>
        <w:t xml:space="preserve"> 当暴雨强度超出设计承受程度，发生淤寒或组件接线盒、接线端子浸泡等特殊情况时应有相应的应急处理设施，防止发生事故，保障建筑运行需求。</w:t>
      </w:r>
    </w:p>
    <w:p w14:paraId="19845B35">
      <w:pPr>
        <w:keepNext/>
        <w:keepLines/>
        <w:snapToGrid w:val="0"/>
        <w:spacing w:before="95" w:beforeLines="30" w:after="95" w:afterLines="30" w:line="300" w:lineRule="auto"/>
        <w:jc w:val="center"/>
        <w:outlineLvl w:val="2"/>
        <w:rPr>
          <w:b/>
          <w:sz w:val="24"/>
          <w:szCs w:val="32"/>
        </w:rPr>
      </w:pPr>
      <w:bookmarkStart w:id="318" w:name="_Toc16768"/>
      <w:bookmarkStart w:id="319" w:name="_Toc19327"/>
      <w:bookmarkStart w:id="320" w:name="_Toc11931"/>
      <w:bookmarkStart w:id="321" w:name="_Toc15613"/>
      <w:bookmarkStart w:id="322" w:name="_Toc26684"/>
      <w:bookmarkStart w:id="323" w:name="_Toc20100"/>
      <w:bookmarkStart w:id="324" w:name="_Toc13058"/>
      <w:bookmarkStart w:id="325" w:name="_Toc31500"/>
      <w:r>
        <w:rPr>
          <w:rFonts w:hint="default"/>
          <w:b/>
          <w:sz w:val="24"/>
          <w:szCs w:val="32"/>
          <w:lang w:val="en-US" w:eastAsia="zh-CN"/>
        </w:rPr>
        <w:t>9</w:t>
      </w:r>
      <w:r>
        <w:rPr>
          <w:rFonts w:hint="default"/>
          <w:b/>
          <w:sz w:val="24"/>
          <w:szCs w:val="32"/>
        </w:rPr>
        <w:t>.3 光伏水密性</w:t>
      </w:r>
      <w:bookmarkEnd w:id="318"/>
      <w:bookmarkEnd w:id="319"/>
      <w:bookmarkEnd w:id="320"/>
      <w:bookmarkEnd w:id="321"/>
      <w:bookmarkEnd w:id="322"/>
      <w:bookmarkEnd w:id="323"/>
      <w:bookmarkEnd w:id="324"/>
      <w:bookmarkEnd w:id="325"/>
    </w:p>
    <w:p w14:paraId="5DBB5F32">
      <w:pPr>
        <w:snapToGrid w:val="0"/>
        <w:spacing w:line="300" w:lineRule="auto"/>
        <w:jc w:val="left"/>
        <w:rPr>
          <w:sz w:val="24"/>
        </w:rPr>
      </w:pPr>
      <w:r>
        <w:rPr>
          <w:rFonts w:hint="eastAsia"/>
          <w:b/>
          <w:bCs/>
          <w:sz w:val="24"/>
          <w:lang w:val="en-US" w:eastAsia="zh-CN"/>
        </w:rPr>
        <w:t>9</w:t>
      </w:r>
      <w:r>
        <w:rPr>
          <w:b/>
          <w:bCs/>
          <w:sz w:val="24"/>
        </w:rPr>
        <w:t>.</w:t>
      </w:r>
      <w:r>
        <w:rPr>
          <w:rFonts w:hint="eastAsia"/>
          <w:b/>
          <w:bCs/>
          <w:sz w:val="24"/>
          <w:lang w:val="en-US" w:eastAsia="zh-CN"/>
        </w:rPr>
        <w:t>3.1</w:t>
      </w:r>
      <w:r>
        <w:rPr>
          <w:b/>
          <w:bCs/>
          <w:sz w:val="24"/>
        </w:rPr>
        <w:t xml:space="preserve"> </w:t>
      </w:r>
      <w:r>
        <w:rPr>
          <w:sz w:val="24"/>
        </w:rPr>
        <w:t>光伏建筑一体化设计时，应满足以下</w:t>
      </w:r>
      <w:r>
        <w:rPr>
          <w:rFonts w:hint="eastAsia"/>
          <w:sz w:val="24"/>
          <w:lang w:val="en-US" w:eastAsia="zh-CN"/>
        </w:rPr>
        <w:t>规定</w:t>
      </w:r>
      <w:r>
        <w:rPr>
          <w:sz w:val="24"/>
        </w:rPr>
        <w:t>：</w:t>
      </w:r>
    </w:p>
    <w:p w14:paraId="4E8C64A9">
      <w:pPr>
        <w:snapToGrid w:val="0"/>
        <w:spacing w:line="300" w:lineRule="auto"/>
        <w:ind w:firstLine="482" w:firstLineChars="200"/>
        <w:rPr>
          <w:sz w:val="24"/>
        </w:rPr>
      </w:pPr>
      <w:r>
        <w:rPr>
          <w:b/>
          <w:bCs/>
          <w:sz w:val="24"/>
        </w:rPr>
        <w:t xml:space="preserve">1 </w:t>
      </w:r>
      <w:r>
        <w:rPr>
          <w:sz w:val="24"/>
        </w:rPr>
        <w:t>承担防水功能的光伏采光顶，水密性能设计值不应低于150Pa。宜选择适当的结构单元进行水密性试验：系统设计时，宜考虑淋水试验要求并确定淋水试验的淋水量和淋水方向，参照GBT21086中给出的方法进行淋水试验；</w:t>
      </w:r>
    </w:p>
    <w:p w14:paraId="5AB6A6CF">
      <w:pPr>
        <w:snapToGrid w:val="0"/>
        <w:spacing w:line="300" w:lineRule="auto"/>
        <w:ind w:firstLine="482" w:firstLineChars="200"/>
        <w:jc w:val="left"/>
        <w:rPr>
          <w:sz w:val="24"/>
        </w:rPr>
      </w:pPr>
      <w:r>
        <w:rPr>
          <w:b/>
          <w:bCs/>
          <w:sz w:val="24"/>
        </w:rPr>
        <w:t>2</w:t>
      </w:r>
      <w:r>
        <w:rPr>
          <w:rFonts w:hint="eastAsia"/>
          <w:b/>
          <w:bCs/>
          <w:sz w:val="24"/>
          <w:lang w:val="en-US" w:eastAsia="zh-CN"/>
        </w:rPr>
        <w:t xml:space="preserve"> </w:t>
      </w:r>
      <w:r>
        <w:rPr>
          <w:sz w:val="24"/>
        </w:rPr>
        <w:t>封闭式光伏幕墙的水密性设计值不应低于700Pa。宜选择适当的结构单元进行水密性试验并按照GB/T 21086的要求进行淋水试验。</w:t>
      </w:r>
    </w:p>
    <w:p w14:paraId="3888DD0F">
      <w:pPr>
        <w:widowControl/>
        <w:spacing w:line="300" w:lineRule="auto"/>
        <w:jc w:val="left"/>
        <w:rPr>
          <w:sz w:val="24"/>
        </w:rPr>
      </w:pPr>
      <w:r>
        <w:rPr>
          <w:sz w:val="24"/>
        </w:rPr>
        <w:br w:type="page"/>
      </w:r>
    </w:p>
    <w:p w14:paraId="0DD34A2E">
      <w:pPr>
        <w:pStyle w:val="5"/>
        <w:spacing w:before="95" w:beforeLines="30" w:after="95" w:afterLines="30" w:line="300" w:lineRule="auto"/>
        <w:jc w:val="center"/>
        <w:rPr>
          <w:rFonts w:ascii="Times New Roman" w:hAnsi="Times New Roman" w:eastAsia="黑体" w:cs="Times New Roman"/>
          <w:sz w:val="28"/>
          <w:szCs w:val="28"/>
        </w:rPr>
      </w:pPr>
      <w:bookmarkStart w:id="326" w:name="_Toc30232"/>
      <w:bookmarkStart w:id="327" w:name="_Toc16227"/>
      <w:bookmarkStart w:id="328" w:name="_Toc7022"/>
      <w:bookmarkStart w:id="329" w:name="_Toc22540"/>
      <w:bookmarkStart w:id="330" w:name="_Toc5396"/>
      <w:bookmarkStart w:id="331" w:name="_Toc31840"/>
      <w:bookmarkStart w:id="332" w:name="_Toc11502"/>
      <w:bookmarkStart w:id="333" w:name="_Toc32275"/>
      <w:r>
        <w:rPr>
          <w:rFonts w:ascii="Times New Roman" w:hAnsi="Times New Roman" w:eastAsia="黑体" w:cs="Times New Roman"/>
          <w:sz w:val="28"/>
          <w:szCs w:val="28"/>
        </w:rPr>
        <w:t>1</w:t>
      </w:r>
      <w:r>
        <w:rPr>
          <w:rFonts w:hint="default" w:ascii="Times New Roman" w:hAnsi="Times New Roman" w:eastAsia="黑体" w:cs="Times New Roman"/>
          <w:sz w:val="28"/>
          <w:szCs w:val="28"/>
          <w:lang w:val="en-US" w:eastAsia="zh-CN"/>
        </w:rPr>
        <w:t>0</w:t>
      </w:r>
      <w:r>
        <w:rPr>
          <w:rFonts w:ascii="Times New Roman" w:hAnsi="Times New Roman" w:eastAsia="黑体" w:cs="Times New Roman"/>
          <w:sz w:val="28"/>
          <w:szCs w:val="28"/>
        </w:rPr>
        <w:t xml:space="preserve"> 工程施工</w:t>
      </w:r>
      <w:bookmarkEnd w:id="326"/>
      <w:bookmarkEnd w:id="327"/>
      <w:bookmarkEnd w:id="328"/>
      <w:bookmarkEnd w:id="329"/>
      <w:bookmarkEnd w:id="330"/>
      <w:bookmarkEnd w:id="331"/>
      <w:bookmarkEnd w:id="332"/>
      <w:bookmarkEnd w:id="333"/>
    </w:p>
    <w:p w14:paraId="7ACE94BF">
      <w:pPr>
        <w:keepNext/>
        <w:keepLines/>
        <w:snapToGrid w:val="0"/>
        <w:spacing w:before="95" w:beforeLines="30" w:after="95" w:afterLines="30" w:line="300" w:lineRule="auto"/>
        <w:jc w:val="center"/>
        <w:outlineLvl w:val="2"/>
        <w:rPr>
          <w:b/>
          <w:sz w:val="24"/>
          <w:szCs w:val="32"/>
        </w:rPr>
      </w:pPr>
      <w:bookmarkStart w:id="334" w:name="_Toc14100"/>
      <w:bookmarkStart w:id="335" w:name="_Toc32633"/>
      <w:bookmarkStart w:id="336" w:name="_Toc19354"/>
      <w:bookmarkStart w:id="337" w:name="_Toc7053"/>
      <w:bookmarkStart w:id="338" w:name="_Toc23551"/>
      <w:bookmarkStart w:id="339" w:name="_Toc11752"/>
      <w:bookmarkStart w:id="340" w:name="_Toc28584"/>
      <w:bookmarkStart w:id="341" w:name="_Toc28395"/>
      <w:r>
        <w:rPr>
          <w:b/>
          <w:sz w:val="24"/>
          <w:szCs w:val="32"/>
        </w:rPr>
        <w:t>1</w:t>
      </w:r>
      <w:r>
        <w:rPr>
          <w:rFonts w:hint="default"/>
          <w:b/>
          <w:sz w:val="24"/>
          <w:szCs w:val="32"/>
          <w:lang w:val="en-US" w:eastAsia="zh-CN"/>
        </w:rPr>
        <w:t>0</w:t>
      </w:r>
      <w:r>
        <w:rPr>
          <w:b/>
          <w:sz w:val="24"/>
          <w:szCs w:val="32"/>
        </w:rPr>
        <w:t>.1一般规定</w:t>
      </w:r>
      <w:bookmarkEnd w:id="334"/>
      <w:bookmarkEnd w:id="335"/>
      <w:bookmarkEnd w:id="336"/>
      <w:bookmarkEnd w:id="337"/>
      <w:bookmarkEnd w:id="338"/>
      <w:bookmarkEnd w:id="339"/>
      <w:bookmarkEnd w:id="340"/>
      <w:bookmarkEnd w:id="341"/>
    </w:p>
    <w:p w14:paraId="4A7B9FE3">
      <w:pPr>
        <w:snapToGrid w:val="0"/>
        <w:spacing w:line="300" w:lineRule="auto"/>
        <w:jc w:val="left"/>
        <w:rPr>
          <w:rFonts w:hint="eastAsia" w:cs="Times New Roman"/>
          <w:sz w:val="24"/>
          <w:szCs w:val="24"/>
          <w:lang w:val="en-US" w:eastAsia="zh-CN"/>
        </w:rPr>
      </w:pPr>
      <w:r>
        <w:rPr>
          <w:b/>
          <w:bCs/>
          <w:sz w:val="24"/>
        </w:rPr>
        <w:t>1</w:t>
      </w:r>
      <w:r>
        <w:rPr>
          <w:rFonts w:hint="eastAsia"/>
          <w:b/>
          <w:bCs/>
          <w:sz w:val="24"/>
          <w:lang w:val="en-US" w:eastAsia="zh-CN"/>
        </w:rPr>
        <w:t>0</w:t>
      </w:r>
      <w:r>
        <w:rPr>
          <w:b/>
          <w:bCs/>
          <w:sz w:val="24"/>
        </w:rPr>
        <w:t>.1.1</w:t>
      </w:r>
      <w:r>
        <w:rPr>
          <w:rFonts w:hint="eastAsia"/>
          <w:b/>
          <w:bCs/>
          <w:sz w:val="24"/>
          <w:lang w:val="en-US" w:eastAsia="zh-CN"/>
        </w:rPr>
        <w:t xml:space="preserve"> </w:t>
      </w:r>
      <w:r>
        <w:rPr>
          <w:rFonts w:hint="eastAsia"/>
          <w:b w:val="0"/>
          <w:bCs w:val="0"/>
          <w:sz w:val="24"/>
          <w:lang w:val="en-US" w:eastAsia="zh-CN"/>
        </w:rPr>
        <w:t>工程施工前准备工作及条件应符</w:t>
      </w:r>
      <w:r>
        <w:rPr>
          <w:rFonts w:hint="eastAsia"/>
          <w:b w:val="0"/>
          <w:bCs w:val="0"/>
          <w:sz w:val="24"/>
          <w:highlight w:val="none"/>
          <w:lang w:val="en-US" w:eastAsia="zh-CN"/>
        </w:rPr>
        <w:t>合《</w:t>
      </w:r>
      <w:r>
        <w:rPr>
          <w:rFonts w:hint="eastAsia"/>
          <w:sz w:val="24"/>
          <w:highlight w:val="none"/>
        </w:rPr>
        <w:t>建筑光伏系统应用技术标准</w:t>
      </w:r>
      <w:r>
        <w:rPr>
          <w:rFonts w:hint="eastAsia"/>
          <w:b w:val="0"/>
          <w:bCs w:val="0"/>
          <w:sz w:val="24"/>
          <w:highlight w:val="none"/>
          <w:lang w:val="en-US" w:eastAsia="zh-CN"/>
        </w:rPr>
        <w:t>》GB</w:t>
      </w:r>
      <w:r>
        <w:rPr>
          <w:rFonts w:hint="eastAsia"/>
          <w:b w:val="0"/>
          <w:bCs w:val="0"/>
          <w:sz w:val="24"/>
          <w:lang w:val="en-US" w:eastAsia="zh-CN"/>
        </w:rPr>
        <w:t>/T 51368的有关规定。施工单位应结合工程自身特点，制定施工安全、职业健康管理方案和</w:t>
      </w:r>
      <w:r>
        <w:rPr>
          <w:rFonts w:hint="eastAsia" w:ascii="Times New Roman" w:hAnsi="Times New Roman" w:eastAsia="宋体" w:cs="Times New Roman"/>
          <w:b w:val="0"/>
          <w:bCs w:val="0"/>
          <w:i w:val="0"/>
          <w:iCs w:val="0"/>
          <w:color w:val="auto"/>
          <w:sz w:val="24"/>
          <w:szCs w:val="24"/>
        </w:rPr>
        <w:t>应急预案，室外工程应根据需要制定季节性施工措施，施工时应严格执行并应符合下</w:t>
      </w:r>
      <w:r>
        <w:rPr>
          <w:rFonts w:hint="eastAsia" w:cs="Times New Roman"/>
          <w:sz w:val="24"/>
          <w:szCs w:val="24"/>
          <w:lang w:val="en-US" w:eastAsia="zh-CN"/>
        </w:rPr>
        <w:t>列要求：</w:t>
      </w:r>
    </w:p>
    <w:p w14:paraId="6F41CAF6">
      <w:pPr>
        <w:snapToGrid w:val="0"/>
        <w:spacing w:line="300" w:lineRule="auto"/>
        <w:ind w:firstLine="482" w:firstLineChars="200"/>
        <w:jc w:val="left"/>
        <w:rPr>
          <w:rFonts w:hint="eastAsia" w:ascii="Times New Roman" w:hAnsi="Times New Roman" w:cs="Times New Roman"/>
          <w:b w:val="0"/>
          <w:bCs w:val="0"/>
          <w:i w:val="0"/>
          <w:iCs w:val="0"/>
          <w:color w:val="auto"/>
          <w:sz w:val="24"/>
          <w:szCs w:val="24"/>
          <w:lang w:eastAsia="zh-CN"/>
        </w:rPr>
      </w:pPr>
      <w:r>
        <w:rPr>
          <w:rFonts w:hint="eastAsia"/>
          <w:b/>
          <w:bCs/>
          <w:sz w:val="24"/>
          <w:lang w:val="en-US" w:eastAsia="zh-CN"/>
        </w:rPr>
        <w:t xml:space="preserve">1 </w:t>
      </w:r>
      <w:r>
        <w:rPr>
          <w:rFonts w:hint="eastAsia" w:ascii="Times New Roman" w:hAnsi="Times New Roman" w:eastAsia="宋体" w:cs="Times New Roman"/>
          <w:b w:val="0"/>
          <w:bCs w:val="0"/>
          <w:i w:val="0"/>
          <w:iCs w:val="0"/>
          <w:color w:val="auto"/>
          <w:sz w:val="24"/>
          <w:szCs w:val="24"/>
        </w:rPr>
        <w:t>施工作业人员必须按照国家规定经过专门的安全作业培训并取得特种作业操作资格证书后，方可上岗作业</w:t>
      </w:r>
      <w:r>
        <w:rPr>
          <w:rFonts w:hint="eastAsia" w:ascii="Times New Roman" w:hAnsi="Times New Roman" w:cs="Times New Roman"/>
          <w:b w:val="0"/>
          <w:bCs w:val="0"/>
          <w:i w:val="0"/>
          <w:iCs w:val="0"/>
          <w:color w:val="auto"/>
          <w:sz w:val="24"/>
          <w:szCs w:val="24"/>
          <w:lang w:eastAsia="zh-CN"/>
        </w:rPr>
        <w:t>；</w:t>
      </w:r>
    </w:p>
    <w:p w14:paraId="6B74894B">
      <w:pPr>
        <w:snapToGrid w:val="0"/>
        <w:spacing w:line="300" w:lineRule="auto"/>
        <w:ind w:firstLine="482" w:firstLineChars="200"/>
        <w:jc w:val="left"/>
        <w:rPr>
          <w:rFonts w:hint="eastAsia" w:eastAsia="宋体"/>
          <w:sz w:val="24"/>
          <w:lang w:eastAsia="zh-CN"/>
        </w:rPr>
      </w:pPr>
      <w:r>
        <w:rPr>
          <w:rFonts w:hint="eastAsia"/>
          <w:b/>
          <w:bCs/>
          <w:sz w:val="24"/>
          <w:lang w:val="en-US" w:eastAsia="zh-CN"/>
        </w:rPr>
        <w:t xml:space="preserve">2 </w:t>
      </w:r>
      <w:r>
        <w:rPr>
          <w:rFonts w:hint="eastAsia"/>
          <w:sz w:val="24"/>
        </w:rPr>
        <w:t>建筑节能工程采用的材料、构件和设备，应在施工进场进行随机抽样复验，复验应为见证取样检验。当复验结果不合格时，工程施工中不得使用</w:t>
      </w:r>
      <w:r>
        <w:rPr>
          <w:rFonts w:hint="eastAsia"/>
          <w:sz w:val="24"/>
          <w:lang w:eastAsia="zh-CN"/>
        </w:rPr>
        <w:t>；</w:t>
      </w:r>
    </w:p>
    <w:p w14:paraId="6585BD7B">
      <w:pPr>
        <w:spacing w:line="300" w:lineRule="auto"/>
        <w:ind w:firstLine="482" w:firstLineChars="200"/>
        <w:rPr>
          <w:rFonts w:hint="eastAsia" w:eastAsia="宋体"/>
          <w:sz w:val="24"/>
          <w:lang w:eastAsia="zh-CN"/>
        </w:rPr>
      </w:pPr>
      <w:r>
        <w:rPr>
          <w:rFonts w:hint="eastAsia" w:cs="Times New Roman"/>
          <w:b/>
          <w:bCs/>
          <w:i w:val="0"/>
          <w:iCs w:val="0"/>
          <w:sz w:val="24"/>
          <w:szCs w:val="24"/>
          <w:lang w:eastAsia="zh-CN"/>
        </w:rPr>
        <w:t>3</w:t>
      </w:r>
      <w:r>
        <w:rPr>
          <w:rFonts w:hint="eastAsia" w:ascii="Times New Roman" w:hAnsi="Times New Roman" w:eastAsia="宋体" w:cs="Times New Roman"/>
          <w:b/>
          <w:bCs/>
          <w:i w:val="0"/>
          <w:iCs w:val="0"/>
          <w:color w:val="auto"/>
          <w:sz w:val="24"/>
          <w:szCs w:val="24"/>
        </w:rPr>
        <w:t xml:space="preserve"> </w:t>
      </w:r>
      <w:r>
        <w:rPr>
          <w:sz w:val="24"/>
        </w:rPr>
        <w:t>电气设备以及钢筋、水泥等</w:t>
      </w:r>
      <w:r>
        <w:rPr>
          <w:rFonts w:hint="eastAsia"/>
          <w:sz w:val="24"/>
        </w:rPr>
        <w:t>材料应存放在干燥、通风场所。在屋顶、楼面的临时堆放应均匀、有序摆放，不得集中放置</w:t>
      </w:r>
      <w:r>
        <w:rPr>
          <w:rFonts w:hint="eastAsia"/>
          <w:sz w:val="24"/>
          <w:lang w:eastAsia="zh-CN"/>
        </w:rPr>
        <w:t>；</w:t>
      </w:r>
    </w:p>
    <w:p w14:paraId="1ECF771F">
      <w:pPr>
        <w:snapToGrid w:val="0"/>
        <w:spacing w:line="300" w:lineRule="auto"/>
        <w:ind w:firstLine="482" w:firstLineChars="200"/>
        <w:jc w:val="left"/>
        <w:rPr>
          <w:rFonts w:hint="eastAsia" w:ascii="Times New Roman" w:hAnsi="Times New Roman" w:eastAsia="宋体" w:cs="Times New Roman"/>
          <w:b w:val="0"/>
          <w:bCs w:val="0"/>
          <w:i w:val="0"/>
          <w:iCs w:val="0"/>
          <w:sz w:val="24"/>
          <w:szCs w:val="24"/>
          <w:lang w:eastAsia="zh-CN"/>
        </w:rPr>
      </w:pPr>
      <w:r>
        <w:rPr>
          <w:rFonts w:hint="eastAsia" w:cs="Times New Roman"/>
          <w:b/>
          <w:bCs/>
          <w:i w:val="0"/>
          <w:iCs w:val="0"/>
          <w:sz w:val="24"/>
          <w:szCs w:val="24"/>
          <w:lang w:val="en-US" w:eastAsia="zh-CN"/>
        </w:rPr>
        <w:t xml:space="preserve">4 </w:t>
      </w:r>
      <w:r>
        <w:rPr>
          <w:rFonts w:hint="eastAsia" w:ascii="Times New Roman" w:hAnsi="Times New Roman" w:eastAsia="宋体" w:cs="Times New Roman"/>
          <w:b w:val="0"/>
          <w:bCs w:val="0"/>
          <w:i w:val="0"/>
          <w:iCs w:val="0"/>
          <w:color w:val="auto"/>
          <w:sz w:val="24"/>
          <w:szCs w:val="24"/>
        </w:rPr>
        <w:t>施工现场临时用电应符合现行国家标准《建设工程施工现场供电安全规范》</w:t>
      </w:r>
      <w:r>
        <w:rPr>
          <w:rFonts w:hint="eastAsia" w:ascii="Times New Roman" w:hAnsi="Times New Roman" w:cs="Times New Roman"/>
          <w:b w:val="0"/>
          <w:bCs w:val="0"/>
          <w:i w:val="0"/>
          <w:iCs w:val="0"/>
          <w:color w:val="auto"/>
          <w:sz w:val="24"/>
          <w:szCs w:val="24"/>
          <w:lang w:val="en-US" w:eastAsia="zh-CN"/>
        </w:rPr>
        <w:t>GB50194</w:t>
      </w:r>
      <w:r>
        <w:rPr>
          <w:rFonts w:hint="eastAsia" w:ascii="Times New Roman" w:hAnsi="Times New Roman" w:eastAsia="宋体" w:cs="Times New Roman"/>
          <w:b w:val="0"/>
          <w:bCs w:val="0"/>
          <w:i w:val="0"/>
          <w:iCs w:val="0"/>
          <w:color w:val="auto"/>
          <w:sz w:val="24"/>
          <w:szCs w:val="24"/>
        </w:rPr>
        <w:t>和现行行业标准《建筑与市政工程施工现场临时用电安全技术标准》</w:t>
      </w:r>
      <w:r>
        <w:rPr>
          <w:rFonts w:hint="eastAsia" w:ascii="Times New Roman" w:hAnsi="Times New Roman" w:cs="Times New Roman"/>
          <w:b w:val="0"/>
          <w:bCs w:val="0"/>
          <w:i w:val="0"/>
          <w:iCs w:val="0"/>
          <w:color w:val="auto"/>
          <w:sz w:val="24"/>
          <w:szCs w:val="24"/>
          <w:lang w:val="en-US" w:eastAsia="zh-CN"/>
        </w:rPr>
        <w:t>JGJ46</w:t>
      </w:r>
      <w:r>
        <w:rPr>
          <w:rFonts w:hint="eastAsia" w:ascii="Times New Roman" w:hAnsi="Times New Roman" w:eastAsia="宋体" w:cs="Times New Roman"/>
          <w:b w:val="0"/>
          <w:bCs w:val="0"/>
          <w:i w:val="0"/>
          <w:iCs w:val="0"/>
          <w:color w:val="auto"/>
          <w:sz w:val="24"/>
          <w:szCs w:val="24"/>
        </w:rPr>
        <w:t>的有关规定并经验收合格后，方可使用</w:t>
      </w:r>
      <w:r>
        <w:rPr>
          <w:rFonts w:hint="eastAsia" w:cs="Times New Roman"/>
          <w:b w:val="0"/>
          <w:bCs w:val="0"/>
          <w:i w:val="0"/>
          <w:iCs w:val="0"/>
          <w:color w:val="auto"/>
          <w:sz w:val="24"/>
          <w:szCs w:val="24"/>
          <w:lang w:eastAsia="zh-CN"/>
        </w:rPr>
        <w:t>；</w:t>
      </w:r>
    </w:p>
    <w:p w14:paraId="525CEACD">
      <w:pPr>
        <w:snapToGrid w:val="0"/>
        <w:spacing w:line="300" w:lineRule="auto"/>
        <w:ind w:firstLine="482" w:firstLineChars="200"/>
        <w:jc w:val="left"/>
        <w:rPr>
          <w:rFonts w:hint="eastAsia" w:eastAsia="宋体"/>
          <w:sz w:val="24"/>
          <w:lang w:val="en-US" w:eastAsia="zh-CN"/>
        </w:rPr>
      </w:pPr>
      <w:r>
        <w:rPr>
          <w:rFonts w:hint="eastAsia" w:cs="Times New Roman"/>
          <w:b/>
          <w:bCs/>
          <w:i w:val="0"/>
          <w:iCs w:val="0"/>
          <w:sz w:val="24"/>
          <w:szCs w:val="24"/>
          <w:lang w:val="en-US" w:eastAsia="zh-CN"/>
        </w:rPr>
        <w:t>5</w:t>
      </w:r>
      <w:r>
        <w:rPr>
          <w:rFonts w:hint="eastAsia" w:ascii="Times New Roman" w:hAnsi="Times New Roman" w:eastAsia="宋体" w:cs="Times New Roman"/>
          <w:b/>
          <w:bCs/>
          <w:i w:val="0"/>
          <w:iCs w:val="0"/>
          <w:color w:val="auto"/>
          <w:sz w:val="24"/>
          <w:szCs w:val="24"/>
        </w:rPr>
        <w:t xml:space="preserve"> </w:t>
      </w:r>
      <w:r>
        <w:rPr>
          <w:rFonts w:hint="eastAsia" w:ascii="Times New Roman" w:hAnsi="Times New Roman" w:eastAsia="宋体" w:cs="Times New Roman"/>
          <w:b w:val="0"/>
          <w:bCs w:val="0"/>
          <w:i w:val="0"/>
          <w:iCs w:val="0"/>
          <w:color w:val="auto"/>
          <w:sz w:val="24"/>
          <w:szCs w:val="24"/>
        </w:rPr>
        <w:t>六级及以上大风、浓雾等恶劣天气应停止露天起重吊装和高处作业</w:t>
      </w:r>
      <w:r>
        <w:rPr>
          <w:rFonts w:hint="eastAsia" w:cs="Times New Roman"/>
          <w:sz w:val="24"/>
          <w:szCs w:val="24"/>
          <w:lang w:eastAsia="zh-CN"/>
        </w:rPr>
        <w:t>。</w:t>
      </w:r>
    </w:p>
    <w:p w14:paraId="22EFD9BD">
      <w:pPr>
        <w:pStyle w:val="2"/>
        <w:spacing w:line="300" w:lineRule="auto"/>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50C387B1">
      <w:pPr>
        <w:pStyle w:val="2"/>
        <w:spacing w:after="0" w:line="300" w:lineRule="auto"/>
        <w:ind w:firstLine="0" w:firstLineChars="0"/>
        <w:rPr>
          <w:rFonts w:hint="eastAsia" w:ascii="仿宋" w:hAnsi="仿宋" w:eastAsia="仿宋" w:cs="仿宋"/>
          <w:i/>
          <w:iCs/>
          <w:color w:val="0623BA"/>
          <w:sz w:val="24"/>
        </w:rPr>
      </w:pPr>
      <w:r>
        <w:rPr>
          <w:rFonts w:hint="eastAsia" w:ascii="仿宋" w:hAnsi="仿宋" w:eastAsia="仿宋" w:cs="仿宋"/>
          <w:i/>
          <w:iCs/>
          <w:color w:val="0623BA"/>
          <w:sz w:val="24"/>
        </w:rPr>
        <w:t>1</w:t>
      </w:r>
      <w:r>
        <w:rPr>
          <w:rFonts w:hint="eastAsia" w:ascii="仿宋" w:hAnsi="仿宋" w:eastAsia="仿宋" w:cs="仿宋"/>
          <w:i/>
          <w:iCs/>
          <w:color w:val="0623BA"/>
          <w:sz w:val="24"/>
          <w:lang w:val="en-US" w:eastAsia="zh-CN"/>
        </w:rPr>
        <w:t>0</w:t>
      </w:r>
      <w:r>
        <w:rPr>
          <w:rFonts w:hint="eastAsia" w:ascii="仿宋" w:hAnsi="仿宋" w:eastAsia="仿宋" w:cs="仿宋"/>
          <w:i/>
          <w:iCs/>
          <w:color w:val="0623BA"/>
          <w:sz w:val="24"/>
        </w:rPr>
        <w:t>.1.</w:t>
      </w:r>
      <w:r>
        <w:rPr>
          <w:rFonts w:hint="eastAsia" w:ascii="仿宋" w:hAnsi="仿宋" w:eastAsia="仿宋" w:cs="仿宋"/>
          <w:i/>
          <w:iCs/>
          <w:color w:val="0623BA"/>
          <w:sz w:val="24"/>
          <w:lang w:val="en-US" w:eastAsia="zh-CN"/>
        </w:rPr>
        <w:t xml:space="preserve">1 </w:t>
      </w:r>
      <w:r>
        <w:rPr>
          <w:rFonts w:hint="eastAsia" w:ascii="仿宋" w:hAnsi="仿宋" w:eastAsia="仿宋" w:cs="仿宋"/>
          <w:i/>
          <w:iCs/>
          <w:color w:val="0623BA"/>
          <w:sz w:val="24"/>
        </w:rPr>
        <w:t>建设部《房屋建筑工程和市政基础设施工程实行见证取样和送检的规定》</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建建〔2000〕</w:t>
      </w:r>
      <w:bookmarkStart w:id="583" w:name="_GoBack"/>
      <w:bookmarkEnd w:id="583"/>
      <w:r>
        <w:rPr>
          <w:rFonts w:hint="eastAsia" w:ascii="仿宋" w:hAnsi="仿宋" w:eastAsia="仿宋" w:cs="仿宋"/>
          <w:i/>
          <w:iCs/>
          <w:color w:val="0623BA"/>
          <w:sz w:val="24"/>
        </w:rPr>
        <w:t>211号</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文件规定，“重要的试验项目应实行见证取样和检验，以提高试验的真实性和公正性”《民用建筑节能条例》第十六条“施工单位应当对进入施工现场的墙体材料、保温材料、门窗、采暖制冷系统和照明设备进行查验;不符合施工图设计文件要求的，不得使用。”</w:t>
      </w:r>
    </w:p>
    <w:p w14:paraId="6870201B">
      <w:pPr>
        <w:pStyle w:val="2"/>
        <w:spacing w:after="0" w:line="300" w:lineRule="auto"/>
        <w:ind w:firstLine="480" w:firstLineChars="200"/>
        <w:rPr>
          <w:rFonts w:hint="eastAsia" w:ascii="仿宋" w:hAnsi="仿宋" w:eastAsia="仿宋" w:cs="仿宋"/>
          <w:i/>
          <w:iCs/>
          <w:color w:val="0623BA"/>
          <w:sz w:val="24"/>
          <w:lang w:val="en-US" w:eastAsia="zh-CN"/>
        </w:rPr>
      </w:pPr>
      <w:r>
        <w:rPr>
          <w:rFonts w:hint="eastAsia" w:ascii="仿宋" w:hAnsi="仿宋" w:eastAsia="仿宋" w:cs="仿宋"/>
          <w:i/>
          <w:iCs/>
          <w:color w:val="0623BA"/>
          <w:sz w:val="24"/>
        </w:rPr>
        <w:t>对于建筑节能效果影响较大的材料和设备应实施进场</w:t>
      </w:r>
      <w:r>
        <w:rPr>
          <w:rFonts w:hint="eastAsia" w:ascii="仿宋" w:hAnsi="仿宋" w:eastAsia="仿宋" w:cs="仿宋"/>
          <w:i/>
          <w:iCs/>
          <w:color w:val="0623BA"/>
          <w:sz w:val="24"/>
          <w:lang w:val="en-US" w:eastAsia="zh-CN"/>
        </w:rPr>
        <w:t>抽样复验</w:t>
      </w:r>
      <w:r>
        <w:rPr>
          <w:rFonts w:hint="eastAsia" w:ascii="仿宋" w:hAnsi="仿宋" w:eastAsia="仿宋" w:cs="仿宋"/>
          <w:i/>
          <w:iCs/>
          <w:color w:val="0623BA"/>
          <w:sz w:val="24"/>
        </w:rPr>
        <w:t>以验证其质量是否符合要求。</w:t>
      </w:r>
      <w:r>
        <w:rPr>
          <w:rFonts w:hint="eastAsia" w:ascii="仿宋" w:hAnsi="仿宋" w:eastAsia="仿宋" w:cs="仿宋"/>
          <w:i/>
          <w:iCs/>
          <w:color w:val="0623BA"/>
          <w:sz w:val="24"/>
          <w:lang w:val="en-US" w:eastAsia="zh-CN"/>
        </w:rPr>
        <w:t>现</w:t>
      </w:r>
      <w:r>
        <w:rPr>
          <w:rFonts w:hint="eastAsia" w:ascii="仿宋" w:hAnsi="仿宋" w:eastAsia="仿宋" w:cs="仿宋"/>
          <w:i/>
          <w:iCs/>
          <w:color w:val="0623BA"/>
          <w:sz w:val="24"/>
        </w:rPr>
        <w:t>场复验是对进</w:t>
      </w:r>
      <w:r>
        <w:rPr>
          <w:rFonts w:hint="eastAsia" w:ascii="仿宋" w:hAnsi="仿宋" w:eastAsia="仿宋" w:cs="仿宋"/>
          <w:i/>
          <w:iCs/>
          <w:color w:val="0623BA"/>
          <w:sz w:val="24"/>
          <w:lang w:val="en-US" w:eastAsia="zh-CN"/>
        </w:rPr>
        <w:t>入</w:t>
      </w:r>
      <w:r>
        <w:rPr>
          <w:rFonts w:hint="eastAsia" w:ascii="仿宋" w:hAnsi="仿宋" w:eastAsia="仿宋" w:cs="仿宋"/>
          <w:i/>
          <w:iCs/>
          <w:color w:val="0623BA"/>
          <w:sz w:val="24"/>
        </w:rPr>
        <w:t>施工现场的材料、设备等在进场验收</w:t>
      </w:r>
      <w:r>
        <w:rPr>
          <w:rFonts w:hint="eastAsia" w:ascii="仿宋" w:hAnsi="仿宋" w:eastAsia="仿宋" w:cs="仿宋"/>
          <w:i/>
          <w:iCs/>
          <w:color w:val="0623BA"/>
          <w:sz w:val="24"/>
          <w:lang w:val="en-US" w:eastAsia="zh-CN"/>
        </w:rPr>
        <w:t>合格</w:t>
      </w:r>
      <w:r>
        <w:rPr>
          <w:rFonts w:hint="eastAsia" w:ascii="仿宋" w:hAnsi="仿宋" w:eastAsia="仿宋" w:cs="仿宋"/>
          <w:i/>
          <w:iCs/>
          <w:color w:val="0623BA"/>
          <w:sz w:val="24"/>
        </w:rPr>
        <w:t>的基础上，按照有关规定从施工现场抽样送至实验室进行部分</w:t>
      </w:r>
      <w:r>
        <w:rPr>
          <w:rFonts w:hint="eastAsia" w:ascii="仿宋" w:hAnsi="仿宋" w:eastAsia="仿宋" w:cs="仿宋"/>
          <w:i/>
          <w:iCs/>
          <w:color w:val="0623BA"/>
          <w:sz w:val="24"/>
          <w:lang w:val="en-US" w:eastAsia="zh-CN"/>
        </w:rPr>
        <w:t>或全部</w:t>
      </w:r>
      <w:r>
        <w:rPr>
          <w:rFonts w:hint="eastAsia" w:ascii="仿宋" w:hAnsi="仿宋" w:eastAsia="仿宋" w:cs="仿宋"/>
          <w:i/>
          <w:iCs/>
          <w:color w:val="0623BA"/>
          <w:sz w:val="24"/>
        </w:rPr>
        <w:t>性能参数的检验</w:t>
      </w:r>
      <w:r>
        <w:rPr>
          <w:rFonts w:hint="eastAsia" w:ascii="仿宋" w:hAnsi="仿宋" w:eastAsia="仿宋" w:cs="仿宋"/>
          <w:i/>
          <w:iCs/>
          <w:color w:val="0623BA"/>
          <w:sz w:val="24"/>
          <w:lang w:val="en-US" w:eastAsia="zh-CN"/>
        </w:rPr>
        <w:t>并</w:t>
      </w:r>
      <w:r>
        <w:rPr>
          <w:rFonts w:hint="eastAsia" w:ascii="仿宋" w:hAnsi="仿宋" w:eastAsia="仿宋" w:cs="仿宋"/>
          <w:i/>
          <w:iCs/>
          <w:color w:val="0623BA"/>
          <w:sz w:val="24"/>
        </w:rPr>
        <w:t>应见证取样检验，即施工单位在</w:t>
      </w:r>
      <w:r>
        <w:rPr>
          <w:rFonts w:hint="eastAsia" w:ascii="仿宋" w:hAnsi="仿宋" w:eastAsia="仿宋" w:cs="仿宋"/>
          <w:i/>
          <w:iCs/>
          <w:color w:val="0623BA"/>
          <w:sz w:val="24"/>
          <w:lang w:val="en-US" w:eastAsia="zh-CN"/>
        </w:rPr>
        <w:t>监理</w:t>
      </w:r>
      <w:r>
        <w:rPr>
          <w:rFonts w:hint="eastAsia" w:ascii="仿宋" w:hAnsi="仿宋" w:eastAsia="仿宋" w:cs="仿宋"/>
          <w:i/>
          <w:iCs/>
          <w:color w:val="0623BA"/>
          <w:sz w:val="24"/>
        </w:rPr>
        <w:t>或建设单位见证下，按照有关规定从施工现场随机抽样，送至有相应资质的检测机构进行检测并应形成相应的复验报告</w:t>
      </w:r>
      <w:r>
        <w:rPr>
          <w:rFonts w:hint="eastAsia" w:ascii="仿宋" w:hAnsi="仿宋" w:eastAsia="仿宋" w:cs="仿宋"/>
          <w:i/>
          <w:iCs/>
          <w:color w:val="0623BA"/>
          <w:sz w:val="24"/>
          <w:lang w:eastAsia="zh-CN"/>
        </w:rPr>
        <w:t>。</w:t>
      </w:r>
    </w:p>
    <w:p w14:paraId="4B4EDEB1">
      <w:pPr>
        <w:pStyle w:val="2"/>
        <w:spacing w:after="0" w:line="300" w:lineRule="auto"/>
        <w:ind w:firstLine="480" w:firstLineChars="200"/>
        <w:rPr>
          <w:rFonts w:hint="eastAsia" w:ascii="仿宋" w:hAnsi="仿宋" w:eastAsia="仿宋" w:cs="仿宋"/>
          <w:i/>
          <w:iCs/>
          <w:color w:val="0623BA"/>
          <w:sz w:val="24"/>
        </w:rPr>
      </w:pPr>
      <w:r>
        <w:rPr>
          <w:rFonts w:hint="eastAsia" w:ascii="仿宋" w:hAnsi="仿宋" w:eastAsia="仿宋" w:cs="仿宋"/>
          <w:i/>
          <w:iCs/>
          <w:color w:val="0623BA"/>
          <w:sz w:val="24"/>
        </w:rPr>
        <w:t>由于抽样复验需要花费较多的时间和费用，故复验数量、频率和参数应控制到最少，主要针对那些直接影响节能效果的材料、设备的部分参数。当复验的结果出现不合格时，则该材料构件和设备不得使用。</w:t>
      </w:r>
    </w:p>
    <w:p w14:paraId="24731F6B">
      <w:pPr>
        <w:pStyle w:val="2"/>
        <w:spacing w:after="0" w:line="300" w:lineRule="auto"/>
        <w:ind w:firstLine="480" w:firstLineChars="200"/>
        <w:rPr>
          <w:rFonts w:hint="eastAsia" w:ascii="仿宋" w:hAnsi="仿宋" w:eastAsia="仿宋" w:cs="仿宋"/>
          <w:i/>
          <w:iCs/>
          <w:color w:val="0623BA"/>
          <w:sz w:val="24"/>
        </w:rPr>
      </w:pPr>
      <w:r>
        <w:rPr>
          <w:rFonts w:hint="eastAsia" w:ascii="仿宋" w:hAnsi="仿宋" w:eastAsia="仿宋" w:cs="仿宋"/>
          <w:i/>
          <w:iCs/>
          <w:color w:val="0623BA"/>
          <w:sz w:val="24"/>
        </w:rPr>
        <w:t>抽样方法、数量及复验要求应按现行国家标准《建筑节能工程施工质量验收标准》GB50411执行。</w:t>
      </w:r>
    </w:p>
    <w:p w14:paraId="6A7A336D">
      <w:pPr>
        <w:pStyle w:val="2"/>
        <w:spacing w:after="0" w:line="300" w:lineRule="auto"/>
        <w:ind w:firstLine="480" w:firstLineChars="200"/>
        <w:rPr>
          <w:rFonts w:hint="eastAsia" w:ascii="仿宋" w:hAnsi="仿宋" w:eastAsia="仿宋" w:cs="仿宋"/>
          <w:i/>
          <w:iCs/>
          <w:color w:val="0623BA"/>
          <w:sz w:val="24"/>
        </w:rPr>
      </w:pPr>
      <w:r>
        <w:rPr>
          <w:rFonts w:hint="eastAsia" w:ascii="仿宋" w:hAnsi="仿宋" w:eastAsia="仿宋" w:cs="仿宋"/>
          <w:i/>
          <w:iCs/>
          <w:color w:val="0623BA"/>
          <w:sz w:val="24"/>
        </w:rPr>
        <w:t>为防止已经验收合格的设备、构件和原材料在仓储过程中发生性能改变. 需要根据产品的性质来确定防雨、防潮、防刮、防撞、防锈等措施。</w:t>
      </w:r>
    </w:p>
    <w:p w14:paraId="7C9EB084">
      <w:pPr>
        <w:pStyle w:val="2"/>
        <w:spacing w:after="0" w:line="300" w:lineRule="auto"/>
        <w:ind w:firstLine="480" w:firstLineChars="200"/>
        <w:rPr>
          <w:rFonts w:hint="eastAsia" w:ascii="仿宋" w:hAnsi="仿宋" w:eastAsia="仿宋" w:cs="仿宋"/>
          <w:i/>
          <w:iCs/>
          <w:color w:val="0623BA"/>
          <w:sz w:val="24"/>
        </w:rPr>
      </w:pPr>
      <w:r>
        <w:rPr>
          <w:rFonts w:hint="eastAsia" w:ascii="仿宋" w:hAnsi="仿宋" w:eastAsia="仿宋" w:cs="仿宋"/>
          <w:i/>
          <w:iCs/>
          <w:color w:val="0623BA"/>
          <w:sz w:val="24"/>
        </w:rPr>
        <w:t>为避免在屋顶、楼面安装光伏发电系统时的施工荷载超过屋面的承载能力而对屋面造成破坏，本条规定施工所用的各类设备、构件和材料应均匀摆放，避免荷载集中且应根据施工工序，合理有序地安排设备、构件和材料的吊运，避免集中堆放。必要时，在设计阶段应验算屋顶在施工工况下的结构强度。</w:t>
      </w:r>
    </w:p>
    <w:p w14:paraId="3219BF1A">
      <w:pPr>
        <w:snapToGrid w:val="0"/>
        <w:spacing w:line="300" w:lineRule="auto"/>
        <w:ind w:firstLine="0" w:firstLineChars="0"/>
        <w:jc w:val="left"/>
        <w:rPr>
          <w:rFonts w:hint="eastAsia" w:ascii="宋体" w:hAnsi="宋体" w:cs="宋体"/>
          <w:sz w:val="24"/>
          <w:szCs w:val="24"/>
          <w:lang w:eastAsia="zh-CN"/>
        </w:rPr>
      </w:pPr>
      <w:r>
        <w:rPr>
          <w:rFonts w:hint="eastAsia" w:cs="Times New Roman"/>
          <w:b/>
          <w:bCs/>
          <w:i w:val="0"/>
          <w:iCs w:val="0"/>
          <w:sz w:val="24"/>
          <w:szCs w:val="24"/>
          <w:lang w:val="en-US" w:eastAsia="zh-CN"/>
        </w:rPr>
        <w:t>10.1.2</w:t>
      </w:r>
      <w:r>
        <w:rPr>
          <w:rFonts w:hint="eastAsia" w:ascii="Times New Roman" w:hAnsi="Times New Roman" w:cs="Times New Roman"/>
          <w:b/>
          <w:bCs/>
          <w:i w:val="0"/>
          <w:iCs w:val="0"/>
          <w:sz w:val="24"/>
          <w:szCs w:val="24"/>
          <w:lang w:val="en-US" w:eastAsia="zh-CN"/>
        </w:rPr>
        <w:t xml:space="preserve"> </w:t>
      </w:r>
      <w:r>
        <w:rPr>
          <w:rFonts w:hint="eastAsia" w:ascii="Times New Roman" w:hAnsi="Times New Roman"/>
          <w:b w:val="0"/>
          <w:bCs w:val="0"/>
          <w:sz w:val="24"/>
          <w:szCs w:val="24"/>
          <w:lang w:val="en-US" w:eastAsia="zh-CN"/>
        </w:rPr>
        <w:t>采用脚手架施工时，宜与主体结构施工用脚手架相结合。当需单独搭设脚手架时，应编制专项施工方案并应符合《建筑施工脚手架安全技术统一标准》GB51210等相关标准的规定。</w:t>
      </w:r>
    </w:p>
    <w:p w14:paraId="7C1ED89D">
      <w:pPr>
        <w:pStyle w:val="2"/>
        <w:spacing w:line="300" w:lineRule="auto"/>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5C1F0DC0">
      <w:pPr>
        <w:pStyle w:val="2"/>
        <w:spacing w:line="300" w:lineRule="auto"/>
        <w:ind w:firstLine="0" w:firstLineChars="0"/>
        <w:rPr>
          <w:rFonts w:hint="eastAsia" w:ascii="仿宋" w:hAnsi="仿宋" w:eastAsia="仿宋" w:cs="仿宋"/>
          <w:b w:val="0"/>
          <w:bCs w:val="0"/>
          <w:i/>
          <w:iCs/>
          <w:color w:val="0623BA"/>
          <w:sz w:val="24"/>
          <w:szCs w:val="24"/>
        </w:rPr>
      </w:pPr>
      <w:r>
        <w:rPr>
          <w:rFonts w:hint="eastAsia" w:ascii="仿宋" w:hAnsi="仿宋" w:eastAsia="仿宋" w:cs="仿宋"/>
          <w:b w:val="0"/>
          <w:bCs w:val="0"/>
          <w:i/>
          <w:iCs/>
          <w:color w:val="0623BA"/>
          <w:sz w:val="24"/>
          <w:szCs w:val="24"/>
          <w:lang w:val="en-US" w:eastAsia="zh-CN"/>
        </w:rPr>
        <w:t>10.1.2</w:t>
      </w:r>
      <w:r>
        <w:rPr>
          <w:rFonts w:hint="eastAsia" w:ascii="仿宋" w:hAnsi="仿宋" w:eastAsia="仿宋" w:cs="仿宋"/>
          <w:b w:val="0"/>
          <w:bCs w:val="0"/>
          <w:i/>
          <w:iCs/>
          <w:color w:val="0623BA"/>
          <w:sz w:val="24"/>
          <w:szCs w:val="24"/>
        </w:rPr>
        <w:t>光伏发电系统施工时所需脚手架的搭设方式、脚手架与建筑主体结构之间的间隙，会根据项目设计的不同而有差异，与建筑主体结构施工时所需脚手架的要求也不尽相同。因此，采用脚手架进行光伏发电系统的安装时，须与土建施工单位协商制定脚手架方案。</w:t>
      </w:r>
    </w:p>
    <w:p w14:paraId="53E1761F">
      <w:pPr>
        <w:snapToGrid w:val="0"/>
        <w:spacing w:line="300" w:lineRule="auto"/>
        <w:ind w:firstLine="0" w:firstLineChars="0"/>
        <w:jc w:val="left"/>
        <w:rPr>
          <w:rFonts w:hint="default" w:ascii="Times New Roman" w:hAnsi="Times New Roman"/>
          <w:b w:val="0"/>
          <w:bCs w:val="0"/>
          <w:sz w:val="24"/>
          <w:szCs w:val="24"/>
          <w:lang w:val="en-US" w:eastAsia="zh-CN"/>
        </w:rPr>
      </w:pPr>
      <w:bookmarkStart w:id="342" w:name="_Toc10629"/>
      <w:r>
        <w:rPr>
          <w:rFonts w:hint="default" w:ascii="Times New Roman" w:hAnsi="Times New Roman"/>
          <w:b/>
          <w:bCs/>
          <w:sz w:val="24"/>
          <w:szCs w:val="24"/>
          <w:lang w:val="en-US" w:eastAsia="zh-CN"/>
        </w:rPr>
        <w:t xml:space="preserve">10.1.3 </w:t>
      </w:r>
      <w:r>
        <w:rPr>
          <w:rFonts w:hint="default" w:ascii="Times New Roman" w:hAnsi="Times New Roman"/>
          <w:b w:val="0"/>
          <w:bCs w:val="0"/>
          <w:sz w:val="24"/>
          <w:szCs w:val="24"/>
          <w:lang w:val="en-US" w:eastAsia="zh-CN"/>
        </w:rPr>
        <w:t>光伏组件的输出电缆不得发生非正常短路。连接完成或部分完成的建筑光伏系统，遇有光伏组件破裂的情况应及时设置限制接近的警示牌并由专业人员处置。</w:t>
      </w:r>
      <w:bookmarkEnd w:id="342"/>
    </w:p>
    <w:p w14:paraId="3CEFFCDE">
      <w:pPr>
        <w:snapToGrid w:val="0"/>
        <w:spacing w:line="300" w:lineRule="auto"/>
        <w:ind w:firstLine="0" w:firstLineChars="0"/>
        <w:jc w:val="left"/>
        <w:rPr>
          <w:rFonts w:hint="default" w:ascii="Times New Roman" w:hAnsi="Times New Roman" w:cs="Times New Roman"/>
          <w:b w:val="0"/>
          <w:bCs w:val="0"/>
          <w:i w:val="0"/>
          <w:iCs w:val="0"/>
          <w:sz w:val="24"/>
          <w:szCs w:val="24"/>
          <w:lang w:eastAsia="zh-CN"/>
        </w:rPr>
      </w:pPr>
      <w:bookmarkStart w:id="343" w:name="_Toc27526"/>
      <w:r>
        <w:rPr>
          <w:rFonts w:hint="default" w:ascii="Times New Roman" w:hAnsi="Times New Roman"/>
          <w:b/>
          <w:bCs/>
          <w:sz w:val="24"/>
          <w:szCs w:val="24"/>
          <w:lang w:val="en-US" w:eastAsia="zh-CN"/>
        </w:rPr>
        <w:t xml:space="preserve">10.1.4 </w:t>
      </w:r>
      <w:r>
        <w:rPr>
          <w:rFonts w:ascii="Times New Roman" w:hAnsi="Times New Roman" w:eastAsia="宋体" w:cs="Times New Roman"/>
          <w:b w:val="0"/>
          <w:bCs w:val="0"/>
          <w:i w:val="0"/>
          <w:iCs w:val="0"/>
          <w:sz w:val="24"/>
          <w:szCs w:val="24"/>
        </w:rPr>
        <w:t>在坡度大于</w:t>
      </w:r>
      <w:r>
        <w:rPr>
          <w:rFonts w:hint="default" w:ascii="Times New Roman" w:hAnsi="Times New Roman" w:cs="Times New Roman"/>
          <w:b w:val="0"/>
          <w:bCs w:val="0"/>
          <w:i w:val="0"/>
          <w:iCs w:val="0"/>
          <w:sz w:val="24"/>
          <w:szCs w:val="24"/>
          <w:lang w:val="en-US" w:eastAsia="zh-CN"/>
        </w:rPr>
        <w:t>10</w:t>
      </w:r>
      <w:r>
        <w:rPr>
          <w:rFonts w:hint="default" w:ascii="Times New Roman" w:hAnsi="Times New Roman" w:eastAsia="宋体" w:cs="Times New Roman"/>
          <w:b w:val="0"/>
          <w:bCs w:val="0"/>
          <w:i w:val="0"/>
          <w:iCs w:val="0"/>
          <w:sz w:val="24"/>
          <w:szCs w:val="24"/>
          <w:vertAlign w:val="superscript"/>
          <w:lang w:val="en-US" w:eastAsia="zh-CN"/>
        </w:rPr>
        <w:t>￮</w:t>
      </w:r>
      <w:r>
        <w:rPr>
          <w:rFonts w:ascii="Times New Roman" w:hAnsi="Times New Roman" w:eastAsia="宋体" w:cs="Times New Roman"/>
          <w:b w:val="0"/>
          <w:bCs w:val="0"/>
          <w:i w:val="0"/>
          <w:iCs w:val="0"/>
          <w:sz w:val="24"/>
          <w:szCs w:val="24"/>
        </w:rPr>
        <w:t>的坡屋面上安装施工时，应设置专用踏脚板</w:t>
      </w:r>
      <w:r>
        <w:rPr>
          <w:rFonts w:hint="default" w:ascii="Times New Roman" w:hAnsi="Times New Roman" w:cs="Times New Roman"/>
          <w:b w:val="0"/>
          <w:bCs w:val="0"/>
          <w:i w:val="0"/>
          <w:iCs w:val="0"/>
          <w:sz w:val="24"/>
          <w:szCs w:val="24"/>
          <w:lang w:eastAsia="zh-CN"/>
        </w:rPr>
        <w:t>。</w:t>
      </w:r>
      <w:bookmarkEnd w:id="343"/>
    </w:p>
    <w:p w14:paraId="0DF02258">
      <w:pPr>
        <w:snapToGrid w:val="0"/>
        <w:spacing w:line="300" w:lineRule="auto"/>
        <w:ind w:firstLine="0" w:firstLineChars="0"/>
        <w:jc w:val="left"/>
        <w:rPr>
          <w:rFonts w:hint="default" w:ascii="Times New Roman" w:hAnsi="Times New Roman" w:eastAsia="宋体" w:cs="Times New Roman"/>
          <w:b w:val="0"/>
          <w:bCs w:val="0"/>
          <w:sz w:val="24"/>
          <w:szCs w:val="24"/>
          <w:lang w:val="en-US" w:eastAsia="zh-CN"/>
        </w:rPr>
      </w:pPr>
      <w:bookmarkStart w:id="344" w:name="_Toc14966"/>
      <w:r>
        <w:rPr>
          <w:rFonts w:hint="default" w:ascii="Times New Roman" w:hAnsi="Times New Roman"/>
          <w:b/>
          <w:bCs/>
          <w:sz w:val="24"/>
          <w:szCs w:val="24"/>
          <w:lang w:val="en-US" w:eastAsia="zh-CN"/>
        </w:rPr>
        <w:t xml:space="preserve">10.1.5 </w:t>
      </w:r>
      <w:r>
        <w:rPr>
          <w:rFonts w:hint="default" w:ascii="Times New Roman" w:hAnsi="Times New Roman" w:eastAsia="宋体" w:cs="Times New Roman"/>
          <w:b w:val="0"/>
          <w:bCs w:val="0"/>
          <w:sz w:val="24"/>
          <w:szCs w:val="24"/>
          <w:lang w:val="en-US" w:eastAsia="zh-CN"/>
        </w:rPr>
        <w:t>连接无断弧功能的开关时</w:t>
      </w:r>
      <w:r>
        <w:rPr>
          <w:rFonts w:hint="eastAsia" w:cs="Times New Roman"/>
          <w:b w:val="0"/>
          <w:bCs w:val="0"/>
          <w:sz w:val="24"/>
          <w:szCs w:val="24"/>
          <w:lang w:val="en-US" w:eastAsia="zh-CN"/>
        </w:rPr>
        <w:t>，</w:t>
      </w:r>
      <w:r>
        <w:rPr>
          <w:rFonts w:hint="default" w:ascii="Times New Roman" w:hAnsi="Times New Roman" w:eastAsia="宋体" w:cs="Times New Roman"/>
          <w:b w:val="0"/>
          <w:bCs w:val="0"/>
          <w:sz w:val="24"/>
          <w:szCs w:val="24"/>
          <w:lang w:val="en-US" w:eastAsia="zh-CN"/>
        </w:rPr>
        <w:t>不</w:t>
      </w:r>
      <w:r>
        <w:rPr>
          <w:rFonts w:hint="eastAsia" w:cs="Times New Roman"/>
          <w:b w:val="0"/>
          <w:bCs w:val="0"/>
          <w:sz w:val="24"/>
          <w:szCs w:val="24"/>
          <w:lang w:val="en-US" w:eastAsia="zh-CN"/>
        </w:rPr>
        <w:t>应</w:t>
      </w:r>
      <w:r>
        <w:rPr>
          <w:rFonts w:hint="default" w:ascii="Times New Roman" w:hAnsi="Times New Roman" w:eastAsia="宋体" w:cs="Times New Roman"/>
          <w:b w:val="0"/>
          <w:bCs w:val="0"/>
          <w:sz w:val="24"/>
          <w:szCs w:val="24"/>
          <w:lang w:val="en-US" w:eastAsia="zh-CN"/>
        </w:rPr>
        <w:t>在有负荷或能够形成低阻回路的情况下接通或断开</w:t>
      </w:r>
      <w:r>
        <w:rPr>
          <w:rFonts w:hint="default" w:ascii="Times New Roman" w:hAnsi="Times New Roman" w:cs="Times New Roman"/>
          <w:b w:val="0"/>
          <w:bCs w:val="0"/>
          <w:sz w:val="24"/>
          <w:szCs w:val="24"/>
          <w:lang w:val="en-US" w:eastAsia="zh-CN"/>
        </w:rPr>
        <w:t>。</w:t>
      </w:r>
      <w:bookmarkEnd w:id="344"/>
    </w:p>
    <w:p w14:paraId="627E1F91">
      <w:pPr>
        <w:snapToGrid w:val="0"/>
        <w:spacing w:line="300" w:lineRule="auto"/>
        <w:jc w:val="left"/>
        <w:rPr>
          <w:sz w:val="24"/>
        </w:rPr>
      </w:pPr>
      <w:r>
        <w:rPr>
          <w:b/>
          <w:bCs/>
          <w:sz w:val="24"/>
        </w:rPr>
        <w:t>1</w:t>
      </w:r>
      <w:r>
        <w:rPr>
          <w:rFonts w:hint="eastAsia"/>
          <w:b/>
          <w:bCs/>
          <w:sz w:val="24"/>
          <w:lang w:val="en-US" w:eastAsia="zh-CN"/>
        </w:rPr>
        <w:t>0</w:t>
      </w:r>
      <w:r>
        <w:rPr>
          <w:b/>
          <w:bCs/>
          <w:sz w:val="24"/>
        </w:rPr>
        <w:t>.1.</w:t>
      </w:r>
      <w:r>
        <w:rPr>
          <w:rFonts w:hint="eastAsia"/>
          <w:b/>
          <w:bCs/>
          <w:sz w:val="24"/>
          <w:lang w:val="en-US" w:eastAsia="zh-CN"/>
        </w:rPr>
        <w:t>6</w:t>
      </w:r>
      <w:r>
        <w:rPr>
          <w:rFonts w:hint="eastAsia"/>
          <w:sz w:val="24"/>
        </w:rPr>
        <w:t xml:space="preserve"> </w:t>
      </w:r>
      <w:r>
        <w:rPr>
          <w:sz w:val="24"/>
        </w:rPr>
        <w:t>安装建筑光伏系统的建筑主体结构应完成验收。</w:t>
      </w:r>
    </w:p>
    <w:p w14:paraId="4839E95F">
      <w:pPr>
        <w:pStyle w:val="2"/>
        <w:spacing w:line="300" w:lineRule="auto"/>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77AE6D52">
      <w:pPr>
        <w:pStyle w:val="2"/>
        <w:spacing w:line="300" w:lineRule="auto"/>
        <w:rPr>
          <w:rFonts w:hint="eastAsia" w:ascii="仿宋" w:hAnsi="仿宋" w:eastAsia="仿宋" w:cs="仿宋"/>
          <w:i/>
          <w:iCs/>
          <w:color w:val="0623BA"/>
          <w:sz w:val="24"/>
        </w:rPr>
      </w:pPr>
      <w:r>
        <w:rPr>
          <w:rFonts w:hint="eastAsia" w:ascii="仿宋" w:hAnsi="仿宋" w:eastAsia="仿宋" w:cs="仿宋"/>
          <w:i/>
          <w:iCs/>
          <w:color w:val="0623BA"/>
          <w:sz w:val="24"/>
        </w:rPr>
        <w:t>1</w:t>
      </w:r>
      <w:r>
        <w:rPr>
          <w:rFonts w:hint="eastAsia" w:ascii="仿宋" w:hAnsi="仿宋" w:eastAsia="仿宋" w:cs="仿宋"/>
          <w:i/>
          <w:iCs/>
          <w:color w:val="0623BA"/>
          <w:sz w:val="24"/>
          <w:lang w:val="en-US" w:eastAsia="zh-CN"/>
        </w:rPr>
        <w:t>0</w:t>
      </w:r>
      <w:r>
        <w:rPr>
          <w:rFonts w:hint="eastAsia" w:ascii="仿宋" w:hAnsi="仿宋" w:eastAsia="仿宋" w:cs="仿宋"/>
          <w:i/>
          <w:iCs/>
          <w:color w:val="0623BA"/>
          <w:sz w:val="24"/>
        </w:rPr>
        <w:t>.1.</w:t>
      </w:r>
      <w:r>
        <w:rPr>
          <w:rFonts w:hint="eastAsia" w:ascii="仿宋" w:hAnsi="仿宋" w:eastAsia="仿宋" w:cs="仿宋"/>
          <w:i/>
          <w:iCs/>
          <w:color w:val="0623BA"/>
          <w:sz w:val="24"/>
          <w:lang w:val="en-US" w:eastAsia="zh-CN"/>
        </w:rPr>
        <w:t>6</w:t>
      </w:r>
      <w:r>
        <w:rPr>
          <w:rFonts w:hint="eastAsia" w:ascii="仿宋" w:hAnsi="仿宋" w:eastAsia="仿宋" w:cs="仿宋"/>
          <w:i/>
          <w:iCs/>
          <w:color w:val="0623BA"/>
          <w:sz w:val="24"/>
        </w:rPr>
        <w:t xml:space="preserve"> 安装建筑光伏系统的建筑主体结构，应完成验收。一方面是保证建筑光伏发电的系统安装施工和运行的安全，另一方面是避免新建建筑物在光伏发电系统安装结束后验收不便。现行常用的主体结构验收国家规范有《建筑工程施工质量验收统一标准》GB 50300、《砌体结构工程质量验收规范》GB 50203、《混凝土结构工程施工质量验收规范》GB 50204、《钢结构工程施工质量验收 标准》GB 50205、《屋面工程质量验收规范》GB50207等。</w:t>
      </w:r>
    </w:p>
    <w:p w14:paraId="6991AF7B">
      <w:pPr>
        <w:pStyle w:val="2"/>
        <w:spacing w:after="0" w:line="300" w:lineRule="auto"/>
      </w:pPr>
      <w:r>
        <w:rPr>
          <w:b/>
          <w:bCs/>
          <w:sz w:val="24"/>
        </w:rPr>
        <w:t>1</w:t>
      </w:r>
      <w:r>
        <w:rPr>
          <w:rFonts w:hint="eastAsia"/>
          <w:b/>
          <w:bCs/>
          <w:sz w:val="24"/>
          <w:lang w:val="en-US" w:eastAsia="zh-CN"/>
        </w:rPr>
        <w:t>0</w:t>
      </w:r>
      <w:r>
        <w:rPr>
          <w:b/>
          <w:bCs/>
          <w:sz w:val="24"/>
        </w:rPr>
        <w:t>.1.</w:t>
      </w:r>
      <w:r>
        <w:rPr>
          <w:rFonts w:hint="eastAsia"/>
          <w:b/>
          <w:bCs/>
          <w:sz w:val="24"/>
          <w:lang w:val="en-US" w:eastAsia="zh-CN"/>
        </w:rPr>
        <w:t>7</w:t>
      </w:r>
      <w:r>
        <w:rPr>
          <w:rFonts w:hint="eastAsia"/>
          <w:sz w:val="24"/>
        </w:rPr>
        <w:t xml:space="preserve"> </w:t>
      </w:r>
      <w:r>
        <w:rPr>
          <w:sz w:val="24"/>
        </w:rPr>
        <w:t>测量</w:t>
      </w:r>
      <w:r>
        <w:rPr>
          <w:sz w:val="24"/>
          <w:highlight w:val="none"/>
        </w:rPr>
        <w:t>放线工作除应符合现行国家标准《工程测量规范》GB50026的有关规定外，尚应符合</w:t>
      </w:r>
      <w:r>
        <w:rPr>
          <w:rFonts w:hint="eastAsia"/>
          <w:b w:val="0"/>
          <w:bCs w:val="0"/>
          <w:sz w:val="24"/>
          <w:highlight w:val="none"/>
          <w:lang w:val="en-US" w:eastAsia="zh-CN"/>
        </w:rPr>
        <w:t>《</w:t>
      </w:r>
      <w:r>
        <w:rPr>
          <w:rFonts w:hint="eastAsia"/>
          <w:sz w:val="24"/>
          <w:highlight w:val="none"/>
        </w:rPr>
        <w:t>建筑光伏系统应用技术标准</w:t>
      </w:r>
      <w:r>
        <w:rPr>
          <w:rFonts w:hint="eastAsia"/>
          <w:b w:val="0"/>
          <w:bCs w:val="0"/>
          <w:sz w:val="24"/>
          <w:highlight w:val="none"/>
          <w:lang w:val="en-US" w:eastAsia="zh-CN"/>
        </w:rPr>
        <w:t>》GB/T 513</w:t>
      </w:r>
      <w:r>
        <w:rPr>
          <w:rFonts w:hint="eastAsia"/>
          <w:b w:val="0"/>
          <w:bCs w:val="0"/>
          <w:sz w:val="24"/>
          <w:lang w:val="en-US" w:eastAsia="zh-CN"/>
        </w:rPr>
        <w:t>68的有关规定。</w:t>
      </w:r>
    </w:p>
    <w:p w14:paraId="66EE961D">
      <w:pPr>
        <w:snapToGrid w:val="0"/>
        <w:spacing w:line="300" w:lineRule="auto"/>
        <w:jc w:val="left"/>
        <w:rPr>
          <w:sz w:val="24"/>
        </w:rPr>
      </w:pPr>
      <w:r>
        <w:rPr>
          <w:b/>
          <w:bCs/>
          <w:sz w:val="24"/>
        </w:rPr>
        <w:t>1</w:t>
      </w:r>
      <w:r>
        <w:rPr>
          <w:rFonts w:hint="eastAsia"/>
          <w:b/>
          <w:bCs/>
          <w:sz w:val="24"/>
          <w:lang w:val="en-US" w:eastAsia="zh-CN"/>
        </w:rPr>
        <w:t>0</w:t>
      </w:r>
      <w:r>
        <w:rPr>
          <w:b/>
          <w:bCs/>
          <w:sz w:val="24"/>
        </w:rPr>
        <w:t>.1.</w:t>
      </w:r>
      <w:r>
        <w:rPr>
          <w:rFonts w:hint="eastAsia"/>
          <w:b/>
          <w:bCs/>
          <w:sz w:val="24"/>
          <w:lang w:val="en-US" w:eastAsia="zh-CN"/>
        </w:rPr>
        <w:t>8</w:t>
      </w:r>
      <w:r>
        <w:rPr>
          <w:rFonts w:hint="eastAsia"/>
          <w:sz w:val="24"/>
        </w:rPr>
        <w:t xml:space="preserve"> </w:t>
      </w:r>
      <w:r>
        <w:rPr>
          <w:sz w:val="24"/>
        </w:rPr>
        <w:t>已经安装完成的建筑光伏系统的构件和设备，应采取</w:t>
      </w:r>
      <w:r>
        <w:rPr>
          <w:rFonts w:hint="eastAsia"/>
          <w:sz w:val="24"/>
          <w:lang w:val="en-US" w:eastAsia="zh-CN"/>
        </w:rPr>
        <w:t>覆盖等</w:t>
      </w:r>
      <w:r>
        <w:rPr>
          <w:sz w:val="24"/>
        </w:rPr>
        <w:t>保护措施</w:t>
      </w:r>
      <w:r>
        <w:rPr>
          <w:rFonts w:hint="eastAsia"/>
          <w:sz w:val="24"/>
          <w:lang w:eastAsia="zh-CN"/>
        </w:rPr>
        <w:t>，</w:t>
      </w:r>
      <w:r>
        <w:rPr>
          <w:rFonts w:hint="eastAsia"/>
          <w:sz w:val="24"/>
          <w:szCs w:val="24"/>
        </w:rPr>
        <w:t>线路连接</w:t>
      </w:r>
      <w:r>
        <w:rPr>
          <w:rFonts w:hint="eastAsia"/>
          <w:sz w:val="24"/>
          <w:szCs w:val="24"/>
          <w:lang w:val="en-US" w:eastAsia="zh-CN"/>
        </w:rPr>
        <w:t>要逐一</w:t>
      </w:r>
      <w:r>
        <w:rPr>
          <w:rFonts w:hint="eastAsia"/>
          <w:sz w:val="24"/>
          <w:szCs w:val="24"/>
        </w:rPr>
        <w:t>检查</w:t>
      </w:r>
      <w:r>
        <w:rPr>
          <w:rFonts w:hint="eastAsia"/>
          <w:sz w:val="24"/>
          <w:szCs w:val="24"/>
          <w:lang w:val="en-US" w:eastAsia="zh-CN"/>
        </w:rPr>
        <w:t>合格后</w:t>
      </w:r>
      <w:r>
        <w:rPr>
          <w:rFonts w:hint="eastAsia"/>
          <w:sz w:val="24"/>
          <w:szCs w:val="24"/>
        </w:rPr>
        <w:t>，再</w:t>
      </w:r>
      <w:r>
        <w:rPr>
          <w:rFonts w:hint="eastAsia"/>
          <w:sz w:val="24"/>
          <w:szCs w:val="24"/>
          <w:lang w:val="en-US" w:eastAsia="zh-CN"/>
        </w:rPr>
        <w:t>撤掉保护措施，</w:t>
      </w:r>
      <w:r>
        <w:rPr>
          <w:rFonts w:hint="eastAsia"/>
          <w:sz w:val="24"/>
        </w:rPr>
        <w:t>光伏组件支架、电缆支架应有可靠接地并应符合现行国家标准《电气装置安装工程 接地装置施工及验收规范》GB 50169 的规定。</w:t>
      </w:r>
    </w:p>
    <w:p w14:paraId="1337F232">
      <w:pPr>
        <w:pStyle w:val="2"/>
        <w:spacing w:line="300" w:lineRule="auto"/>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3F43B8CF">
      <w:pPr>
        <w:pStyle w:val="2"/>
        <w:spacing w:line="300" w:lineRule="auto"/>
        <w:rPr>
          <w:rFonts w:hint="eastAsia" w:ascii="仿宋" w:hAnsi="仿宋" w:eastAsia="仿宋" w:cs="仿宋"/>
          <w:i/>
          <w:iCs/>
          <w:color w:val="0623BA"/>
          <w:sz w:val="24"/>
        </w:rPr>
      </w:pPr>
      <w:r>
        <w:rPr>
          <w:rFonts w:hint="eastAsia" w:ascii="仿宋" w:hAnsi="仿宋" w:eastAsia="仿宋" w:cs="仿宋"/>
          <w:i/>
          <w:iCs/>
          <w:color w:val="0623BA"/>
          <w:sz w:val="24"/>
          <w:lang w:val="en-US" w:eastAsia="zh-CN"/>
        </w:rPr>
        <w:t xml:space="preserve">10.1.8 </w:t>
      </w:r>
      <w:r>
        <w:rPr>
          <w:rFonts w:ascii="仿宋" w:hAnsi="仿宋" w:eastAsia="仿宋" w:cs="仿宋"/>
          <w:i/>
          <w:iCs/>
          <w:color w:val="0623BA"/>
          <w:sz w:val="24"/>
        </w:rPr>
        <w:t>在光伏系统的汇流箱、接线盒等处设有注明“当汇流箱从光伏逆变器断开后，汇流箱内的器件仍有可能带电”或相似内容文字。</w:t>
      </w:r>
    </w:p>
    <w:p w14:paraId="314B47B7">
      <w:pPr>
        <w:snapToGrid w:val="0"/>
        <w:spacing w:line="300" w:lineRule="auto"/>
        <w:jc w:val="left"/>
        <w:rPr>
          <w:sz w:val="24"/>
        </w:rPr>
      </w:pPr>
      <w:r>
        <w:rPr>
          <w:rFonts w:hint="eastAsia"/>
          <w:b/>
          <w:bCs/>
          <w:sz w:val="24"/>
        </w:rPr>
        <w:t>1</w:t>
      </w:r>
      <w:r>
        <w:rPr>
          <w:rFonts w:hint="eastAsia"/>
          <w:b/>
          <w:bCs/>
          <w:sz w:val="24"/>
          <w:lang w:val="en-US" w:eastAsia="zh-CN"/>
        </w:rPr>
        <w:t>0</w:t>
      </w:r>
      <w:r>
        <w:rPr>
          <w:rFonts w:hint="eastAsia"/>
          <w:b/>
          <w:bCs/>
          <w:sz w:val="24"/>
        </w:rPr>
        <w:t>.1.</w:t>
      </w:r>
      <w:r>
        <w:rPr>
          <w:rFonts w:hint="eastAsia"/>
          <w:b/>
          <w:bCs/>
          <w:sz w:val="24"/>
          <w:lang w:val="en-US" w:eastAsia="zh-CN"/>
        </w:rPr>
        <w:t>9</w:t>
      </w:r>
      <w:r>
        <w:rPr>
          <w:rFonts w:hint="eastAsia"/>
          <w:sz w:val="24"/>
        </w:rPr>
        <w:t xml:space="preserve"> 光伏方阵处应设警告标识并应按设计要求可靠地固定在支架或连接件上。系统、方阵和组件串等的所有汇流箱、接线盒均应设带电警示标签。</w:t>
      </w:r>
    </w:p>
    <w:p w14:paraId="5376849A">
      <w:pPr>
        <w:snapToGrid w:val="0"/>
        <w:spacing w:line="300" w:lineRule="auto"/>
        <w:jc w:val="left"/>
        <w:rPr>
          <w:rFonts w:hint="eastAsia" w:eastAsia="宋体"/>
          <w:sz w:val="24"/>
          <w:lang w:val="en-US" w:eastAsia="zh-CN"/>
        </w:rPr>
      </w:pPr>
      <w:r>
        <w:rPr>
          <w:b/>
          <w:bCs/>
          <w:sz w:val="24"/>
        </w:rPr>
        <w:t>1</w:t>
      </w:r>
      <w:r>
        <w:rPr>
          <w:rFonts w:hint="eastAsia"/>
          <w:b/>
          <w:bCs/>
          <w:sz w:val="24"/>
          <w:lang w:val="en-US" w:eastAsia="zh-CN"/>
        </w:rPr>
        <w:t>0</w:t>
      </w:r>
      <w:r>
        <w:rPr>
          <w:b/>
          <w:bCs/>
          <w:sz w:val="24"/>
        </w:rPr>
        <w:t>.1.</w:t>
      </w:r>
      <w:r>
        <w:rPr>
          <w:rFonts w:hint="eastAsia"/>
          <w:b/>
          <w:bCs/>
          <w:sz w:val="24"/>
          <w:lang w:val="en-US" w:eastAsia="zh-CN"/>
        </w:rPr>
        <w:t>10</w:t>
      </w:r>
      <w:r>
        <w:rPr>
          <w:sz w:val="24"/>
        </w:rPr>
        <w:t xml:space="preserve"> </w:t>
      </w:r>
      <w:r>
        <w:rPr>
          <w:rFonts w:hint="eastAsia"/>
          <w:sz w:val="24"/>
        </w:rPr>
        <w:t>光伏系统的电气装置安装应符合现行国家标准《建筑电气工程施工质量验收规范》GB 50303 的规定。电缆线路施工应符合现行国家标准《电气装置安装工程 电缆线路施工及验收标准》GB 50168的规定</w:t>
      </w:r>
      <w:r>
        <w:rPr>
          <w:rFonts w:hint="eastAsia"/>
          <w:sz w:val="24"/>
          <w:lang w:eastAsia="zh-CN"/>
        </w:rPr>
        <w:t>。</w:t>
      </w:r>
    </w:p>
    <w:p w14:paraId="5DA1B90F">
      <w:pPr>
        <w:pStyle w:val="2"/>
        <w:spacing w:line="300" w:lineRule="auto"/>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7A688B2B">
      <w:pPr>
        <w:pStyle w:val="2"/>
        <w:spacing w:line="300" w:lineRule="auto"/>
        <w:ind w:firstLine="0" w:firstLineChars="0"/>
        <w:rPr>
          <w:rFonts w:hint="eastAsia" w:ascii="仿宋" w:hAnsi="仿宋" w:eastAsia="仿宋" w:cs="仿宋"/>
          <w:i/>
          <w:iCs/>
          <w:color w:val="0623BA"/>
          <w:sz w:val="24"/>
        </w:rPr>
      </w:pPr>
      <w:r>
        <w:rPr>
          <w:rFonts w:hint="eastAsia" w:ascii="仿宋" w:hAnsi="仿宋" w:eastAsia="仿宋" w:cs="仿宋"/>
          <w:b w:val="0"/>
          <w:bCs w:val="0"/>
          <w:i/>
          <w:iCs/>
          <w:color w:val="0623BA"/>
          <w:sz w:val="24"/>
        </w:rPr>
        <w:t>1</w:t>
      </w:r>
      <w:r>
        <w:rPr>
          <w:rFonts w:hint="eastAsia" w:ascii="仿宋" w:hAnsi="仿宋" w:eastAsia="仿宋" w:cs="仿宋"/>
          <w:b w:val="0"/>
          <w:bCs w:val="0"/>
          <w:i/>
          <w:iCs/>
          <w:color w:val="0623BA"/>
          <w:sz w:val="24"/>
          <w:lang w:val="en-US" w:eastAsia="zh-CN"/>
        </w:rPr>
        <w:t>0</w:t>
      </w:r>
      <w:r>
        <w:rPr>
          <w:rFonts w:hint="eastAsia" w:ascii="仿宋" w:hAnsi="仿宋" w:eastAsia="仿宋" w:cs="仿宋"/>
          <w:b w:val="0"/>
          <w:bCs w:val="0"/>
          <w:i/>
          <w:iCs/>
          <w:color w:val="0623BA"/>
          <w:sz w:val="24"/>
        </w:rPr>
        <w:t>.1.</w:t>
      </w:r>
      <w:r>
        <w:rPr>
          <w:rFonts w:hint="eastAsia" w:ascii="仿宋" w:hAnsi="仿宋" w:eastAsia="仿宋" w:cs="仿宋"/>
          <w:b w:val="0"/>
          <w:bCs w:val="0"/>
          <w:i/>
          <w:iCs/>
          <w:color w:val="0623BA"/>
          <w:sz w:val="24"/>
          <w:lang w:val="en-US" w:eastAsia="zh-CN"/>
        </w:rPr>
        <w:t>10</w:t>
      </w:r>
      <w:r>
        <w:rPr>
          <w:rFonts w:hint="eastAsia" w:ascii="仿宋" w:hAnsi="仿宋" w:eastAsia="仿宋" w:cs="仿宋"/>
          <w:i/>
          <w:iCs/>
          <w:color w:val="0623BA"/>
          <w:sz w:val="24"/>
        </w:rPr>
        <w:t xml:space="preserve"> 应特别注意极性不能接错。导线电缆连接不能太紧，需留有余量，以免冬天温度降低时形成接触不良，甚至拉断电缆。方阵输出的正、负极和接地线需用不同颜色的导线电缆连接，以免混淆极性，造成事故。</w:t>
      </w:r>
    </w:p>
    <w:p w14:paraId="5E98FE79">
      <w:pPr>
        <w:snapToGrid w:val="0"/>
        <w:spacing w:line="300" w:lineRule="auto"/>
        <w:rPr>
          <w:sz w:val="24"/>
        </w:rPr>
      </w:pPr>
      <w:r>
        <w:rPr>
          <w:b/>
          <w:bCs/>
          <w:sz w:val="24"/>
        </w:rPr>
        <w:t>1</w:t>
      </w:r>
      <w:r>
        <w:rPr>
          <w:rFonts w:hint="eastAsia"/>
          <w:b/>
          <w:bCs/>
          <w:sz w:val="24"/>
          <w:lang w:val="en-US" w:eastAsia="zh-CN"/>
        </w:rPr>
        <w:t>0</w:t>
      </w:r>
      <w:r>
        <w:rPr>
          <w:b/>
          <w:bCs/>
          <w:sz w:val="24"/>
        </w:rPr>
        <w:t>.</w:t>
      </w:r>
      <w:r>
        <w:rPr>
          <w:rFonts w:hint="eastAsia"/>
          <w:b/>
          <w:bCs/>
          <w:sz w:val="24"/>
          <w:lang w:val="en-US" w:eastAsia="zh-CN"/>
        </w:rPr>
        <w:t>1.11</w:t>
      </w:r>
      <w:r>
        <w:rPr>
          <w:sz w:val="24"/>
        </w:rPr>
        <w:t xml:space="preserve"> </w:t>
      </w:r>
      <w:r>
        <w:rPr>
          <w:rFonts w:hint="eastAsia"/>
          <w:sz w:val="24"/>
        </w:rPr>
        <w:t>太阳能系统的施工安装不</w:t>
      </w:r>
      <w:r>
        <w:rPr>
          <w:rFonts w:hint="eastAsia"/>
          <w:sz w:val="24"/>
          <w:lang w:val="en-US" w:eastAsia="zh-CN"/>
        </w:rPr>
        <w:t>应</w:t>
      </w:r>
      <w:r>
        <w:rPr>
          <w:rFonts w:hint="eastAsia"/>
          <w:sz w:val="24"/>
        </w:rPr>
        <w:t>破坏建筑物的结构、屋面、地面防水层和附属设施，不得削弱建筑物在寿命期内承受荷载的能力。</w:t>
      </w:r>
    </w:p>
    <w:p w14:paraId="74F89CE5">
      <w:pPr>
        <w:pStyle w:val="2"/>
        <w:spacing w:line="300" w:lineRule="auto"/>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598DA66B">
      <w:pPr>
        <w:pStyle w:val="2"/>
        <w:spacing w:line="300" w:lineRule="auto"/>
        <w:rPr>
          <w:rFonts w:hint="eastAsia" w:ascii="仿宋" w:hAnsi="仿宋" w:eastAsia="仿宋" w:cs="仿宋"/>
          <w:i/>
          <w:iCs/>
          <w:color w:val="0623BA"/>
          <w:sz w:val="24"/>
        </w:rPr>
      </w:pPr>
      <w:r>
        <w:rPr>
          <w:rFonts w:hint="eastAsia" w:ascii="仿宋" w:hAnsi="仿宋" w:eastAsia="仿宋" w:cs="仿宋"/>
          <w:i/>
          <w:iCs/>
          <w:color w:val="0623BA"/>
          <w:sz w:val="24"/>
        </w:rPr>
        <w:t>1</w:t>
      </w:r>
      <w:r>
        <w:rPr>
          <w:rFonts w:hint="eastAsia" w:ascii="仿宋" w:hAnsi="仿宋" w:eastAsia="仿宋" w:cs="仿宋"/>
          <w:i/>
          <w:iCs/>
          <w:color w:val="0623BA"/>
          <w:sz w:val="24"/>
          <w:lang w:val="en-US" w:eastAsia="zh-CN"/>
        </w:rPr>
        <w:t>0</w:t>
      </w:r>
      <w:r>
        <w:rPr>
          <w:rFonts w:hint="eastAsia" w:ascii="仿宋" w:hAnsi="仿宋" w:eastAsia="仿宋" w:cs="仿宋"/>
          <w:i/>
          <w:iCs/>
          <w:color w:val="0623BA"/>
          <w:sz w:val="24"/>
        </w:rPr>
        <w:t>.</w:t>
      </w:r>
      <w:r>
        <w:rPr>
          <w:rFonts w:hint="eastAsia" w:ascii="仿宋" w:hAnsi="仿宋" w:eastAsia="仿宋" w:cs="仿宋"/>
          <w:i/>
          <w:iCs/>
          <w:color w:val="0623BA"/>
          <w:sz w:val="24"/>
          <w:lang w:val="en-US" w:eastAsia="zh-CN"/>
        </w:rPr>
        <w:t>1</w:t>
      </w:r>
      <w:r>
        <w:rPr>
          <w:rFonts w:hint="eastAsia" w:ascii="仿宋" w:hAnsi="仿宋" w:eastAsia="仿宋" w:cs="仿宋"/>
          <w:i/>
          <w:iCs/>
          <w:color w:val="0623BA"/>
          <w:sz w:val="24"/>
        </w:rPr>
        <w:t>.</w:t>
      </w:r>
      <w:r>
        <w:rPr>
          <w:rFonts w:hint="eastAsia" w:ascii="仿宋" w:hAnsi="仿宋" w:eastAsia="仿宋" w:cs="仿宋"/>
          <w:i/>
          <w:iCs/>
          <w:color w:val="0623BA"/>
          <w:sz w:val="24"/>
          <w:lang w:val="en-US" w:eastAsia="zh-CN"/>
        </w:rPr>
        <w:t>11</w:t>
      </w:r>
      <w:r>
        <w:rPr>
          <w:rFonts w:hint="eastAsia" w:ascii="仿宋" w:hAnsi="仿宋" w:eastAsia="仿宋" w:cs="仿宋"/>
          <w:i/>
          <w:iCs/>
          <w:color w:val="0623BA"/>
          <w:sz w:val="24"/>
        </w:rPr>
        <w:t xml:space="preserve"> 进行太阳能系统的施工安装，保证建筑物的结构和功能设施安全是重中之重，应放在第一位</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特别在既有建筑上安装系统时，如果不能严格按相关规范进行土建、防水、管道等部位的施工安装，很容易造成对建筑物的结构、屋面、地面防水层和附属设施的破坏，削弱建筑物在寿命期内承受荷载的能力，所以，必须予以充分重视。</w:t>
      </w:r>
    </w:p>
    <w:p w14:paraId="2D040008">
      <w:pPr>
        <w:snapToGrid w:val="0"/>
        <w:spacing w:line="300" w:lineRule="auto"/>
        <w:jc w:val="left"/>
        <w:rPr>
          <w:sz w:val="24"/>
        </w:rPr>
      </w:pPr>
      <w:r>
        <w:rPr>
          <w:b/>
          <w:bCs/>
          <w:sz w:val="24"/>
        </w:rPr>
        <w:t>1</w:t>
      </w:r>
      <w:r>
        <w:rPr>
          <w:rFonts w:hint="eastAsia"/>
          <w:b/>
          <w:bCs/>
          <w:sz w:val="24"/>
          <w:lang w:val="en-US" w:eastAsia="zh-CN"/>
        </w:rPr>
        <w:t>0</w:t>
      </w:r>
      <w:r>
        <w:rPr>
          <w:b/>
          <w:bCs/>
          <w:sz w:val="24"/>
        </w:rPr>
        <w:t>.1.1</w:t>
      </w:r>
      <w:r>
        <w:rPr>
          <w:rFonts w:hint="eastAsia"/>
          <w:b/>
          <w:bCs/>
          <w:sz w:val="24"/>
          <w:lang w:val="en-US" w:eastAsia="zh-CN"/>
        </w:rPr>
        <w:t>2</w:t>
      </w:r>
      <w:r>
        <w:rPr>
          <w:rFonts w:hint="eastAsia"/>
          <w:sz w:val="24"/>
        </w:rPr>
        <w:t xml:space="preserve"> 施工过程及相关试验的资料应完整、齐全。</w:t>
      </w:r>
    </w:p>
    <w:p w14:paraId="57CF90CA">
      <w:pPr>
        <w:pStyle w:val="2"/>
        <w:spacing w:line="300" w:lineRule="auto"/>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46C6A58F">
      <w:pPr>
        <w:pStyle w:val="2"/>
        <w:spacing w:line="300" w:lineRule="auto"/>
        <w:rPr>
          <w:rFonts w:hint="eastAsia" w:ascii="仿宋" w:hAnsi="仿宋" w:eastAsia="仿宋" w:cs="仿宋"/>
          <w:i/>
          <w:iCs/>
          <w:color w:val="0623BA"/>
          <w:sz w:val="24"/>
        </w:rPr>
      </w:pPr>
      <w:r>
        <w:rPr>
          <w:rFonts w:hint="eastAsia" w:ascii="仿宋" w:hAnsi="仿宋" w:eastAsia="仿宋" w:cs="仿宋"/>
          <w:i/>
          <w:iCs/>
          <w:color w:val="0623BA"/>
          <w:sz w:val="24"/>
        </w:rPr>
        <w:t>1</w:t>
      </w:r>
      <w:r>
        <w:rPr>
          <w:rFonts w:hint="eastAsia" w:ascii="仿宋" w:hAnsi="仿宋" w:eastAsia="仿宋" w:cs="仿宋"/>
          <w:i/>
          <w:iCs/>
          <w:color w:val="0623BA"/>
          <w:sz w:val="24"/>
          <w:lang w:val="en-US" w:eastAsia="zh-CN"/>
        </w:rPr>
        <w:t>0</w:t>
      </w:r>
      <w:r>
        <w:rPr>
          <w:rFonts w:hint="eastAsia" w:ascii="仿宋" w:hAnsi="仿宋" w:eastAsia="仿宋" w:cs="仿宋"/>
          <w:i/>
          <w:iCs/>
          <w:color w:val="0623BA"/>
          <w:sz w:val="24"/>
        </w:rPr>
        <w:t>.1.1</w:t>
      </w:r>
      <w:r>
        <w:rPr>
          <w:rFonts w:hint="eastAsia" w:ascii="仿宋" w:hAnsi="仿宋" w:eastAsia="仿宋" w:cs="仿宋"/>
          <w:i/>
          <w:iCs/>
          <w:color w:val="0623BA"/>
          <w:sz w:val="24"/>
          <w:lang w:val="en-US" w:eastAsia="zh-CN"/>
        </w:rPr>
        <w:t>2</w:t>
      </w:r>
      <w:r>
        <w:rPr>
          <w:rFonts w:hint="eastAsia" w:ascii="仿宋" w:hAnsi="仿宋" w:eastAsia="仿宋" w:cs="仿宋"/>
          <w:i/>
          <w:iCs/>
          <w:color w:val="0623BA"/>
          <w:sz w:val="24"/>
        </w:rPr>
        <w:t xml:space="preserve"> 施工过程记录和相关试验记录应由施工方在施工过程中收集整理，作为工程施工过程的取证和验收的依据。工程验收合格后，应移交给业主，作为竣工资料的组成部分。 </w:t>
      </w:r>
    </w:p>
    <w:p w14:paraId="5D2B65C2">
      <w:pPr>
        <w:snapToGrid w:val="0"/>
        <w:spacing w:line="300" w:lineRule="auto"/>
        <w:jc w:val="left"/>
        <w:rPr>
          <w:sz w:val="24"/>
        </w:rPr>
      </w:pPr>
      <w:r>
        <w:rPr>
          <w:b/>
          <w:bCs/>
          <w:sz w:val="24"/>
        </w:rPr>
        <w:t>1</w:t>
      </w:r>
      <w:r>
        <w:rPr>
          <w:rFonts w:hint="eastAsia"/>
          <w:b/>
          <w:bCs/>
          <w:sz w:val="24"/>
          <w:lang w:val="en-US" w:eastAsia="zh-CN"/>
        </w:rPr>
        <w:t>0</w:t>
      </w:r>
      <w:r>
        <w:rPr>
          <w:b/>
          <w:bCs/>
          <w:sz w:val="24"/>
        </w:rPr>
        <w:t>.1.</w:t>
      </w:r>
      <w:r>
        <w:rPr>
          <w:rFonts w:hint="eastAsia"/>
          <w:b/>
          <w:bCs/>
          <w:sz w:val="24"/>
          <w:lang w:val="en-US" w:eastAsia="zh-CN"/>
        </w:rPr>
        <w:t>13</w:t>
      </w:r>
      <w:r>
        <w:rPr>
          <w:rFonts w:hint="eastAsia"/>
          <w:sz w:val="24"/>
        </w:rPr>
        <w:t>穿过楼板、屋面和墙面的电缆防水套管与建筑主体结构之间的缝隙</w:t>
      </w:r>
      <w:r>
        <w:rPr>
          <w:rFonts w:hint="eastAsia" w:cs="Times New Roman"/>
          <w:b w:val="0"/>
          <w:bCs w:val="0"/>
          <w:i w:val="0"/>
          <w:iCs w:val="0"/>
          <w:color w:val="auto"/>
          <w:sz w:val="24"/>
          <w:szCs w:val="24"/>
          <w:highlight w:val="none"/>
          <w:lang w:val="en-US" w:eastAsia="zh-CN"/>
        </w:rPr>
        <w:t>应</w:t>
      </w:r>
      <w:r>
        <w:rPr>
          <w:rFonts w:hint="eastAsia"/>
          <w:sz w:val="24"/>
        </w:rPr>
        <w:t>进行防水处理。</w:t>
      </w:r>
    </w:p>
    <w:p w14:paraId="5703ADDB">
      <w:pPr>
        <w:keepNext/>
        <w:keepLines/>
        <w:snapToGrid w:val="0"/>
        <w:spacing w:before="95" w:beforeLines="30" w:after="95" w:afterLines="30" w:line="300" w:lineRule="auto"/>
        <w:jc w:val="center"/>
        <w:outlineLvl w:val="2"/>
        <w:rPr>
          <w:b/>
          <w:sz w:val="24"/>
          <w:szCs w:val="32"/>
        </w:rPr>
      </w:pPr>
      <w:bookmarkStart w:id="345" w:name="_Toc8609"/>
      <w:bookmarkStart w:id="346" w:name="_Toc4224"/>
      <w:bookmarkStart w:id="347" w:name="_Toc11298"/>
      <w:bookmarkStart w:id="348" w:name="_Toc14243"/>
      <w:bookmarkStart w:id="349" w:name="_Toc1232"/>
      <w:bookmarkStart w:id="350" w:name="_Toc2529"/>
      <w:bookmarkStart w:id="351" w:name="_Toc22448"/>
      <w:bookmarkStart w:id="352" w:name="_Toc20969"/>
      <w:r>
        <w:rPr>
          <w:b/>
          <w:sz w:val="24"/>
          <w:szCs w:val="32"/>
        </w:rPr>
        <w:t>1</w:t>
      </w:r>
      <w:r>
        <w:rPr>
          <w:rFonts w:hint="default"/>
          <w:b/>
          <w:sz w:val="24"/>
          <w:szCs w:val="32"/>
          <w:lang w:val="en-US" w:eastAsia="zh-CN"/>
        </w:rPr>
        <w:t>0</w:t>
      </w:r>
      <w:r>
        <w:rPr>
          <w:b/>
          <w:sz w:val="24"/>
          <w:szCs w:val="32"/>
        </w:rPr>
        <w:t>.2土建工程</w:t>
      </w:r>
      <w:bookmarkEnd w:id="345"/>
      <w:bookmarkEnd w:id="346"/>
      <w:bookmarkEnd w:id="347"/>
      <w:bookmarkEnd w:id="348"/>
      <w:bookmarkEnd w:id="349"/>
      <w:bookmarkEnd w:id="350"/>
      <w:bookmarkEnd w:id="351"/>
      <w:bookmarkEnd w:id="352"/>
    </w:p>
    <w:p w14:paraId="132ABCA1">
      <w:pPr>
        <w:snapToGrid w:val="0"/>
        <w:spacing w:line="300" w:lineRule="auto"/>
        <w:jc w:val="center"/>
        <w:rPr>
          <w:rFonts w:hint="default" w:eastAsia="宋体"/>
          <w:sz w:val="24"/>
          <w:lang w:val="en-US" w:eastAsia="zh-CN"/>
        </w:rPr>
      </w:pPr>
      <w:r>
        <w:rPr>
          <w:rFonts w:hint="default" w:ascii="Times New Roman" w:hAnsi="Times New Roman" w:eastAsia="宋体" w:cs="Times New Roman"/>
          <w:sz w:val="24"/>
        </w:rPr>
        <w:t>Ⅰ</w:t>
      </w:r>
      <w:r>
        <w:rPr>
          <w:rFonts w:hint="eastAsia" w:cs="Times New Roman"/>
          <w:sz w:val="24"/>
          <w:lang w:val="en-US" w:eastAsia="zh-CN"/>
        </w:rPr>
        <w:t xml:space="preserve"> </w:t>
      </w:r>
      <w:r>
        <w:rPr>
          <w:rFonts w:hint="default"/>
          <w:sz w:val="24"/>
          <w:lang w:val="en-US" w:eastAsia="zh-CN"/>
        </w:rPr>
        <w:t>基座</w:t>
      </w:r>
    </w:p>
    <w:p w14:paraId="1B8A0C91">
      <w:pPr>
        <w:snapToGrid w:val="0"/>
        <w:spacing w:line="300" w:lineRule="auto"/>
        <w:rPr>
          <w:sz w:val="24"/>
        </w:rPr>
      </w:pPr>
      <w:r>
        <w:rPr>
          <w:b/>
          <w:bCs/>
          <w:sz w:val="24"/>
        </w:rPr>
        <w:t>1</w:t>
      </w:r>
      <w:r>
        <w:rPr>
          <w:rFonts w:hint="eastAsia"/>
          <w:b/>
          <w:bCs/>
          <w:sz w:val="24"/>
          <w:lang w:val="en-US" w:eastAsia="zh-CN"/>
        </w:rPr>
        <w:t>0</w:t>
      </w:r>
      <w:r>
        <w:rPr>
          <w:b/>
          <w:bCs/>
          <w:sz w:val="24"/>
        </w:rPr>
        <w:t>.2.1</w:t>
      </w:r>
      <w:r>
        <w:rPr>
          <w:rFonts w:hint="eastAsia"/>
          <w:sz w:val="24"/>
        </w:rPr>
        <w:t xml:space="preserve"> </w:t>
      </w:r>
      <w:r>
        <w:rPr>
          <w:sz w:val="24"/>
        </w:rPr>
        <w:t>混凝土工程</w:t>
      </w:r>
      <w:r>
        <w:rPr>
          <w:rFonts w:hint="eastAsia"/>
          <w:sz w:val="24"/>
          <w:lang w:eastAsia="zh-CN"/>
        </w:rPr>
        <w:t>、</w:t>
      </w:r>
      <w:r>
        <w:rPr>
          <w:sz w:val="24"/>
        </w:rPr>
        <w:t>钢结构工程</w:t>
      </w:r>
      <w:r>
        <w:rPr>
          <w:rFonts w:hint="eastAsia"/>
          <w:sz w:val="24"/>
          <w:lang w:eastAsia="zh-CN"/>
        </w:rPr>
        <w:t>、</w:t>
      </w:r>
      <w:r>
        <w:rPr>
          <w:sz w:val="24"/>
        </w:rPr>
        <w:t>铝合金工程的施工应符合现行国家标准的有关规定。</w:t>
      </w:r>
    </w:p>
    <w:p w14:paraId="6EE723A8">
      <w:pPr>
        <w:snapToGrid w:val="0"/>
        <w:spacing w:line="300" w:lineRule="auto"/>
        <w:rPr>
          <w:rFonts w:ascii="Times New Roman" w:hAnsi="Times New Roman" w:eastAsia="宋体" w:cs="Times New Roman"/>
          <w:b w:val="0"/>
          <w:bCs w:val="0"/>
          <w:i w:val="0"/>
          <w:iCs w:val="0"/>
          <w:sz w:val="24"/>
          <w:szCs w:val="24"/>
        </w:rPr>
      </w:pPr>
      <w:r>
        <w:rPr>
          <w:b/>
          <w:bCs/>
          <w:sz w:val="24"/>
        </w:rPr>
        <w:t>1</w:t>
      </w:r>
      <w:r>
        <w:rPr>
          <w:rFonts w:hint="eastAsia"/>
          <w:b/>
          <w:bCs/>
          <w:sz w:val="24"/>
          <w:lang w:eastAsia="zh-CN"/>
        </w:rPr>
        <w:t>0</w:t>
      </w:r>
      <w:r>
        <w:rPr>
          <w:b/>
          <w:bCs/>
          <w:sz w:val="24"/>
        </w:rPr>
        <w:t>.2.</w:t>
      </w:r>
      <w:r>
        <w:rPr>
          <w:rFonts w:hint="default"/>
          <w:b/>
          <w:bCs/>
          <w:sz w:val="24"/>
          <w:lang w:val="en-US" w:eastAsia="zh-CN"/>
        </w:rPr>
        <w:t>2</w:t>
      </w:r>
      <w:r>
        <w:rPr>
          <w:rFonts w:ascii="Times New Roman" w:hAnsi="Times New Roman" w:eastAsia="宋体" w:cs="Times New Roman"/>
          <w:b/>
          <w:bCs/>
          <w:i w:val="0"/>
          <w:iCs w:val="0"/>
          <w:color w:val="000000"/>
          <w:sz w:val="24"/>
          <w:szCs w:val="24"/>
        </w:rPr>
        <w:t xml:space="preserve"> </w:t>
      </w:r>
      <w:r>
        <w:rPr>
          <w:rFonts w:ascii="Times New Roman" w:hAnsi="Times New Roman" w:eastAsia="宋体" w:cs="Times New Roman"/>
          <w:b w:val="0"/>
          <w:bCs w:val="0"/>
          <w:i w:val="0"/>
          <w:iCs w:val="0"/>
          <w:color w:val="000000"/>
          <w:sz w:val="24"/>
          <w:szCs w:val="24"/>
        </w:rPr>
        <w:t>安装在建筑物上的建筑光伏系统基座应与建筑主体结构可靠连接。</w:t>
      </w:r>
    </w:p>
    <w:p w14:paraId="125A4AFC">
      <w:pPr>
        <w:pStyle w:val="2"/>
        <w:spacing w:line="300" w:lineRule="auto"/>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6B485704">
      <w:pPr>
        <w:pStyle w:val="2"/>
        <w:spacing w:line="300" w:lineRule="auto"/>
        <w:rPr>
          <w:rFonts w:hint="eastAsia" w:ascii="仿宋" w:hAnsi="仿宋" w:eastAsia="仿宋" w:cs="仿宋"/>
          <w:b w:val="0"/>
          <w:bCs w:val="0"/>
          <w:i/>
          <w:iCs/>
          <w:color w:val="0623BA"/>
          <w:sz w:val="24"/>
          <w:szCs w:val="24"/>
        </w:rPr>
      </w:pPr>
      <w:r>
        <w:rPr>
          <w:rFonts w:hint="eastAsia" w:ascii="仿宋" w:hAnsi="仿宋" w:eastAsia="仿宋" w:cs="仿宋"/>
          <w:b w:val="0"/>
          <w:bCs w:val="0"/>
          <w:i/>
          <w:iCs/>
          <w:color w:val="0623BA"/>
          <w:sz w:val="24"/>
          <w:szCs w:val="24"/>
          <w:lang w:val="en-US" w:eastAsia="zh-CN"/>
        </w:rPr>
        <w:t>10.2.2 一</w:t>
      </w:r>
      <w:r>
        <w:rPr>
          <w:rFonts w:hint="eastAsia" w:ascii="仿宋" w:hAnsi="仿宋" w:eastAsia="仿宋" w:cs="仿宋"/>
          <w:b w:val="0"/>
          <w:bCs w:val="0"/>
          <w:i/>
          <w:iCs/>
          <w:color w:val="0623BA"/>
          <w:sz w:val="24"/>
          <w:szCs w:val="24"/>
        </w:rPr>
        <w:t>般情况下</w:t>
      </w:r>
      <w:r>
        <w:rPr>
          <w:rFonts w:hint="eastAsia" w:ascii="仿宋" w:hAnsi="仿宋" w:eastAsia="仿宋" w:cs="仿宋"/>
          <w:b w:val="0"/>
          <w:bCs w:val="0"/>
          <w:i/>
          <w:iCs/>
          <w:color w:val="0623BA"/>
          <w:sz w:val="24"/>
          <w:szCs w:val="24"/>
          <w:lang w:eastAsia="zh-CN"/>
        </w:rPr>
        <w:t>，</w:t>
      </w:r>
      <w:r>
        <w:rPr>
          <w:rFonts w:hint="eastAsia" w:ascii="仿宋" w:hAnsi="仿宋" w:eastAsia="仿宋" w:cs="仿宋"/>
          <w:b w:val="0"/>
          <w:bCs w:val="0"/>
          <w:i/>
          <w:iCs/>
          <w:color w:val="0623BA"/>
          <w:sz w:val="24"/>
          <w:szCs w:val="24"/>
        </w:rPr>
        <w:t>光伏组件或方阵的承重基座都是在屋面结构层上现场砌筑(或浇筑)。对于在既有建筑上安装的建筑附加光伏发电系统工程</w:t>
      </w:r>
      <w:r>
        <w:rPr>
          <w:rFonts w:hint="eastAsia" w:ascii="仿宋" w:hAnsi="仿宋" w:eastAsia="仿宋" w:cs="仿宋"/>
          <w:b w:val="0"/>
          <w:bCs w:val="0"/>
          <w:i/>
          <w:iCs/>
          <w:color w:val="0623BA"/>
          <w:sz w:val="24"/>
          <w:szCs w:val="24"/>
          <w:lang w:eastAsia="zh-CN"/>
        </w:rPr>
        <w:t>，</w:t>
      </w:r>
      <w:r>
        <w:rPr>
          <w:rFonts w:hint="eastAsia" w:ascii="仿宋" w:hAnsi="仿宋" w:eastAsia="仿宋" w:cs="仿宋"/>
          <w:b w:val="0"/>
          <w:bCs w:val="0"/>
          <w:i/>
          <w:iCs/>
          <w:color w:val="0623BA"/>
          <w:sz w:val="24"/>
          <w:szCs w:val="24"/>
        </w:rPr>
        <w:t>需要揭开建筑面层做基座</w:t>
      </w:r>
      <w:r>
        <w:rPr>
          <w:rFonts w:hint="eastAsia" w:ascii="仿宋" w:hAnsi="仿宋" w:eastAsia="仿宋" w:cs="仿宋"/>
          <w:b w:val="0"/>
          <w:bCs w:val="0"/>
          <w:i/>
          <w:iCs/>
          <w:color w:val="0623BA"/>
          <w:sz w:val="24"/>
          <w:szCs w:val="24"/>
          <w:lang w:eastAsia="zh-CN"/>
        </w:rPr>
        <w:t>，</w:t>
      </w:r>
      <w:r>
        <w:rPr>
          <w:rFonts w:hint="eastAsia" w:ascii="仿宋" w:hAnsi="仿宋" w:eastAsia="仿宋" w:cs="仿宋"/>
          <w:b w:val="0"/>
          <w:bCs w:val="0"/>
          <w:i/>
          <w:iCs/>
          <w:color w:val="0623BA"/>
          <w:sz w:val="24"/>
          <w:szCs w:val="24"/>
        </w:rPr>
        <w:t>因此将破坏建筑原有的防水结构。基座完工后</w:t>
      </w:r>
      <w:r>
        <w:rPr>
          <w:rFonts w:hint="eastAsia" w:ascii="仿宋" w:hAnsi="仿宋" w:eastAsia="仿宋" w:cs="仿宋"/>
          <w:b w:val="0"/>
          <w:bCs w:val="0"/>
          <w:i/>
          <w:iCs/>
          <w:color w:val="0623BA"/>
          <w:sz w:val="24"/>
          <w:szCs w:val="24"/>
          <w:lang w:eastAsia="zh-CN"/>
        </w:rPr>
        <w:t>，</w:t>
      </w:r>
      <w:r>
        <w:rPr>
          <w:rFonts w:hint="eastAsia" w:ascii="仿宋" w:hAnsi="仿宋" w:eastAsia="仿宋" w:cs="仿宋"/>
          <w:b w:val="0"/>
          <w:bCs w:val="0"/>
          <w:i/>
          <w:iCs/>
          <w:color w:val="0623BA"/>
          <w:sz w:val="24"/>
          <w:szCs w:val="24"/>
        </w:rPr>
        <w:t>被破坏的部位应重新做防水工程。</w:t>
      </w:r>
    </w:p>
    <w:p w14:paraId="02EEFF02">
      <w:pPr>
        <w:snapToGrid w:val="0"/>
        <w:spacing w:line="300" w:lineRule="auto"/>
        <w:rPr>
          <w:rFonts w:ascii="Times New Roman" w:hAnsi="Times New Roman" w:eastAsia="宋体" w:cs="Times New Roman"/>
          <w:b w:val="0"/>
          <w:bCs w:val="0"/>
          <w:i w:val="0"/>
          <w:iCs w:val="0"/>
          <w:sz w:val="24"/>
          <w:szCs w:val="24"/>
        </w:rPr>
      </w:pPr>
      <w:r>
        <w:rPr>
          <w:b/>
          <w:bCs/>
          <w:sz w:val="24"/>
        </w:rPr>
        <w:t>1</w:t>
      </w:r>
      <w:r>
        <w:rPr>
          <w:rFonts w:hint="eastAsia"/>
          <w:b/>
          <w:bCs/>
          <w:sz w:val="24"/>
          <w:lang w:eastAsia="zh-CN"/>
        </w:rPr>
        <w:t>0</w:t>
      </w:r>
      <w:r>
        <w:rPr>
          <w:b/>
          <w:bCs/>
          <w:sz w:val="24"/>
        </w:rPr>
        <w:t>.2.</w:t>
      </w:r>
      <w:r>
        <w:rPr>
          <w:rFonts w:hint="default"/>
          <w:b/>
          <w:bCs/>
          <w:sz w:val="24"/>
          <w:lang w:val="en-US" w:eastAsia="zh-CN"/>
        </w:rPr>
        <w:t>3</w:t>
      </w:r>
      <w:r>
        <w:rPr>
          <w:rFonts w:ascii="Times New Roman" w:hAnsi="Times New Roman" w:eastAsia="宋体" w:cs="Times New Roman"/>
          <w:b w:val="0"/>
          <w:bCs w:val="0"/>
          <w:i w:val="0"/>
          <w:iCs w:val="0"/>
          <w:color w:val="000000"/>
          <w:sz w:val="24"/>
          <w:szCs w:val="24"/>
        </w:rPr>
        <w:t xml:space="preserve"> 既有建筑光伏系统在安装施工过程中破坏的防水层需要重新修复，</w:t>
      </w:r>
      <w:r>
        <w:rPr>
          <w:rFonts w:hint="eastAsia" w:cs="Times New Roman"/>
          <w:b w:val="0"/>
          <w:bCs w:val="0"/>
          <w:i w:val="0"/>
          <w:iCs w:val="0"/>
          <w:color w:val="000000"/>
          <w:sz w:val="24"/>
          <w:szCs w:val="24"/>
          <w:lang w:val="en-US" w:eastAsia="zh-CN"/>
        </w:rPr>
        <w:t>应</w:t>
      </w:r>
      <w:r>
        <w:rPr>
          <w:rFonts w:ascii="Times New Roman" w:hAnsi="Times New Roman" w:eastAsia="宋体" w:cs="Times New Roman"/>
          <w:b w:val="0"/>
          <w:bCs w:val="0"/>
          <w:i w:val="0"/>
          <w:iCs w:val="0"/>
          <w:color w:val="000000"/>
          <w:sz w:val="24"/>
          <w:szCs w:val="24"/>
        </w:rPr>
        <w:t>不低于原有防水性能且符合《屋面工程质量验收规范》GB 50207的要求。</w:t>
      </w:r>
    </w:p>
    <w:p w14:paraId="7B60163E">
      <w:pPr>
        <w:pStyle w:val="2"/>
        <w:spacing w:line="300" w:lineRule="auto"/>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48E508AE">
      <w:pPr>
        <w:pStyle w:val="2"/>
        <w:spacing w:line="300" w:lineRule="auto"/>
        <w:rPr>
          <w:rFonts w:hint="eastAsia" w:ascii="仿宋" w:hAnsi="仿宋" w:eastAsia="仿宋" w:cs="仿宋"/>
          <w:i/>
          <w:iCs/>
          <w:color w:val="0623BA"/>
          <w:sz w:val="24"/>
        </w:rPr>
      </w:pPr>
      <w:r>
        <w:rPr>
          <w:rFonts w:hint="eastAsia" w:ascii="仿宋" w:hAnsi="仿宋" w:eastAsia="仿宋" w:cs="仿宋"/>
          <w:i/>
          <w:iCs/>
          <w:color w:val="0623BA"/>
          <w:sz w:val="24"/>
          <w:lang w:val="en-US" w:eastAsia="zh-CN"/>
        </w:rPr>
        <w:t xml:space="preserve">10.2.3 </w:t>
      </w:r>
      <w:r>
        <w:rPr>
          <w:rFonts w:hint="eastAsia" w:ascii="仿宋" w:hAnsi="仿宋" w:eastAsia="仿宋" w:cs="仿宋"/>
          <w:i/>
          <w:iCs/>
          <w:color w:val="0623BA"/>
          <w:sz w:val="24"/>
        </w:rPr>
        <w:t>不少建筑光伏系统工程采用预制支架基座</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直接放置在建筑屋面上</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易对屋面造成损害</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应附加防水层和保护层。</w:t>
      </w:r>
    </w:p>
    <w:p w14:paraId="1CCD4BE2">
      <w:pPr>
        <w:snapToGrid w:val="0"/>
        <w:spacing w:line="300" w:lineRule="auto"/>
        <w:ind w:firstLine="0" w:firstLineChars="0"/>
        <w:rPr>
          <w:rFonts w:hint="eastAsia" w:eastAsia="宋体"/>
          <w:lang w:eastAsia="zh-CN"/>
        </w:rPr>
      </w:pPr>
      <w:r>
        <w:rPr>
          <w:rFonts w:hint="eastAsia"/>
          <w:b/>
          <w:bCs/>
          <w:sz w:val="24"/>
          <w:lang w:val="en-US" w:eastAsia="zh-CN"/>
        </w:rPr>
        <w:t xml:space="preserve">10.2.4 </w:t>
      </w:r>
      <w:r>
        <w:rPr>
          <w:rFonts w:hint="eastAsia"/>
          <w:sz w:val="24"/>
        </w:rPr>
        <w:t>基座应按设计要求的位置、数量设置，基座应牢固、整齐</w:t>
      </w:r>
      <w:r>
        <w:rPr>
          <w:rFonts w:hint="eastAsia"/>
          <w:sz w:val="24"/>
          <w:lang w:eastAsia="zh-CN"/>
        </w:rPr>
        <w:t>。</w:t>
      </w:r>
    </w:p>
    <w:p w14:paraId="758B4D58">
      <w:pPr>
        <w:snapToGrid w:val="0"/>
        <w:spacing w:line="300" w:lineRule="auto"/>
        <w:ind w:firstLine="0" w:firstLineChars="0"/>
      </w:pPr>
      <w:r>
        <w:rPr>
          <w:b/>
          <w:bCs/>
          <w:sz w:val="24"/>
        </w:rPr>
        <w:t>1</w:t>
      </w:r>
      <w:r>
        <w:rPr>
          <w:rFonts w:hint="eastAsia"/>
          <w:b/>
          <w:bCs/>
          <w:sz w:val="24"/>
          <w:lang w:eastAsia="zh-CN"/>
        </w:rPr>
        <w:t>0</w:t>
      </w:r>
      <w:r>
        <w:rPr>
          <w:b/>
          <w:bCs/>
          <w:sz w:val="24"/>
        </w:rPr>
        <w:t>.2.</w:t>
      </w:r>
      <w:r>
        <w:rPr>
          <w:rFonts w:hint="eastAsia"/>
          <w:b/>
          <w:bCs/>
          <w:sz w:val="24"/>
          <w:lang w:val="en-US" w:eastAsia="zh-CN"/>
        </w:rPr>
        <w:t>5</w:t>
      </w:r>
      <w:r>
        <w:rPr>
          <w:rFonts w:ascii="Times New Roman" w:hAnsi="Times New Roman" w:eastAsia="宋体" w:cs="Times New Roman"/>
          <w:b/>
          <w:bCs/>
          <w:i w:val="0"/>
          <w:iCs w:val="0"/>
          <w:sz w:val="24"/>
          <w:szCs w:val="24"/>
        </w:rPr>
        <w:t xml:space="preserve"> </w:t>
      </w:r>
      <w:r>
        <w:rPr>
          <w:rFonts w:hint="eastAsia"/>
          <w:sz w:val="24"/>
          <w:lang w:val="en-US" w:eastAsia="zh-CN"/>
        </w:rPr>
        <w:t>预埋件安装到位后，应采取有效措施对预埋件进行固定并进行隐蔽工程验收。</w:t>
      </w:r>
      <w:r>
        <w:rPr>
          <w:rFonts w:hint="eastAsia"/>
          <w:sz w:val="24"/>
        </w:rPr>
        <w:t>预埋件与基座之间的空隙，应采用细石混凝土填捣密实；钢基座及混凝土基座顶面的预埋件，应按设计要求的防腐级别涂上防腐涂料并妥善保护。</w:t>
      </w:r>
    </w:p>
    <w:p w14:paraId="54576600">
      <w:pPr>
        <w:snapToGrid w:val="0"/>
        <w:spacing w:line="300" w:lineRule="auto"/>
        <w:rPr>
          <w:rFonts w:hint="eastAsia"/>
          <w:sz w:val="24"/>
          <w:lang w:val="en-US" w:eastAsia="zh-CN"/>
        </w:rPr>
      </w:pPr>
      <w:r>
        <w:rPr>
          <w:b/>
          <w:bCs/>
          <w:sz w:val="24"/>
        </w:rPr>
        <w:t>1</w:t>
      </w:r>
      <w:r>
        <w:rPr>
          <w:rFonts w:hint="eastAsia"/>
          <w:b/>
          <w:bCs/>
          <w:sz w:val="24"/>
          <w:lang w:val="en-US" w:eastAsia="zh-CN"/>
        </w:rPr>
        <w:t>0</w:t>
      </w:r>
      <w:r>
        <w:rPr>
          <w:b/>
          <w:bCs/>
          <w:sz w:val="24"/>
        </w:rPr>
        <w:t>.2.</w:t>
      </w:r>
      <w:r>
        <w:rPr>
          <w:rFonts w:hint="eastAsia"/>
          <w:b/>
          <w:bCs/>
          <w:sz w:val="24"/>
          <w:lang w:val="en-US" w:eastAsia="zh-CN"/>
        </w:rPr>
        <w:t xml:space="preserve">6 </w:t>
      </w:r>
      <w:r>
        <w:rPr>
          <w:rFonts w:hint="eastAsia"/>
          <w:sz w:val="24"/>
          <w:lang w:val="en-US" w:eastAsia="zh-CN"/>
        </w:rPr>
        <w:t>平板型预埋件和后置锚固连接件锚板在安装时，标高允许偏差不应大于±10m，平面位置允许偏差不应大于±20m；槽型预埋件在安装时，标高允许偏差不应大于±5m，平面位置允许偏差不应大于±10mm。设计无要求时，按照上述要求：设计有更高要求时，应根据设计要求。</w:t>
      </w:r>
    </w:p>
    <w:p w14:paraId="66E194FE">
      <w:pPr>
        <w:snapToGrid w:val="0"/>
        <w:spacing w:line="300" w:lineRule="auto"/>
        <w:jc w:val="center"/>
        <w:rPr>
          <w:rFonts w:hint="default" w:eastAsia="宋体"/>
          <w:b w:val="0"/>
          <w:bCs w:val="0"/>
          <w:sz w:val="24"/>
          <w:lang w:val="en-US" w:eastAsia="zh-CN"/>
        </w:rPr>
      </w:pPr>
      <w:r>
        <w:rPr>
          <w:rFonts w:hint="default" w:ascii="Times New Roman" w:hAnsi="Times New Roman" w:eastAsia="宋体" w:cs="Times New Roman"/>
          <w:b w:val="0"/>
          <w:bCs w:val="0"/>
          <w:sz w:val="24"/>
        </w:rPr>
        <w:t>Ⅱ</w:t>
      </w:r>
      <w:r>
        <w:rPr>
          <w:rFonts w:hint="eastAsia" w:cs="Times New Roman"/>
          <w:b w:val="0"/>
          <w:bCs w:val="0"/>
          <w:sz w:val="24"/>
          <w:lang w:val="en-US" w:eastAsia="zh-CN"/>
        </w:rPr>
        <w:t xml:space="preserve"> </w:t>
      </w:r>
      <w:r>
        <w:rPr>
          <w:rFonts w:hint="default"/>
          <w:b w:val="0"/>
          <w:bCs w:val="0"/>
          <w:sz w:val="24"/>
          <w:lang w:val="en-US" w:eastAsia="zh-CN"/>
        </w:rPr>
        <w:t>支架</w:t>
      </w:r>
    </w:p>
    <w:p w14:paraId="172CB2B8">
      <w:pPr>
        <w:snapToGrid w:val="0"/>
        <w:spacing w:line="300" w:lineRule="auto"/>
        <w:rPr>
          <w:rFonts w:hint="eastAsia" w:eastAsia="宋体"/>
          <w:sz w:val="24"/>
          <w:lang w:eastAsia="zh-CN"/>
        </w:rPr>
      </w:pPr>
      <w:r>
        <w:rPr>
          <w:b/>
          <w:bCs/>
          <w:sz w:val="24"/>
        </w:rPr>
        <w:t>1</w:t>
      </w:r>
      <w:r>
        <w:rPr>
          <w:rFonts w:hint="eastAsia"/>
          <w:b/>
          <w:bCs/>
          <w:sz w:val="24"/>
          <w:lang w:val="en-US" w:eastAsia="zh-CN"/>
        </w:rPr>
        <w:t>0</w:t>
      </w:r>
      <w:r>
        <w:rPr>
          <w:b/>
          <w:bCs/>
          <w:sz w:val="24"/>
        </w:rPr>
        <w:t>.2.</w:t>
      </w:r>
      <w:r>
        <w:rPr>
          <w:rFonts w:hint="eastAsia"/>
          <w:b/>
          <w:bCs/>
          <w:sz w:val="24"/>
          <w:lang w:val="en-US" w:eastAsia="zh-CN"/>
        </w:rPr>
        <w:t>7</w:t>
      </w:r>
      <w:r>
        <w:rPr>
          <w:rFonts w:hint="eastAsia"/>
          <w:sz w:val="24"/>
        </w:rPr>
        <w:t xml:space="preserve"> 支架安装应符合下列规定</w:t>
      </w:r>
      <w:r>
        <w:rPr>
          <w:rFonts w:hint="eastAsia"/>
          <w:sz w:val="24"/>
          <w:lang w:eastAsia="zh-CN"/>
        </w:rPr>
        <w:t>：</w:t>
      </w:r>
    </w:p>
    <w:p w14:paraId="77F18599">
      <w:pPr>
        <w:snapToGrid w:val="0"/>
        <w:spacing w:line="300" w:lineRule="auto"/>
        <w:ind w:firstLine="482" w:firstLineChars="200"/>
        <w:rPr>
          <w:rFonts w:hint="eastAsia"/>
          <w:sz w:val="24"/>
          <w:lang w:eastAsia="zh-CN"/>
        </w:rPr>
      </w:pPr>
      <w:r>
        <w:rPr>
          <w:rFonts w:hint="eastAsia"/>
          <w:b/>
          <w:bCs/>
          <w:sz w:val="24"/>
        </w:rPr>
        <w:t>1</w:t>
      </w:r>
      <w:r>
        <w:rPr>
          <w:rFonts w:hint="eastAsia"/>
          <w:b/>
          <w:bCs/>
          <w:sz w:val="24"/>
          <w:lang w:val="en-US" w:eastAsia="zh-CN"/>
        </w:rPr>
        <w:t xml:space="preserve"> </w:t>
      </w:r>
      <w:r>
        <w:rPr>
          <w:rFonts w:hint="eastAsia"/>
          <w:sz w:val="24"/>
        </w:rPr>
        <w:t>应在连接部件验收合格后安装支架。采用现浇混凝土基座时</w:t>
      </w:r>
      <w:r>
        <w:rPr>
          <w:rFonts w:hint="eastAsia"/>
          <w:sz w:val="24"/>
          <w:lang w:eastAsia="zh-CN"/>
        </w:rPr>
        <w:t>，</w:t>
      </w:r>
      <w:r>
        <w:rPr>
          <w:rFonts w:hint="eastAsia"/>
          <w:sz w:val="24"/>
        </w:rPr>
        <w:t>应在混凝土的强度达到设计强度的</w:t>
      </w:r>
      <w:r>
        <w:rPr>
          <w:rFonts w:hint="eastAsia"/>
          <w:sz w:val="24"/>
          <w:lang w:val="en-US" w:eastAsia="zh-CN"/>
        </w:rPr>
        <w:t>70%以上</w:t>
      </w:r>
      <w:r>
        <w:rPr>
          <w:rFonts w:hint="eastAsia"/>
          <w:sz w:val="24"/>
        </w:rPr>
        <w:t>后安装支架</w:t>
      </w:r>
      <w:r>
        <w:rPr>
          <w:rFonts w:hint="eastAsia"/>
          <w:sz w:val="24"/>
          <w:lang w:eastAsia="zh-CN"/>
        </w:rPr>
        <w:t>；</w:t>
      </w:r>
    </w:p>
    <w:p w14:paraId="403AF1E6">
      <w:pPr>
        <w:snapToGrid w:val="0"/>
        <w:spacing w:line="300" w:lineRule="auto"/>
        <w:ind w:firstLine="482" w:firstLineChars="200"/>
        <w:rPr>
          <w:rFonts w:hint="eastAsia" w:eastAsia="宋体"/>
          <w:sz w:val="24"/>
          <w:lang w:eastAsia="zh-CN"/>
        </w:rPr>
      </w:pPr>
      <w:r>
        <w:rPr>
          <w:rFonts w:hint="eastAsia"/>
          <w:b/>
          <w:bCs/>
          <w:sz w:val="24"/>
        </w:rPr>
        <w:t xml:space="preserve">2 </w:t>
      </w:r>
      <w:r>
        <w:rPr>
          <w:rFonts w:hint="eastAsia"/>
          <w:sz w:val="24"/>
        </w:rPr>
        <w:t>支架安装过程中不应破坏防腐涂层</w:t>
      </w:r>
      <w:r>
        <w:rPr>
          <w:rFonts w:hint="eastAsia"/>
          <w:sz w:val="24"/>
          <w:lang w:eastAsia="zh-CN"/>
        </w:rPr>
        <w:t>；</w:t>
      </w:r>
    </w:p>
    <w:p w14:paraId="413510A2">
      <w:pPr>
        <w:snapToGrid w:val="0"/>
        <w:spacing w:line="300" w:lineRule="auto"/>
        <w:ind w:firstLine="482" w:firstLineChars="200"/>
        <w:rPr>
          <w:rFonts w:hint="eastAsia"/>
          <w:sz w:val="24"/>
          <w:lang w:eastAsia="zh-CN"/>
        </w:rPr>
      </w:pPr>
      <w:r>
        <w:rPr>
          <w:rFonts w:hint="eastAsia"/>
          <w:b/>
          <w:bCs/>
          <w:sz w:val="24"/>
        </w:rPr>
        <w:t xml:space="preserve">3 </w:t>
      </w:r>
      <w:r>
        <w:rPr>
          <w:rFonts w:hint="eastAsia"/>
          <w:sz w:val="24"/>
        </w:rPr>
        <w:t>支架安装过程中不应气剖扩孔</w:t>
      </w:r>
      <w:r>
        <w:rPr>
          <w:rFonts w:hint="eastAsia"/>
          <w:sz w:val="24"/>
          <w:lang w:eastAsia="zh-CN"/>
        </w:rPr>
        <w:t>，</w:t>
      </w:r>
      <w:r>
        <w:rPr>
          <w:rFonts w:hint="eastAsia"/>
          <w:sz w:val="24"/>
        </w:rPr>
        <w:t>热镀锌钢构件</w:t>
      </w:r>
      <w:r>
        <w:rPr>
          <w:rFonts w:hint="eastAsia"/>
          <w:sz w:val="24"/>
          <w:lang w:eastAsia="zh-CN"/>
        </w:rPr>
        <w:t>，</w:t>
      </w:r>
      <w:r>
        <w:rPr>
          <w:rFonts w:hint="eastAsia"/>
          <w:sz w:val="24"/>
        </w:rPr>
        <w:t>不宜现场切割、开孔</w:t>
      </w:r>
      <w:r>
        <w:rPr>
          <w:rFonts w:hint="eastAsia"/>
          <w:sz w:val="24"/>
          <w:lang w:eastAsia="zh-CN"/>
        </w:rPr>
        <w:t>。</w:t>
      </w:r>
    </w:p>
    <w:p w14:paraId="285FA076">
      <w:pPr>
        <w:snapToGrid w:val="0"/>
        <w:spacing w:line="300" w:lineRule="auto"/>
        <w:rPr>
          <w:sz w:val="24"/>
        </w:rPr>
      </w:pPr>
      <w:r>
        <w:rPr>
          <w:b/>
          <w:bCs/>
          <w:sz w:val="24"/>
        </w:rPr>
        <w:t>1</w:t>
      </w:r>
      <w:r>
        <w:rPr>
          <w:rFonts w:hint="eastAsia"/>
          <w:b/>
          <w:bCs/>
          <w:sz w:val="24"/>
          <w:lang w:val="en-US" w:eastAsia="zh-CN"/>
        </w:rPr>
        <w:t>0</w:t>
      </w:r>
      <w:r>
        <w:rPr>
          <w:b/>
          <w:bCs/>
          <w:sz w:val="24"/>
        </w:rPr>
        <w:t>.2.</w:t>
      </w:r>
      <w:r>
        <w:rPr>
          <w:rFonts w:hint="eastAsia"/>
          <w:b/>
          <w:bCs/>
          <w:sz w:val="24"/>
          <w:lang w:val="en-US" w:eastAsia="zh-CN"/>
        </w:rPr>
        <w:t>8</w:t>
      </w:r>
      <w:r>
        <w:rPr>
          <w:rFonts w:hint="eastAsia"/>
          <w:sz w:val="24"/>
        </w:rPr>
        <w:t xml:space="preserve"> </w:t>
      </w:r>
      <w:r>
        <w:rPr>
          <w:sz w:val="24"/>
        </w:rPr>
        <w:t>支架安装应符合下列规定：</w:t>
      </w:r>
    </w:p>
    <w:p w14:paraId="35936017">
      <w:pPr>
        <w:snapToGrid w:val="0"/>
        <w:spacing w:line="300" w:lineRule="auto"/>
        <w:ind w:firstLine="482" w:firstLineChars="200"/>
        <w:jc w:val="left"/>
        <w:rPr>
          <w:rFonts w:hint="eastAsia" w:eastAsia="宋体"/>
          <w:sz w:val="24"/>
          <w:lang w:eastAsia="zh-CN"/>
        </w:rPr>
      </w:pPr>
      <w:r>
        <w:rPr>
          <w:b/>
          <w:bCs/>
          <w:sz w:val="24"/>
        </w:rPr>
        <w:t>1</w:t>
      </w:r>
      <w:r>
        <w:rPr>
          <w:rFonts w:hint="eastAsia"/>
          <w:b/>
          <w:bCs/>
          <w:sz w:val="24"/>
          <w:lang w:val="en-US" w:eastAsia="zh-CN"/>
        </w:rPr>
        <w:t xml:space="preserve"> </w:t>
      </w:r>
      <w:r>
        <w:rPr>
          <w:sz w:val="24"/>
        </w:rPr>
        <w:t>应在连接部件验收合格后安装支架。采用现浇混凝土基座时，应在混凝土的强度达到设计强度的70%以上后安装支架</w:t>
      </w:r>
      <w:r>
        <w:rPr>
          <w:rFonts w:hint="eastAsia"/>
          <w:sz w:val="24"/>
          <w:lang w:eastAsia="zh-CN"/>
        </w:rPr>
        <w:t>；</w:t>
      </w:r>
    </w:p>
    <w:p w14:paraId="2EDA639C">
      <w:pPr>
        <w:snapToGrid w:val="0"/>
        <w:spacing w:line="300" w:lineRule="auto"/>
        <w:ind w:firstLine="482" w:firstLineChars="200"/>
        <w:jc w:val="left"/>
        <w:rPr>
          <w:rFonts w:hint="eastAsia" w:eastAsia="宋体"/>
          <w:sz w:val="24"/>
          <w:lang w:eastAsia="zh-CN"/>
        </w:rPr>
      </w:pPr>
      <w:r>
        <w:rPr>
          <w:b/>
          <w:bCs/>
          <w:sz w:val="24"/>
        </w:rPr>
        <w:t>2</w:t>
      </w:r>
      <w:r>
        <w:rPr>
          <w:rFonts w:hint="eastAsia"/>
          <w:b/>
          <w:bCs/>
          <w:sz w:val="24"/>
          <w:lang w:val="en-US" w:eastAsia="zh-CN"/>
        </w:rPr>
        <w:t xml:space="preserve"> </w:t>
      </w:r>
      <w:r>
        <w:rPr>
          <w:sz w:val="24"/>
        </w:rPr>
        <w:t>支架安装过程中不应破坏防腐涂层</w:t>
      </w:r>
      <w:r>
        <w:rPr>
          <w:rFonts w:hint="eastAsia"/>
          <w:sz w:val="24"/>
          <w:lang w:eastAsia="zh-CN"/>
        </w:rPr>
        <w:t>；</w:t>
      </w:r>
    </w:p>
    <w:p w14:paraId="0F6D5450">
      <w:pPr>
        <w:snapToGrid w:val="0"/>
        <w:spacing w:line="300" w:lineRule="auto"/>
        <w:ind w:firstLine="482" w:firstLineChars="200"/>
        <w:jc w:val="left"/>
        <w:rPr>
          <w:sz w:val="24"/>
        </w:rPr>
      </w:pPr>
      <w:r>
        <w:rPr>
          <w:b/>
          <w:bCs/>
          <w:sz w:val="24"/>
        </w:rPr>
        <w:t>3</w:t>
      </w:r>
      <w:r>
        <w:rPr>
          <w:rFonts w:hint="eastAsia"/>
          <w:b/>
          <w:bCs/>
          <w:sz w:val="24"/>
          <w:lang w:val="en-US" w:eastAsia="zh-CN"/>
        </w:rPr>
        <w:t xml:space="preserve"> </w:t>
      </w:r>
      <w:r>
        <w:rPr>
          <w:sz w:val="24"/>
        </w:rPr>
        <w:t>支架安装过程中不应气割扩孔</w:t>
      </w:r>
      <w:r>
        <w:rPr>
          <w:rFonts w:hint="eastAsia"/>
          <w:sz w:val="24"/>
          <w:lang w:eastAsia="zh-CN"/>
        </w:rPr>
        <w:t>，</w:t>
      </w:r>
      <w:r>
        <w:rPr>
          <w:sz w:val="24"/>
        </w:rPr>
        <w:t>热镀锌钢构件，不宜现场切割、开孔。支架安装的尺寸允许偏差应符合表1</w:t>
      </w:r>
      <w:r>
        <w:rPr>
          <w:rFonts w:hint="eastAsia"/>
          <w:sz w:val="24"/>
          <w:lang w:val="en-US" w:eastAsia="zh-CN"/>
        </w:rPr>
        <w:t>0</w:t>
      </w:r>
      <w:r>
        <w:rPr>
          <w:sz w:val="24"/>
        </w:rPr>
        <w:t>.2.</w:t>
      </w:r>
      <w:r>
        <w:rPr>
          <w:rFonts w:hint="eastAsia"/>
          <w:sz w:val="24"/>
          <w:lang w:val="en-US" w:eastAsia="zh-CN"/>
        </w:rPr>
        <w:t>8</w:t>
      </w:r>
      <w:r>
        <w:rPr>
          <w:sz w:val="24"/>
        </w:rPr>
        <w:t>的规定。</w:t>
      </w:r>
    </w:p>
    <w:p w14:paraId="00A61FC4">
      <w:pPr>
        <w:snapToGrid w:val="0"/>
        <w:spacing w:line="300" w:lineRule="auto"/>
        <w:jc w:val="center"/>
        <w:rPr>
          <w:b/>
          <w:bCs/>
          <w:sz w:val="21"/>
          <w:szCs w:val="21"/>
        </w:rPr>
      </w:pPr>
      <w:r>
        <w:rPr>
          <w:b/>
          <w:bCs/>
          <w:sz w:val="21"/>
          <w:szCs w:val="21"/>
        </w:rPr>
        <w:t>表1</w:t>
      </w:r>
      <w:r>
        <w:rPr>
          <w:rFonts w:hint="eastAsia"/>
          <w:b/>
          <w:bCs/>
          <w:sz w:val="21"/>
          <w:szCs w:val="21"/>
          <w:lang w:val="en-US" w:eastAsia="zh-CN"/>
        </w:rPr>
        <w:t>0</w:t>
      </w:r>
      <w:r>
        <w:rPr>
          <w:b/>
          <w:bCs/>
          <w:sz w:val="21"/>
          <w:szCs w:val="21"/>
        </w:rPr>
        <w:t>.2.</w:t>
      </w:r>
      <w:r>
        <w:rPr>
          <w:rFonts w:hint="eastAsia"/>
          <w:b/>
          <w:bCs/>
          <w:sz w:val="21"/>
          <w:szCs w:val="21"/>
          <w:lang w:val="en-US" w:eastAsia="zh-CN"/>
        </w:rPr>
        <w:t xml:space="preserve">8 </w:t>
      </w:r>
      <w:r>
        <w:rPr>
          <w:b/>
          <w:bCs/>
          <w:sz w:val="21"/>
          <w:szCs w:val="21"/>
        </w:rPr>
        <w:t>支架安装的尺寸允许偏差</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E94E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14:paraId="66389B90">
            <w:pPr>
              <w:snapToGrid w:val="0"/>
              <w:spacing w:line="240" w:lineRule="auto"/>
              <w:jc w:val="center"/>
              <w:rPr>
                <w:b/>
                <w:bCs/>
                <w:sz w:val="21"/>
                <w:szCs w:val="21"/>
              </w:rPr>
            </w:pPr>
            <w:r>
              <w:rPr>
                <w:b/>
                <w:bCs/>
                <w:sz w:val="21"/>
                <w:szCs w:val="21"/>
              </w:rPr>
              <w:t>项目名称</w:t>
            </w:r>
          </w:p>
        </w:tc>
        <w:tc>
          <w:tcPr>
            <w:tcW w:w="2500" w:type="pct"/>
            <w:vAlign w:val="center"/>
          </w:tcPr>
          <w:p w14:paraId="6853C546">
            <w:pPr>
              <w:snapToGrid w:val="0"/>
              <w:spacing w:line="240" w:lineRule="auto"/>
              <w:jc w:val="center"/>
              <w:rPr>
                <w:b/>
                <w:bCs/>
                <w:sz w:val="21"/>
                <w:szCs w:val="21"/>
              </w:rPr>
            </w:pPr>
            <w:r>
              <w:rPr>
                <w:b/>
                <w:bCs/>
                <w:sz w:val="21"/>
                <w:szCs w:val="21"/>
              </w:rPr>
              <w:t>允许偏差</w:t>
            </w:r>
          </w:p>
        </w:tc>
      </w:tr>
      <w:tr w14:paraId="37EA9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14:paraId="389A7F0B">
            <w:pPr>
              <w:snapToGrid w:val="0"/>
              <w:spacing w:line="240" w:lineRule="auto"/>
              <w:jc w:val="center"/>
              <w:rPr>
                <w:sz w:val="21"/>
                <w:szCs w:val="21"/>
              </w:rPr>
            </w:pPr>
            <w:r>
              <w:rPr>
                <w:sz w:val="21"/>
                <w:szCs w:val="21"/>
              </w:rPr>
              <w:t>中心线偏差</w:t>
            </w:r>
          </w:p>
        </w:tc>
        <w:tc>
          <w:tcPr>
            <w:tcW w:w="2500" w:type="pct"/>
            <w:vAlign w:val="center"/>
          </w:tcPr>
          <w:p w14:paraId="5D3F70FC">
            <w:pPr>
              <w:snapToGrid w:val="0"/>
              <w:spacing w:line="240" w:lineRule="auto"/>
              <w:jc w:val="center"/>
              <w:rPr>
                <w:sz w:val="21"/>
                <w:szCs w:val="21"/>
              </w:rPr>
            </w:pPr>
            <w:r>
              <w:rPr>
                <w:rFonts w:hint="eastAsia"/>
                <w:sz w:val="24"/>
                <w:lang w:val="en-US" w:eastAsia="zh-CN"/>
              </w:rPr>
              <w:t>±</w:t>
            </w:r>
            <w:r>
              <w:rPr>
                <w:sz w:val="21"/>
                <w:szCs w:val="21"/>
              </w:rPr>
              <w:t>2mm</w:t>
            </w:r>
          </w:p>
        </w:tc>
      </w:tr>
      <w:tr w14:paraId="40E76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14:paraId="3DAB3619">
            <w:pPr>
              <w:snapToGrid w:val="0"/>
              <w:spacing w:line="240" w:lineRule="auto"/>
              <w:jc w:val="center"/>
              <w:rPr>
                <w:sz w:val="21"/>
                <w:szCs w:val="21"/>
              </w:rPr>
            </w:pPr>
            <w:r>
              <w:rPr>
                <w:sz w:val="21"/>
                <w:szCs w:val="21"/>
              </w:rPr>
              <w:t>梁标高偏差(同组)</w:t>
            </w:r>
          </w:p>
        </w:tc>
        <w:tc>
          <w:tcPr>
            <w:tcW w:w="2500" w:type="pct"/>
            <w:vAlign w:val="center"/>
          </w:tcPr>
          <w:p w14:paraId="143CD65C">
            <w:pPr>
              <w:snapToGrid w:val="0"/>
              <w:spacing w:line="240" w:lineRule="auto"/>
              <w:jc w:val="center"/>
              <w:rPr>
                <w:sz w:val="21"/>
                <w:szCs w:val="21"/>
              </w:rPr>
            </w:pPr>
            <w:r>
              <w:rPr>
                <w:rFonts w:hint="eastAsia"/>
                <w:sz w:val="24"/>
                <w:lang w:val="en-US" w:eastAsia="zh-CN"/>
              </w:rPr>
              <w:t>±</w:t>
            </w:r>
            <w:r>
              <w:rPr>
                <w:sz w:val="21"/>
                <w:szCs w:val="21"/>
              </w:rPr>
              <w:t>3mm</w:t>
            </w:r>
          </w:p>
        </w:tc>
      </w:tr>
      <w:tr w14:paraId="689F6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14:paraId="380C9A27">
            <w:pPr>
              <w:snapToGrid w:val="0"/>
              <w:spacing w:line="240" w:lineRule="auto"/>
              <w:jc w:val="center"/>
              <w:rPr>
                <w:sz w:val="21"/>
                <w:szCs w:val="21"/>
              </w:rPr>
            </w:pPr>
            <w:r>
              <w:rPr>
                <w:rFonts w:hint="eastAsia"/>
                <w:sz w:val="21"/>
                <w:szCs w:val="21"/>
              </w:rPr>
              <w:t>立柱面偏差(同组)</w:t>
            </w:r>
          </w:p>
        </w:tc>
        <w:tc>
          <w:tcPr>
            <w:tcW w:w="2500" w:type="pct"/>
            <w:vAlign w:val="center"/>
          </w:tcPr>
          <w:p w14:paraId="051B81A9">
            <w:pPr>
              <w:snapToGrid w:val="0"/>
              <w:spacing w:line="240" w:lineRule="auto"/>
              <w:jc w:val="center"/>
              <w:rPr>
                <w:sz w:val="21"/>
                <w:szCs w:val="21"/>
              </w:rPr>
            </w:pPr>
            <w:r>
              <w:rPr>
                <w:rFonts w:hint="eastAsia"/>
                <w:sz w:val="24"/>
                <w:lang w:val="en-US" w:eastAsia="zh-CN"/>
              </w:rPr>
              <w:t>±</w:t>
            </w:r>
            <w:r>
              <w:rPr>
                <w:sz w:val="21"/>
                <w:szCs w:val="21"/>
              </w:rPr>
              <w:t>3mm</w:t>
            </w:r>
          </w:p>
        </w:tc>
      </w:tr>
      <w:tr w14:paraId="27DAB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14:paraId="6F62AC1F">
            <w:pPr>
              <w:snapToGrid w:val="0"/>
              <w:spacing w:line="240" w:lineRule="auto"/>
              <w:jc w:val="center"/>
              <w:rPr>
                <w:sz w:val="21"/>
                <w:szCs w:val="21"/>
              </w:rPr>
            </w:pPr>
            <w:r>
              <w:rPr>
                <w:rFonts w:hint="eastAsia"/>
                <w:sz w:val="21"/>
                <w:szCs w:val="21"/>
              </w:rPr>
              <w:t>平屋顶支架倾斜角度</w:t>
            </w:r>
          </w:p>
        </w:tc>
        <w:tc>
          <w:tcPr>
            <w:tcW w:w="2500" w:type="pct"/>
            <w:vAlign w:val="center"/>
          </w:tcPr>
          <w:p w14:paraId="4B7D1D34">
            <w:pPr>
              <w:snapToGrid w:val="0"/>
              <w:spacing w:line="240" w:lineRule="auto"/>
              <w:jc w:val="center"/>
              <w:rPr>
                <w:sz w:val="21"/>
                <w:szCs w:val="21"/>
              </w:rPr>
            </w:pPr>
            <w:r>
              <w:rPr>
                <w:rFonts w:hint="eastAsia"/>
                <w:sz w:val="24"/>
                <w:lang w:val="en-US" w:eastAsia="zh-CN"/>
              </w:rPr>
              <w:t>±</w:t>
            </w:r>
            <w:r>
              <w:rPr>
                <w:sz w:val="21"/>
                <w:szCs w:val="21"/>
              </w:rPr>
              <w:t>1°</w:t>
            </w:r>
          </w:p>
        </w:tc>
      </w:tr>
    </w:tbl>
    <w:p w14:paraId="278DE19A">
      <w:pPr>
        <w:pStyle w:val="2"/>
        <w:spacing w:line="300" w:lineRule="auto"/>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0713676A">
      <w:pPr>
        <w:pStyle w:val="2"/>
        <w:spacing w:line="300" w:lineRule="auto"/>
        <w:rPr>
          <w:rFonts w:hint="eastAsia" w:ascii="仿宋" w:hAnsi="仿宋" w:eastAsia="仿宋" w:cs="仿宋"/>
          <w:i/>
          <w:iCs/>
          <w:color w:val="0623BA"/>
          <w:sz w:val="24"/>
        </w:rPr>
      </w:pPr>
      <w:r>
        <w:rPr>
          <w:rFonts w:hint="eastAsia" w:ascii="仿宋" w:hAnsi="仿宋" w:eastAsia="仿宋" w:cs="仿宋"/>
          <w:i/>
          <w:iCs/>
          <w:color w:val="0623BA"/>
          <w:sz w:val="24"/>
        </w:rPr>
        <w:t>1</w:t>
      </w:r>
      <w:r>
        <w:rPr>
          <w:rFonts w:hint="eastAsia" w:ascii="仿宋" w:hAnsi="仿宋" w:eastAsia="仿宋" w:cs="仿宋"/>
          <w:i/>
          <w:iCs/>
          <w:color w:val="0623BA"/>
          <w:sz w:val="24"/>
          <w:lang w:val="en-US" w:eastAsia="zh-CN"/>
        </w:rPr>
        <w:t>0</w:t>
      </w:r>
      <w:r>
        <w:rPr>
          <w:rFonts w:hint="eastAsia" w:ascii="仿宋" w:hAnsi="仿宋" w:eastAsia="仿宋" w:cs="仿宋"/>
          <w:i/>
          <w:iCs/>
          <w:color w:val="0623BA"/>
          <w:sz w:val="24"/>
        </w:rPr>
        <w:t>.2.</w:t>
      </w:r>
      <w:r>
        <w:rPr>
          <w:rFonts w:hint="eastAsia" w:ascii="仿宋" w:hAnsi="仿宋" w:eastAsia="仿宋" w:cs="仿宋"/>
          <w:i/>
          <w:iCs/>
          <w:color w:val="0623BA"/>
          <w:sz w:val="24"/>
          <w:lang w:val="en-US" w:eastAsia="zh-CN"/>
        </w:rPr>
        <w:t>8</w:t>
      </w:r>
      <w:r>
        <w:rPr>
          <w:rFonts w:hint="eastAsia" w:ascii="仿宋" w:hAnsi="仿宋" w:eastAsia="仿宋" w:cs="仿宋"/>
          <w:i/>
          <w:iCs/>
          <w:color w:val="0623BA"/>
          <w:sz w:val="24"/>
        </w:rPr>
        <w:t xml:space="preserve"> 本条提出安装支架前混凝土强度的要求，主要是考虑以下两个方面：为了避免出现因在预埋件上焊接产生的高温膨胀造成混凝土裂纹及影响其载荷能力，要求混凝土强度达到70%以后才能进行上部支架焊接。因支架的重量较轻，荷载较小，没有规定支架混凝土强度需达到100%才允许安装支架。由于支架大多采用镀锌件，若破坏了镀锌层，将降低支架的使用寿命</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因此应避免现场切割、开孔等破坏镀锌层的施工。若镀锌层被破坏，应采取相应的防腐补救措施。对支架安装的定位尺寸偏差提出要求，主要是考虑支架安装后的整体观感和对组件安装质量的影响。根据计算，组件安装后角度偏差在±1°时，对组件的效率影响不大，故对支架的安装角度提出此要求。对于斜屋顶，组件一般采取随屋顶角度安装的方式</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因此没有对斜屋顶安装支架的倾斜度提出要求，如设计采用考虑发电效率按最佳倾角安装的方式</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则应按平屋顶支架倾斜角度的偏差值进行控制。</w:t>
      </w:r>
    </w:p>
    <w:p w14:paraId="6013E72F">
      <w:pPr>
        <w:snapToGrid w:val="0"/>
        <w:spacing w:line="300" w:lineRule="auto"/>
        <w:rPr>
          <w:rFonts w:hint="eastAsia"/>
          <w:sz w:val="24"/>
          <w:lang w:val="en-US" w:eastAsia="zh-CN"/>
        </w:rPr>
      </w:pPr>
      <w:r>
        <w:rPr>
          <w:b/>
          <w:bCs/>
          <w:sz w:val="24"/>
        </w:rPr>
        <w:t>1</w:t>
      </w:r>
      <w:r>
        <w:rPr>
          <w:rFonts w:hint="eastAsia"/>
          <w:b/>
          <w:bCs/>
          <w:sz w:val="24"/>
          <w:lang w:val="en-US" w:eastAsia="zh-CN"/>
        </w:rPr>
        <w:t>0</w:t>
      </w:r>
      <w:r>
        <w:rPr>
          <w:b/>
          <w:bCs/>
          <w:sz w:val="24"/>
        </w:rPr>
        <w:t>.2.</w:t>
      </w:r>
      <w:r>
        <w:rPr>
          <w:rFonts w:hint="eastAsia"/>
          <w:b/>
          <w:bCs/>
          <w:sz w:val="24"/>
          <w:lang w:val="en-US" w:eastAsia="zh-CN"/>
        </w:rPr>
        <w:t>9</w:t>
      </w:r>
      <w:r>
        <w:rPr>
          <w:rFonts w:hint="eastAsia"/>
          <w:b/>
          <w:bCs/>
          <w:sz w:val="24"/>
        </w:rPr>
        <w:t xml:space="preserve"> </w:t>
      </w:r>
      <w:r>
        <w:rPr>
          <w:sz w:val="24"/>
        </w:rPr>
        <w:t>现场宜采用机械连接的安装方式。当</w:t>
      </w:r>
      <w:r>
        <w:rPr>
          <w:sz w:val="24"/>
          <w:highlight w:val="none"/>
        </w:rPr>
        <w:t>采用焊接工艺时，焊接工艺应符合</w:t>
      </w:r>
      <w:r>
        <w:rPr>
          <w:rFonts w:hint="eastAsia"/>
          <w:sz w:val="24"/>
          <w:highlight w:val="none"/>
          <w:lang w:eastAsia="zh-CN"/>
        </w:rPr>
        <w:t>《</w:t>
      </w:r>
      <w:r>
        <w:rPr>
          <w:rFonts w:hint="eastAsia"/>
          <w:sz w:val="24"/>
          <w:highlight w:val="none"/>
        </w:rPr>
        <w:t>建筑光伏系统应用技术标准》</w:t>
      </w:r>
      <w:r>
        <w:rPr>
          <w:sz w:val="24"/>
          <w:highlight w:val="none"/>
        </w:rPr>
        <w:t>GB/T51368</w:t>
      </w:r>
      <w:r>
        <w:rPr>
          <w:rFonts w:hint="eastAsia"/>
          <w:sz w:val="24"/>
          <w:highlight w:val="none"/>
          <w:lang w:val="en-US" w:eastAsia="zh-CN"/>
        </w:rPr>
        <w:t>的</w:t>
      </w:r>
      <w:r>
        <w:rPr>
          <w:rFonts w:hint="eastAsia"/>
          <w:sz w:val="24"/>
          <w:lang w:val="en-US" w:eastAsia="zh-CN"/>
        </w:rPr>
        <w:t>有关规定。</w:t>
      </w:r>
    </w:p>
    <w:p w14:paraId="6DAAD75B">
      <w:pPr>
        <w:pStyle w:val="2"/>
        <w:spacing w:line="300" w:lineRule="auto"/>
        <w:jc w:val="center"/>
        <w:rPr>
          <w:rFonts w:hint="default"/>
          <w:sz w:val="24"/>
          <w:lang w:val="en-US" w:eastAsia="zh-CN"/>
        </w:rPr>
      </w:pPr>
      <w:r>
        <w:rPr>
          <w:rFonts w:hint="eastAsia" w:ascii="宋体" w:hAnsi="宋体" w:eastAsia="宋体" w:cs="宋体"/>
          <w:sz w:val="24"/>
          <w:lang w:val="en-US" w:eastAsia="zh-CN"/>
        </w:rPr>
        <w:t>Ⅲ</w:t>
      </w:r>
      <w:r>
        <w:rPr>
          <w:rFonts w:hint="eastAsia"/>
          <w:sz w:val="24"/>
          <w:lang w:val="en-US" w:eastAsia="zh-CN"/>
        </w:rPr>
        <w:t xml:space="preserve"> 连接部件</w:t>
      </w:r>
    </w:p>
    <w:p w14:paraId="3D55ED5A">
      <w:pPr>
        <w:snapToGrid w:val="0"/>
        <w:spacing w:line="300" w:lineRule="auto"/>
        <w:ind w:firstLine="0" w:firstLineChars="0"/>
        <w:rPr>
          <w:sz w:val="24"/>
        </w:rPr>
      </w:pPr>
      <w:r>
        <w:rPr>
          <w:b/>
          <w:bCs/>
          <w:sz w:val="24"/>
        </w:rPr>
        <w:t>1</w:t>
      </w:r>
      <w:r>
        <w:rPr>
          <w:rFonts w:hint="eastAsia"/>
          <w:b/>
          <w:bCs/>
          <w:sz w:val="24"/>
          <w:lang w:val="en-US" w:eastAsia="zh-CN"/>
        </w:rPr>
        <w:t>0</w:t>
      </w:r>
      <w:r>
        <w:rPr>
          <w:b/>
          <w:bCs/>
          <w:sz w:val="24"/>
        </w:rPr>
        <w:t>.2.</w:t>
      </w:r>
      <w:r>
        <w:rPr>
          <w:rFonts w:hint="eastAsia"/>
          <w:b/>
          <w:bCs/>
          <w:sz w:val="24"/>
          <w:lang w:val="en-US" w:eastAsia="zh-CN"/>
        </w:rPr>
        <w:t>10</w:t>
      </w:r>
      <w:r>
        <w:rPr>
          <w:rFonts w:hint="eastAsia"/>
          <w:b/>
          <w:bCs/>
          <w:sz w:val="24"/>
        </w:rPr>
        <w:t xml:space="preserve"> </w:t>
      </w:r>
      <w:r>
        <w:rPr>
          <w:sz w:val="24"/>
        </w:rPr>
        <w:t>支架连接部件的施工偏差应符合下列规定：</w:t>
      </w:r>
    </w:p>
    <w:p w14:paraId="26111BB1">
      <w:pPr>
        <w:snapToGrid w:val="0"/>
        <w:spacing w:line="300" w:lineRule="auto"/>
        <w:ind w:firstLine="480" w:firstLineChars="200"/>
        <w:jc w:val="left"/>
        <w:rPr>
          <w:sz w:val="24"/>
        </w:rPr>
      </w:pPr>
      <w:r>
        <w:rPr>
          <w:sz w:val="24"/>
        </w:rPr>
        <w:t>1</w:t>
      </w:r>
      <w:r>
        <w:rPr>
          <w:rFonts w:hint="eastAsia"/>
          <w:sz w:val="24"/>
          <w:lang w:val="en-US" w:eastAsia="zh-CN"/>
        </w:rPr>
        <w:t xml:space="preserve"> </w:t>
      </w:r>
      <w:r>
        <w:rPr>
          <w:sz w:val="24"/>
        </w:rPr>
        <w:t>混凝土基座的尺寸允许偏差应符合表1</w:t>
      </w:r>
      <w:r>
        <w:rPr>
          <w:rFonts w:hint="eastAsia"/>
          <w:sz w:val="24"/>
          <w:lang w:val="en-US" w:eastAsia="zh-CN"/>
        </w:rPr>
        <w:t>0</w:t>
      </w:r>
      <w:r>
        <w:rPr>
          <w:sz w:val="24"/>
        </w:rPr>
        <w:t>.2.</w:t>
      </w:r>
      <w:r>
        <w:rPr>
          <w:rFonts w:hint="eastAsia"/>
          <w:sz w:val="24"/>
          <w:lang w:val="en-US" w:eastAsia="zh-CN"/>
        </w:rPr>
        <w:t>10</w:t>
      </w:r>
      <w:r>
        <w:rPr>
          <w:sz w:val="24"/>
        </w:rPr>
        <w:t>-1的规定。</w:t>
      </w:r>
    </w:p>
    <w:p w14:paraId="453C35C7">
      <w:pPr>
        <w:snapToGrid w:val="0"/>
        <w:spacing w:line="300" w:lineRule="auto"/>
        <w:jc w:val="center"/>
        <w:rPr>
          <w:b/>
          <w:bCs/>
          <w:sz w:val="21"/>
          <w:szCs w:val="21"/>
        </w:rPr>
      </w:pPr>
      <w:r>
        <w:rPr>
          <w:b/>
          <w:bCs/>
          <w:sz w:val="21"/>
          <w:szCs w:val="21"/>
        </w:rPr>
        <w:t>表1</w:t>
      </w:r>
      <w:r>
        <w:rPr>
          <w:rFonts w:hint="eastAsia"/>
          <w:b/>
          <w:bCs/>
          <w:sz w:val="21"/>
          <w:szCs w:val="21"/>
          <w:lang w:val="en-US" w:eastAsia="zh-CN"/>
        </w:rPr>
        <w:t>0</w:t>
      </w:r>
      <w:r>
        <w:rPr>
          <w:b/>
          <w:bCs/>
          <w:sz w:val="21"/>
          <w:szCs w:val="21"/>
        </w:rPr>
        <w:t>.2.</w:t>
      </w:r>
      <w:r>
        <w:rPr>
          <w:rFonts w:hint="eastAsia"/>
          <w:b/>
          <w:bCs/>
          <w:sz w:val="21"/>
          <w:szCs w:val="21"/>
          <w:lang w:val="en-US" w:eastAsia="zh-CN"/>
        </w:rPr>
        <w:t>10</w:t>
      </w:r>
      <w:r>
        <w:rPr>
          <w:b/>
          <w:bCs/>
          <w:sz w:val="21"/>
          <w:szCs w:val="21"/>
        </w:rPr>
        <w:t>-1混凝土基座的尺寸允许偏差</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3DA21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14:paraId="58B7C6F7">
            <w:pPr>
              <w:snapToGrid w:val="0"/>
              <w:spacing w:line="300" w:lineRule="auto"/>
              <w:jc w:val="center"/>
              <w:rPr>
                <w:b/>
                <w:bCs/>
                <w:sz w:val="21"/>
                <w:szCs w:val="21"/>
              </w:rPr>
            </w:pPr>
            <w:r>
              <w:rPr>
                <w:rFonts w:hint="eastAsia"/>
                <w:b/>
                <w:bCs/>
                <w:sz w:val="21"/>
                <w:szCs w:val="21"/>
              </w:rPr>
              <w:t>项目名称</w:t>
            </w:r>
          </w:p>
        </w:tc>
        <w:tc>
          <w:tcPr>
            <w:tcW w:w="2500" w:type="pct"/>
            <w:vAlign w:val="center"/>
          </w:tcPr>
          <w:p w14:paraId="026BC282">
            <w:pPr>
              <w:snapToGrid w:val="0"/>
              <w:spacing w:line="300" w:lineRule="auto"/>
              <w:jc w:val="center"/>
              <w:rPr>
                <w:b/>
                <w:bCs/>
                <w:sz w:val="21"/>
                <w:szCs w:val="21"/>
              </w:rPr>
            </w:pPr>
            <w:r>
              <w:rPr>
                <w:rFonts w:hint="eastAsia"/>
                <w:b/>
                <w:bCs/>
                <w:sz w:val="21"/>
                <w:szCs w:val="21"/>
              </w:rPr>
              <w:t>允许偏差(mm)</w:t>
            </w:r>
          </w:p>
        </w:tc>
      </w:tr>
      <w:tr w14:paraId="7C1D4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14:paraId="14059006">
            <w:pPr>
              <w:snapToGrid w:val="0"/>
              <w:spacing w:line="300" w:lineRule="auto"/>
              <w:jc w:val="center"/>
              <w:rPr>
                <w:sz w:val="21"/>
                <w:szCs w:val="21"/>
              </w:rPr>
            </w:pPr>
            <w:r>
              <w:rPr>
                <w:rFonts w:hint="eastAsia"/>
                <w:sz w:val="21"/>
                <w:szCs w:val="21"/>
              </w:rPr>
              <w:t>轴线</w:t>
            </w:r>
          </w:p>
        </w:tc>
        <w:tc>
          <w:tcPr>
            <w:tcW w:w="2500" w:type="pct"/>
            <w:vAlign w:val="center"/>
          </w:tcPr>
          <w:p w14:paraId="47FFF48D">
            <w:pPr>
              <w:snapToGrid w:val="0"/>
              <w:spacing w:line="300" w:lineRule="auto"/>
              <w:jc w:val="center"/>
              <w:rPr>
                <w:sz w:val="21"/>
                <w:szCs w:val="21"/>
              </w:rPr>
            </w:pPr>
            <w:r>
              <w:rPr>
                <w:rFonts w:hint="eastAsia"/>
                <w:sz w:val="24"/>
                <w:lang w:val="en-US" w:eastAsia="zh-CN"/>
              </w:rPr>
              <w:t>±</w:t>
            </w:r>
            <w:r>
              <w:rPr>
                <w:rFonts w:hint="eastAsia"/>
                <w:sz w:val="21"/>
                <w:szCs w:val="21"/>
              </w:rPr>
              <w:t>10</w:t>
            </w:r>
          </w:p>
        </w:tc>
      </w:tr>
      <w:tr w14:paraId="35B6D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14:paraId="1A067B2F">
            <w:pPr>
              <w:snapToGrid w:val="0"/>
              <w:spacing w:line="300" w:lineRule="auto"/>
              <w:jc w:val="center"/>
              <w:rPr>
                <w:sz w:val="21"/>
                <w:szCs w:val="21"/>
              </w:rPr>
            </w:pPr>
            <w:r>
              <w:rPr>
                <w:rFonts w:hint="eastAsia"/>
                <w:sz w:val="21"/>
                <w:szCs w:val="21"/>
              </w:rPr>
              <w:t>顶标高</w:t>
            </w:r>
          </w:p>
        </w:tc>
        <w:tc>
          <w:tcPr>
            <w:tcW w:w="2500" w:type="pct"/>
            <w:vAlign w:val="center"/>
          </w:tcPr>
          <w:p w14:paraId="5C65AC2E">
            <w:pPr>
              <w:snapToGrid w:val="0"/>
              <w:spacing w:line="300" w:lineRule="auto"/>
              <w:jc w:val="center"/>
              <w:rPr>
                <w:sz w:val="21"/>
                <w:szCs w:val="21"/>
              </w:rPr>
            </w:pPr>
            <w:r>
              <w:rPr>
                <w:sz w:val="21"/>
                <w:szCs w:val="21"/>
              </w:rPr>
              <w:t>0</w:t>
            </w:r>
            <w:r>
              <w:rPr>
                <w:rFonts w:hint="eastAsia"/>
                <w:sz w:val="21"/>
                <w:szCs w:val="21"/>
                <w:lang w:eastAsia="zh-CN"/>
              </w:rPr>
              <w:t>，</w:t>
            </w:r>
            <w:r>
              <w:rPr>
                <w:rFonts w:hint="eastAsia"/>
                <w:sz w:val="21"/>
                <w:szCs w:val="21"/>
                <w:lang w:val="en-US" w:eastAsia="zh-CN"/>
              </w:rPr>
              <w:t>-</w:t>
            </w:r>
            <w:r>
              <w:rPr>
                <w:sz w:val="21"/>
                <w:szCs w:val="21"/>
              </w:rPr>
              <w:t>10</w:t>
            </w:r>
          </w:p>
        </w:tc>
      </w:tr>
      <w:tr w14:paraId="251D4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14:paraId="62EBAB23">
            <w:pPr>
              <w:snapToGrid w:val="0"/>
              <w:spacing w:line="300" w:lineRule="auto"/>
              <w:jc w:val="center"/>
              <w:rPr>
                <w:sz w:val="21"/>
                <w:szCs w:val="21"/>
              </w:rPr>
            </w:pPr>
            <w:r>
              <w:rPr>
                <w:rFonts w:hint="eastAsia"/>
                <w:sz w:val="21"/>
                <w:szCs w:val="21"/>
              </w:rPr>
              <w:t>截面尺寸</w:t>
            </w:r>
          </w:p>
        </w:tc>
        <w:tc>
          <w:tcPr>
            <w:tcW w:w="2500" w:type="pct"/>
            <w:vAlign w:val="center"/>
          </w:tcPr>
          <w:p w14:paraId="1F4ACB27">
            <w:pPr>
              <w:snapToGrid w:val="0"/>
              <w:spacing w:line="300" w:lineRule="auto"/>
              <w:jc w:val="center"/>
              <w:rPr>
                <w:sz w:val="21"/>
                <w:szCs w:val="21"/>
              </w:rPr>
            </w:pPr>
            <w:r>
              <w:rPr>
                <w:rFonts w:hint="eastAsia"/>
                <w:sz w:val="24"/>
                <w:lang w:val="en-US" w:eastAsia="zh-CN"/>
              </w:rPr>
              <w:t>±</w:t>
            </w:r>
            <w:r>
              <w:rPr>
                <w:rFonts w:hint="eastAsia"/>
                <w:sz w:val="21"/>
                <w:szCs w:val="21"/>
              </w:rPr>
              <w:t>20</w:t>
            </w:r>
          </w:p>
        </w:tc>
      </w:tr>
    </w:tbl>
    <w:p w14:paraId="35FAC5E3">
      <w:pPr>
        <w:snapToGrid w:val="0"/>
        <w:spacing w:line="300" w:lineRule="auto"/>
        <w:ind w:firstLine="480" w:firstLineChars="200"/>
        <w:jc w:val="left"/>
        <w:rPr>
          <w:sz w:val="24"/>
        </w:rPr>
      </w:pPr>
      <w:r>
        <w:rPr>
          <w:sz w:val="24"/>
        </w:rPr>
        <w:t>2</w:t>
      </w:r>
      <w:r>
        <w:rPr>
          <w:rFonts w:hint="eastAsia"/>
          <w:sz w:val="24"/>
          <w:lang w:val="en-US" w:eastAsia="zh-CN"/>
        </w:rPr>
        <w:t xml:space="preserve"> </w:t>
      </w:r>
      <w:r>
        <w:rPr>
          <w:sz w:val="24"/>
        </w:rPr>
        <w:t>锚栓、预埋件的尺寸允许偏差应符合表1</w:t>
      </w:r>
      <w:r>
        <w:rPr>
          <w:rFonts w:hint="eastAsia"/>
          <w:sz w:val="24"/>
          <w:lang w:val="en-US" w:eastAsia="zh-CN"/>
        </w:rPr>
        <w:t>0</w:t>
      </w:r>
      <w:r>
        <w:rPr>
          <w:sz w:val="24"/>
        </w:rPr>
        <w:t>.2.</w:t>
      </w:r>
      <w:r>
        <w:rPr>
          <w:rFonts w:hint="eastAsia"/>
          <w:sz w:val="24"/>
          <w:lang w:val="en-US" w:eastAsia="zh-CN"/>
        </w:rPr>
        <w:t>10</w:t>
      </w:r>
      <w:r>
        <w:rPr>
          <w:sz w:val="24"/>
        </w:rPr>
        <w:t>-2的规定。</w:t>
      </w:r>
    </w:p>
    <w:p w14:paraId="24AB78B0">
      <w:pPr>
        <w:snapToGrid w:val="0"/>
        <w:spacing w:line="300" w:lineRule="auto"/>
        <w:jc w:val="center"/>
        <w:rPr>
          <w:b/>
          <w:bCs/>
          <w:sz w:val="21"/>
          <w:szCs w:val="21"/>
        </w:rPr>
      </w:pPr>
      <w:r>
        <w:rPr>
          <w:b/>
          <w:bCs/>
          <w:sz w:val="21"/>
          <w:szCs w:val="21"/>
        </w:rPr>
        <w:t>表1</w:t>
      </w:r>
      <w:r>
        <w:rPr>
          <w:rFonts w:hint="default"/>
          <w:b/>
          <w:bCs/>
          <w:sz w:val="21"/>
          <w:szCs w:val="21"/>
          <w:lang w:val="en-US" w:eastAsia="zh-CN"/>
        </w:rPr>
        <w:t>0</w:t>
      </w:r>
      <w:r>
        <w:rPr>
          <w:b/>
          <w:bCs/>
          <w:sz w:val="21"/>
          <w:szCs w:val="21"/>
        </w:rPr>
        <w:t>.2.</w:t>
      </w:r>
      <w:r>
        <w:rPr>
          <w:rFonts w:hint="default"/>
          <w:b/>
          <w:bCs/>
          <w:sz w:val="21"/>
          <w:szCs w:val="21"/>
          <w:lang w:val="en-US" w:eastAsia="zh-CN"/>
        </w:rPr>
        <w:t>10</w:t>
      </w:r>
      <w:r>
        <w:rPr>
          <w:b/>
          <w:bCs/>
          <w:sz w:val="21"/>
          <w:szCs w:val="21"/>
        </w:rPr>
        <w:t>-2锚栓、预埋件的尺寸允许偏差</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9"/>
        <w:gridCol w:w="2841"/>
        <w:gridCol w:w="2839"/>
      </w:tblGrid>
      <w:tr w14:paraId="70967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3" w:type="pct"/>
            <w:gridSpan w:val="2"/>
            <w:vAlign w:val="center"/>
          </w:tcPr>
          <w:p w14:paraId="0D0A400A">
            <w:pPr>
              <w:snapToGrid w:val="0"/>
              <w:spacing w:line="240" w:lineRule="auto"/>
              <w:jc w:val="center"/>
              <w:rPr>
                <w:b/>
                <w:bCs/>
                <w:sz w:val="21"/>
                <w:szCs w:val="21"/>
              </w:rPr>
            </w:pPr>
            <w:r>
              <w:rPr>
                <w:b/>
                <w:bCs/>
                <w:sz w:val="21"/>
                <w:szCs w:val="21"/>
              </w:rPr>
              <w:t>项目名称</w:t>
            </w:r>
          </w:p>
        </w:tc>
        <w:tc>
          <w:tcPr>
            <w:tcW w:w="1666" w:type="pct"/>
            <w:vAlign w:val="center"/>
          </w:tcPr>
          <w:p w14:paraId="38E02D05">
            <w:pPr>
              <w:snapToGrid w:val="0"/>
              <w:spacing w:line="240" w:lineRule="auto"/>
              <w:jc w:val="center"/>
              <w:rPr>
                <w:b/>
                <w:bCs/>
                <w:sz w:val="21"/>
                <w:szCs w:val="21"/>
              </w:rPr>
            </w:pPr>
            <w:r>
              <w:rPr>
                <w:b/>
                <w:bCs/>
                <w:sz w:val="21"/>
                <w:szCs w:val="21"/>
              </w:rPr>
              <w:t>允许偏差(mm)</w:t>
            </w:r>
          </w:p>
        </w:tc>
      </w:tr>
      <w:tr w14:paraId="51779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restart"/>
            <w:vAlign w:val="center"/>
          </w:tcPr>
          <w:p w14:paraId="2810D969">
            <w:pPr>
              <w:snapToGrid w:val="0"/>
              <w:spacing w:line="240" w:lineRule="auto"/>
              <w:jc w:val="center"/>
              <w:rPr>
                <w:sz w:val="21"/>
                <w:szCs w:val="21"/>
              </w:rPr>
            </w:pPr>
            <w:r>
              <w:rPr>
                <w:rFonts w:hint="eastAsia"/>
                <w:sz w:val="21"/>
                <w:szCs w:val="21"/>
              </w:rPr>
              <w:t>锚栓</w:t>
            </w:r>
          </w:p>
        </w:tc>
        <w:tc>
          <w:tcPr>
            <w:tcW w:w="1667" w:type="pct"/>
            <w:vAlign w:val="center"/>
          </w:tcPr>
          <w:p w14:paraId="20FC616F">
            <w:pPr>
              <w:snapToGrid w:val="0"/>
              <w:spacing w:line="240" w:lineRule="auto"/>
              <w:jc w:val="center"/>
              <w:rPr>
                <w:sz w:val="21"/>
                <w:szCs w:val="21"/>
              </w:rPr>
            </w:pPr>
            <w:r>
              <w:rPr>
                <w:sz w:val="21"/>
                <w:szCs w:val="21"/>
              </w:rPr>
              <w:t>中心线位置</w:t>
            </w:r>
          </w:p>
        </w:tc>
        <w:tc>
          <w:tcPr>
            <w:tcW w:w="1666" w:type="pct"/>
            <w:vAlign w:val="center"/>
          </w:tcPr>
          <w:p w14:paraId="6D4E11DC">
            <w:pPr>
              <w:snapToGrid w:val="0"/>
              <w:spacing w:line="240" w:lineRule="auto"/>
              <w:jc w:val="center"/>
              <w:rPr>
                <w:sz w:val="21"/>
                <w:szCs w:val="21"/>
              </w:rPr>
            </w:pPr>
            <w:r>
              <w:rPr>
                <w:rFonts w:hint="eastAsia"/>
                <w:sz w:val="24"/>
                <w:lang w:val="en-US" w:eastAsia="zh-CN"/>
              </w:rPr>
              <w:t>±</w:t>
            </w:r>
            <w:r>
              <w:rPr>
                <w:rFonts w:hint="eastAsia"/>
                <w:sz w:val="21"/>
                <w:szCs w:val="21"/>
              </w:rPr>
              <w:t>5</w:t>
            </w:r>
          </w:p>
        </w:tc>
      </w:tr>
      <w:tr w14:paraId="14D54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continue"/>
            <w:vAlign w:val="center"/>
          </w:tcPr>
          <w:p w14:paraId="3397D8D1">
            <w:pPr>
              <w:snapToGrid w:val="0"/>
              <w:spacing w:line="240" w:lineRule="auto"/>
              <w:jc w:val="center"/>
              <w:rPr>
                <w:sz w:val="21"/>
                <w:szCs w:val="21"/>
              </w:rPr>
            </w:pPr>
          </w:p>
        </w:tc>
        <w:tc>
          <w:tcPr>
            <w:tcW w:w="1667" w:type="pct"/>
            <w:vAlign w:val="center"/>
          </w:tcPr>
          <w:p w14:paraId="7BE3311B">
            <w:pPr>
              <w:snapToGrid w:val="0"/>
              <w:spacing w:line="240" w:lineRule="auto"/>
              <w:jc w:val="center"/>
              <w:rPr>
                <w:sz w:val="21"/>
                <w:szCs w:val="21"/>
              </w:rPr>
            </w:pPr>
            <w:r>
              <w:rPr>
                <w:sz w:val="21"/>
                <w:szCs w:val="21"/>
              </w:rPr>
              <w:t>标高(顶部)</w:t>
            </w:r>
          </w:p>
        </w:tc>
        <w:tc>
          <w:tcPr>
            <w:tcW w:w="1666" w:type="pct"/>
            <w:vAlign w:val="center"/>
          </w:tcPr>
          <w:p w14:paraId="791A78FE">
            <w:pPr>
              <w:snapToGrid w:val="0"/>
              <w:spacing w:line="240" w:lineRule="auto"/>
              <w:jc w:val="center"/>
              <w:rPr>
                <w:sz w:val="21"/>
                <w:szCs w:val="21"/>
              </w:rPr>
            </w:pPr>
            <w:r>
              <w:rPr>
                <w:rFonts w:hint="eastAsia"/>
                <w:sz w:val="24"/>
                <w:lang w:val="en-US" w:eastAsia="zh-CN"/>
              </w:rPr>
              <w:t>±</w:t>
            </w:r>
            <w:r>
              <w:rPr>
                <w:sz w:val="21"/>
                <w:szCs w:val="21"/>
              </w:rPr>
              <w:t>20，0</w:t>
            </w:r>
          </w:p>
        </w:tc>
      </w:tr>
      <w:tr w14:paraId="31761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restart"/>
            <w:vAlign w:val="center"/>
          </w:tcPr>
          <w:p w14:paraId="6A2ECBB7">
            <w:pPr>
              <w:snapToGrid w:val="0"/>
              <w:spacing w:line="240" w:lineRule="auto"/>
              <w:jc w:val="center"/>
              <w:rPr>
                <w:sz w:val="21"/>
                <w:szCs w:val="21"/>
              </w:rPr>
            </w:pPr>
            <w:r>
              <w:rPr>
                <w:rFonts w:hint="eastAsia"/>
                <w:sz w:val="21"/>
                <w:szCs w:val="21"/>
              </w:rPr>
              <w:t>预埋钢板</w:t>
            </w:r>
          </w:p>
        </w:tc>
        <w:tc>
          <w:tcPr>
            <w:tcW w:w="1667" w:type="pct"/>
            <w:vAlign w:val="center"/>
          </w:tcPr>
          <w:p w14:paraId="235D2D8D">
            <w:pPr>
              <w:snapToGrid w:val="0"/>
              <w:spacing w:line="240" w:lineRule="auto"/>
              <w:jc w:val="center"/>
              <w:rPr>
                <w:sz w:val="21"/>
                <w:szCs w:val="21"/>
              </w:rPr>
            </w:pPr>
            <w:r>
              <w:rPr>
                <w:sz w:val="21"/>
                <w:szCs w:val="21"/>
              </w:rPr>
              <w:t>中心线位置</w:t>
            </w:r>
          </w:p>
        </w:tc>
        <w:tc>
          <w:tcPr>
            <w:tcW w:w="1666" w:type="pct"/>
            <w:vAlign w:val="center"/>
          </w:tcPr>
          <w:p w14:paraId="23C14C3F">
            <w:pPr>
              <w:snapToGrid w:val="0"/>
              <w:spacing w:line="240" w:lineRule="auto"/>
              <w:jc w:val="center"/>
              <w:rPr>
                <w:sz w:val="21"/>
                <w:szCs w:val="21"/>
              </w:rPr>
            </w:pPr>
            <w:r>
              <w:rPr>
                <w:rFonts w:hint="eastAsia"/>
                <w:sz w:val="24"/>
                <w:lang w:val="en-US" w:eastAsia="zh-CN"/>
              </w:rPr>
              <w:t>±</w:t>
            </w:r>
            <w:r>
              <w:rPr>
                <w:sz w:val="21"/>
                <w:szCs w:val="21"/>
              </w:rPr>
              <w:t>10</w:t>
            </w:r>
          </w:p>
        </w:tc>
      </w:tr>
      <w:tr w14:paraId="2469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continue"/>
            <w:vAlign w:val="center"/>
          </w:tcPr>
          <w:p w14:paraId="17132839">
            <w:pPr>
              <w:snapToGrid w:val="0"/>
              <w:spacing w:line="240" w:lineRule="auto"/>
              <w:jc w:val="center"/>
              <w:rPr>
                <w:sz w:val="21"/>
                <w:szCs w:val="21"/>
              </w:rPr>
            </w:pPr>
          </w:p>
        </w:tc>
        <w:tc>
          <w:tcPr>
            <w:tcW w:w="1667" w:type="pct"/>
            <w:vAlign w:val="center"/>
          </w:tcPr>
          <w:p w14:paraId="7254A7FD">
            <w:pPr>
              <w:snapToGrid w:val="0"/>
              <w:spacing w:line="240" w:lineRule="auto"/>
              <w:jc w:val="center"/>
              <w:rPr>
                <w:sz w:val="21"/>
                <w:szCs w:val="21"/>
              </w:rPr>
            </w:pPr>
            <w:r>
              <w:rPr>
                <w:sz w:val="21"/>
                <w:szCs w:val="21"/>
              </w:rPr>
              <w:t>标高</w:t>
            </w:r>
          </w:p>
        </w:tc>
        <w:tc>
          <w:tcPr>
            <w:tcW w:w="1666" w:type="pct"/>
            <w:vAlign w:val="center"/>
          </w:tcPr>
          <w:p w14:paraId="1F4D98E5">
            <w:pPr>
              <w:snapToGrid w:val="0"/>
              <w:spacing w:line="240" w:lineRule="auto"/>
              <w:jc w:val="center"/>
              <w:rPr>
                <w:sz w:val="21"/>
                <w:szCs w:val="21"/>
              </w:rPr>
            </w:pPr>
            <w:r>
              <w:rPr>
                <w:sz w:val="21"/>
                <w:szCs w:val="21"/>
              </w:rPr>
              <w:t>0，-5</w:t>
            </w:r>
          </w:p>
        </w:tc>
      </w:tr>
    </w:tbl>
    <w:p w14:paraId="00DF2333">
      <w:pPr>
        <w:snapToGrid w:val="0"/>
        <w:spacing w:line="300" w:lineRule="auto"/>
        <w:ind w:firstLine="480" w:firstLineChars="200"/>
        <w:jc w:val="left"/>
        <w:rPr>
          <w:sz w:val="24"/>
        </w:rPr>
      </w:pPr>
      <w:r>
        <w:rPr>
          <w:sz w:val="24"/>
        </w:rPr>
        <w:t>3</w:t>
      </w:r>
      <w:r>
        <w:rPr>
          <w:rFonts w:hint="eastAsia"/>
          <w:sz w:val="24"/>
          <w:lang w:val="en-US" w:eastAsia="zh-CN"/>
        </w:rPr>
        <w:t xml:space="preserve"> </w:t>
      </w:r>
      <w:r>
        <w:rPr>
          <w:sz w:val="24"/>
        </w:rPr>
        <w:t>金属屋面夹具的尺寸允许偏差应符合表1</w:t>
      </w:r>
      <w:r>
        <w:rPr>
          <w:rFonts w:hint="eastAsia"/>
          <w:sz w:val="24"/>
          <w:lang w:val="en-US" w:eastAsia="zh-CN"/>
        </w:rPr>
        <w:t>0</w:t>
      </w:r>
      <w:r>
        <w:rPr>
          <w:sz w:val="24"/>
        </w:rPr>
        <w:t>.2.</w:t>
      </w:r>
      <w:r>
        <w:rPr>
          <w:rFonts w:hint="eastAsia"/>
          <w:sz w:val="24"/>
          <w:lang w:val="en-US" w:eastAsia="zh-CN"/>
        </w:rPr>
        <w:t>10</w:t>
      </w:r>
      <w:r>
        <w:rPr>
          <w:sz w:val="24"/>
        </w:rPr>
        <w:t>-3的规定。</w:t>
      </w:r>
    </w:p>
    <w:p w14:paraId="5B37D518">
      <w:pPr>
        <w:snapToGrid w:val="0"/>
        <w:spacing w:line="300" w:lineRule="auto"/>
        <w:jc w:val="center"/>
        <w:rPr>
          <w:b/>
          <w:bCs/>
          <w:sz w:val="21"/>
          <w:szCs w:val="21"/>
        </w:rPr>
      </w:pPr>
      <w:r>
        <w:rPr>
          <w:b/>
          <w:bCs/>
          <w:sz w:val="21"/>
          <w:szCs w:val="21"/>
        </w:rPr>
        <w:t>表1</w:t>
      </w:r>
      <w:r>
        <w:rPr>
          <w:rFonts w:hint="eastAsia"/>
          <w:b/>
          <w:bCs/>
          <w:sz w:val="21"/>
          <w:szCs w:val="21"/>
          <w:lang w:eastAsia="zh-CN"/>
        </w:rPr>
        <w:t>0</w:t>
      </w:r>
      <w:r>
        <w:rPr>
          <w:b/>
          <w:bCs/>
          <w:sz w:val="21"/>
          <w:szCs w:val="21"/>
        </w:rPr>
        <w:t>.2.</w:t>
      </w:r>
      <w:r>
        <w:rPr>
          <w:rFonts w:hint="eastAsia"/>
          <w:b/>
          <w:bCs/>
          <w:sz w:val="21"/>
          <w:szCs w:val="21"/>
          <w:lang w:val="en-US" w:eastAsia="zh-CN"/>
        </w:rPr>
        <w:t>10</w:t>
      </w:r>
      <w:r>
        <w:rPr>
          <w:b/>
          <w:bCs/>
          <w:sz w:val="21"/>
          <w:szCs w:val="21"/>
        </w:rPr>
        <w:t>-3金属屋面夹具的尺寸允许偏差</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3E1AC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14:paraId="0707E7F8">
            <w:pPr>
              <w:snapToGrid w:val="0"/>
              <w:spacing w:line="240" w:lineRule="auto"/>
              <w:jc w:val="center"/>
              <w:rPr>
                <w:rFonts w:hint="eastAsia"/>
                <w:b/>
                <w:bCs/>
                <w:sz w:val="21"/>
                <w:szCs w:val="21"/>
              </w:rPr>
            </w:pPr>
            <w:r>
              <w:rPr>
                <w:rFonts w:hint="eastAsia"/>
                <w:b/>
                <w:bCs/>
                <w:sz w:val="21"/>
                <w:szCs w:val="21"/>
              </w:rPr>
              <w:t>项目名称</w:t>
            </w:r>
          </w:p>
        </w:tc>
        <w:tc>
          <w:tcPr>
            <w:tcW w:w="2500" w:type="pct"/>
            <w:vAlign w:val="center"/>
          </w:tcPr>
          <w:p w14:paraId="4EAD9A02">
            <w:pPr>
              <w:snapToGrid w:val="0"/>
              <w:spacing w:line="240" w:lineRule="auto"/>
              <w:jc w:val="center"/>
              <w:rPr>
                <w:rFonts w:hint="eastAsia"/>
                <w:b/>
                <w:bCs/>
                <w:sz w:val="21"/>
                <w:szCs w:val="21"/>
              </w:rPr>
            </w:pPr>
            <w:r>
              <w:rPr>
                <w:rFonts w:hint="eastAsia"/>
                <w:b/>
                <w:bCs/>
                <w:sz w:val="21"/>
                <w:szCs w:val="21"/>
              </w:rPr>
              <w:t>允许偏差(mm)</w:t>
            </w:r>
          </w:p>
        </w:tc>
      </w:tr>
      <w:tr w14:paraId="7004C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14:paraId="7A23F4A8">
            <w:pPr>
              <w:snapToGrid w:val="0"/>
              <w:spacing w:line="240" w:lineRule="auto"/>
              <w:jc w:val="center"/>
              <w:rPr>
                <w:rFonts w:hint="eastAsia"/>
                <w:sz w:val="21"/>
                <w:szCs w:val="21"/>
              </w:rPr>
            </w:pPr>
            <w:r>
              <w:rPr>
                <w:rFonts w:hint="eastAsia"/>
                <w:sz w:val="21"/>
                <w:szCs w:val="21"/>
              </w:rPr>
              <w:t>轴线</w:t>
            </w:r>
          </w:p>
        </w:tc>
        <w:tc>
          <w:tcPr>
            <w:tcW w:w="2500" w:type="pct"/>
            <w:vAlign w:val="center"/>
          </w:tcPr>
          <w:p w14:paraId="25297ED9">
            <w:pPr>
              <w:snapToGrid w:val="0"/>
              <w:spacing w:line="240" w:lineRule="auto"/>
              <w:jc w:val="center"/>
              <w:rPr>
                <w:rFonts w:hint="eastAsia"/>
                <w:sz w:val="21"/>
                <w:szCs w:val="21"/>
              </w:rPr>
            </w:pPr>
            <w:r>
              <w:rPr>
                <w:rFonts w:hint="eastAsia"/>
                <w:sz w:val="24"/>
                <w:lang w:val="en-US" w:eastAsia="zh-CN"/>
              </w:rPr>
              <w:t>±</w:t>
            </w:r>
            <w:r>
              <w:rPr>
                <w:rFonts w:hint="eastAsia"/>
                <w:sz w:val="21"/>
                <w:szCs w:val="21"/>
              </w:rPr>
              <w:t>10</w:t>
            </w:r>
          </w:p>
        </w:tc>
      </w:tr>
      <w:tr w14:paraId="6BD8E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14:paraId="3A01B2FC">
            <w:pPr>
              <w:snapToGrid w:val="0"/>
              <w:spacing w:line="240" w:lineRule="auto"/>
              <w:jc w:val="center"/>
              <w:rPr>
                <w:rFonts w:hint="eastAsia"/>
                <w:sz w:val="21"/>
                <w:szCs w:val="21"/>
              </w:rPr>
            </w:pPr>
            <w:r>
              <w:rPr>
                <w:rFonts w:hint="eastAsia"/>
                <w:sz w:val="21"/>
                <w:szCs w:val="21"/>
              </w:rPr>
              <w:t>顶标高</w:t>
            </w:r>
          </w:p>
        </w:tc>
        <w:tc>
          <w:tcPr>
            <w:tcW w:w="2500" w:type="pct"/>
            <w:vAlign w:val="center"/>
          </w:tcPr>
          <w:p w14:paraId="2CA98023">
            <w:pPr>
              <w:snapToGrid w:val="0"/>
              <w:spacing w:line="240" w:lineRule="auto"/>
              <w:jc w:val="center"/>
              <w:rPr>
                <w:rFonts w:hint="eastAsia"/>
                <w:sz w:val="21"/>
                <w:szCs w:val="21"/>
              </w:rPr>
            </w:pPr>
            <w:r>
              <w:rPr>
                <w:rFonts w:hint="eastAsia"/>
                <w:sz w:val="21"/>
                <w:szCs w:val="21"/>
              </w:rPr>
              <w:t>0</w:t>
            </w:r>
            <w:r>
              <w:rPr>
                <w:rFonts w:hint="eastAsia"/>
                <w:sz w:val="21"/>
                <w:szCs w:val="21"/>
                <w:lang w:eastAsia="zh-CN"/>
              </w:rPr>
              <w:t>，</w:t>
            </w:r>
            <w:r>
              <w:rPr>
                <w:rFonts w:hint="eastAsia"/>
                <w:sz w:val="21"/>
                <w:szCs w:val="21"/>
                <w:lang w:val="en-US" w:eastAsia="zh-CN"/>
              </w:rPr>
              <w:t>-</w:t>
            </w:r>
            <w:r>
              <w:rPr>
                <w:rFonts w:hint="eastAsia"/>
                <w:sz w:val="21"/>
                <w:szCs w:val="21"/>
              </w:rPr>
              <w:t>10</w:t>
            </w:r>
          </w:p>
        </w:tc>
      </w:tr>
      <w:tr w14:paraId="114A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14:paraId="049E621F">
            <w:pPr>
              <w:snapToGrid w:val="0"/>
              <w:spacing w:line="240" w:lineRule="auto"/>
              <w:jc w:val="center"/>
              <w:rPr>
                <w:rFonts w:hint="eastAsia"/>
                <w:sz w:val="21"/>
                <w:szCs w:val="21"/>
              </w:rPr>
            </w:pPr>
            <w:r>
              <w:rPr>
                <w:rFonts w:hint="eastAsia"/>
                <w:sz w:val="21"/>
                <w:szCs w:val="21"/>
              </w:rPr>
              <w:t>外形尺寸</w:t>
            </w:r>
          </w:p>
        </w:tc>
        <w:tc>
          <w:tcPr>
            <w:tcW w:w="2500" w:type="pct"/>
            <w:vAlign w:val="center"/>
          </w:tcPr>
          <w:p w14:paraId="4C3AC7F3">
            <w:pPr>
              <w:snapToGrid w:val="0"/>
              <w:spacing w:line="240" w:lineRule="auto"/>
              <w:jc w:val="center"/>
              <w:rPr>
                <w:rFonts w:hint="eastAsia"/>
                <w:sz w:val="21"/>
                <w:szCs w:val="21"/>
              </w:rPr>
            </w:pPr>
            <w:r>
              <w:rPr>
                <w:rFonts w:hint="eastAsia"/>
                <w:sz w:val="24"/>
                <w:lang w:val="en-US" w:eastAsia="zh-CN"/>
              </w:rPr>
              <w:t>±</w:t>
            </w:r>
            <w:r>
              <w:rPr>
                <w:rFonts w:hint="eastAsia"/>
                <w:sz w:val="21"/>
                <w:szCs w:val="21"/>
              </w:rPr>
              <w:t>5</w:t>
            </w:r>
          </w:p>
        </w:tc>
      </w:tr>
    </w:tbl>
    <w:p w14:paraId="0DC45BC7">
      <w:pPr>
        <w:pStyle w:val="2"/>
        <w:spacing w:line="300" w:lineRule="auto"/>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35E1DB42">
      <w:pPr>
        <w:pStyle w:val="2"/>
        <w:spacing w:line="300" w:lineRule="auto"/>
        <w:rPr>
          <w:rFonts w:hint="eastAsia" w:ascii="仿宋" w:hAnsi="仿宋" w:eastAsia="仿宋" w:cs="仿宋"/>
          <w:i/>
          <w:iCs/>
          <w:color w:val="0623BA"/>
          <w:sz w:val="24"/>
        </w:rPr>
      </w:pPr>
      <w:r>
        <w:rPr>
          <w:rFonts w:hint="eastAsia" w:ascii="仿宋" w:hAnsi="仿宋" w:eastAsia="仿宋" w:cs="仿宋"/>
          <w:i/>
          <w:iCs/>
          <w:color w:val="0623BA"/>
          <w:sz w:val="24"/>
        </w:rPr>
        <w:t>1</w:t>
      </w:r>
      <w:r>
        <w:rPr>
          <w:rFonts w:hint="eastAsia" w:ascii="仿宋" w:hAnsi="仿宋" w:eastAsia="仿宋" w:cs="仿宋"/>
          <w:i/>
          <w:iCs/>
          <w:color w:val="0623BA"/>
          <w:sz w:val="24"/>
          <w:lang w:val="en-US" w:eastAsia="zh-CN"/>
        </w:rPr>
        <w:t>0</w:t>
      </w:r>
      <w:r>
        <w:rPr>
          <w:rFonts w:hint="eastAsia" w:ascii="仿宋" w:hAnsi="仿宋" w:eastAsia="仿宋" w:cs="仿宋"/>
          <w:i/>
          <w:iCs/>
          <w:color w:val="0623BA"/>
          <w:sz w:val="24"/>
        </w:rPr>
        <w:t>.2.</w:t>
      </w:r>
      <w:r>
        <w:rPr>
          <w:rFonts w:hint="eastAsia" w:ascii="仿宋" w:hAnsi="仿宋" w:eastAsia="仿宋" w:cs="仿宋"/>
          <w:i/>
          <w:iCs/>
          <w:color w:val="0623BA"/>
          <w:sz w:val="24"/>
          <w:lang w:val="en-US" w:eastAsia="zh-CN"/>
        </w:rPr>
        <w:t>10</w:t>
      </w:r>
      <w:r>
        <w:rPr>
          <w:rFonts w:hint="eastAsia" w:ascii="仿宋" w:hAnsi="仿宋" w:eastAsia="仿宋" w:cs="仿宋"/>
          <w:i/>
          <w:iCs/>
          <w:color w:val="0623BA"/>
          <w:sz w:val="24"/>
        </w:rPr>
        <w:t xml:space="preserve"> 安装支架的连接部件的施工偏差不仅影响光伏发电系统的结构安全，还会影响后续支架的安装质量。因此在此施工环节应严把质量关，为后续支架安装提供便利条件。本条对不同连接构件施工偏差的限定，主要参照《混凝土结构工程施工质量验收规范》GB 50204、《光伏发电站施工规范》GB 50794、《太阳能</w:t>
      </w:r>
      <w:r>
        <w:rPr>
          <w:rFonts w:hint="eastAsia" w:ascii="仿宋" w:hAnsi="仿宋" w:eastAsia="仿宋" w:cs="仿宋"/>
          <w:i/>
          <w:iCs/>
          <w:color w:val="0623BA"/>
          <w:sz w:val="24"/>
        </w:rPr>
        <w:br w:type="textWrapping"/>
      </w:r>
      <w:r>
        <w:rPr>
          <w:rFonts w:hint="eastAsia" w:ascii="仿宋" w:hAnsi="仿宋" w:eastAsia="仿宋" w:cs="仿宋"/>
          <w:i/>
          <w:iCs/>
          <w:color w:val="0623BA"/>
          <w:sz w:val="24"/>
        </w:rPr>
        <w:t>发电站支架基础技术规范》GB 51101 等现行国家标准和通过对行业普遍的施工水平调研而来。</w:t>
      </w:r>
    </w:p>
    <w:p w14:paraId="39FB012E">
      <w:pPr>
        <w:snapToGrid w:val="0"/>
        <w:spacing w:line="300" w:lineRule="auto"/>
        <w:rPr>
          <w:sz w:val="24"/>
        </w:rPr>
      </w:pPr>
      <w:r>
        <w:rPr>
          <w:b/>
          <w:bCs/>
          <w:sz w:val="24"/>
        </w:rPr>
        <w:t>1</w:t>
      </w:r>
      <w:r>
        <w:rPr>
          <w:rFonts w:hint="eastAsia"/>
          <w:b/>
          <w:bCs/>
          <w:sz w:val="24"/>
          <w:lang w:val="en-US" w:eastAsia="zh-CN"/>
        </w:rPr>
        <w:t>0</w:t>
      </w:r>
      <w:r>
        <w:rPr>
          <w:b/>
          <w:bCs/>
          <w:sz w:val="24"/>
        </w:rPr>
        <w:t>.2.</w:t>
      </w:r>
      <w:r>
        <w:rPr>
          <w:rFonts w:hint="eastAsia"/>
          <w:b/>
          <w:bCs/>
          <w:sz w:val="24"/>
          <w:lang w:val="en-US" w:eastAsia="zh-CN"/>
        </w:rPr>
        <w:t>11</w:t>
      </w:r>
      <w:r>
        <w:rPr>
          <w:rFonts w:hint="eastAsia"/>
          <w:sz w:val="24"/>
        </w:rPr>
        <w:t xml:space="preserve"> </w:t>
      </w:r>
      <w:r>
        <w:rPr>
          <w:sz w:val="24"/>
        </w:rPr>
        <w:t>光伏幕墙连接部件和构件的安装施工应符合现行行业标准《玻璃幕墙工程技术规范》JGJ102和《玻璃幕墙工程质量检验标准》JGJ/T139的有关规定。光伏采光顶连接部件和构件的安装施工应符合现行行业标准《采光顶与金属屋面技术规程》JGJ255的有关规定。光伏遮阳连接部件和构件的安装施工应符合现行行业标准《采光顶与金属屋面技术规程》JGJ255和《建筑遮阳通用要求》JG/T274的有关规定。</w:t>
      </w:r>
    </w:p>
    <w:p w14:paraId="7FAEA716">
      <w:pPr>
        <w:keepNext/>
        <w:keepLines/>
        <w:snapToGrid w:val="0"/>
        <w:spacing w:before="95" w:beforeLines="30" w:after="95" w:afterLines="30" w:line="300" w:lineRule="auto"/>
        <w:jc w:val="center"/>
        <w:outlineLvl w:val="2"/>
        <w:rPr>
          <w:b/>
          <w:sz w:val="24"/>
          <w:szCs w:val="32"/>
        </w:rPr>
      </w:pPr>
      <w:bookmarkStart w:id="353" w:name="_Toc11357"/>
      <w:bookmarkStart w:id="354" w:name="_Toc3364"/>
      <w:bookmarkStart w:id="355" w:name="_Toc16158"/>
      <w:bookmarkStart w:id="356" w:name="_Toc18346"/>
      <w:bookmarkStart w:id="357" w:name="_Toc31415"/>
      <w:bookmarkStart w:id="358" w:name="_Toc3406"/>
      <w:bookmarkStart w:id="359" w:name="_Toc3460"/>
      <w:bookmarkStart w:id="360" w:name="_Toc11888"/>
      <w:r>
        <w:rPr>
          <w:b/>
          <w:sz w:val="24"/>
          <w:szCs w:val="32"/>
        </w:rPr>
        <w:t>1</w:t>
      </w:r>
      <w:r>
        <w:rPr>
          <w:rFonts w:hint="default"/>
          <w:b/>
          <w:sz w:val="24"/>
          <w:szCs w:val="32"/>
          <w:lang w:val="en-US" w:eastAsia="zh-CN"/>
        </w:rPr>
        <w:t>0</w:t>
      </w:r>
      <w:r>
        <w:rPr>
          <w:b/>
          <w:sz w:val="24"/>
          <w:szCs w:val="32"/>
        </w:rPr>
        <w:t>.</w:t>
      </w:r>
      <w:r>
        <w:rPr>
          <w:rFonts w:hint="default"/>
          <w:b/>
          <w:sz w:val="24"/>
          <w:szCs w:val="32"/>
        </w:rPr>
        <w:t>3光伏组件安装</w:t>
      </w:r>
      <w:bookmarkEnd w:id="353"/>
      <w:bookmarkEnd w:id="354"/>
      <w:bookmarkEnd w:id="355"/>
      <w:bookmarkEnd w:id="356"/>
      <w:bookmarkEnd w:id="357"/>
      <w:bookmarkEnd w:id="358"/>
      <w:bookmarkEnd w:id="359"/>
      <w:bookmarkEnd w:id="360"/>
    </w:p>
    <w:p w14:paraId="69561C30">
      <w:pPr>
        <w:snapToGrid w:val="0"/>
        <w:spacing w:line="300" w:lineRule="auto"/>
      </w:pPr>
      <w:r>
        <w:rPr>
          <w:rFonts w:hint="eastAsia"/>
          <w:b/>
          <w:bCs/>
          <w:sz w:val="24"/>
        </w:rPr>
        <w:t>1</w:t>
      </w:r>
      <w:r>
        <w:rPr>
          <w:rFonts w:hint="eastAsia"/>
          <w:b/>
          <w:bCs/>
          <w:sz w:val="24"/>
          <w:lang w:val="en-US" w:eastAsia="zh-CN"/>
        </w:rPr>
        <w:t>0</w:t>
      </w:r>
      <w:r>
        <w:rPr>
          <w:rFonts w:hint="eastAsia"/>
          <w:b/>
          <w:bCs/>
          <w:sz w:val="24"/>
        </w:rPr>
        <w:t>.3.</w:t>
      </w:r>
      <w:r>
        <w:rPr>
          <w:rFonts w:hint="eastAsia"/>
          <w:b/>
          <w:bCs/>
          <w:sz w:val="24"/>
          <w:lang w:val="en-US" w:eastAsia="zh-CN"/>
        </w:rPr>
        <w:t>1</w:t>
      </w:r>
      <w:r>
        <w:rPr>
          <w:rFonts w:hint="eastAsia"/>
          <w:sz w:val="24"/>
        </w:rPr>
        <w:t xml:space="preserve"> 光伏组件安装应符合下列</w:t>
      </w:r>
      <w:r>
        <w:rPr>
          <w:rFonts w:hint="eastAsia"/>
          <w:sz w:val="24"/>
          <w:lang w:val="en-US" w:eastAsia="zh-CN"/>
        </w:rPr>
        <w:t>规定</w:t>
      </w:r>
      <w:r>
        <w:rPr>
          <w:rFonts w:hint="eastAsia"/>
          <w:sz w:val="24"/>
        </w:rPr>
        <w:t>：</w:t>
      </w:r>
    </w:p>
    <w:p w14:paraId="70C28902">
      <w:pPr>
        <w:snapToGrid w:val="0"/>
        <w:spacing w:line="300" w:lineRule="auto"/>
        <w:ind w:firstLine="482" w:firstLineChars="200"/>
      </w:pPr>
      <w:r>
        <w:rPr>
          <w:rFonts w:hint="eastAsia"/>
          <w:b/>
          <w:bCs/>
          <w:sz w:val="24"/>
        </w:rPr>
        <w:t xml:space="preserve">1 </w:t>
      </w:r>
      <w:r>
        <w:rPr>
          <w:rFonts w:hint="eastAsia"/>
          <w:sz w:val="24"/>
        </w:rPr>
        <w:t>光伏组件的拆箱和搬运应按照产品的相关操作说明进行；</w:t>
      </w:r>
    </w:p>
    <w:p w14:paraId="19EFC830">
      <w:pPr>
        <w:snapToGrid w:val="0"/>
        <w:spacing w:line="300" w:lineRule="auto"/>
        <w:ind w:firstLine="482" w:firstLineChars="200"/>
      </w:pPr>
      <w:r>
        <w:rPr>
          <w:rFonts w:hint="eastAsia"/>
          <w:b/>
          <w:bCs/>
          <w:sz w:val="24"/>
        </w:rPr>
        <w:t xml:space="preserve">2 </w:t>
      </w:r>
      <w:r>
        <w:rPr>
          <w:rFonts w:hint="eastAsia"/>
          <w:sz w:val="24"/>
        </w:rPr>
        <w:t>安装前应对各光伏组件进行检查，测量每个组件的开路电压、短路电流等技术参数；</w:t>
      </w:r>
    </w:p>
    <w:p w14:paraId="6CEB7575">
      <w:pPr>
        <w:snapToGrid w:val="0"/>
        <w:spacing w:line="300" w:lineRule="auto"/>
        <w:ind w:firstLine="482" w:firstLineChars="200"/>
      </w:pPr>
      <w:r>
        <w:rPr>
          <w:rFonts w:hint="eastAsia"/>
          <w:b/>
          <w:bCs/>
          <w:sz w:val="24"/>
        </w:rPr>
        <w:t>3</w:t>
      </w:r>
      <w:r>
        <w:rPr>
          <w:rFonts w:hint="eastAsia"/>
          <w:b/>
          <w:bCs/>
          <w:sz w:val="24"/>
          <w:lang w:val="en-US" w:eastAsia="zh-CN"/>
        </w:rPr>
        <w:t xml:space="preserve"> </w:t>
      </w:r>
      <w:r>
        <w:rPr>
          <w:rFonts w:hint="eastAsia"/>
          <w:sz w:val="24"/>
        </w:rPr>
        <w:t>组件</w:t>
      </w:r>
      <w:r>
        <w:rPr>
          <w:rFonts w:hint="eastAsia"/>
          <w:sz w:val="24"/>
          <w:lang w:val="en-US" w:eastAsia="zh-CN"/>
        </w:rPr>
        <w:t>应</w:t>
      </w:r>
      <w:r>
        <w:rPr>
          <w:rFonts w:hint="eastAsia"/>
          <w:sz w:val="24"/>
        </w:rPr>
        <w:t>按照其技术参数进行分类，使最佳工作电流相近的串联在一起，最佳工作电压相近的并联在一起；</w:t>
      </w:r>
    </w:p>
    <w:p w14:paraId="7100632F">
      <w:pPr>
        <w:snapToGrid w:val="0"/>
        <w:spacing w:line="300" w:lineRule="auto"/>
        <w:ind w:firstLine="482" w:firstLineChars="200"/>
      </w:pPr>
      <w:r>
        <w:rPr>
          <w:rFonts w:hint="eastAsia"/>
          <w:b/>
          <w:bCs/>
          <w:sz w:val="24"/>
        </w:rPr>
        <w:t xml:space="preserve">4 </w:t>
      </w:r>
      <w:r>
        <w:rPr>
          <w:rFonts w:hint="eastAsia"/>
          <w:b w:val="0"/>
          <w:bCs w:val="0"/>
          <w:sz w:val="24"/>
          <w:lang w:val="en-US" w:eastAsia="zh-CN"/>
        </w:rPr>
        <w:t>应</w:t>
      </w:r>
      <w:r>
        <w:rPr>
          <w:rFonts w:hint="eastAsia"/>
          <w:sz w:val="24"/>
        </w:rPr>
        <w:t>用钢螺栓或专用卡件将所有的组件固定在安装支架上；</w:t>
      </w:r>
    </w:p>
    <w:p w14:paraId="4306579B">
      <w:pPr>
        <w:snapToGrid w:val="0"/>
        <w:spacing w:line="300" w:lineRule="auto"/>
        <w:ind w:firstLine="482" w:firstLineChars="200"/>
      </w:pPr>
      <w:r>
        <w:rPr>
          <w:rFonts w:hint="eastAsia"/>
          <w:b/>
          <w:bCs/>
          <w:sz w:val="24"/>
        </w:rPr>
        <w:t xml:space="preserve">5 </w:t>
      </w:r>
      <w:r>
        <w:rPr>
          <w:rFonts w:hint="eastAsia"/>
          <w:sz w:val="24"/>
        </w:rPr>
        <w:t>按照组件串并联的设计要求，用导线将组件的正、负极进行连接，导线电缆之间的连接必须可靠。宜用带保护皮的不锈钢夹、绑带、鞍形夹或耐老化的塑</w:t>
      </w:r>
    </w:p>
    <w:p w14:paraId="3F74F6BB">
      <w:pPr>
        <w:snapToGrid w:val="0"/>
        <w:spacing w:line="300" w:lineRule="auto"/>
        <w:ind w:firstLine="0" w:firstLineChars="0"/>
      </w:pPr>
      <w:r>
        <w:rPr>
          <w:rFonts w:hint="eastAsia"/>
          <w:sz w:val="24"/>
        </w:rPr>
        <w:t>料夹将电缆固定在管子或方阵支架上。接线完毕后，应盖上接线盒盖板。当有多个子方阵时，接线可通过分线盒或接线箱集中后输出；</w:t>
      </w:r>
    </w:p>
    <w:p w14:paraId="29ED1178">
      <w:pPr>
        <w:snapToGrid w:val="0"/>
        <w:spacing w:line="300" w:lineRule="auto"/>
        <w:ind w:firstLine="482" w:firstLineChars="200"/>
        <w:rPr>
          <w:rFonts w:hint="eastAsia"/>
          <w:sz w:val="24"/>
        </w:rPr>
      </w:pPr>
      <w:r>
        <w:rPr>
          <w:rFonts w:hint="eastAsia"/>
          <w:b/>
          <w:bCs/>
          <w:sz w:val="24"/>
        </w:rPr>
        <w:t>6</w:t>
      </w:r>
      <w:r>
        <w:rPr>
          <w:rFonts w:hint="eastAsia"/>
          <w:b/>
          <w:bCs/>
          <w:sz w:val="24"/>
          <w:lang w:val="en-US" w:eastAsia="zh-CN"/>
        </w:rPr>
        <w:t xml:space="preserve"> </w:t>
      </w:r>
      <w:r>
        <w:rPr>
          <w:rFonts w:hint="eastAsia"/>
          <w:sz w:val="24"/>
        </w:rPr>
        <w:t>太阳能光伏电池板的安装方位角和</w:t>
      </w:r>
      <w:r>
        <w:rPr>
          <w:sz w:val="24"/>
        </w:rPr>
        <w:t>光伏电池</w:t>
      </w:r>
      <w:r>
        <w:rPr>
          <w:rFonts w:hint="eastAsia"/>
          <w:sz w:val="24"/>
        </w:rPr>
        <w:t>倾角应对照设计要求进行核查，安装误差应在</w:t>
      </w:r>
      <w:r>
        <w:rPr>
          <w:rFonts w:hint="eastAsia"/>
          <w:sz w:val="24"/>
          <w:lang w:val="en-US" w:eastAsia="zh-CN"/>
        </w:rPr>
        <w:t>±</w:t>
      </w:r>
      <w:r>
        <w:rPr>
          <w:rFonts w:hint="eastAsia"/>
          <w:sz w:val="24"/>
        </w:rPr>
        <w:t>3</w:t>
      </w:r>
      <w:r>
        <w:rPr>
          <w:rFonts w:hint="default" w:ascii="Times New Roman" w:hAnsi="Times New Roman" w:cs="Times New Roman"/>
          <w:sz w:val="24"/>
        </w:rPr>
        <w:t>°</w:t>
      </w:r>
      <w:r>
        <w:rPr>
          <w:rFonts w:hint="eastAsia"/>
          <w:sz w:val="24"/>
        </w:rPr>
        <w:t>以内；</w:t>
      </w:r>
    </w:p>
    <w:p w14:paraId="5206D46E">
      <w:pPr>
        <w:snapToGrid w:val="0"/>
        <w:spacing w:line="300" w:lineRule="auto"/>
        <w:ind w:firstLine="482" w:firstLineChars="200"/>
      </w:pPr>
      <w:r>
        <w:rPr>
          <w:rFonts w:hint="eastAsia"/>
          <w:b/>
          <w:bCs/>
          <w:sz w:val="24"/>
        </w:rPr>
        <w:t xml:space="preserve">7 </w:t>
      </w:r>
      <w:r>
        <w:rPr>
          <w:rFonts w:hint="eastAsia"/>
          <w:sz w:val="24"/>
        </w:rPr>
        <w:t>光伏组件与建筑面层之间应留有安装空间和散热间隙，不得被施工杂物等填塞；</w:t>
      </w:r>
    </w:p>
    <w:p w14:paraId="0C2B8605">
      <w:pPr>
        <w:snapToGrid w:val="0"/>
        <w:spacing w:line="300" w:lineRule="auto"/>
        <w:ind w:firstLine="482" w:firstLineChars="200"/>
        <w:rPr>
          <w:rFonts w:hint="eastAsia" w:eastAsia="宋体"/>
          <w:lang w:eastAsia="zh-CN"/>
        </w:rPr>
      </w:pPr>
      <w:r>
        <w:rPr>
          <w:rFonts w:hint="eastAsia"/>
          <w:b/>
          <w:bCs/>
          <w:sz w:val="24"/>
        </w:rPr>
        <w:t>8</w:t>
      </w:r>
      <w:r>
        <w:rPr>
          <w:rFonts w:hint="eastAsia"/>
          <w:b/>
          <w:bCs/>
          <w:sz w:val="24"/>
          <w:lang w:val="en-US" w:eastAsia="zh-CN"/>
        </w:rPr>
        <w:t xml:space="preserve"> </w:t>
      </w:r>
      <w:r>
        <w:rPr>
          <w:rFonts w:hint="eastAsia"/>
          <w:sz w:val="24"/>
        </w:rPr>
        <w:t>光伏组件上正、负极和各种类型传感器接线应正确，压接应牢固，接线盒应采取防水措施</w:t>
      </w:r>
      <w:r>
        <w:rPr>
          <w:rFonts w:hint="eastAsia"/>
          <w:sz w:val="24"/>
          <w:lang w:eastAsia="zh-CN"/>
        </w:rPr>
        <w:t>。</w:t>
      </w:r>
    </w:p>
    <w:p w14:paraId="325348E3">
      <w:pPr>
        <w:pStyle w:val="2"/>
        <w:spacing w:line="300" w:lineRule="auto"/>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1B03CEB2">
      <w:pPr>
        <w:pStyle w:val="2"/>
        <w:spacing w:line="300" w:lineRule="auto"/>
        <w:rPr>
          <w:rFonts w:hint="eastAsia" w:ascii="仿宋" w:hAnsi="仿宋" w:eastAsia="仿宋" w:cs="仿宋"/>
          <w:i/>
          <w:iCs/>
          <w:color w:val="0623BA"/>
          <w:sz w:val="24"/>
        </w:rPr>
      </w:pPr>
      <w:r>
        <w:rPr>
          <w:rFonts w:hint="eastAsia" w:ascii="仿宋" w:hAnsi="仿宋" w:eastAsia="仿宋" w:cs="仿宋"/>
          <w:i/>
          <w:iCs/>
          <w:color w:val="0623BA"/>
          <w:sz w:val="24"/>
        </w:rPr>
        <w:t>1</w:t>
      </w:r>
      <w:r>
        <w:rPr>
          <w:rFonts w:hint="eastAsia" w:ascii="仿宋" w:hAnsi="仿宋" w:eastAsia="仿宋" w:cs="仿宋"/>
          <w:i/>
          <w:iCs/>
          <w:color w:val="0623BA"/>
          <w:sz w:val="24"/>
          <w:lang w:val="en-US" w:eastAsia="zh-CN"/>
        </w:rPr>
        <w:t>0</w:t>
      </w:r>
      <w:r>
        <w:rPr>
          <w:rFonts w:hint="eastAsia" w:ascii="仿宋" w:hAnsi="仿宋" w:eastAsia="仿宋" w:cs="仿宋"/>
          <w:i/>
          <w:iCs/>
          <w:color w:val="0623BA"/>
          <w:sz w:val="24"/>
        </w:rPr>
        <w:t>.3.</w:t>
      </w:r>
      <w:r>
        <w:rPr>
          <w:rFonts w:hint="eastAsia" w:ascii="仿宋" w:hAnsi="仿宋" w:eastAsia="仿宋" w:cs="仿宋"/>
          <w:i/>
          <w:iCs/>
          <w:color w:val="0623BA"/>
          <w:sz w:val="24"/>
          <w:lang w:val="en-US" w:eastAsia="zh-CN"/>
        </w:rPr>
        <w:t>1</w:t>
      </w:r>
      <w:r>
        <w:rPr>
          <w:rFonts w:hint="eastAsia" w:ascii="仿宋" w:hAnsi="仿宋" w:eastAsia="仿宋" w:cs="仿宋"/>
          <w:i/>
          <w:iCs/>
          <w:color w:val="0623BA"/>
          <w:sz w:val="24"/>
        </w:rPr>
        <w:t xml:space="preserve"> 太阳能集热器和光伏电池板安装方位角和倾角与设计要求的容许安装误差。检验安装方位角时，应先使用罗盘仪确定正南向，再使用经纬仪测量出方位角。检验安装倾角则可使用量角器测量。方位角和倾角对太阳能集热器的集热量光伏电池的工作效率影响较大。</w:t>
      </w:r>
    </w:p>
    <w:p w14:paraId="18D74FF8">
      <w:pPr>
        <w:snapToGrid w:val="0"/>
        <w:spacing w:line="300" w:lineRule="auto"/>
        <w:ind w:firstLine="0" w:firstLineChars="0"/>
        <w:rPr>
          <w:rFonts w:ascii="Times New Roman" w:hAnsi="Times New Roman" w:eastAsia="宋体" w:cs="Times New Roman"/>
          <w:b w:val="0"/>
          <w:bCs w:val="0"/>
          <w:color w:val="auto"/>
          <w:sz w:val="24"/>
          <w:szCs w:val="24"/>
        </w:rPr>
      </w:pPr>
      <w:bookmarkStart w:id="361" w:name="_Toc18061"/>
      <w:r>
        <w:rPr>
          <w:rFonts w:hint="default"/>
          <w:b/>
          <w:bCs/>
          <w:color w:val="auto"/>
          <w:sz w:val="24"/>
        </w:rPr>
        <w:t>1</w:t>
      </w:r>
      <w:r>
        <w:rPr>
          <w:rFonts w:hint="default"/>
          <w:b/>
          <w:bCs/>
          <w:color w:val="auto"/>
          <w:sz w:val="24"/>
          <w:lang w:val="en-US" w:eastAsia="zh-CN"/>
        </w:rPr>
        <w:t>0</w:t>
      </w:r>
      <w:r>
        <w:rPr>
          <w:rFonts w:hint="default"/>
          <w:b/>
          <w:bCs/>
          <w:color w:val="auto"/>
          <w:sz w:val="24"/>
        </w:rPr>
        <w:t>.3.</w:t>
      </w:r>
      <w:r>
        <w:rPr>
          <w:rFonts w:hint="default"/>
          <w:b/>
          <w:bCs/>
          <w:color w:val="auto"/>
          <w:sz w:val="24"/>
          <w:lang w:val="en-US" w:eastAsia="zh-CN"/>
        </w:rPr>
        <w:t>2</w:t>
      </w:r>
      <w:r>
        <w:rPr>
          <w:rFonts w:hint="default"/>
          <w:b/>
          <w:bCs/>
          <w:color w:val="auto"/>
          <w:sz w:val="24"/>
        </w:rPr>
        <w:t xml:space="preserve"> </w:t>
      </w:r>
      <w:r>
        <w:rPr>
          <w:rFonts w:hint="default" w:ascii="Times New Roman" w:hAnsi="Times New Roman"/>
          <w:b w:val="0"/>
          <w:bCs w:val="0"/>
          <w:color w:val="auto"/>
          <w:sz w:val="24"/>
          <w:szCs w:val="24"/>
        </w:rPr>
        <w:t>在坡屋面结构安装时，埋设在坡屋面结构层内的预埋件，应在结构层施工时埋入，位置应准确。预埋件应做防腐处理，在光伏方阵安装前妥善保护</w:t>
      </w:r>
      <w:r>
        <w:rPr>
          <w:rFonts w:hint="eastAsia" w:cs="Times New Roman"/>
          <w:b w:val="0"/>
          <w:bCs w:val="0"/>
          <w:i w:val="0"/>
          <w:iCs w:val="0"/>
          <w:color w:val="auto"/>
          <w:sz w:val="24"/>
          <w:szCs w:val="24"/>
          <w:lang w:eastAsia="zh-CN"/>
        </w:rPr>
        <w:t>，</w:t>
      </w:r>
      <w:r>
        <w:rPr>
          <w:rFonts w:hint="default" w:ascii="Times New Roman" w:hAnsi="Times New Roman" w:eastAsia="宋体" w:cs="Times New Roman"/>
          <w:b w:val="0"/>
          <w:bCs w:val="0"/>
          <w:i w:val="0"/>
          <w:iCs w:val="0"/>
          <w:color w:val="auto"/>
          <w:sz w:val="24"/>
          <w:szCs w:val="24"/>
        </w:rPr>
        <w:t>其周边的防水连接构造必须严格按设计要求施工，不得渗漏</w:t>
      </w:r>
      <w:r>
        <w:rPr>
          <w:rFonts w:hint="default" w:ascii="Times New Roman" w:hAnsi="Times New Roman" w:cs="Times New Roman"/>
          <w:b w:val="0"/>
          <w:bCs w:val="0"/>
          <w:i w:val="0"/>
          <w:iCs w:val="0"/>
          <w:color w:val="auto"/>
          <w:sz w:val="24"/>
          <w:szCs w:val="24"/>
          <w:lang w:eastAsia="zh-CN"/>
        </w:rPr>
        <w:t>。</w:t>
      </w:r>
      <w:bookmarkEnd w:id="361"/>
      <w:r>
        <w:rPr>
          <w:rFonts w:ascii="Times New Roman" w:hAnsi="Times New Roman" w:eastAsia="宋体" w:cs="Times New Roman"/>
          <w:b w:val="0"/>
          <w:bCs w:val="0"/>
          <w:color w:val="auto"/>
          <w:sz w:val="24"/>
          <w:szCs w:val="24"/>
        </w:rPr>
        <w:t xml:space="preserve"> </w:t>
      </w:r>
    </w:p>
    <w:p w14:paraId="0D3C6C25">
      <w:pPr>
        <w:snapToGrid w:val="0"/>
        <w:spacing w:line="300" w:lineRule="auto"/>
        <w:rPr>
          <w:rFonts w:hint="eastAsia" w:eastAsia="宋体"/>
          <w:b/>
          <w:bCs/>
          <w:sz w:val="24"/>
          <w:lang w:val="en-US" w:eastAsia="zh-CN"/>
        </w:rPr>
      </w:pPr>
      <w:r>
        <w:rPr>
          <w:rFonts w:hint="eastAsia"/>
          <w:b/>
          <w:bCs/>
          <w:sz w:val="24"/>
          <w:lang w:val="en-US" w:eastAsia="zh-CN"/>
        </w:rPr>
        <w:t xml:space="preserve">10.3.3 </w:t>
      </w:r>
      <w:r>
        <w:rPr>
          <w:rFonts w:ascii="FZSSJW--GB1-0" w:hAnsi="FZSSJW--GB1-0" w:eastAsia="FZSSJW--GB1-0" w:cs="FZSSJW--GB1-0"/>
          <w:b w:val="0"/>
          <w:bCs w:val="0"/>
          <w:i w:val="0"/>
          <w:iCs w:val="0"/>
          <w:color w:val="000000"/>
          <w:sz w:val="24"/>
          <w:szCs w:val="24"/>
        </w:rPr>
        <w:t>光伏幕墙的安装应符合下列</w:t>
      </w:r>
      <w:r>
        <w:rPr>
          <w:rFonts w:hint="eastAsia" w:ascii="FZSSJW--GB1-0" w:hAnsi="FZSSJW--GB1-0" w:eastAsia="宋体" w:cs="FZSSJW--GB1-0"/>
          <w:b w:val="0"/>
          <w:bCs w:val="0"/>
          <w:i w:val="0"/>
          <w:iCs w:val="0"/>
          <w:color w:val="000000"/>
          <w:sz w:val="24"/>
          <w:szCs w:val="24"/>
          <w:lang w:val="en-US" w:eastAsia="zh-CN"/>
        </w:rPr>
        <w:t>规定</w:t>
      </w:r>
      <w:r>
        <w:rPr>
          <w:rFonts w:hint="eastAsia" w:ascii="FZSSJW--GB1-0" w:hAnsi="FZSSJW--GB1-0" w:cs="FZSSJW--GB1-0"/>
          <w:b w:val="0"/>
          <w:bCs w:val="0"/>
          <w:i w:val="0"/>
          <w:iCs w:val="0"/>
          <w:color w:val="000000"/>
          <w:sz w:val="24"/>
          <w:szCs w:val="24"/>
          <w:lang w:eastAsia="zh-CN"/>
        </w:rPr>
        <w:t>：</w:t>
      </w:r>
    </w:p>
    <w:p w14:paraId="4F8E7E98">
      <w:pPr>
        <w:snapToGrid w:val="0"/>
        <w:spacing w:line="300" w:lineRule="auto"/>
        <w:ind w:firstLine="482" w:firstLineChars="200"/>
        <w:rPr>
          <w:rFonts w:hint="default" w:cs="Times New Roman"/>
          <w:b w:val="0"/>
          <w:bCs w:val="0"/>
          <w:i w:val="0"/>
          <w:iCs w:val="0"/>
          <w:sz w:val="24"/>
          <w:szCs w:val="24"/>
          <w:lang w:eastAsia="zh-CN"/>
        </w:rPr>
      </w:pPr>
      <w:r>
        <w:rPr>
          <w:rFonts w:hint="eastAsia" w:cs="Times New Roman"/>
          <w:b/>
          <w:bCs/>
          <w:i w:val="0"/>
          <w:iCs w:val="0"/>
          <w:color w:val="auto"/>
          <w:sz w:val="24"/>
          <w:szCs w:val="24"/>
          <w:lang w:val="en-US" w:eastAsia="zh-CN"/>
        </w:rPr>
        <w:t>1</w:t>
      </w:r>
      <w:r>
        <w:rPr>
          <w:rFonts w:hint="eastAsia" w:cs="Times New Roman"/>
          <w:b w:val="0"/>
          <w:bCs w:val="0"/>
          <w:i w:val="0"/>
          <w:iCs w:val="0"/>
          <w:color w:val="auto"/>
          <w:sz w:val="24"/>
          <w:szCs w:val="24"/>
          <w:lang w:val="en-US" w:eastAsia="zh-CN"/>
        </w:rPr>
        <w:t xml:space="preserve"> </w:t>
      </w:r>
      <w:r>
        <w:rPr>
          <w:rFonts w:hint="default" w:ascii="Times New Roman" w:hAnsi="Times New Roman" w:eastAsia="宋体" w:cs="Times New Roman"/>
          <w:b w:val="0"/>
          <w:bCs w:val="0"/>
          <w:i w:val="0"/>
          <w:iCs w:val="0"/>
          <w:color w:val="auto"/>
          <w:sz w:val="24"/>
          <w:szCs w:val="24"/>
        </w:rPr>
        <w:t>光伏幕墙的安装应符合现行国家标准《建筑幕墙》</w:t>
      </w:r>
      <w:r>
        <w:rPr>
          <w:rFonts w:hint="default" w:cs="Times New Roman"/>
          <w:b w:val="0"/>
          <w:bCs w:val="0"/>
          <w:i w:val="0"/>
          <w:iCs w:val="0"/>
          <w:sz w:val="24"/>
          <w:szCs w:val="24"/>
          <w:lang w:val="en-US" w:eastAsia="zh-CN"/>
        </w:rPr>
        <w:t>GB/T21086</w:t>
      </w:r>
      <w:r>
        <w:rPr>
          <w:rFonts w:hint="default" w:ascii="Times New Roman" w:hAnsi="Times New Roman" w:eastAsia="宋体" w:cs="Times New Roman"/>
          <w:b w:val="0"/>
          <w:bCs w:val="0"/>
          <w:i w:val="0"/>
          <w:iCs w:val="0"/>
          <w:color w:val="auto"/>
          <w:sz w:val="24"/>
          <w:szCs w:val="24"/>
        </w:rPr>
        <w:t>、《建筑装饰装修工程质量验收标准》</w:t>
      </w:r>
      <w:r>
        <w:rPr>
          <w:rFonts w:hint="default" w:cs="Times New Roman"/>
          <w:b w:val="0"/>
          <w:bCs w:val="0"/>
          <w:i w:val="0"/>
          <w:iCs w:val="0"/>
          <w:sz w:val="24"/>
          <w:szCs w:val="24"/>
          <w:lang w:val="en-US" w:eastAsia="zh-CN"/>
        </w:rPr>
        <w:t>GB 50210</w:t>
      </w:r>
      <w:r>
        <w:rPr>
          <w:rFonts w:hint="default" w:ascii="Times New Roman" w:hAnsi="Times New Roman" w:eastAsia="宋体" w:cs="Times New Roman"/>
          <w:b w:val="0"/>
          <w:bCs w:val="0"/>
          <w:i w:val="0"/>
          <w:iCs w:val="0"/>
          <w:color w:val="auto"/>
          <w:sz w:val="24"/>
          <w:szCs w:val="24"/>
        </w:rPr>
        <w:t>和现行行业标准《玻璃幕墙工程技术规范》</w:t>
      </w:r>
      <w:r>
        <w:rPr>
          <w:rFonts w:hint="default" w:cs="Times New Roman"/>
          <w:b w:val="0"/>
          <w:bCs w:val="0"/>
          <w:i w:val="0"/>
          <w:iCs w:val="0"/>
          <w:sz w:val="24"/>
          <w:szCs w:val="24"/>
          <w:lang w:val="en-US" w:eastAsia="zh-CN"/>
        </w:rPr>
        <w:t>JGJ102</w:t>
      </w:r>
      <w:r>
        <w:rPr>
          <w:rFonts w:hint="default" w:ascii="Times New Roman" w:hAnsi="Times New Roman" w:eastAsia="宋体" w:cs="Times New Roman"/>
          <w:b w:val="0"/>
          <w:bCs w:val="0"/>
          <w:i w:val="0"/>
          <w:iCs w:val="0"/>
          <w:color w:val="auto"/>
          <w:sz w:val="24"/>
          <w:szCs w:val="24"/>
        </w:rPr>
        <w:t>、《玻璃幕墙工程质量检验标准》</w:t>
      </w:r>
      <w:r>
        <w:rPr>
          <w:rFonts w:hint="default" w:cs="Times New Roman"/>
          <w:b w:val="0"/>
          <w:bCs w:val="0"/>
          <w:i w:val="0"/>
          <w:iCs w:val="0"/>
          <w:sz w:val="24"/>
          <w:szCs w:val="24"/>
          <w:lang w:val="en-US" w:eastAsia="zh-CN"/>
        </w:rPr>
        <w:t>JGJ/T 139</w:t>
      </w:r>
      <w:r>
        <w:rPr>
          <w:rFonts w:hint="default" w:ascii="Times New Roman" w:hAnsi="Times New Roman" w:eastAsia="宋体" w:cs="Times New Roman"/>
          <w:b w:val="0"/>
          <w:bCs w:val="0"/>
          <w:i w:val="0"/>
          <w:iCs w:val="0"/>
          <w:color w:val="auto"/>
          <w:sz w:val="24"/>
          <w:szCs w:val="24"/>
        </w:rPr>
        <w:t>的有关规定</w:t>
      </w:r>
      <w:r>
        <w:rPr>
          <w:rFonts w:hint="default" w:cs="Times New Roman"/>
          <w:b w:val="0"/>
          <w:bCs w:val="0"/>
          <w:i w:val="0"/>
          <w:iCs w:val="0"/>
          <w:sz w:val="24"/>
          <w:szCs w:val="24"/>
          <w:lang w:eastAsia="zh-CN"/>
        </w:rPr>
        <w:t>；</w:t>
      </w:r>
    </w:p>
    <w:p w14:paraId="25A9B28D">
      <w:pPr>
        <w:snapToGrid w:val="0"/>
        <w:spacing w:line="300" w:lineRule="auto"/>
        <w:ind w:firstLine="482" w:firstLineChars="200"/>
        <w:rPr>
          <w:rFonts w:hint="default" w:ascii="Times New Roman" w:hAnsi="Times New Roman" w:eastAsia="宋体" w:cs="Times New Roman"/>
          <w:b w:val="0"/>
          <w:bCs w:val="0"/>
          <w:i w:val="0"/>
          <w:iCs w:val="0"/>
          <w:sz w:val="24"/>
          <w:szCs w:val="24"/>
        </w:rPr>
      </w:pPr>
      <w:r>
        <w:rPr>
          <w:rFonts w:hint="eastAsia" w:cs="Times New Roman"/>
          <w:b/>
          <w:bCs/>
          <w:i w:val="0"/>
          <w:iCs w:val="0"/>
          <w:color w:val="auto"/>
          <w:sz w:val="24"/>
          <w:szCs w:val="24"/>
          <w:lang w:val="en-US" w:eastAsia="zh-CN"/>
        </w:rPr>
        <w:t xml:space="preserve">2 </w:t>
      </w:r>
      <w:r>
        <w:rPr>
          <w:rFonts w:hint="default" w:ascii="Times New Roman" w:hAnsi="Times New Roman" w:eastAsia="宋体" w:cs="Times New Roman"/>
          <w:b w:val="0"/>
          <w:bCs w:val="0"/>
          <w:i w:val="0"/>
          <w:iCs w:val="0"/>
          <w:color w:val="auto"/>
          <w:sz w:val="24"/>
          <w:szCs w:val="24"/>
        </w:rPr>
        <w:t>光伏幕墙组件大面积安装之前，应进行试安装，对其建筑视觉效果、建筑安全、电气安全进行评估后方可施工；</w:t>
      </w:r>
    </w:p>
    <w:p w14:paraId="79093A2D">
      <w:pPr>
        <w:snapToGrid w:val="0"/>
        <w:spacing w:line="300" w:lineRule="auto"/>
        <w:ind w:firstLine="482" w:firstLineChars="200"/>
        <w:rPr>
          <w:rFonts w:hint="default" w:ascii="Times New Roman" w:hAnsi="Times New Roman" w:eastAsia="宋体" w:cs="Times New Roman"/>
          <w:b w:val="0"/>
          <w:bCs w:val="0"/>
          <w:i w:val="0"/>
          <w:iCs w:val="0"/>
          <w:sz w:val="24"/>
          <w:szCs w:val="24"/>
        </w:rPr>
      </w:pPr>
      <w:r>
        <w:rPr>
          <w:rFonts w:hint="eastAsia" w:cs="Times New Roman"/>
          <w:b/>
          <w:bCs/>
          <w:i w:val="0"/>
          <w:iCs w:val="0"/>
          <w:color w:val="auto"/>
          <w:sz w:val="24"/>
          <w:szCs w:val="24"/>
          <w:lang w:val="en-US" w:eastAsia="zh-CN"/>
        </w:rPr>
        <w:t xml:space="preserve">3 </w:t>
      </w:r>
      <w:r>
        <w:rPr>
          <w:rFonts w:hint="default" w:ascii="Times New Roman" w:hAnsi="Times New Roman" w:eastAsia="宋体" w:cs="Times New Roman"/>
          <w:b w:val="0"/>
          <w:bCs w:val="0"/>
          <w:i w:val="0"/>
          <w:iCs w:val="0"/>
          <w:color w:val="auto"/>
          <w:sz w:val="24"/>
          <w:szCs w:val="24"/>
        </w:rPr>
        <w:t>玻璃幕墙的造型和立面分格应符合设计要求；</w:t>
      </w:r>
    </w:p>
    <w:p w14:paraId="666B953E">
      <w:pPr>
        <w:snapToGrid w:val="0"/>
        <w:spacing w:line="300" w:lineRule="auto"/>
        <w:ind w:firstLine="482" w:firstLineChars="200"/>
        <w:rPr>
          <w:rFonts w:hint="default" w:ascii="Times New Roman" w:hAnsi="Times New Roman" w:eastAsia="宋体" w:cs="Times New Roman"/>
          <w:b w:val="0"/>
          <w:bCs w:val="0"/>
          <w:i w:val="0"/>
          <w:iCs w:val="0"/>
          <w:sz w:val="24"/>
          <w:szCs w:val="24"/>
        </w:rPr>
      </w:pPr>
      <w:r>
        <w:rPr>
          <w:rFonts w:hint="eastAsia" w:cs="Times New Roman"/>
          <w:b/>
          <w:bCs/>
          <w:i w:val="0"/>
          <w:iCs w:val="0"/>
          <w:color w:val="auto"/>
          <w:sz w:val="24"/>
          <w:szCs w:val="24"/>
          <w:lang w:val="en-US" w:eastAsia="zh-CN"/>
        </w:rPr>
        <w:t xml:space="preserve">4 </w:t>
      </w:r>
      <w:r>
        <w:rPr>
          <w:rFonts w:hint="default" w:ascii="Times New Roman" w:hAnsi="Times New Roman" w:eastAsia="宋体" w:cs="Times New Roman"/>
          <w:b w:val="0"/>
          <w:bCs w:val="0"/>
          <w:i w:val="0"/>
          <w:iCs w:val="0"/>
          <w:color w:val="auto"/>
          <w:sz w:val="24"/>
          <w:szCs w:val="24"/>
        </w:rPr>
        <w:t>幕墙玻璃品种、厚度、颜色、光学性能以及组件夹层玻璃中</w:t>
      </w:r>
      <w:r>
        <w:rPr>
          <w:rFonts w:hint="default" w:cs="Times New Roman"/>
          <w:b w:val="0"/>
          <w:bCs w:val="0"/>
          <w:i w:val="0"/>
          <w:iCs w:val="0"/>
          <w:sz w:val="24"/>
          <w:szCs w:val="24"/>
          <w:lang w:val="en-US" w:eastAsia="zh-CN"/>
        </w:rPr>
        <w:t>PVB</w:t>
      </w:r>
      <w:r>
        <w:rPr>
          <w:rFonts w:hint="default" w:ascii="Times New Roman" w:hAnsi="Times New Roman" w:eastAsia="宋体" w:cs="Times New Roman"/>
          <w:b w:val="0"/>
          <w:bCs w:val="0"/>
          <w:i w:val="0"/>
          <w:iCs w:val="0"/>
          <w:color w:val="auto"/>
          <w:sz w:val="24"/>
          <w:szCs w:val="24"/>
        </w:rPr>
        <w:t>夹层胶片的厚度应符合设计要求和现行产品标准的有关规定；</w:t>
      </w:r>
    </w:p>
    <w:p w14:paraId="202AA76E">
      <w:pPr>
        <w:snapToGrid w:val="0"/>
        <w:spacing w:line="300" w:lineRule="auto"/>
        <w:ind w:firstLine="482" w:firstLineChars="200"/>
        <w:rPr>
          <w:rFonts w:hint="eastAsia" w:eastAsia="宋体"/>
          <w:lang w:eastAsia="zh-CN"/>
        </w:rPr>
      </w:pPr>
      <w:r>
        <w:rPr>
          <w:rFonts w:hint="eastAsia" w:cs="Times New Roman"/>
          <w:b/>
          <w:bCs/>
          <w:i w:val="0"/>
          <w:iCs w:val="0"/>
          <w:color w:val="auto"/>
          <w:sz w:val="24"/>
          <w:szCs w:val="24"/>
          <w:lang w:val="en-US" w:eastAsia="zh-CN"/>
        </w:rPr>
        <w:t xml:space="preserve">5 </w:t>
      </w:r>
      <w:r>
        <w:rPr>
          <w:rFonts w:hint="default" w:ascii="Times New Roman" w:hAnsi="Times New Roman" w:eastAsia="宋体" w:cs="Times New Roman"/>
          <w:b w:val="0"/>
          <w:bCs w:val="0"/>
          <w:i w:val="0"/>
          <w:iCs w:val="0"/>
          <w:color w:val="auto"/>
          <w:sz w:val="24"/>
          <w:szCs w:val="24"/>
        </w:rPr>
        <w:t>光伏幕墙与主体结构连接的各种预埋件、连接件、紧固件必须安装牢固，其数量、规格、位置、连接方法和防腐处理必须符合设计要求</w:t>
      </w:r>
      <w:r>
        <w:rPr>
          <w:rFonts w:hint="default" w:cs="Times New Roman"/>
          <w:b w:val="0"/>
          <w:bCs w:val="0"/>
          <w:i w:val="0"/>
          <w:iCs w:val="0"/>
          <w:color w:val="auto"/>
          <w:sz w:val="24"/>
          <w:szCs w:val="24"/>
          <w:lang w:eastAsia="zh-CN"/>
        </w:rPr>
        <w:t>，</w:t>
      </w:r>
      <w:r>
        <w:rPr>
          <w:rFonts w:hint="default"/>
          <w:sz w:val="24"/>
        </w:rPr>
        <w:t>预埋件的误差应按设计要求进行复查。预埋件的标高偏差不应大于10mm，预埋件位置差不应大于20mm</w:t>
      </w:r>
      <w:r>
        <w:rPr>
          <w:rFonts w:hint="eastAsia"/>
          <w:sz w:val="24"/>
          <w:lang w:eastAsia="zh-CN"/>
        </w:rPr>
        <w:t>；</w:t>
      </w:r>
    </w:p>
    <w:p w14:paraId="185011FF">
      <w:pPr>
        <w:snapToGrid w:val="0"/>
        <w:spacing w:line="300" w:lineRule="auto"/>
        <w:ind w:firstLine="482" w:firstLineChars="200"/>
        <w:rPr>
          <w:rFonts w:hint="default" w:ascii="Times New Roman" w:hAnsi="Times New Roman" w:eastAsia="宋体" w:cs="Times New Roman"/>
          <w:b w:val="0"/>
          <w:bCs w:val="0"/>
          <w:i w:val="0"/>
          <w:iCs w:val="0"/>
          <w:sz w:val="24"/>
          <w:szCs w:val="24"/>
        </w:rPr>
      </w:pPr>
      <w:r>
        <w:rPr>
          <w:rFonts w:hint="eastAsia" w:cs="Times New Roman"/>
          <w:b/>
          <w:bCs/>
          <w:i w:val="0"/>
          <w:iCs w:val="0"/>
          <w:color w:val="auto"/>
          <w:sz w:val="24"/>
          <w:szCs w:val="24"/>
          <w:lang w:val="en-US" w:eastAsia="zh-CN"/>
        </w:rPr>
        <w:t xml:space="preserve">6 </w:t>
      </w:r>
      <w:r>
        <w:rPr>
          <w:rFonts w:hint="default" w:ascii="Times New Roman" w:hAnsi="Times New Roman" w:eastAsia="宋体" w:cs="Times New Roman"/>
          <w:b w:val="0"/>
          <w:bCs w:val="0"/>
          <w:i w:val="0"/>
          <w:iCs w:val="0"/>
          <w:color w:val="auto"/>
          <w:sz w:val="24"/>
          <w:szCs w:val="24"/>
        </w:rPr>
        <w:t>光伏幕墙应无渗漏；</w:t>
      </w:r>
    </w:p>
    <w:p w14:paraId="2A7398E3">
      <w:pPr>
        <w:snapToGrid w:val="0"/>
        <w:spacing w:line="300" w:lineRule="auto"/>
        <w:ind w:firstLine="482" w:firstLineChars="200"/>
        <w:rPr>
          <w:rFonts w:hint="default"/>
          <w:b w:val="0"/>
          <w:bCs w:val="0"/>
          <w:sz w:val="24"/>
        </w:rPr>
      </w:pPr>
      <w:r>
        <w:rPr>
          <w:rFonts w:hint="eastAsia" w:cs="Times New Roman"/>
          <w:b/>
          <w:bCs/>
          <w:i w:val="0"/>
          <w:iCs w:val="0"/>
          <w:color w:val="auto"/>
          <w:sz w:val="24"/>
          <w:szCs w:val="24"/>
          <w:lang w:val="en-US" w:eastAsia="zh-CN"/>
        </w:rPr>
        <w:t xml:space="preserve">7 </w:t>
      </w:r>
      <w:r>
        <w:rPr>
          <w:rFonts w:hint="default" w:ascii="Times New Roman" w:hAnsi="Times New Roman" w:eastAsia="宋体" w:cs="Times New Roman"/>
          <w:b w:val="0"/>
          <w:bCs w:val="0"/>
          <w:i w:val="0"/>
          <w:iCs w:val="0"/>
          <w:color w:val="auto"/>
          <w:sz w:val="24"/>
          <w:szCs w:val="24"/>
        </w:rPr>
        <w:t>光伏幕墙与玻璃幕墙同时施工，共同接受幕墙相关的物理性能检测</w:t>
      </w:r>
      <w:r>
        <w:rPr>
          <w:rFonts w:hint="default" w:cs="Times New Roman"/>
          <w:b w:val="0"/>
          <w:bCs w:val="0"/>
          <w:i w:val="0"/>
          <w:iCs w:val="0"/>
          <w:sz w:val="24"/>
          <w:szCs w:val="24"/>
          <w:lang w:eastAsia="zh-CN"/>
        </w:rPr>
        <w:t>。</w:t>
      </w:r>
    </w:p>
    <w:p w14:paraId="6B1382E0">
      <w:pPr>
        <w:snapToGrid w:val="0"/>
        <w:spacing w:line="300" w:lineRule="auto"/>
        <w:jc w:val="left"/>
        <w:rPr>
          <w:rFonts w:hint="default"/>
          <w:sz w:val="24"/>
          <w:lang w:eastAsia="zh-CN"/>
        </w:rPr>
      </w:pPr>
      <w:bookmarkStart w:id="362" w:name="_Toc7711"/>
      <w:r>
        <w:rPr>
          <w:rFonts w:hint="default" w:ascii="Times New Roman" w:hAnsi="Times New Roman"/>
          <w:b/>
          <w:bCs/>
          <w:sz w:val="24"/>
          <w:szCs w:val="24"/>
          <w:lang w:val="en-US" w:eastAsia="zh-CN"/>
        </w:rPr>
        <w:t>10.3.</w:t>
      </w:r>
      <w:r>
        <w:rPr>
          <w:rFonts w:hint="eastAsia"/>
          <w:b/>
          <w:bCs/>
          <w:sz w:val="24"/>
          <w:szCs w:val="24"/>
          <w:lang w:val="en-US" w:eastAsia="zh-CN"/>
        </w:rPr>
        <w:t>4</w:t>
      </w:r>
      <w:r>
        <w:rPr>
          <w:rFonts w:hint="default" w:ascii="Times New Roman" w:hAnsi="Times New Roman"/>
          <w:b/>
          <w:bCs/>
          <w:sz w:val="24"/>
          <w:szCs w:val="24"/>
          <w:lang w:val="en-US" w:eastAsia="zh-CN"/>
        </w:rPr>
        <w:t xml:space="preserve"> </w:t>
      </w:r>
      <w:r>
        <w:rPr>
          <w:rFonts w:hint="default"/>
          <w:sz w:val="24"/>
          <w:lang w:eastAsia="zh-CN"/>
        </w:rPr>
        <w:t>组件的接线应符合下列要求</w:t>
      </w:r>
      <w:bookmarkEnd w:id="362"/>
      <w:r>
        <w:rPr>
          <w:rFonts w:hint="eastAsia"/>
          <w:sz w:val="24"/>
          <w:lang w:eastAsia="zh-CN"/>
        </w:rPr>
        <w:t>：</w:t>
      </w:r>
    </w:p>
    <w:p w14:paraId="2D4F13EB">
      <w:pPr>
        <w:snapToGrid w:val="0"/>
        <w:spacing w:line="300" w:lineRule="auto"/>
        <w:ind w:firstLine="482" w:firstLineChars="200"/>
        <w:jc w:val="left"/>
        <w:rPr>
          <w:rFonts w:hint="default"/>
          <w:sz w:val="24"/>
          <w:lang w:eastAsia="zh-CN"/>
        </w:rPr>
      </w:pPr>
      <w:bookmarkStart w:id="363" w:name="_Toc32550"/>
      <w:r>
        <w:rPr>
          <w:rFonts w:hint="default" w:ascii="Times New Roman" w:hAnsi="Times New Roman"/>
          <w:b/>
          <w:bCs/>
          <w:sz w:val="24"/>
          <w:szCs w:val="24"/>
          <w:lang w:val="en-US" w:eastAsia="zh-CN"/>
        </w:rPr>
        <w:t xml:space="preserve">1 </w:t>
      </w:r>
      <w:r>
        <w:rPr>
          <w:rFonts w:hint="default"/>
          <w:sz w:val="24"/>
          <w:lang w:eastAsia="zh-CN"/>
        </w:rPr>
        <w:t>组件安装和移动的过程中，不应拉扯连接线</w:t>
      </w:r>
      <w:r>
        <w:rPr>
          <w:rFonts w:hint="default" w:ascii="Times New Roman" w:hAnsi="Times New Roman"/>
          <w:b w:val="0"/>
          <w:bCs w:val="0"/>
          <w:sz w:val="24"/>
          <w:szCs w:val="24"/>
          <w:lang w:eastAsia="zh-CN"/>
        </w:rPr>
        <w:t>；</w:t>
      </w:r>
      <w:bookmarkEnd w:id="363"/>
    </w:p>
    <w:p w14:paraId="1B6DC473">
      <w:pPr>
        <w:snapToGrid w:val="0"/>
        <w:spacing w:line="300" w:lineRule="auto"/>
        <w:ind w:firstLine="482" w:firstLineChars="200"/>
        <w:jc w:val="left"/>
        <w:rPr>
          <w:rFonts w:hint="default"/>
          <w:sz w:val="24"/>
          <w:lang w:eastAsia="zh-CN"/>
        </w:rPr>
      </w:pPr>
      <w:bookmarkStart w:id="364" w:name="_Toc4041"/>
      <w:r>
        <w:rPr>
          <w:rFonts w:hint="default" w:ascii="Times New Roman" w:hAnsi="Times New Roman"/>
          <w:b/>
          <w:bCs/>
          <w:sz w:val="24"/>
          <w:szCs w:val="24"/>
          <w:lang w:val="en-US" w:eastAsia="zh-CN"/>
        </w:rPr>
        <w:t xml:space="preserve">2 </w:t>
      </w:r>
      <w:r>
        <w:rPr>
          <w:rFonts w:hint="default"/>
          <w:sz w:val="24"/>
          <w:lang w:eastAsia="zh-CN"/>
        </w:rPr>
        <w:t>施工时，各类设备、装置的正负极严禁短接</w:t>
      </w:r>
      <w:r>
        <w:rPr>
          <w:rFonts w:hint="default" w:ascii="Times New Roman" w:hAnsi="Times New Roman"/>
          <w:b w:val="0"/>
          <w:bCs w:val="0"/>
          <w:sz w:val="24"/>
          <w:szCs w:val="24"/>
          <w:lang w:eastAsia="zh-CN"/>
        </w:rPr>
        <w:t>；</w:t>
      </w:r>
      <w:bookmarkEnd w:id="364"/>
    </w:p>
    <w:p w14:paraId="3918EE31">
      <w:pPr>
        <w:snapToGrid w:val="0"/>
        <w:spacing w:line="300" w:lineRule="auto"/>
        <w:ind w:firstLine="482" w:firstLineChars="200"/>
        <w:jc w:val="left"/>
        <w:rPr>
          <w:rFonts w:hint="default"/>
          <w:sz w:val="24"/>
          <w:lang w:eastAsia="zh-CN"/>
        </w:rPr>
      </w:pPr>
      <w:bookmarkStart w:id="365" w:name="_Toc16879"/>
      <w:r>
        <w:rPr>
          <w:rFonts w:hint="default" w:ascii="Times New Roman" w:hAnsi="Times New Roman"/>
          <w:b/>
          <w:bCs/>
          <w:sz w:val="24"/>
          <w:szCs w:val="24"/>
          <w:lang w:val="en-US" w:eastAsia="zh-CN"/>
        </w:rPr>
        <w:t xml:space="preserve">3 </w:t>
      </w:r>
      <w:r>
        <w:rPr>
          <w:rFonts w:hint="default"/>
          <w:sz w:val="24"/>
          <w:lang w:eastAsia="zh-CN"/>
        </w:rPr>
        <w:t>组件安装时，不应造成玻璃和背板的划伤或破损</w:t>
      </w:r>
      <w:r>
        <w:rPr>
          <w:rFonts w:hint="default" w:ascii="Times New Roman" w:hAnsi="Times New Roman"/>
          <w:b w:val="0"/>
          <w:bCs w:val="0"/>
          <w:sz w:val="24"/>
          <w:szCs w:val="24"/>
          <w:lang w:eastAsia="zh-CN"/>
        </w:rPr>
        <w:t>；</w:t>
      </w:r>
      <w:bookmarkEnd w:id="365"/>
    </w:p>
    <w:p w14:paraId="1D721C29">
      <w:pPr>
        <w:snapToGrid w:val="0"/>
        <w:spacing w:line="300" w:lineRule="auto"/>
        <w:ind w:firstLine="482" w:firstLineChars="200"/>
        <w:jc w:val="left"/>
        <w:rPr>
          <w:rFonts w:hint="default"/>
          <w:sz w:val="24"/>
          <w:lang w:eastAsia="zh-CN"/>
        </w:rPr>
      </w:pPr>
      <w:bookmarkStart w:id="366" w:name="_Toc16835"/>
      <w:r>
        <w:rPr>
          <w:rFonts w:hint="default" w:ascii="Times New Roman" w:hAnsi="Times New Roman"/>
          <w:b/>
          <w:bCs/>
          <w:sz w:val="24"/>
          <w:szCs w:val="24"/>
          <w:lang w:eastAsia="zh-CN"/>
        </w:rPr>
        <w:t>4</w:t>
      </w:r>
      <w:r>
        <w:rPr>
          <w:rFonts w:hint="default" w:ascii="Times New Roman" w:hAnsi="Times New Roman"/>
          <w:b/>
          <w:bCs/>
          <w:sz w:val="24"/>
          <w:szCs w:val="24"/>
          <w:lang w:val="en-US" w:eastAsia="zh-CN"/>
        </w:rPr>
        <w:t xml:space="preserve"> </w:t>
      </w:r>
      <w:r>
        <w:rPr>
          <w:rFonts w:hint="default"/>
          <w:sz w:val="24"/>
          <w:lang w:eastAsia="zh-CN"/>
        </w:rPr>
        <w:t>组件之间连接线不应承受外力且应进行绑扎，整齐、美观</w:t>
      </w:r>
      <w:r>
        <w:rPr>
          <w:rFonts w:hint="default" w:ascii="Times New Roman" w:hAnsi="Times New Roman"/>
          <w:b w:val="0"/>
          <w:bCs w:val="0"/>
          <w:sz w:val="24"/>
          <w:szCs w:val="24"/>
          <w:lang w:eastAsia="zh-CN"/>
        </w:rPr>
        <w:t>；</w:t>
      </w:r>
      <w:bookmarkEnd w:id="366"/>
    </w:p>
    <w:p w14:paraId="6281E87A">
      <w:pPr>
        <w:snapToGrid w:val="0"/>
        <w:spacing w:line="300" w:lineRule="auto"/>
        <w:ind w:firstLine="482" w:firstLineChars="200"/>
        <w:jc w:val="left"/>
        <w:rPr>
          <w:rFonts w:hint="default"/>
          <w:sz w:val="24"/>
          <w:lang w:eastAsia="zh-CN"/>
        </w:rPr>
      </w:pPr>
      <w:bookmarkStart w:id="367" w:name="_Toc30755"/>
      <w:r>
        <w:rPr>
          <w:rFonts w:hint="default" w:ascii="Times New Roman" w:hAnsi="Times New Roman"/>
          <w:b/>
          <w:bCs/>
          <w:sz w:val="24"/>
          <w:szCs w:val="24"/>
          <w:lang w:eastAsia="zh-CN"/>
        </w:rPr>
        <w:t>5</w:t>
      </w:r>
      <w:r>
        <w:rPr>
          <w:rFonts w:hint="default" w:ascii="Times New Roman" w:hAnsi="Times New Roman"/>
          <w:b/>
          <w:bCs/>
          <w:sz w:val="24"/>
          <w:szCs w:val="24"/>
          <w:lang w:val="en-US" w:eastAsia="zh-CN"/>
        </w:rPr>
        <w:t xml:space="preserve"> </w:t>
      </w:r>
      <w:r>
        <w:rPr>
          <w:rFonts w:hint="default"/>
          <w:sz w:val="24"/>
          <w:lang w:eastAsia="zh-CN"/>
        </w:rPr>
        <w:t>组件在运输安装过程中，不应被踩踏、坐卧、撞击或置放物品</w:t>
      </w:r>
      <w:r>
        <w:rPr>
          <w:rFonts w:hint="default" w:ascii="Times New Roman" w:hAnsi="Times New Roman"/>
          <w:b w:val="0"/>
          <w:bCs w:val="0"/>
          <w:sz w:val="24"/>
          <w:szCs w:val="24"/>
          <w:lang w:eastAsia="zh-CN"/>
        </w:rPr>
        <w:t>；</w:t>
      </w:r>
      <w:bookmarkEnd w:id="367"/>
    </w:p>
    <w:p w14:paraId="0E24E6D5">
      <w:pPr>
        <w:snapToGrid w:val="0"/>
        <w:spacing w:line="300" w:lineRule="auto"/>
        <w:ind w:firstLine="482" w:firstLineChars="200"/>
        <w:jc w:val="left"/>
        <w:rPr>
          <w:rFonts w:hint="default"/>
          <w:sz w:val="24"/>
          <w:lang w:eastAsia="zh-CN"/>
        </w:rPr>
      </w:pPr>
      <w:bookmarkStart w:id="368" w:name="_Toc2395"/>
      <w:r>
        <w:rPr>
          <w:rFonts w:hint="default" w:ascii="Times New Roman" w:hAnsi="Times New Roman"/>
          <w:b/>
          <w:bCs/>
          <w:sz w:val="24"/>
          <w:szCs w:val="24"/>
          <w:lang w:eastAsia="zh-CN"/>
        </w:rPr>
        <w:t>6</w:t>
      </w:r>
      <w:r>
        <w:rPr>
          <w:rFonts w:hint="default" w:ascii="Times New Roman" w:hAnsi="Times New Roman"/>
          <w:b/>
          <w:bCs/>
          <w:sz w:val="24"/>
          <w:szCs w:val="24"/>
          <w:lang w:val="en-US" w:eastAsia="zh-CN"/>
        </w:rPr>
        <w:t xml:space="preserve"> </w:t>
      </w:r>
      <w:r>
        <w:rPr>
          <w:rFonts w:hint="default"/>
          <w:sz w:val="24"/>
          <w:lang w:eastAsia="zh-CN"/>
        </w:rPr>
        <w:t>进行组件连线施工时，施工人员应配备安全防护用品，不应触摸金属带电部位</w:t>
      </w:r>
      <w:r>
        <w:rPr>
          <w:rFonts w:hint="default" w:ascii="Times New Roman" w:hAnsi="Times New Roman"/>
          <w:b w:val="0"/>
          <w:bCs w:val="0"/>
          <w:sz w:val="24"/>
          <w:szCs w:val="24"/>
          <w:lang w:eastAsia="zh-CN"/>
        </w:rPr>
        <w:t>；</w:t>
      </w:r>
      <w:bookmarkEnd w:id="368"/>
    </w:p>
    <w:p w14:paraId="2273BE59">
      <w:pPr>
        <w:snapToGrid w:val="0"/>
        <w:spacing w:line="300" w:lineRule="auto"/>
        <w:ind w:firstLine="482" w:firstLineChars="200"/>
        <w:jc w:val="left"/>
        <w:rPr>
          <w:rFonts w:hint="default"/>
          <w:sz w:val="24"/>
          <w:lang w:eastAsia="zh-CN"/>
        </w:rPr>
      </w:pPr>
      <w:bookmarkStart w:id="369" w:name="_Toc30423"/>
      <w:r>
        <w:rPr>
          <w:rFonts w:hint="eastAsia"/>
          <w:b/>
          <w:bCs/>
          <w:sz w:val="24"/>
          <w:szCs w:val="24"/>
          <w:lang w:val="en-US" w:eastAsia="zh-CN"/>
        </w:rPr>
        <w:t>7</w:t>
      </w:r>
      <w:r>
        <w:rPr>
          <w:rFonts w:hint="eastAsia"/>
          <w:b w:val="0"/>
          <w:bCs w:val="0"/>
          <w:sz w:val="24"/>
          <w:szCs w:val="24"/>
          <w:lang w:val="en-US" w:eastAsia="zh-CN"/>
        </w:rPr>
        <w:t xml:space="preserve"> </w:t>
      </w:r>
      <w:r>
        <w:rPr>
          <w:rFonts w:hint="default"/>
          <w:sz w:val="24"/>
          <w:lang w:eastAsia="zh-CN"/>
        </w:rPr>
        <w:t>对组串完成但不具备接引条件的部位，应用绝缘胶布包扎好并做好警示</w:t>
      </w:r>
      <w:r>
        <w:rPr>
          <w:rFonts w:hint="default" w:ascii="Times New Roman" w:hAnsi="Times New Roman"/>
          <w:b w:val="0"/>
          <w:bCs w:val="0"/>
          <w:sz w:val="24"/>
          <w:szCs w:val="24"/>
          <w:lang w:eastAsia="zh-CN"/>
        </w:rPr>
        <w:t>；</w:t>
      </w:r>
      <w:bookmarkEnd w:id="369"/>
    </w:p>
    <w:p w14:paraId="3D6C8FD4">
      <w:pPr>
        <w:snapToGrid w:val="0"/>
        <w:spacing w:line="300" w:lineRule="auto"/>
        <w:ind w:firstLine="482" w:firstLineChars="200"/>
        <w:jc w:val="left"/>
        <w:rPr>
          <w:rFonts w:hint="default"/>
          <w:sz w:val="24"/>
          <w:lang w:eastAsia="zh-CN"/>
        </w:rPr>
      </w:pPr>
      <w:bookmarkStart w:id="370" w:name="_Toc20586"/>
      <w:r>
        <w:rPr>
          <w:rFonts w:hint="eastAsia"/>
          <w:b/>
          <w:bCs/>
          <w:sz w:val="24"/>
          <w:szCs w:val="24"/>
          <w:lang w:val="en-US" w:eastAsia="zh-CN"/>
        </w:rPr>
        <w:t xml:space="preserve">8 </w:t>
      </w:r>
      <w:r>
        <w:rPr>
          <w:rFonts w:hint="default"/>
          <w:sz w:val="24"/>
          <w:lang w:eastAsia="zh-CN"/>
        </w:rPr>
        <w:t>严禁在雨天进行组件的连线工作。</w:t>
      </w:r>
      <w:bookmarkEnd w:id="370"/>
    </w:p>
    <w:p w14:paraId="7B434EFD">
      <w:pPr>
        <w:snapToGrid w:val="0"/>
        <w:spacing w:line="300" w:lineRule="auto"/>
        <w:jc w:val="left"/>
        <w:rPr>
          <w:rFonts w:hint="default"/>
          <w:sz w:val="24"/>
          <w:lang w:eastAsia="zh-CN"/>
        </w:rPr>
      </w:pPr>
      <w:bookmarkStart w:id="371" w:name="_Toc3403"/>
      <w:r>
        <w:rPr>
          <w:rFonts w:hint="default" w:ascii="Times New Roman" w:hAnsi="Times New Roman"/>
          <w:b/>
          <w:bCs/>
          <w:sz w:val="24"/>
          <w:szCs w:val="24"/>
          <w:lang w:val="en-US" w:eastAsia="zh-CN"/>
        </w:rPr>
        <w:t>10.3.</w:t>
      </w:r>
      <w:r>
        <w:rPr>
          <w:rFonts w:hint="eastAsia"/>
          <w:b/>
          <w:bCs/>
          <w:sz w:val="24"/>
          <w:szCs w:val="24"/>
          <w:lang w:val="en-US" w:eastAsia="zh-CN"/>
        </w:rPr>
        <w:t>5</w:t>
      </w:r>
      <w:r>
        <w:rPr>
          <w:rFonts w:hint="default" w:ascii="Times New Roman" w:hAnsi="Times New Roman"/>
          <w:b/>
          <w:bCs/>
          <w:sz w:val="24"/>
          <w:szCs w:val="24"/>
          <w:lang w:val="en-US" w:eastAsia="zh-CN"/>
        </w:rPr>
        <w:t xml:space="preserve"> </w:t>
      </w:r>
      <w:r>
        <w:rPr>
          <w:rFonts w:hint="default"/>
          <w:sz w:val="24"/>
          <w:lang w:eastAsia="zh-CN"/>
        </w:rPr>
        <w:t>方阵的接线应符合以下要求</w:t>
      </w:r>
      <w:r>
        <w:rPr>
          <w:rFonts w:hint="default" w:ascii="Times New Roman" w:hAnsi="Times New Roman"/>
          <w:b w:val="0"/>
          <w:bCs w:val="0"/>
          <w:sz w:val="24"/>
          <w:szCs w:val="24"/>
          <w:lang w:eastAsia="zh-CN"/>
        </w:rPr>
        <w:t>：</w:t>
      </w:r>
      <w:bookmarkEnd w:id="371"/>
    </w:p>
    <w:p w14:paraId="1236F4D2">
      <w:pPr>
        <w:snapToGrid w:val="0"/>
        <w:spacing w:line="300" w:lineRule="auto"/>
        <w:ind w:firstLine="482" w:firstLineChars="200"/>
        <w:jc w:val="left"/>
        <w:rPr>
          <w:rFonts w:hint="default"/>
          <w:sz w:val="24"/>
          <w:lang w:eastAsia="zh-CN"/>
        </w:rPr>
      </w:pPr>
      <w:bookmarkStart w:id="372" w:name="_Toc10961"/>
      <w:r>
        <w:rPr>
          <w:rFonts w:hint="default" w:ascii="Times New Roman" w:hAnsi="Times New Roman"/>
          <w:b/>
          <w:bCs/>
          <w:sz w:val="24"/>
          <w:szCs w:val="24"/>
          <w:lang w:val="en-US" w:eastAsia="zh-CN"/>
        </w:rPr>
        <w:t>1</w:t>
      </w:r>
      <w:r>
        <w:rPr>
          <w:rFonts w:hint="default" w:ascii="Times New Roman" w:hAnsi="Times New Roman"/>
          <w:b w:val="0"/>
          <w:bCs w:val="0"/>
          <w:sz w:val="24"/>
          <w:szCs w:val="24"/>
          <w:lang w:val="en-US" w:eastAsia="zh-CN"/>
        </w:rPr>
        <w:t xml:space="preserve"> </w:t>
      </w:r>
      <w:r>
        <w:rPr>
          <w:rFonts w:hint="default"/>
          <w:sz w:val="24"/>
          <w:lang w:eastAsia="zh-CN"/>
        </w:rPr>
        <w:t>组件间连接件应连接牢固</w:t>
      </w:r>
      <w:r>
        <w:rPr>
          <w:rFonts w:hint="default" w:ascii="Times New Roman" w:hAnsi="Times New Roman"/>
          <w:b w:val="0"/>
          <w:bCs w:val="0"/>
          <w:sz w:val="24"/>
          <w:szCs w:val="24"/>
          <w:lang w:eastAsia="zh-CN"/>
        </w:rPr>
        <w:t>；</w:t>
      </w:r>
      <w:bookmarkEnd w:id="372"/>
    </w:p>
    <w:p w14:paraId="45C84E96">
      <w:pPr>
        <w:snapToGrid w:val="0"/>
        <w:spacing w:line="300" w:lineRule="auto"/>
        <w:ind w:firstLine="482" w:firstLineChars="200"/>
        <w:jc w:val="left"/>
        <w:rPr>
          <w:rFonts w:hint="default"/>
          <w:sz w:val="24"/>
          <w:lang w:eastAsia="zh-CN"/>
        </w:rPr>
      </w:pPr>
      <w:bookmarkStart w:id="373" w:name="_Toc753"/>
      <w:r>
        <w:rPr>
          <w:rFonts w:hint="default" w:ascii="Times New Roman" w:hAnsi="Times New Roman"/>
          <w:b/>
          <w:bCs/>
          <w:sz w:val="24"/>
          <w:szCs w:val="24"/>
          <w:lang w:val="en-US" w:eastAsia="zh-CN"/>
        </w:rPr>
        <w:t xml:space="preserve">2 </w:t>
      </w:r>
      <w:r>
        <w:rPr>
          <w:rFonts w:hint="default"/>
          <w:sz w:val="24"/>
          <w:lang w:eastAsia="zh-CN"/>
        </w:rPr>
        <w:t>组串连接后应检测组串的开路电压和短路电流</w:t>
      </w:r>
      <w:r>
        <w:rPr>
          <w:rFonts w:hint="default" w:ascii="Times New Roman" w:hAnsi="Times New Roman"/>
          <w:b w:val="0"/>
          <w:bCs w:val="0"/>
          <w:sz w:val="24"/>
          <w:szCs w:val="24"/>
          <w:lang w:eastAsia="zh-CN"/>
        </w:rPr>
        <w:t>；</w:t>
      </w:r>
      <w:bookmarkEnd w:id="373"/>
    </w:p>
    <w:p w14:paraId="19EE120C">
      <w:pPr>
        <w:snapToGrid w:val="0"/>
        <w:spacing w:line="300" w:lineRule="auto"/>
        <w:ind w:firstLine="482" w:firstLineChars="200"/>
        <w:jc w:val="left"/>
        <w:rPr>
          <w:rFonts w:hint="default" w:ascii="Times New Roman" w:hAnsi="Times New Roman"/>
          <w:b w:val="0"/>
          <w:bCs w:val="0"/>
          <w:sz w:val="24"/>
          <w:szCs w:val="24"/>
          <w:lang w:eastAsia="zh-CN"/>
        </w:rPr>
      </w:pPr>
      <w:bookmarkStart w:id="374" w:name="_Toc8423"/>
      <w:r>
        <w:rPr>
          <w:rFonts w:hint="default" w:ascii="Times New Roman" w:hAnsi="Times New Roman"/>
          <w:b/>
          <w:bCs/>
          <w:sz w:val="24"/>
          <w:szCs w:val="24"/>
          <w:lang w:val="en-US" w:eastAsia="zh-CN"/>
        </w:rPr>
        <w:t xml:space="preserve">3 </w:t>
      </w:r>
      <w:r>
        <w:rPr>
          <w:rFonts w:hint="default"/>
          <w:sz w:val="24"/>
          <w:lang w:eastAsia="zh-CN"/>
        </w:rPr>
        <w:t>方阵间的跨接线缆应穿管进行保护。</w:t>
      </w:r>
      <w:bookmarkEnd w:id="374"/>
    </w:p>
    <w:p w14:paraId="551EEF12">
      <w:pPr>
        <w:keepNext/>
        <w:keepLines/>
        <w:snapToGrid w:val="0"/>
        <w:spacing w:before="95" w:beforeLines="30" w:after="95" w:afterLines="30" w:line="300" w:lineRule="auto"/>
        <w:jc w:val="center"/>
        <w:outlineLvl w:val="2"/>
        <w:rPr>
          <w:b/>
          <w:sz w:val="24"/>
          <w:szCs w:val="32"/>
        </w:rPr>
      </w:pPr>
      <w:bookmarkStart w:id="375" w:name="_Toc16284"/>
      <w:bookmarkStart w:id="376" w:name="_Toc23331"/>
      <w:bookmarkStart w:id="377" w:name="_Toc9355"/>
      <w:bookmarkStart w:id="378" w:name="_Toc7734"/>
      <w:bookmarkStart w:id="379" w:name="_Toc8915"/>
      <w:bookmarkStart w:id="380" w:name="_Toc21236"/>
      <w:bookmarkStart w:id="381" w:name="_Toc25214"/>
      <w:bookmarkStart w:id="382" w:name="_Toc12548"/>
      <w:r>
        <w:rPr>
          <w:b/>
          <w:sz w:val="24"/>
          <w:szCs w:val="32"/>
        </w:rPr>
        <w:t>1</w:t>
      </w:r>
      <w:r>
        <w:rPr>
          <w:rFonts w:hint="default"/>
          <w:b/>
          <w:sz w:val="24"/>
          <w:szCs w:val="32"/>
          <w:lang w:val="en-US" w:eastAsia="zh-CN"/>
        </w:rPr>
        <w:t>0</w:t>
      </w:r>
      <w:r>
        <w:rPr>
          <w:b/>
          <w:sz w:val="24"/>
          <w:szCs w:val="32"/>
        </w:rPr>
        <w:t>.</w:t>
      </w:r>
      <w:r>
        <w:rPr>
          <w:rFonts w:hint="default"/>
          <w:b/>
          <w:sz w:val="24"/>
          <w:szCs w:val="32"/>
        </w:rPr>
        <w:t>4</w:t>
      </w:r>
      <w:r>
        <w:rPr>
          <w:b/>
          <w:sz w:val="24"/>
          <w:szCs w:val="32"/>
        </w:rPr>
        <w:t>电气安装</w:t>
      </w:r>
      <w:bookmarkEnd w:id="375"/>
      <w:bookmarkEnd w:id="376"/>
      <w:bookmarkEnd w:id="377"/>
      <w:bookmarkEnd w:id="378"/>
      <w:bookmarkEnd w:id="379"/>
      <w:bookmarkEnd w:id="380"/>
      <w:bookmarkEnd w:id="381"/>
      <w:bookmarkEnd w:id="382"/>
    </w:p>
    <w:p w14:paraId="5F2F242D">
      <w:pPr>
        <w:snapToGrid w:val="0"/>
        <w:spacing w:line="300" w:lineRule="auto"/>
        <w:jc w:val="left"/>
        <w:rPr>
          <w:sz w:val="24"/>
        </w:rPr>
      </w:pPr>
      <w:r>
        <w:rPr>
          <w:b/>
          <w:bCs/>
          <w:sz w:val="24"/>
        </w:rPr>
        <w:t>1</w:t>
      </w:r>
      <w:r>
        <w:rPr>
          <w:rFonts w:hint="eastAsia"/>
          <w:b/>
          <w:bCs/>
          <w:sz w:val="24"/>
          <w:lang w:val="en-US" w:eastAsia="zh-CN"/>
        </w:rPr>
        <w:t>0</w:t>
      </w:r>
      <w:r>
        <w:rPr>
          <w:b/>
          <w:bCs/>
          <w:sz w:val="24"/>
        </w:rPr>
        <w:t>.</w:t>
      </w:r>
      <w:r>
        <w:rPr>
          <w:rFonts w:hint="eastAsia"/>
          <w:b/>
          <w:bCs/>
          <w:sz w:val="24"/>
        </w:rPr>
        <w:t>4</w:t>
      </w:r>
      <w:r>
        <w:rPr>
          <w:b/>
          <w:bCs/>
          <w:sz w:val="24"/>
        </w:rPr>
        <w:t>.1</w:t>
      </w:r>
      <w:r>
        <w:rPr>
          <w:sz w:val="24"/>
        </w:rPr>
        <w:t xml:space="preserve"> 电气设备安装时，应对设备进行编号；电缆及线路接引完毕后，应对线路进行标识</w:t>
      </w:r>
      <w:r>
        <w:rPr>
          <w:rFonts w:hint="eastAsia"/>
          <w:sz w:val="24"/>
          <w:lang w:eastAsia="zh-CN"/>
        </w:rPr>
        <w:t>，</w:t>
      </w:r>
      <w:r>
        <w:rPr>
          <w:sz w:val="24"/>
        </w:rPr>
        <w:t>各类预留孔洞及电缆管口应进行防火封堵。</w:t>
      </w:r>
    </w:p>
    <w:p w14:paraId="2C64442F">
      <w:pPr>
        <w:snapToGrid w:val="0"/>
        <w:spacing w:line="300" w:lineRule="auto"/>
        <w:jc w:val="left"/>
        <w:rPr>
          <w:sz w:val="24"/>
        </w:rPr>
      </w:pPr>
      <w:r>
        <w:rPr>
          <w:b/>
          <w:bCs/>
          <w:sz w:val="24"/>
        </w:rPr>
        <w:t>1</w:t>
      </w:r>
      <w:r>
        <w:rPr>
          <w:rFonts w:hint="eastAsia"/>
          <w:b/>
          <w:bCs/>
          <w:sz w:val="24"/>
          <w:lang w:val="en-US" w:eastAsia="zh-CN"/>
        </w:rPr>
        <w:t>0</w:t>
      </w:r>
      <w:r>
        <w:rPr>
          <w:b/>
          <w:bCs/>
          <w:sz w:val="24"/>
        </w:rPr>
        <w:t>.</w:t>
      </w:r>
      <w:r>
        <w:rPr>
          <w:rFonts w:hint="eastAsia"/>
          <w:b/>
          <w:bCs/>
          <w:sz w:val="24"/>
        </w:rPr>
        <w:t>4</w:t>
      </w:r>
      <w:r>
        <w:rPr>
          <w:b/>
          <w:bCs/>
          <w:sz w:val="24"/>
        </w:rPr>
        <w:t>.</w:t>
      </w:r>
      <w:r>
        <w:rPr>
          <w:rFonts w:hint="eastAsia"/>
          <w:b/>
          <w:bCs/>
          <w:sz w:val="24"/>
          <w:lang w:val="en-US" w:eastAsia="zh-CN"/>
        </w:rPr>
        <w:t>2</w:t>
      </w:r>
      <w:r>
        <w:rPr>
          <w:sz w:val="24"/>
        </w:rPr>
        <w:t xml:space="preserve"> </w:t>
      </w:r>
      <w:r>
        <w:rPr>
          <w:rFonts w:hint="eastAsia"/>
          <w:sz w:val="24"/>
        </w:rPr>
        <w:t>光伏系统的电气装置安装应符合现行国家标准《建筑电气工程施工质量验收规范》GB</w:t>
      </w:r>
      <w:r>
        <w:rPr>
          <w:sz w:val="24"/>
        </w:rPr>
        <w:t xml:space="preserve"> 50303 </w:t>
      </w:r>
      <w:r>
        <w:rPr>
          <w:rFonts w:hint="eastAsia"/>
          <w:sz w:val="24"/>
        </w:rPr>
        <w:t>的规定。</w:t>
      </w:r>
      <w:r>
        <w:rPr>
          <w:sz w:val="24"/>
        </w:rPr>
        <w:t>高压电器设备的安装应符合现行国家标准《电气装置安装工程 高电压电器施工及验收规范》</w:t>
      </w:r>
      <w:r>
        <w:rPr>
          <w:rFonts w:hint="eastAsia"/>
          <w:sz w:val="24"/>
        </w:rPr>
        <w:t>GB50147</w:t>
      </w:r>
      <w:r>
        <w:rPr>
          <w:sz w:val="24"/>
        </w:rPr>
        <w:t>的有关规定</w:t>
      </w:r>
      <w:r>
        <w:rPr>
          <w:rFonts w:hint="eastAsia"/>
          <w:sz w:val="24"/>
        </w:rPr>
        <w:t>。</w:t>
      </w:r>
      <w:r>
        <w:rPr>
          <w:sz w:val="24"/>
        </w:rPr>
        <w:t>低压电器的安装应符合现行国家标准《电气装置安装工程 低压电器施工及验收规范》GB50254 的有关规定。</w:t>
      </w:r>
      <w:r>
        <w:rPr>
          <w:rFonts w:hint="eastAsia"/>
          <w:sz w:val="24"/>
        </w:rPr>
        <w:t>电力变压器的安装应符合现行国家标准《电气装置安装工程 电力变压器、油浸电抗器、互感器施工及验收规范》GB50148 的有关规定。电缆线路施工应符合现行国家标准《电气装置安装工程</w:t>
      </w:r>
      <w:r>
        <w:rPr>
          <w:sz w:val="24"/>
        </w:rPr>
        <w:t xml:space="preserve"> </w:t>
      </w:r>
      <w:r>
        <w:rPr>
          <w:rFonts w:hint="eastAsia"/>
          <w:sz w:val="24"/>
        </w:rPr>
        <w:t>电缆线路施工及验收标准》GB</w:t>
      </w:r>
      <w:r>
        <w:rPr>
          <w:sz w:val="24"/>
        </w:rPr>
        <w:t xml:space="preserve"> 50168 </w:t>
      </w:r>
      <w:r>
        <w:rPr>
          <w:rFonts w:hint="eastAsia"/>
          <w:sz w:val="24"/>
        </w:rPr>
        <w:t>的规定。</w:t>
      </w:r>
    </w:p>
    <w:p w14:paraId="30B4580B">
      <w:pPr>
        <w:snapToGrid w:val="0"/>
        <w:spacing w:line="300" w:lineRule="auto"/>
        <w:jc w:val="left"/>
        <w:rPr>
          <w:sz w:val="24"/>
        </w:rPr>
      </w:pPr>
      <w:r>
        <w:rPr>
          <w:b/>
          <w:bCs/>
          <w:sz w:val="24"/>
        </w:rPr>
        <w:t>1</w:t>
      </w:r>
      <w:r>
        <w:rPr>
          <w:rFonts w:hint="eastAsia"/>
          <w:b/>
          <w:bCs/>
          <w:sz w:val="24"/>
          <w:lang w:val="en-US" w:eastAsia="zh-CN"/>
        </w:rPr>
        <w:t>0</w:t>
      </w:r>
      <w:r>
        <w:rPr>
          <w:b/>
          <w:bCs/>
          <w:sz w:val="24"/>
        </w:rPr>
        <w:t>.</w:t>
      </w:r>
      <w:r>
        <w:rPr>
          <w:rFonts w:hint="eastAsia"/>
          <w:b/>
          <w:bCs/>
          <w:sz w:val="24"/>
        </w:rPr>
        <w:t>4</w:t>
      </w:r>
      <w:r>
        <w:rPr>
          <w:b/>
          <w:bCs/>
          <w:sz w:val="24"/>
        </w:rPr>
        <w:t>.</w:t>
      </w:r>
      <w:r>
        <w:rPr>
          <w:rFonts w:hint="eastAsia"/>
          <w:b/>
          <w:bCs/>
          <w:sz w:val="24"/>
          <w:lang w:val="en-US" w:eastAsia="zh-CN"/>
        </w:rPr>
        <w:t>3</w:t>
      </w:r>
      <w:r>
        <w:rPr>
          <w:sz w:val="24"/>
        </w:rPr>
        <w:t xml:space="preserve"> 蓄电池的安装应符合现行国家标准《电气装置安装工程蓄电池施工及验收规范》GB 50172 的有关规定。母线装置的施工应符合现行国家标准《电气装置安装工程 母线装置施工及验收规范》GB 50149 的有关规定。</w:t>
      </w:r>
      <w:r>
        <w:rPr>
          <w:rFonts w:hint="eastAsia"/>
          <w:sz w:val="24"/>
        </w:rPr>
        <w:t>二次设备、盘柜的安装及接线应符合设计要求和现行国家标准《电气装置安装工程盘、柜及二次回路接线施工及验收规范》GB50171 的有关规定。</w:t>
      </w:r>
      <w:r>
        <w:rPr>
          <w:sz w:val="24"/>
        </w:rPr>
        <w:t>直流系统的安装应符合现行国家标准《电气装置安装工程 蓄电池施工及验收规范》</w:t>
      </w:r>
      <w:r>
        <w:rPr>
          <w:rFonts w:hint="eastAsia"/>
          <w:sz w:val="24"/>
        </w:rPr>
        <w:t>GB50172</w:t>
      </w:r>
      <w:r>
        <w:rPr>
          <w:sz w:val="24"/>
        </w:rPr>
        <w:t xml:space="preserve"> 的有关规定</w:t>
      </w:r>
      <w:r>
        <w:rPr>
          <w:rFonts w:hint="eastAsia"/>
          <w:sz w:val="24"/>
        </w:rPr>
        <w:t>。</w:t>
      </w:r>
    </w:p>
    <w:p w14:paraId="3E11DCBA">
      <w:pPr>
        <w:snapToGrid w:val="0"/>
        <w:spacing w:line="300" w:lineRule="auto"/>
        <w:ind w:firstLine="0" w:firstLineChars="0"/>
        <w:jc w:val="left"/>
        <w:rPr>
          <w:sz w:val="24"/>
          <w:highlight w:val="none"/>
        </w:rPr>
      </w:pPr>
      <w:r>
        <w:rPr>
          <w:b/>
          <w:bCs/>
          <w:sz w:val="24"/>
        </w:rPr>
        <w:t>1</w:t>
      </w:r>
      <w:r>
        <w:rPr>
          <w:rFonts w:hint="eastAsia"/>
          <w:b/>
          <w:bCs/>
          <w:sz w:val="24"/>
          <w:lang w:val="en-US" w:eastAsia="zh-CN"/>
        </w:rPr>
        <w:t>0</w:t>
      </w:r>
      <w:r>
        <w:rPr>
          <w:b/>
          <w:bCs/>
          <w:sz w:val="24"/>
        </w:rPr>
        <w:t>.</w:t>
      </w:r>
      <w:r>
        <w:rPr>
          <w:rFonts w:hint="eastAsia"/>
          <w:b/>
          <w:bCs/>
          <w:sz w:val="24"/>
        </w:rPr>
        <w:t>4</w:t>
      </w:r>
      <w:r>
        <w:rPr>
          <w:b/>
          <w:bCs/>
          <w:sz w:val="24"/>
        </w:rPr>
        <w:t>.</w:t>
      </w:r>
      <w:r>
        <w:rPr>
          <w:rFonts w:hint="eastAsia"/>
          <w:b/>
          <w:bCs/>
          <w:sz w:val="24"/>
          <w:lang w:val="en-US" w:eastAsia="zh-CN"/>
        </w:rPr>
        <w:t>4</w:t>
      </w:r>
      <w:r>
        <w:rPr>
          <w:sz w:val="24"/>
        </w:rPr>
        <w:t xml:space="preserve"> 汇流箱的安装应符合</w:t>
      </w:r>
      <w:r>
        <w:rPr>
          <w:rFonts w:hint="eastAsia"/>
          <w:sz w:val="24"/>
          <w:highlight w:val="none"/>
          <w:lang w:eastAsia="zh-CN"/>
        </w:rPr>
        <w:t>《</w:t>
      </w:r>
      <w:r>
        <w:rPr>
          <w:rFonts w:hint="eastAsia"/>
          <w:sz w:val="24"/>
          <w:highlight w:val="none"/>
        </w:rPr>
        <w:t>建筑光伏系统应用技术标准》</w:t>
      </w:r>
      <w:r>
        <w:rPr>
          <w:sz w:val="24"/>
          <w:highlight w:val="none"/>
        </w:rPr>
        <w:t>GB/T51368</w:t>
      </w:r>
      <w:r>
        <w:rPr>
          <w:rFonts w:hint="eastAsia"/>
          <w:sz w:val="24"/>
          <w:highlight w:val="none"/>
          <w:lang w:val="en-US" w:eastAsia="zh-CN"/>
        </w:rPr>
        <w:t>的有关规定。</w:t>
      </w:r>
    </w:p>
    <w:p w14:paraId="27358C62">
      <w:pPr>
        <w:pStyle w:val="2"/>
        <w:spacing w:line="300" w:lineRule="auto"/>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1D200646">
      <w:pPr>
        <w:keepNext w:val="0"/>
        <w:keepLines w:val="0"/>
        <w:widowControl/>
        <w:suppressLineNumbers w:val="0"/>
        <w:spacing w:line="300" w:lineRule="auto"/>
        <w:jc w:val="left"/>
        <w:rPr>
          <w:rFonts w:hint="eastAsia" w:ascii="仿宋" w:hAnsi="仿宋" w:eastAsia="仿宋" w:cs="仿宋"/>
          <w:b w:val="0"/>
          <w:bCs w:val="0"/>
          <w:i/>
          <w:iCs/>
          <w:color w:val="0623BA"/>
          <w:kern w:val="2"/>
          <w:sz w:val="24"/>
          <w:szCs w:val="24"/>
          <w:lang w:val="en-US" w:eastAsia="zh-CN" w:bidi="ar"/>
        </w:rPr>
      </w:pPr>
      <w:r>
        <w:rPr>
          <w:rFonts w:hint="eastAsia" w:ascii="仿宋" w:hAnsi="仿宋" w:eastAsia="仿宋" w:cs="仿宋"/>
          <w:i/>
          <w:iCs/>
          <w:color w:val="0623BA"/>
          <w:sz w:val="24"/>
        </w:rPr>
        <w:t>1</w:t>
      </w:r>
      <w:r>
        <w:rPr>
          <w:rFonts w:hint="eastAsia" w:ascii="仿宋" w:hAnsi="仿宋" w:eastAsia="仿宋" w:cs="仿宋"/>
          <w:i/>
          <w:iCs/>
          <w:color w:val="0623BA"/>
          <w:sz w:val="24"/>
          <w:lang w:val="en-US" w:eastAsia="zh-CN"/>
        </w:rPr>
        <w:t>0</w:t>
      </w:r>
      <w:r>
        <w:rPr>
          <w:rFonts w:hint="eastAsia" w:ascii="仿宋" w:hAnsi="仿宋" w:eastAsia="仿宋" w:cs="仿宋"/>
          <w:i/>
          <w:iCs/>
          <w:color w:val="0623BA"/>
          <w:sz w:val="24"/>
        </w:rPr>
        <w:t>.4.</w:t>
      </w:r>
      <w:r>
        <w:rPr>
          <w:rFonts w:hint="eastAsia" w:ascii="仿宋" w:hAnsi="仿宋" w:eastAsia="仿宋" w:cs="仿宋"/>
          <w:i/>
          <w:iCs/>
          <w:color w:val="0623BA"/>
          <w:sz w:val="24"/>
          <w:lang w:val="en-US" w:eastAsia="zh-CN"/>
        </w:rPr>
        <w:t>4</w:t>
      </w:r>
      <w:r>
        <w:rPr>
          <w:rFonts w:hint="eastAsia" w:ascii="仿宋" w:hAnsi="仿宋" w:eastAsia="仿宋" w:cs="仿宋"/>
          <w:i/>
          <w:iCs/>
          <w:color w:val="0623BA"/>
          <w:sz w:val="24"/>
        </w:rPr>
        <w:t xml:space="preserve"> 安装前，应检查汇流箱的防护等级</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元器件的品牌和型号符合是否设计图纸要求。在运输、保管过程中，箱内元器件及连线有可能损坏或松动</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应进行检查。汇流箱在进行电缆接引时，如果光伏组件串已经连接完毕</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那么在光伏组件串两端就会产生直流高电压；而逆变器侧如果没有断开点，其他已经引接好的光伏组件串电流可能会从逆变器侧逆流到汇流箱内，很容易对人身和设备造成伤害。所以在汇流箱的光伏组件串电缆引接前，需确保没有电压</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确认光伏组件侧和逆变器侧均有明显断开点。</w:t>
      </w:r>
      <w:r>
        <w:rPr>
          <w:rFonts w:hint="eastAsia" w:ascii="仿宋" w:hAnsi="仿宋" w:eastAsia="仿宋" w:cs="仿宋"/>
          <w:b w:val="0"/>
          <w:bCs w:val="0"/>
          <w:i/>
          <w:iCs/>
          <w:color w:val="0623BA"/>
          <w:kern w:val="2"/>
          <w:sz w:val="24"/>
          <w:szCs w:val="24"/>
          <w:lang w:val="en-US" w:eastAsia="zh-CN" w:bidi="ar"/>
        </w:rPr>
        <w:t>具体要求如下：</w:t>
      </w:r>
    </w:p>
    <w:p w14:paraId="4F28F5F6">
      <w:pPr>
        <w:keepNext w:val="0"/>
        <w:keepLines w:val="0"/>
        <w:widowControl/>
        <w:suppressLineNumbers w:val="0"/>
        <w:spacing w:line="300" w:lineRule="auto"/>
        <w:ind w:firstLine="480" w:firstLineChars="200"/>
        <w:jc w:val="left"/>
        <w:rPr>
          <w:rFonts w:hint="eastAsia" w:ascii="仿宋" w:hAnsi="仿宋" w:eastAsia="仿宋" w:cs="仿宋"/>
          <w:i/>
          <w:iCs/>
          <w:color w:val="0623BA"/>
          <w:sz w:val="24"/>
        </w:rPr>
      </w:pPr>
      <w:r>
        <w:rPr>
          <w:rFonts w:hint="eastAsia" w:ascii="仿宋" w:hAnsi="仿宋" w:eastAsia="仿宋" w:cs="仿宋"/>
          <w:b w:val="0"/>
          <w:bCs w:val="0"/>
          <w:i/>
          <w:iCs/>
          <w:color w:val="0623BA"/>
          <w:kern w:val="2"/>
          <w:sz w:val="24"/>
          <w:szCs w:val="24"/>
          <w:lang w:val="en-US" w:eastAsia="zh-CN" w:bidi="ar"/>
        </w:rPr>
        <w:t>1 汇流箱进线端和出线端与汇流箱接地端应进行绝缘测试;</w:t>
      </w:r>
    </w:p>
    <w:p w14:paraId="7DAA7CC2">
      <w:pPr>
        <w:keepNext w:val="0"/>
        <w:keepLines w:val="0"/>
        <w:widowControl/>
        <w:suppressLineNumbers w:val="0"/>
        <w:spacing w:line="300" w:lineRule="auto"/>
        <w:ind w:firstLine="480" w:firstLineChars="200"/>
        <w:jc w:val="left"/>
        <w:rPr>
          <w:rFonts w:hint="eastAsia" w:ascii="仿宋" w:hAnsi="仿宋" w:eastAsia="仿宋" w:cs="仿宋"/>
          <w:b w:val="0"/>
          <w:bCs w:val="0"/>
          <w:i/>
          <w:iCs/>
          <w:color w:val="0623BA"/>
          <w:kern w:val="2"/>
          <w:sz w:val="24"/>
          <w:szCs w:val="24"/>
          <w:lang w:val="en-US" w:eastAsia="zh-CN" w:bidi="ar"/>
        </w:rPr>
      </w:pPr>
      <w:r>
        <w:rPr>
          <w:rFonts w:hint="eastAsia" w:ascii="仿宋" w:hAnsi="仿宋" w:eastAsia="仿宋" w:cs="仿宋"/>
          <w:b w:val="0"/>
          <w:bCs w:val="0"/>
          <w:i/>
          <w:iCs/>
          <w:color w:val="0623BA"/>
          <w:kern w:val="2"/>
          <w:sz w:val="24"/>
          <w:szCs w:val="24"/>
          <w:lang w:val="en-US" w:eastAsia="zh-CN" w:bidi="ar"/>
        </w:rPr>
        <w:t>2 汇流箱内元器件应完好，连接线应无松动；</w:t>
      </w:r>
    </w:p>
    <w:p w14:paraId="346866F8">
      <w:pPr>
        <w:keepNext w:val="0"/>
        <w:keepLines w:val="0"/>
        <w:widowControl/>
        <w:suppressLineNumbers w:val="0"/>
        <w:spacing w:line="300" w:lineRule="auto"/>
        <w:ind w:firstLine="480" w:firstLineChars="200"/>
        <w:jc w:val="left"/>
        <w:rPr>
          <w:rFonts w:hint="eastAsia" w:ascii="仿宋" w:hAnsi="仿宋" w:eastAsia="仿宋" w:cs="仿宋"/>
          <w:b w:val="0"/>
          <w:bCs w:val="0"/>
          <w:i/>
          <w:iCs/>
          <w:color w:val="0623BA"/>
          <w:kern w:val="2"/>
          <w:sz w:val="24"/>
          <w:szCs w:val="24"/>
          <w:lang w:val="en-US" w:eastAsia="zh-CN" w:bidi="ar"/>
        </w:rPr>
      </w:pPr>
      <w:r>
        <w:rPr>
          <w:rFonts w:hint="eastAsia" w:ascii="仿宋" w:hAnsi="仿宋" w:eastAsia="仿宋" w:cs="仿宋"/>
          <w:b w:val="0"/>
          <w:bCs w:val="0"/>
          <w:i/>
          <w:iCs/>
          <w:color w:val="0623BA"/>
          <w:kern w:val="2"/>
          <w:sz w:val="24"/>
          <w:szCs w:val="24"/>
          <w:lang w:val="en-US" w:eastAsia="zh-CN" w:bidi="ar"/>
        </w:rPr>
        <w:t>3 汇流箱中的开关应处于分断状态，熔断器熔丝不应放入；</w:t>
      </w:r>
    </w:p>
    <w:p w14:paraId="71C78764">
      <w:pPr>
        <w:keepNext w:val="0"/>
        <w:keepLines w:val="0"/>
        <w:widowControl/>
        <w:suppressLineNumbers w:val="0"/>
        <w:spacing w:line="300" w:lineRule="auto"/>
        <w:ind w:firstLine="480" w:firstLineChars="200"/>
        <w:jc w:val="left"/>
        <w:rPr>
          <w:rFonts w:hint="eastAsia" w:ascii="仿宋" w:hAnsi="仿宋" w:eastAsia="仿宋" w:cs="仿宋"/>
          <w:b w:val="0"/>
          <w:bCs w:val="0"/>
          <w:i/>
          <w:iCs/>
          <w:color w:val="0623BA"/>
          <w:kern w:val="2"/>
          <w:sz w:val="24"/>
          <w:szCs w:val="24"/>
          <w:lang w:val="en-US" w:eastAsia="zh-CN" w:bidi="ar"/>
        </w:rPr>
      </w:pPr>
      <w:r>
        <w:rPr>
          <w:rFonts w:hint="eastAsia" w:ascii="仿宋" w:hAnsi="仿宋" w:eastAsia="仿宋" w:cs="仿宋"/>
          <w:b w:val="0"/>
          <w:bCs w:val="0"/>
          <w:i/>
          <w:iCs/>
          <w:color w:val="0623BA"/>
          <w:kern w:val="2"/>
          <w:sz w:val="24"/>
          <w:szCs w:val="24"/>
          <w:lang w:val="en-US" w:eastAsia="zh-CN" w:bidi="ar"/>
        </w:rPr>
        <w:t>4 汇流箱内光伏组件串的电缆接引前，光伏组件侧和逆变器侧应有明显断开点；</w:t>
      </w:r>
    </w:p>
    <w:p w14:paraId="193F76B5">
      <w:pPr>
        <w:keepNext w:val="0"/>
        <w:keepLines w:val="0"/>
        <w:widowControl/>
        <w:suppressLineNumbers w:val="0"/>
        <w:spacing w:line="300" w:lineRule="auto"/>
        <w:ind w:firstLine="480" w:firstLineChars="200"/>
        <w:jc w:val="left"/>
        <w:rPr>
          <w:rFonts w:hint="eastAsia" w:ascii="仿宋" w:hAnsi="仿宋" w:eastAsia="仿宋" w:cs="仿宋"/>
          <w:i/>
          <w:iCs/>
          <w:color w:val="0623BA"/>
          <w:sz w:val="24"/>
        </w:rPr>
      </w:pPr>
      <w:r>
        <w:rPr>
          <w:rFonts w:hint="eastAsia" w:ascii="仿宋" w:hAnsi="仿宋" w:eastAsia="仿宋" w:cs="仿宋"/>
          <w:b w:val="0"/>
          <w:bCs w:val="0"/>
          <w:i/>
          <w:iCs/>
          <w:color w:val="0623BA"/>
          <w:kern w:val="2"/>
          <w:sz w:val="24"/>
          <w:szCs w:val="24"/>
          <w:lang w:val="en-US" w:eastAsia="zh-CN" w:bidi="ar"/>
        </w:rPr>
        <w:t>5 汇流箱与光伏组件串进行电缆连接时，应先接汇流箱内的输入端子,后接光伏组件接插件。</w:t>
      </w:r>
      <w:r>
        <w:rPr>
          <w:rFonts w:hint="eastAsia" w:ascii="仿宋" w:hAnsi="仿宋" w:eastAsia="仿宋" w:cs="仿宋"/>
          <w:i/>
          <w:iCs/>
          <w:color w:val="0623BA"/>
          <w:kern w:val="2"/>
          <w:sz w:val="24"/>
          <w:szCs w:val="24"/>
          <w:lang w:val="en-US" w:eastAsia="zh-CN" w:bidi="ar"/>
        </w:rPr>
        <w:t xml:space="preserve"> </w:t>
      </w:r>
    </w:p>
    <w:p w14:paraId="1CC69852">
      <w:pPr>
        <w:snapToGrid w:val="0"/>
        <w:spacing w:line="300" w:lineRule="auto"/>
        <w:ind w:firstLine="0" w:firstLineChars="0"/>
        <w:jc w:val="left"/>
        <w:rPr>
          <w:sz w:val="24"/>
        </w:rPr>
      </w:pPr>
      <w:r>
        <w:rPr>
          <w:b/>
          <w:bCs/>
          <w:sz w:val="24"/>
        </w:rPr>
        <w:t>1</w:t>
      </w:r>
      <w:r>
        <w:rPr>
          <w:rFonts w:hint="eastAsia"/>
          <w:b/>
          <w:bCs/>
          <w:sz w:val="24"/>
          <w:lang w:val="en-US" w:eastAsia="zh-CN"/>
        </w:rPr>
        <w:t>0</w:t>
      </w:r>
      <w:r>
        <w:rPr>
          <w:b/>
          <w:bCs/>
          <w:sz w:val="24"/>
        </w:rPr>
        <w:t>.</w:t>
      </w:r>
      <w:r>
        <w:rPr>
          <w:rFonts w:hint="eastAsia"/>
          <w:b/>
          <w:bCs/>
          <w:sz w:val="24"/>
        </w:rPr>
        <w:t>4</w:t>
      </w:r>
      <w:r>
        <w:rPr>
          <w:b/>
          <w:bCs/>
          <w:sz w:val="24"/>
        </w:rPr>
        <w:t>.</w:t>
      </w:r>
      <w:r>
        <w:rPr>
          <w:rFonts w:hint="eastAsia"/>
          <w:b/>
          <w:bCs/>
          <w:sz w:val="24"/>
          <w:lang w:val="en-US" w:eastAsia="zh-CN"/>
        </w:rPr>
        <w:t>5</w:t>
      </w:r>
      <w:r>
        <w:rPr>
          <w:sz w:val="24"/>
        </w:rPr>
        <w:t xml:space="preserve"> 逆变器的安装除应符合现行国家标准《电气装置安装工程盘、柜及二次回路接线施工及验收规范》GB 50171 的有关规定外</w:t>
      </w:r>
      <w:r>
        <w:rPr>
          <w:sz w:val="24"/>
          <w:highlight w:val="none"/>
        </w:rPr>
        <w:t>，尚应符合</w:t>
      </w:r>
      <w:r>
        <w:rPr>
          <w:rFonts w:hint="eastAsia"/>
          <w:sz w:val="24"/>
          <w:highlight w:val="none"/>
          <w:lang w:eastAsia="zh-CN"/>
        </w:rPr>
        <w:t>《</w:t>
      </w:r>
      <w:r>
        <w:rPr>
          <w:rFonts w:hint="eastAsia"/>
          <w:sz w:val="24"/>
          <w:highlight w:val="none"/>
        </w:rPr>
        <w:t>建筑光伏系统应用技术标准》</w:t>
      </w:r>
      <w:r>
        <w:rPr>
          <w:sz w:val="24"/>
          <w:highlight w:val="none"/>
        </w:rPr>
        <w:t>GB/T51368</w:t>
      </w:r>
      <w:r>
        <w:rPr>
          <w:rFonts w:hint="eastAsia"/>
          <w:sz w:val="24"/>
          <w:highlight w:val="none"/>
          <w:lang w:val="en-US" w:eastAsia="zh-CN"/>
        </w:rPr>
        <w:t>的有关规定。</w:t>
      </w:r>
    </w:p>
    <w:p w14:paraId="5C30035A">
      <w:pPr>
        <w:pStyle w:val="2"/>
        <w:spacing w:line="300" w:lineRule="auto"/>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047DCBAB">
      <w:pPr>
        <w:pStyle w:val="2"/>
        <w:snapToGrid/>
        <w:spacing w:after="0" w:line="300" w:lineRule="auto"/>
        <w:ind w:firstLine="0" w:firstLineChars="0"/>
        <w:jc w:val="left"/>
        <w:rPr>
          <w:rFonts w:hint="eastAsia" w:ascii="仿宋" w:hAnsi="仿宋" w:eastAsia="仿宋" w:cs="仿宋"/>
          <w:i/>
          <w:iCs/>
          <w:color w:val="0623BA"/>
          <w:sz w:val="24"/>
          <w:lang w:val="en-US" w:eastAsia="zh-CN"/>
        </w:rPr>
      </w:pPr>
      <w:r>
        <w:rPr>
          <w:rFonts w:hint="eastAsia" w:ascii="仿宋" w:hAnsi="仿宋" w:eastAsia="仿宋" w:cs="仿宋"/>
          <w:i/>
          <w:iCs/>
          <w:color w:val="0623BA"/>
          <w:sz w:val="24"/>
        </w:rPr>
        <w:t>1</w:t>
      </w:r>
      <w:r>
        <w:rPr>
          <w:rFonts w:hint="eastAsia" w:ascii="仿宋" w:hAnsi="仿宋" w:eastAsia="仿宋" w:cs="仿宋"/>
          <w:i/>
          <w:iCs/>
          <w:color w:val="0623BA"/>
          <w:sz w:val="24"/>
          <w:lang w:val="en-US" w:eastAsia="zh-CN"/>
        </w:rPr>
        <w:t>0</w:t>
      </w:r>
      <w:r>
        <w:rPr>
          <w:rFonts w:hint="eastAsia" w:ascii="仿宋" w:hAnsi="仿宋" w:eastAsia="仿宋" w:cs="仿宋"/>
          <w:i/>
          <w:iCs/>
          <w:color w:val="0623BA"/>
          <w:sz w:val="24"/>
        </w:rPr>
        <w:t>.4.</w:t>
      </w:r>
      <w:r>
        <w:rPr>
          <w:rFonts w:hint="eastAsia" w:ascii="仿宋" w:hAnsi="仿宋" w:eastAsia="仿宋" w:cs="仿宋"/>
          <w:i/>
          <w:iCs/>
          <w:color w:val="0623BA"/>
          <w:sz w:val="24"/>
          <w:lang w:val="en-US" w:eastAsia="zh-CN"/>
        </w:rPr>
        <w:t>5</w:t>
      </w:r>
      <w:r>
        <w:rPr>
          <w:rFonts w:hint="eastAsia" w:ascii="仿宋" w:hAnsi="仿宋" w:eastAsia="仿宋" w:cs="仿宋"/>
          <w:i/>
          <w:iCs/>
          <w:color w:val="0623BA"/>
          <w:sz w:val="24"/>
        </w:rPr>
        <w:t xml:space="preserve"> 建筑光伏系统可能会在不同区域安装不同规格、型号的逆变器，要求在逆变器安装前按照图纸进行复核，以免安装位置出现错误，造成不必要的返工。单列柜与接地扁钢之间至少应选取两点进行连接</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以做到重复接地，保证系统接地的可靠性。本条对逆变器安装使用的环境提出相应的要求，这对保证安装质量和设备安全是必要的（如为了防止设备受潮，提出安装地点的屋面、楼板等不得有渗漏现象）。逆变器交流侧电缆接引至升压变压器低压侧或直接接入电网后，不便于电缆绝缘和相序的校验，直流侧电缆的极性和绝缘同样非常重要，故在接引前应仔细检查电缆绝缘</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校对电缆相序和极性，做好施工记录。逆变器的直流侧电缆连接时</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部分光伏组件串已经串接完毕，此时会产生很高的直流开路电压。为保证人身安全，应在逆变器直流侧电缆接线前，确认逆变器直流侧前端有明显的断开点，做好安全防护措施</w:t>
      </w:r>
      <w:r>
        <w:rPr>
          <w:rFonts w:hint="eastAsia" w:ascii="仿宋" w:hAnsi="仿宋" w:eastAsia="仿宋" w:cs="仿宋"/>
          <w:i/>
          <w:iCs/>
          <w:color w:val="0623BA"/>
          <w:sz w:val="24"/>
          <w:lang w:eastAsia="zh-CN"/>
        </w:rPr>
        <w:t>，</w:t>
      </w:r>
      <w:r>
        <w:rPr>
          <w:rFonts w:hint="eastAsia" w:ascii="仿宋" w:hAnsi="仿宋" w:eastAsia="仿宋" w:cs="仿宋"/>
          <w:i/>
          <w:iCs/>
          <w:color w:val="0623BA"/>
          <w:sz w:val="24"/>
          <w:lang w:val="en-US" w:eastAsia="zh-CN"/>
        </w:rPr>
        <w:t>具体要求为：</w:t>
      </w:r>
    </w:p>
    <w:p w14:paraId="677B12B9">
      <w:pPr>
        <w:pStyle w:val="2"/>
        <w:snapToGrid/>
        <w:spacing w:after="0" w:line="300" w:lineRule="auto"/>
        <w:ind w:firstLine="480" w:firstLineChars="200"/>
        <w:jc w:val="left"/>
        <w:rPr>
          <w:rFonts w:hint="eastAsia" w:ascii="仿宋" w:hAnsi="仿宋" w:eastAsia="仿宋" w:cs="仿宋"/>
          <w:i/>
          <w:iCs/>
          <w:color w:val="0623BA"/>
          <w:sz w:val="24"/>
        </w:rPr>
      </w:pPr>
      <w:r>
        <w:rPr>
          <w:rFonts w:hint="eastAsia" w:ascii="仿宋" w:hAnsi="仿宋" w:eastAsia="仿宋" w:cs="仿宋"/>
          <w:i/>
          <w:iCs/>
          <w:color w:val="0623BA"/>
          <w:sz w:val="24"/>
        </w:rPr>
        <w:t>1 应检查待安装逆变器的外观、型号、规格；</w:t>
      </w:r>
    </w:p>
    <w:p w14:paraId="27757C81">
      <w:pPr>
        <w:pStyle w:val="2"/>
        <w:snapToGrid/>
        <w:spacing w:after="0" w:line="300" w:lineRule="auto"/>
        <w:ind w:firstLine="480" w:firstLineChars="200"/>
        <w:jc w:val="left"/>
        <w:rPr>
          <w:rFonts w:hint="eastAsia" w:ascii="仿宋" w:hAnsi="仿宋" w:eastAsia="仿宋" w:cs="仿宋"/>
          <w:i/>
          <w:iCs/>
          <w:color w:val="0623BA"/>
          <w:sz w:val="24"/>
        </w:rPr>
      </w:pPr>
      <w:r>
        <w:rPr>
          <w:rFonts w:hint="eastAsia" w:ascii="仿宋" w:hAnsi="仿宋" w:eastAsia="仿宋" w:cs="仿宋"/>
          <w:i/>
          <w:iCs/>
          <w:color w:val="0623BA"/>
          <w:sz w:val="24"/>
        </w:rPr>
        <w:t>2 逆变器柜体应进行接地，单列柜与接地扁钢之间应至少选取两点进行连接；</w:t>
      </w:r>
    </w:p>
    <w:p w14:paraId="5F306CB0">
      <w:pPr>
        <w:pStyle w:val="2"/>
        <w:snapToGrid/>
        <w:spacing w:after="0" w:line="300" w:lineRule="auto"/>
        <w:ind w:firstLine="480" w:firstLineChars="200"/>
        <w:jc w:val="left"/>
        <w:rPr>
          <w:rFonts w:hint="eastAsia" w:ascii="仿宋" w:hAnsi="仿宋" w:eastAsia="仿宋" w:cs="仿宋"/>
          <w:i/>
          <w:iCs/>
          <w:color w:val="0623BA"/>
          <w:sz w:val="24"/>
        </w:rPr>
      </w:pPr>
      <w:r>
        <w:rPr>
          <w:rFonts w:hint="eastAsia" w:ascii="仿宋" w:hAnsi="仿宋" w:eastAsia="仿宋" w:cs="仿宋"/>
          <w:i/>
          <w:iCs/>
          <w:color w:val="0623BA"/>
          <w:sz w:val="24"/>
        </w:rPr>
        <w:t>3 逆变器交流侧和直流侧电缆接线前应检查电缆绝缘，校对电缆相序和极性；</w:t>
      </w:r>
    </w:p>
    <w:p w14:paraId="6EC75032">
      <w:pPr>
        <w:pStyle w:val="2"/>
        <w:snapToGrid/>
        <w:spacing w:after="0" w:line="300" w:lineRule="auto"/>
        <w:ind w:firstLine="480" w:firstLineChars="200"/>
        <w:jc w:val="left"/>
        <w:rPr>
          <w:rFonts w:hint="eastAsia" w:ascii="仿宋" w:hAnsi="仿宋" w:eastAsia="仿宋" w:cs="仿宋"/>
          <w:i/>
          <w:iCs/>
          <w:color w:val="0623BA"/>
          <w:sz w:val="24"/>
        </w:rPr>
      </w:pPr>
      <w:r>
        <w:rPr>
          <w:rFonts w:hint="eastAsia" w:ascii="仿宋" w:hAnsi="仿宋" w:eastAsia="仿宋" w:cs="仿宋"/>
          <w:i/>
          <w:iCs/>
          <w:color w:val="0623BA"/>
          <w:sz w:val="24"/>
        </w:rPr>
        <w:t>4 集中式逆变器直流侧电缆接线前应确认汇流箱侧有明显断开点；</w:t>
      </w:r>
    </w:p>
    <w:p w14:paraId="351FB302">
      <w:pPr>
        <w:pStyle w:val="2"/>
        <w:snapToGrid/>
        <w:spacing w:after="0" w:line="300" w:lineRule="auto"/>
        <w:ind w:firstLine="480" w:firstLineChars="200"/>
        <w:jc w:val="left"/>
        <w:rPr>
          <w:rFonts w:hint="eastAsia" w:ascii="仿宋" w:hAnsi="仿宋" w:eastAsia="仿宋" w:cs="仿宋"/>
          <w:i/>
          <w:iCs/>
          <w:color w:val="0623BA"/>
          <w:sz w:val="24"/>
        </w:rPr>
      </w:pPr>
      <w:r>
        <w:rPr>
          <w:rFonts w:hint="eastAsia" w:ascii="仿宋" w:hAnsi="仿宋" w:eastAsia="仿宋" w:cs="仿宋"/>
          <w:i/>
          <w:iCs/>
          <w:color w:val="0623BA"/>
          <w:sz w:val="24"/>
        </w:rPr>
        <w:t>5 逆变器交流侧电缆接线前应确认并网柜侧有明显断开点。</w:t>
      </w:r>
    </w:p>
    <w:p w14:paraId="567D953B">
      <w:pPr>
        <w:snapToGrid w:val="0"/>
        <w:spacing w:line="300" w:lineRule="auto"/>
        <w:jc w:val="left"/>
        <w:rPr>
          <w:sz w:val="24"/>
        </w:rPr>
      </w:pPr>
      <w:r>
        <w:rPr>
          <w:b/>
          <w:bCs/>
          <w:sz w:val="24"/>
        </w:rPr>
        <w:t>1</w:t>
      </w:r>
      <w:r>
        <w:rPr>
          <w:rFonts w:hint="eastAsia"/>
          <w:b/>
          <w:bCs/>
          <w:sz w:val="24"/>
          <w:lang w:val="en-US" w:eastAsia="zh-CN"/>
        </w:rPr>
        <w:t>0</w:t>
      </w:r>
      <w:r>
        <w:rPr>
          <w:b/>
          <w:bCs/>
          <w:sz w:val="24"/>
        </w:rPr>
        <w:t>.</w:t>
      </w:r>
      <w:r>
        <w:rPr>
          <w:rFonts w:hint="eastAsia"/>
          <w:b/>
          <w:bCs/>
          <w:sz w:val="24"/>
        </w:rPr>
        <w:t>4</w:t>
      </w:r>
      <w:r>
        <w:rPr>
          <w:b/>
          <w:bCs/>
          <w:sz w:val="24"/>
        </w:rPr>
        <w:t>.</w:t>
      </w:r>
      <w:r>
        <w:rPr>
          <w:rFonts w:hint="eastAsia"/>
          <w:b/>
          <w:bCs/>
          <w:sz w:val="24"/>
          <w:lang w:val="en-US" w:eastAsia="zh-CN"/>
        </w:rPr>
        <w:t>6</w:t>
      </w:r>
      <w:r>
        <w:rPr>
          <w:sz w:val="24"/>
        </w:rPr>
        <w:t xml:space="preserve"> 电缆桥架和线槽的安装应符合下列规定：</w:t>
      </w:r>
    </w:p>
    <w:p w14:paraId="346AEF6B">
      <w:pPr>
        <w:snapToGrid w:val="0"/>
        <w:spacing w:line="300" w:lineRule="auto"/>
        <w:ind w:firstLine="482" w:firstLineChars="200"/>
        <w:rPr>
          <w:sz w:val="24"/>
        </w:rPr>
      </w:pPr>
      <w:r>
        <w:rPr>
          <w:b/>
          <w:bCs/>
          <w:sz w:val="24"/>
        </w:rPr>
        <w:t xml:space="preserve">1 </w:t>
      </w:r>
      <w:r>
        <w:rPr>
          <w:sz w:val="24"/>
        </w:rPr>
        <w:t>槽式大跨距电缆桥架由室外进入室内时</w:t>
      </w:r>
      <w:r>
        <w:rPr>
          <w:rFonts w:hint="eastAsia"/>
          <w:sz w:val="24"/>
        </w:rPr>
        <w:t>，桥架向外的坡度应大于5%并在槽盒底部设置泄水孔</w:t>
      </w:r>
      <w:r>
        <w:rPr>
          <w:sz w:val="24"/>
        </w:rPr>
        <w:t>；</w:t>
      </w:r>
    </w:p>
    <w:p w14:paraId="3B29021D">
      <w:pPr>
        <w:snapToGrid w:val="0"/>
        <w:spacing w:line="300" w:lineRule="auto"/>
        <w:ind w:firstLine="482" w:firstLineChars="200"/>
        <w:rPr>
          <w:sz w:val="24"/>
        </w:rPr>
      </w:pPr>
      <w:r>
        <w:rPr>
          <w:b/>
          <w:bCs/>
          <w:sz w:val="24"/>
        </w:rPr>
        <w:t xml:space="preserve">2 </w:t>
      </w:r>
      <w:r>
        <w:rPr>
          <w:sz w:val="24"/>
        </w:rPr>
        <w:t>电缆桥架与用电设备跨越时</w:t>
      </w:r>
      <w:r>
        <w:rPr>
          <w:rFonts w:hint="eastAsia"/>
          <w:sz w:val="24"/>
        </w:rPr>
        <w:t>，</w:t>
      </w:r>
      <w:r>
        <w:rPr>
          <w:sz w:val="24"/>
        </w:rPr>
        <w:t>净距不应小于0.5m；</w:t>
      </w:r>
    </w:p>
    <w:p w14:paraId="2B915304">
      <w:pPr>
        <w:snapToGrid w:val="0"/>
        <w:spacing w:line="300" w:lineRule="auto"/>
        <w:ind w:firstLine="482" w:firstLineChars="200"/>
        <w:rPr>
          <w:sz w:val="24"/>
        </w:rPr>
      </w:pPr>
      <w:r>
        <w:rPr>
          <w:b/>
          <w:bCs/>
          <w:sz w:val="24"/>
        </w:rPr>
        <w:t xml:space="preserve">3 </w:t>
      </w:r>
      <w:r>
        <w:rPr>
          <w:sz w:val="24"/>
        </w:rPr>
        <w:t>两组电缆桥架在同一高度平行敷设时，净距不应小于0.6m；</w:t>
      </w:r>
    </w:p>
    <w:p w14:paraId="2914FA53">
      <w:pPr>
        <w:snapToGrid w:val="0"/>
        <w:spacing w:line="300" w:lineRule="auto"/>
        <w:ind w:firstLine="482" w:firstLineChars="200"/>
        <w:rPr>
          <w:sz w:val="24"/>
        </w:rPr>
      </w:pPr>
      <w:r>
        <w:rPr>
          <w:b/>
          <w:bCs/>
          <w:sz w:val="24"/>
        </w:rPr>
        <w:t xml:space="preserve">4 </w:t>
      </w:r>
      <w:r>
        <w:rPr>
          <w:sz w:val="24"/>
        </w:rPr>
        <w:t>电缆桥架宜高出地面2.5m以上，桥架顶部距顶棚或其他障碍物不宜小于0.3m</w:t>
      </w:r>
      <w:r>
        <w:rPr>
          <w:rFonts w:hint="eastAsia"/>
          <w:sz w:val="24"/>
        </w:rPr>
        <w:t>，</w:t>
      </w:r>
      <w:r>
        <w:rPr>
          <w:sz w:val="24"/>
        </w:rPr>
        <w:t>桥架内横断面的填充率应符合设计要求；</w:t>
      </w:r>
    </w:p>
    <w:p w14:paraId="131F01C5">
      <w:pPr>
        <w:snapToGrid w:val="0"/>
        <w:spacing w:line="300" w:lineRule="auto"/>
        <w:ind w:firstLine="482" w:firstLineChars="200"/>
        <w:rPr>
          <w:sz w:val="24"/>
        </w:rPr>
      </w:pPr>
      <w:r>
        <w:rPr>
          <w:b/>
          <w:bCs/>
          <w:sz w:val="24"/>
        </w:rPr>
        <w:t xml:space="preserve">5 </w:t>
      </w:r>
      <w:r>
        <w:rPr>
          <w:sz w:val="24"/>
        </w:rPr>
        <w:t>电缆桥架内缆线竖直敷设时，缆线的上端和每间隔</w:t>
      </w:r>
      <w:r>
        <w:rPr>
          <w:rFonts w:hint="eastAsia"/>
          <w:sz w:val="24"/>
          <w:lang w:val="en-US" w:eastAsia="zh-CN"/>
        </w:rPr>
        <w:t>1.</w:t>
      </w:r>
      <w:r>
        <w:rPr>
          <w:sz w:val="24"/>
        </w:rPr>
        <w:t>5m处宜固定在桥架的支架上；水平敷设时，在缆线的首、尾、转弯及每间隔3m</w:t>
      </w:r>
      <w:r>
        <w:rPr>
          <w:rFonts w:hint="eastAsia"/>
          <w:sz w:val="24"/>
          <w:lang w:eastAsia="zh-CN"/>
        </w:rPr>
        <w:t>～</w:t>
      </w:r>
      <w:r>
        <w:rPr>
          <w:sz w:val="24"/>
        </w:rPr>
        <w:t>5m处宜进行固定；</w:t>
      </w:r>
    </w:p>
    <w:p w14:paraId="39FDCE7F">
      <w:pPr>
        <w:snapToGrid w:val="0"/>
        <w:spacing w:line="300" w:lineRule="auto"/>
        <w:ind w:firstLine="482" w:firstLineChars="200"/>
        <w:rPr>
          <w:sz w:val="24"/>
        </w:rPr>
      </w:pPr>
      <w:r>
        <w:rPr>
          <w:b/>
          <w:bCs/>
          <w:sz w:val="24"/>
        </w:rPr>
        <w:t xml:space="preserve">6 </w:t>
      </w:r>
      <w:r>
        <w:rPr>
          <w:sz w:val="24"/>
        </w:rPr>
        <w:t>槽盖在吊顶内设置时，开启面宜保持80mm的垂直净空；</w:t>
      </w:r>
    </w:p>
    <w:p w14:paraId="66789ED6">
      <w:pPr>
        <w:snapToGrid w:val="0"/>
        <w:spacing w:line="300" w:lineRule="auto"/>
        <w:ind w:firstLine="482" w:firstLineChars="200"/>
        <w:rPr>
          <w:sz w:val="24"/>
        </w:rPr>
      </w:pPr>
      <w:r>
        <w:rPr>
          <w:b/>
          <w:bCs/>
          <w:sz w:val="24"/>
        </w:rPr>
        <w:t xml:space="preserve">7 </w:t>
      </w:r>
      <w:r>
        <w:rPr>
          <w:sz w:val="24"/>
        </w:rPr>
        <w:t>布放在线槽的缆线宜顺直不交叉，缆线不应溢出线槽；缆线进出线槽、转弯处应绑扎固定。</w:t>
      </w:r>
    </w:p>
    <w:p w14:paraId="7C34689A">
      <w:pPr>
        <w:snapToGrid w:val="0"/>
        <w:spacing w:line="300" w:lineRule="auto"/>
        <w:ind w:firstLine="0" w:firstLineChars="0"/>
        <w:jc w:val="both"/>
        <w:rPr>
          <w:rFonts w:hint="default" w:eastAsia="宋体"/>
          <w:sz w:val="24"/>
          <w:lang w:eastAsia="zh-CN"/>
        </w:rPr>
      </w:pPr>
      <w:r>
        <w:rPr>
          <w:b/>
          <w:bCs/>
          <w:sz w:val="24"/>
        </w:rPr>
        <w:t>1</w:t>
      </w:r>
      <w:r>
        <w:rPr>
          <w:rFonts w:hint="default"/>
          <w:b/>
          <w:bCs/>
          <w:sz w:val="24"/>
          <w:lang w:val="en-US" w:eastAsia="zh-CN"/>
        </w:rPr>
        <w:t>0</w:t>
      </w:r>
      <w:r>
        <w:rPr>
          <w:b/>
          <w:bCs/>
          <w:sz w:val="24"/>
        </w:rPr>
        <w:t>.</w:t>
      </w:r>
      <w:r>
        <w:rPr>
          <w:rFonts w:hint="default"/>
          <w:b/>
          <w:bCs/>
          <w:sz w:val="24"/>
        </w:rPr>
        <w:t>4</w:t>
      </w:r>
      <w:r>
        <w:rPr>
          <w:b/>
          <w:bCs/>
          <w:sz w:val="24"/>
        </w:rPr>
        <w:t>.</w:t>
      </w:r>
      <w:r>
        <w:rPr>
          <w:rFonts w:hint="default"/>
          <w:b/>
          <w:bCs/>
          <w:sz w:val="24"/>
          <w:lang w:val="en-US" w:eastAsia="zh-CN"/>
        </w:rPr>
        <w:t>7</w:t>
      </w:r>
      <w:r>
        <w:rPr>
          <w:b/>
          <w:bCs/>
          <w:sz w:val="24"/>
        </w:rPr>
        <w:t xml:space="preserve"> </w:t>
      </w:r>
      <w:r>
        <w:rPr>
          <w:sz w:val="24"/>
        </w:rPr>
        <w:t>环境监测仪</w:t>
      </w:r>
      <w:r>
        <w:rPr>
          <w:rFonts w:hint="default"/>
          <w:sz w:val="24"/>
          <w:lang w:eastAsia="zh-CN"/>
        </w:rPr>
        <w:t>、</w:t>
      </w:r>
      <w:r>
        <w:rPr>
          <w:sz w:val="24"/>
        </w:rPr>
        <w:t>通信电缆布线应符合</w:t>
      </w:r>
      <w:r>
        <w:rPr>
          <w:rFonts w:hint="default"/>
          <w:sz w:val="24"/>
          <w:lang w:eastAsia="zh-CN"/>
        </w:rPr>
        <w:t>《</w:t>
      </w:r>
      <w:r>
        <w:rPr>
          <w:rFonts w:hint="default"/>
          <w:sz w:val="24"/>
        </w:rPr>
        <w:t>建筑光伏系统应用技术标准》</w:t>
      </w:r>
      <w:r>
        <w:rPr>
          <w:sz w:val="24"/>
        </w:rPr>
        <w:t>GB/T51368</w:t>
      </w:r>
      <w:r>
        <w:rPr>
          <w:rFonts w:hint="default"/>
          <w:sz w:val="24"/>
          <w:lang w:val="en-US" w:eastAsia="zh-CN"/>
        </w:rPr>
        <w:t>的</w:t>
      </w:r>
      <w:r>
        <w:rPr>
          <w:sz w:val="24"/>
        </w:rPr>
        <w:t>规定</w:t>
      </w:r>
      <w:r>
        <w:rPr>
          <w:rFonts w:hint="default"/>
          <w:sz w:val="24"/>
          <w:lang w:eastAsia="zh-CN"/>
        </w:rPr>
        <w:t>。</w:t>
      </w:r>
    </w:p>
    <w:p w14:paraId="75390220">
      <w:pPr>
        <w:keepNext/>
        <w:keepLines/>
        <w:snapToGrid w:val="0"/>
        <w:spacing w:before="95" w:beforeLines="30" w:after="95" w:afterLines="30" w:line="300" w:lineRule="auto"/>
        <w:jc w:val="center"/>
        <w:outlineLvl w:val="2"/>
        <w:rPr>
          <w:b/>
          <w:sz w:val="24"/>
          <w:szCs w:val="32"/>
        </w:rPr>
      </w:pPr>
      <w:bookmarkStart w:id="383" w:name="_Toc14941"/>
      <w:bookmarkStart w:id="384" w:name="_Toc8489"/>
      <w:bookmarkStart w:id="385" w:name="_Toc8926"/>
      <w:bookmarkStart w:id="386" w:name="_Toc27778"/>
      <w:bookmarkStart w:id="387" w:name="_Toc7623"/>
      <w:bookmarkStart w:id="388" w:name="_Toc6240"/>
      <w:bookmarkStart w:id="389" w:name="_Toc21736"/>
      <w:bookmarkStart w:id="390" w:name="_Toc12086"/>
      <w:r>
        <w:rPr>
          <w:b/>
          <w:sz w:val="24"/>
          <w:szCs w:val="32"/>
        </w:rPr>
        <w:t>1</w:t>
      </w:r>
      <w:r>
        <w:rPr>
          <w:rFonts w:hint="default"/>
          <w:b/>
          <w:sz w:val="24"/>
          <w:szCs w:val="32"/>
          <w:lang w:val="en-US" w:eastAsia="zh-CN"/>
        </w:rPr>
        <w:t>0</w:t>
      </w:r>
      <w:r>
        <w:rPr>
          <w:b/>
          <w:sz w:val="24"/>
          <w:szCs w:val="32"/>
        </w:rPr>
        <w:t>.</w:t>
      </w:r>
      <w:r>
        <w:rPr>
          <w:rFonts w:hint="default"/>
          <w:b/>
          <w:sz w:val="24"/>
          <w:szCs w:val="32"/>
        </w:rPr>
        <w:t>5</w:t>
      </w:r>
      <w:r>
        <w:rPr>
          <w:b/>
          <w:sz w:val="24"/>
          <w:szCs w:val="32"/>
        </w:rPr>
        <w:t>系统调试</w:t>
      </w:r>
      <w:bookmarkEnd w:id="383"/>
      <w:bookmarkEnd w:id="384"/>
      <w:bookmarkEnd w:id="385"/>
      <w:bookmarkEnd w:id="386"/>
      <w:bookmarkEnd w:id="387"/>
      <w:bookmarkEnd w:id="388"/>
      <w:bookmarkEnd w:id="389"/>
      <w:bookmarkEnd w:id="390"/>
    </w:p>
    <w:p w14:paraId="2170CEE0">
      <w:pPr>
        <w:snapToGrid w:val="0"/>
        <w:spacing w:line="300" w:lineRule="auto"/>
        <w:jc w:val="left"/>
        <w:rPr>
          <w:rFonts w:hint="eastAsia" w:eastAsia="宋体"/>
          <w:sz w:val="24"/>
          <w:lang w:val="en-US" w:eastAsia="zh-CN"/>
        </w:rPr>
      </w:pPr>
      <w:r>
        <w:rPr>
          <w:b/>
          <w:bCs/>
          <w:sz w:val="24"/>
        </w:rPr>
        <w:t>1</w:t>
      </w:r>
      <w:r>
        <w:rPr>
          <w:rFonts w:hint="eastAsia"/>
          <w:b/>
          <w:bCs/>
          <w:sz w:val="24"/>
          <w:lang w:val="en-US" w:eastAsia="zh-CN"/>
        </w:rPr>
        <w:t>0</w:t>
      </w:r>
      <w:r>
        <w:rPr>
          <w:b/>
          <w:bCs/>
          <w:sz w:val="24"/>
        </w:rPr>
        <w:t>.</w:t>
      </w:r>
      <w:r>
        <w:rPr>
          <w:rFonts w:hint="eastAsia"/>
          <w:b/>
          <w:bCs/>
          <w:sz w:val="24"/>
        </w:rPr>
        <w:t>5</w:t>
      </w:r>
      <w:r>
        <w:rPr>
          <w:b/>
          <w:bCs/>
          <w:sz w:val="24"/>
        </w:rPr>
        <w:t>.1</w:t>
      </w:r>
      <w:r>
        <w:rPr>
          <w:sz w:val="24"/>
        </w:rPr>
        <w:t xml:space="preserve"> 建筑光伏系统的调试应包括光伏组件串、汇流箱、逆变器、配电柜、二次系统、储能系统等设备调试及光伏发电系统的联合调试。</w:t>
      </w:r>
      <w:r>
        <w:rPr>
          <w:rFonts w:ascii="Times New Roman" w:hAnsi="Times New Roman" w:eastAsia="宋体" w:cs="Times New Roman"/>
          <w:b w:val="0"/>
          <w:bCs w:val="0"/>
          <w:i w:val="0"/>
          <w:iCs w:val="0"/>
          <w:color w:val="auto"/>
          <w:sz w:val="24"/>
          <w:szCs w:val="24"/>
        </w:rPr>
        <w:t>光伏发电系统的调试应有调试</w:t>
      </w:r>
      <w:r>
        <w:rPr>
          <w:rFonts w:hint="default" w:ascii="Times New Roman" w:hAnsi="Times New Roman" w:cs="Times New Roman"/>
          <w:b w:val="0"/>
          <w:bCs w:val="0"/>
          <w:i w:val="0"/>
          <w:iCs w:val="0"/>
          <w:color w:val="auto"/>
          <w:sz w:val="24"/>
          <w:szCs w:val="24"/>
          <w:lang w:val="en-US" w:eastAsia="zh-CN"/>
        </w:rPr>
        <w:t>记录。</w:t>
      </w:r>
    </w:p>
    <w:p w14:paraId="125A3C87">
      <w:pPr>
        <w:snapToGrid w:val="0"/>
        <w:spacing w:line="300" w:lineRule="auto"/>
        <w:jc w:val="left"/>
        <w:rPr>
          <w:sz w:val="24"/>
        </w:rPr>
      </w:pPr>
      <w:r>
        <w:rPr>
          <w:b/>
          <w:bCs/>
          <w:sz w:val="24"/>
        </w:rPr>
        <w:t>1</w:t>
      </w:r>
      <w:r>
        <w:rPr>
          <w:rFonts w:hint="eastAsia"/>
          <w:b/>
          <w:bCs/>
          <w:sz w:val="24"/>
          <w:lang w:val="en-US" w:eastAsia="zh-CN"/>
        </w:rPr>
        <w:t>0</w:t>
      </w:r>
      <w:r>
        <w:rPr>
          <w:b/>
          <w:bCs/>
          <w:sz w:val="24"/>
        </w:rPr>
        <w:t>.</w:t>
      </w:r>
      <w:r>
        <w:rPr>
          <w:rFonts w:hint="eastAsia"/>
          <w:b/>
          <w:bCs/>
          <w:sz w:val="24"/>
        </w:rPr>
        <w:t>5</w:t>
      </w:r>
      <w:r>
        <w:rPr>
          <w:b/>
          <w:bCs/>
          <w:sz w:val="24"/>
        </w:rPr>
        <w:t>.2</w:t>
      </w:r>
      <w:r>
        <w:rPr>
          <w:sz w:val="24"/>
        </w:rPr>
        <w:t xml:space="preserve"> </w:t>
      </w:r>
      <w:r>
        <w:rPr>
          <w:rFonts w:hint="default"/>
          <w:sz w:val="24"/>
          <w:lang w:val="en-US" w:eastAsia="zh-CN"/>
        </w:rPr>
        <w:t>设备和</w:t>
      </w:r>
      <w:r>
        <w:rPr>
          <w:rFonts w:hint="eastAsia"/>
          <w:sz w:val="24"/>
        </w:rPr>
        <w:t>系统调试前</w:t>
      </w:r>
      <w:r>
        <w:rPr>
          <w:rFonts w:hint="default"/>
          <w:sz w:val="24"/>
          <w:lang w:eastAsia="zh-CN"/>
        </w:rPr>
        <w:t>，</w:t>
      </w:r>
      <w:r>
        <w:rPr>
          <w:rFonts w:ascii="Times New Roman" w:hAnsi="Times New Roman" w:eastAsia="宋体" w:cs="Times New Roman"/>
          <w:b w:val="0"/>
          <w:bCs w:val="0"/>
          <w:i w:val="0"/>
          <w:iCs w:val="0"/>
          <w:color w:val="auto"/>
          <w:sz w:val="24"/>
          <w:szCs w:val="24"/>
        </w:rPr>
        <w:t>应完成安装工作并验收合格；</w:t>
      </w:r>
      <w:r>
        <w:rPr>
          <w:rFonts w:hint="eastAsia"/>
          <w:sz w:val="24"/>
        </w:rPr>
        <w:t>确认设备接线正确无误、牢固无松动且符合设计要求</w:t>
      </w:r>
      <w:r>
        <w:rPr>
          <w:rFonts w:hint="default"/>
          <w:sz w:val="24"/>
          <w:lang w:eastAsia="zh-CN"/>
        </w:rPr>
        <w:t>，</w:t>
      </w:r>
      <w:r>
        <w:rPr>
          <w:rFonts w:ascii="Times New Roman" w:hAnsi="Times New Roman" w:eastAsia="宋体" w:cs="Times New Roman"/>
          <w:b w:val="0"/>
          <w:bCs w:val="0"/>
          <w:i w:val="0"/>
          <w:iCs w:val="0"/>
          <w:color w:val="auto"/>
          <w:sz w:val="24"/>
          <w:szCs w:val="24"/>
        </w:rPr>
        <w:t>装有空调或通风装置等特殊设施的，应安装完毕并投入运行。受电后无法进行或影响运行安全的工程应施工完毕。</w:t>
      </w:r>
    </w:p>
    <w:p w14:paraId="1C4693B2">
      <w:pPr>
        <w:snapToGrid w:val="0"/>
        <w:spacing w:line="300" w:lineRule="auto"/>
        <w:jc w:val="left"/>
        <w:rPr>
          <w:sz w:val="24"/>
        </w:rPr>
      </w:pPr>
      <w:r>
        <w:rPr>
          <w:b/>
          <w:bCs/>
          <w:sz w:val="24"/>
        </w:rPr>
        <w:t>1</w:t>
      </w:r>
      <w:r>
        <w:rPr>
          <w:rFonts w:hint="eastAsia"/>
          <w:b/>
          <w:bCs/>
          <w:sz w:val="24"/>
          <w:lang w:val="en-US" w:eastAsia="zh-CN"/>
        </w:rPr>
        <w:t>0</w:t>
      </w:r>
      <w:r>
        <w:rPr>
          <w:b/>
          <w:bCs/>
          <w:sz w:val="24"/>
        </w:rPr>
        <w:t>.</w:t>
      </w:r>
      <w:r>
        <w:rPr>
          <w:rFonts w:hint="eastAsia"/>
          <w:b/>
          <w:bCs/>
          <w:sz w:val="24"/>
        </w:rPr>
        <w:t>5</w:t>
      </w:r>
      <w:r>
        <w:rPr>
          <w:b/>
          <w:bCs/>
          <w:sz w:val="24"/>
        </w:rPr>
        <w:t xml:space="preserve">.3 </w:t>
      </w:r>
      <w:r>
        <w:rPr>
          <w:rFonts w:hint="eastAsia"/>
          <w:sz w:val="24"/>
        </w:rPr>
        <w:t>对照系统设计图纸和设备配置清单进行检查，按电气原理图及安装接线图进行检查，确认设备内部接线和外部接线正确无误，应符合低压电力系统设计规范和并网光伏系统设计规范的规定：并网光伏系统与电网间在联结处应有明显的带有标志的可视断开点，应通过变压器等进行电气隔离。</w:t>
      </w:r>
    </w:p>
    <w:p w14:paraId="3E76E19D">
      <w:pPr>
        <w:pStyle w:val="2"/>
        <w:spacing w:after="0" w:line="300" w:lineRule="auto"/>
        <w:rPr>
          <w:rFonts w:hint="eastAsia" w:eastAsia="宋体"/>
          <w:sz w:val="24"/>
          <w:lang w:eastAsia="zh-CN"/>
        </w:rPr>
      </w:pPr>
      <w:r>
        <w:rPr>
          <w:rFonts w:hint="eastAsia"/>
          <w:b/>
          <w:bCs/>
          <w:sz w:val="24"/>
          <w:lang w:val="en-US" w:eastAsia="zh-CN"/>
        </w:rPr>
        <w:t xml:space="preserve">10.5.4 </w:t>
      </w:r>
      <w:r>
        <w:rPr>
          <w:rFonts w:hint="eastAsia"/>
          <w:sz w:val="24"/>
        </w:rPr>
        <w:t>系统绝缘性能应按下列要求与方法进行检查</w:t>
      </w:r>
      <w:r>
        <w:rPr>
          <w:rFonts w:hint="eastAsia"/>
          <w:sz w:val="24"/>
          <w:lang w:eastAsia="zh-CN"/>
        </w:rPr>
        <w:t>：</w:t>
      </w:r>
    </w:p>
    <w:p w14:paraId="5F8F307C">
      <w:pPr>
        <w:pStyle w:val="2"/>
        <w:spacing w:after="0" w:line="300" w:lineRule="auto"/>
        <w:ind w:firstLine="482" w:firstLineChars="200"/>
        <w:rPr>
          <w:rFonts w:hint="eastAsia" w:eastAsia="宋体"/>
          <w:sz w:val="24"/>
          <w:lang w:eastAsia="zh-CN"/>
        </w:rPr>
      </w:pPr>
      <w:r>
        <w:rPr>
          <w:rFonts w:hint="eastAsia"/>
          <w:b/>
          <w:bCs/>
          <w:sz w:val="24"/>
        </w:rPr>
        <w:t xml:space="preserve">1 </w:t>
      </w:r>
      <w:r>
        <w:rPr>
          <w:rFonts w:hint="eastAsia"/>
          <w:sz w:val="24"/>
        </w:rPr>
        <w:t>将光伏方阵、接线箱、逆变器、并网保护装置等设备的连接回路断开，分别用DC500V欧姆表测量主回路各极性与地或外壳的绝缘电阻</w:t>
      </w:r>
      <w:r>
        <w:rPr>
          <w:rFonts w:hint="eastAsia"/>
          <w:sz w:val="24"/>
          <w:lang w:eastAsia="zh-CN"/>
        </w:rPr>
        <w:t>，</w:t>
      </w:r>
      <w:r>
        <w:rPr>
          <w:rFonts w:hint="eastAsia"/>
          <w:sz w:val="24"/>
        </w:rPr>
        <w:t>应不小于1</w:t>
      </w:r>
      <w:r>
        <w:rPr>
          <w:rFonts w:hint="eastAsia"/>
          <w:sz w:val="24"/>
          <w:lang w:val="en-US" w:eastAsia="zh-CN"/>
        </w:rPr>
        <w:t>MΩ；</w:t>
      </w:r>
    </w:p>
    <w:p w14:paraId="5F87B0E8">
      <w:pPr>
        <w:pStyle w:val="2"/>
        <w:spacing w:after="0" w:line="300" w:lineRule="auto"/>
        <w:ind w:firstLine="482" w:firstLineChars="200"/>
        <w:rPr>
          <w:sz w:val="24"/>
        </w:rPr>
      </w:pPr>
      <w:r>
        <w:rPr>
          <w:rFonts w:hint="eastAsia"/>
          <w:b/>
          <w:bCs/>
          <w:sz w:val="24"/>
        </w:rPr>
        <w:t xml:space="preserve">2 </w:t>
      </w:r>
      <w:r>
        <w:rPr>
          <w:rFonts w:hint="eastAsia"/>
          <w:sz w:val="24"/>
        </w:rPr>
        <w:t>将光伏方阵、接线箱、逆变器、并网保护装置等设备的连接回路断开，分别用AC2000V工频交流耐压仪测量主回路各极</w:t>
      </w:r>
      <w:r>
        <w:rPr>
          <w:rFonts w:hint="eastAsia"/>
          <w:sz w:val="24"/>
          <w:lang w:val="en-US" w:eastAsia="zh-CN"/>
        </w:rPr>
        <w:t>性</w:t>
      </w:r>
      <w:r>
        <w:rPr>
          <w:rFonts w:hint="eastAsia"/>
          <w:sz w:val="24"/>
        </w:rPr>
        <w:t>与地或外壳的绝缘耐压，应能承受 AC2000V、1min工频交流电耐压，无闪络、无击穿现象；</w:t>
      </w:r>
    </w:p>
    <w:p w14:paraId="52FA9A72">
      <w:pPr>
        <w:pStyle w:val="2"/>
        <w:spacing w:after="0" w:line="300" w:lineRule="auto"/>
        <w:ind w:firstLine="482" w:firstLineChars="200"/>
        <w:rPr>
          <w:sz w:val="24"/>
        </w:rPr>
      </w:pPr>
      <w:r>
        <w:rPr>
          <w:rFonts w:hint="eastAsia"/>
          <w:b/>
          <w:bCs/>
          <w:sz w:val="24"/>
        </w:rPr>
        <w:t>3</w:t>
      </w:r>
      <w:r>
        <w:rPr>
          <w:rFonts w:hint="eastAsia"/>
          <w:b/>
          <w:bCs/>
          <w:sz w:val="24"/>
          <w:lang w:val="en-US" w:eastAsia="zh-CN"/>
        </w:rPr>
        <w:t xml:space="preserve"> </w:t>
      </w:r>
      <w:r>
        <w:rPr>
          <w:rFonts w:hint="eastAsia"/>
          <w:sz w:val="24"/>
        </w:rPr>
        <w:t>在现场对并网光伏系统的主要设计工作特性进行验证检验，应符合设计要求。</w:t>
      </w:r>
    </w:p>
    <w:p w14:paraId="326777F4">
      <w:pPr>
        <w:snapToGrid w:val="0"/>
        <w:spacing w:line="300" w:lineRule="auto"/>
        <w:jc w:val="left"/>
        <w:rPr>
          <w:rFonts w:hint="eastAsia"/>
          <w:b w:val="0"/>
          <w:bCs w:val="0"/>
          <w:sz w:val="24"/>
        </w:rPr>
      </w:pPr>
      <w:r>
        <w:rPr>
          <w:rFonts w:hint="eastAsia"/>
          <w:b/>
          <w:bCs/>
          <w:sz w:val="24"/>
          <w:lang w:val="en-US" w:eastAsia="zh-CN"/>
        </w:rPr>
        <w:t>10.5.5</w:t>
      </w:r>
      <w:r>
        <w:rPr>
          <w:rFonts w:hint="eastAsia"/>
          <w:b w:val="0"/>
          <w:bCs w:val="0"/>
          <w:sz w:val="24"/>
          <w:lang w:val="en-US" w:eastAsia="zh-CN"/>
        </w:rPr>
        <w:t xml:space="preserve"> </w:t>
      </w:r>
      <w:r>
        <w:rPr>
          <w:rFonts w:hint="eastAsia"/>
          <w:b w:val="0"/>
          <w:bCs w:val="0"/>
          <w:sz w:val="24"/>
        </w:rPr>
        <w:t>采用适当的方法测量地面与方阵电缆之间的绝缘电阻，若方阵输出端装有防雷器，测试前</w:t>
      </w:r>
      <w:r>
        <w:rPr>
          <w:rFonts w:hint="eastAsia" w:cs="Times New Roman"/>
          <w:b w:val="0"/>
          <w:bCs w:val="0"/>
          <w:i w:val="0"/>
          <w:iCs w:val="0"/>
          <w:color w:val="auto"/>
          <w:sz w:val="24"/>
          <w:szCs w:val="24"/>
          <w:highlight w:val="none"/>
          <w:lang w:val="en-US" w:eastAsia="zh-CN"/>
        </w:rPr>
        <w:t>应</w:t>
      </w:r>
      <w:r>
        <w:rPr>
          <w:rFonts w:hint="eastAsia"/>
          <w:b w:val="0"/>
          <w:bCs w:val="0"/>
          <w:sz w:val="24"/>
        </w:rPr>
        <w:t>将防雷器的接地线从电路中脱开，测试完毕</w:t>
      </w:r>
      <w:r>
        <w:rPr>
          <w:rFonts w:hint="eastAsia"/>
          <w:b w:val="0"/>
          <w:bCs w:val="0"/>
          <w:sz w:val="24"/>
          <w:lang w:val="en-US" w:eastAsia="zh-CN"/>
        </w:rPr>
        <w:t>后再恢复</w:t>
      </w:r>
      <w:r>
        <w:rPr>
          <w:rFonts w:hint="eastAsia"/>
          <w:b w:val="0"/>
          <w:bCs w:val="0"/>
          <w:sz w:val="24"/>
        </w:rPr>
        <w:t>原状。</w:t>
      </w:r>
    </w:p>
    <w:p w14:paraId="7ACA5570">
      <w:pPr>
        <w:snapToGrid w:val="0"/>
        <w:spacing w:line="300" w:lineRule="auto"/>
        <w:jc w:val="left"/>
        <w:rPr>
          <w:sz w:val="24"/>
        </w:rPr>
      </w:pPr>
      <w:r>
        <w:rPr>
          <w:b/>
          <w:bCs/>
          <w:sz w:val="24"/>
        </w:rPr>
        <w:t>1</w:t>
      </w:r>
      <w:r>
        <w:rPr>
          <w:rFonts w:hint="eastAsia"/>
          <w:b/>
          <w:bCs/>
          <w:sz w:val="24"/>
          <w:lang w:val="en-US" w:eastAsia="zh-CN"/>
        </w:rPr>
        <w:t>0</w:t>
      </w:r>
      <w:r>
        <w:rPr>
          <w:b/>
          <w:bCs/>
          <w:sz w:val="24"/>
        </w:rPr>
        <w:t>.</w:t>
      </w:r>
      <w:r>
        <w:rPr>
          <w:rFonts w:hint="eastAsia"/>
          <w:b/>
          <w:bCs/>
          <w:sz w:val="24"/>
        </w:rPr>
        <w:t>5</w:t>
      </w:r>
      <w:r>
        <w:rPr>
          <w:b/>
          <w:bCs/>
          <w:sz w:val="24"/>
        </w:rPr>
        <w:t>.</w:t>
      </w:r>
      <w:r>
        <w:rPr>
          <w:rFonts w:hint="eastAsia"/>
          <w:b/>
          <w:bCs/>
          <w:sz w:val="24"/>
          <w:lang w:val="en-US" w:eastAsia="zh-CN"/>
        </w:rPr>
        <w:t>6</w:t>
      </w:r>
      <w:r>
        <w:rPr>
          <w:sz w:val="24"/>
        </w:rPr>
        <w:t xml:space="preserve"> 光伏组件串调试可按现行行业标准《光伏发电站现场组件检测规程》NB/T 32034的方法进行，应符合下列规定：</w:t>
      </w:r>
    </w:p>
    <w:p w14:paraId="4746DEDC">
      <w:pPr>
        <w:snapToGrid w:val="0"/>
        <w:spacing w:line="300" w:lineRule="auto"/>
        <w:ind w:firstLine="482" w:firstLineChars="200"/>
        <w:jc w:val="left"/>
        <w:rPr>
          <w:sz w:val="24"/>
        </w:rPr>
      </w:pPr>
      <w:r>
        <w:rPr>
          <w:b/>
          <w:bCs/>
          <w:sz w:val="24"/>
        </w:rPr>
        <w:t xml:space="preserve">1 </w:t>
      </w:r>
      <w:r>
        <w:rPr>
          <w:sz w:val="24"/>
        </w:rPr>
        <w:t>同一光伏组件串的组件生产厂家、型号及技术参数应一致；</w:t>
      </w:r>
    </w:p>
    <w:p w14:paraId="2584E42D">
      <w:pPr>
        <w:snapToGrid w:val="0"/>
        <w:spacing w:line="300" w:lineRule="auto"/>
        <w:ind w:firstLine="482" w:firstLineChars="200"/>
        <w:jc w:val="left"/>
        <w:rPr>
          <w:sz w:val="24"/>
        </w:rPr>
      </w:pPr>
      <w:r>
        <w:rPr>
          <w:b/>
          <w:bCs/>
          <w:sz w:val="24"/>
        </w:rPr>
        <w:t xml:space="preserve">2 </w:t>
      </w:r>
      <w:r>
        <w:rPr>
          <w:sz w:val="24"/>
        </w:rPr>
        <w:t>测试宜在辐照度不低于600W/</w:t>
      </w:r>
      <w:r>
        <w:rPr>
          <w:rFonts w:hint="eastAsia"/>
          <w:sz w:val="24"/>
          <w:lang w:val="en-US" w:eastAsia="zh-CN"/>
        </w:rPr>
        <w:t>m</w:t>
      </w:r>
      <w:r>
        <w:rPr>
          <w:rFonts w:hint="eastAsia"/>
          <w:sz w:val="24"/>
          <w:vertAlign w:val="superscript"/>
          <w:lang w:val="en-US" w:eastAsia="zh-CN"/>
        </w:rPr>
        <w:t>2</w:t>
      </w:r>
      <w:r>
        <w:rPr>
          <w:sz w:val="24"/>
        </w:rPr>
        <w:t>的条件下进行；</w:t>
      </w:r>
    </w:p>
    <w:p w14:paraId="38E6D3E1">
      <w:pPr>
        <w:snapToGrid w:val="0"/>
        <w:spacing w:line="300" w:lineRule="auto"/>
        <w:ind w:firstLine="482" w:firstLineChars="200"/>
        <w:jc w:val="left"/>
        <w:rPr>
          <w:sz w:val="24"/>
        </w:rPr>
      </w:pPr>
      <w:r>
        <w:rPr>
          <w:b/>
          <w:bCs/>
          <w:sz w:val="24"/>
        </w:rPr>
        <w:t xml:space="preserve">3 </w:t>
      </w:r>
      <w:r>
        <w:rPr>
          <w:sz w:val="24"/>
        </w:rPr>
        <w:t>接入汇流箱内的光伏组件串的极性测试应正确；</w:t>
      </w:r>
    </w:p>
    <w:p w14:paraId="48E87A0E">
      <w:pPr>
        <w:snapToGrid w:val="0"/>
        <w:spacing w:line="300" w:lineRule="auto"/>
        <w:ind w:firstLine="482" w:firstLineChars="200"/>
        <w:jc w:val="left"/>
        <w:rPr>
          <w:sz w:val="24"/>
        </w:rPr>
      </w:pPr>
      <w:r>
        <w:rPr>
          <w:b/>
          <w:bCs/>
          <w:sz w:val="24"/>
        </w:rPr>
        <w:t xml:space="preserve">4 </w:t>
      </w:r>
      <w:r>
        <w:rPr>
          <w:sz w:val="24"/>
        </w:rPr>
        <w:t>相同测试条件下，同一汇流箱内各分支回路光伏组件串之间的开路电压偏差不应大于2%且不应超过5V；</w:t>
      </w:r>
    </w:p>
    <w:p w14:paraId="4E57E4C4">
      <w:pPr>
        <w:snapToGrid w:val="0"/>
        <w:spacing w:line="300" w:lineRule="auto"/>
        <w:ind w:firstLine="482" w:firstLineChars="200"/>
        <w:jc w:val="left"/>
        <w:rPr>
          <w:sz w:val="24"/>
        </w:rPr>
      </w:pPr>
      <w:r>
        <w:rPr>
          <w:b/>
          <w:bCs/>
          <w:sz w:val="24"/>
        </w:rPr>
        <w:t xml:space="preserve">5 </w:t>
      </w:r>
      <w:r>
        <w:rPr>
          <w:sz w:val="24"/>
        </w:rPr>
        <w:t>在发电情况下，对同一汇流箱内各光伏组件串的电流进行检测，相同测试条件下，光伏组件串之间的电流偏差不应超过5%。</w:t>
      </w:r>
    </w:p>
    <w:p w14:paraId="0AA5FF6E">
      <w:pPr>
        <w:pStyle w:val="2"/>
        <w:spacing w:line="300" w:lineRule="auto"/>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6B8330F1">
      <w:pPr>
        <w:pStyle w:val="2"/>
        <w:spacing w:line="300" w:lineRule="auto"/>
        <w:rPr>
          <w:rFonts w:hint="eastAsia" w:ascii="仿宋" w:hAnsi="仿宋" w:eastAsia="仿宋" w:cs="仿宋"/>
          <w:i/>
          <w:iCs/>
          <w:color w:val="0623BA"/>
          <w:sz w:val="24"/>
        </w:rPr>
      </w:pPr>
      <w:r>
        <w:rPr>
          <w:rFonts w:hint="eastAsia" w:ascii="仿宋" w:hAnsi="仿宋" w:eastAsia="仿宋" w:cs="仿宋"/>
          <w:i/>
          <w:iCs/>
          <w:color w:val="0623BA"/>
          <w:sz w:val="24"/>
        </w:rPr>
        <w:t>1</w:t>
      </w:r>
      <w:r>
        <w:rPr>
          <w:rFonts w:hint="eastAsia" w:ascii="仿宋" w:hAnsi="仿宋" w:eastAsia="仿宋" w:cs="仿宋"/>
          <w:i/>
          <w:iCs/>
          <w:color w:val="0623BA"/>
          <w:sz w:val="24"/>
          <w:lang w:val="en-US" w:eastAsia="zh-CN"/>
        </w:rPr>
        <w:t>0</w:t>
      </w:r>
      <w:r>
        <w:rPr>
          <w:rFonts w:hint="eastAsia" w:ascii="仿宋" w:hAnsi="仿宋" w:eastAsia="仿宋" w:cs="仿宋"/>
          <w:i/>
          <w:iCs/>
          <w:color w:val="0623BA"/>
          <w:sz w:val="24"/>
        </w:rPr>
        <w:t>.5.</w:t>
      </w:r>
      <w:r>
        <w:rPr>
          <w:rFonts w:hint="eastAsia" w:ascii="仿宋" w:hAnsi="仿宋" w:eastAsia="仿宋" w:cs="仿宋"/>
          <w:i/>
          <w:iCs/>
          <w:color w:val="0623BA"/>
          <w:sz w:val="24"/>
          <w:lang w:val="en-US" w:eastAsia="zh-CN"/>
        </w:rPr>
        <w:t>6</w:t>
      </w:r>
      <w:r>
        <w:rPr>
          <w:rFonts w:hint="eastAsia" w:ascii="仿宋" w:hAnsi="仿宋" w:eastAsia="仿宋" w:cs="仿宋"/>
          <w:i/>
          <w:iCs/>
          <w:color w:val="0623BA"/>
          <w:sz w:val="24"/>
        </w:rPr>
        <w:t xml:space="preserve"> 光伏组件串在串接过程中，可能会出现接插头反装，因而导致光伏组件串的极性反接现象，在测试过程中，应对此项进行认真检测。相同规格型号的光伏组件串完毕后，在相同测试条件下，其电压、电流偏差不应太大，若电压超出正文规定，应对光伏组件串内的光伏组件进行检查，必要时可对组件进行更换调整。</w:t>
      </w:r>
    </w:p>
    <w:p w14:paraId="21BE8144">
      <w:pPr>
        <w:snapToGrid w:val="0"/>
        <w:spacing w:line="300" w:lineRule="auto"/>
        <w:jc w:val="left"/>
        <w:rPr>
          <w:rFonts w:hint="eastAsia" w:eastAsia="宋体"/>
          <w:sz w:val="24"/>
          <w:highlight w:val="none"/>
          <w:lang w:eastAsia="zh-CN"/>
        </w:rPr>
      </w:pPr>
      <w:r>
        <w:rPr>
          <w:b/>
          <w:bCs/>
          <w:sz w:val="24"/>
        </w:rPr>
        <w:t>1</w:t>
      </w:r>
      <w:r>
        <w:rPr>
          <w:rFonts w:hint="eastAsia"/>
          <w:b/>
          <w:bCs/>
          <w:sz w:val="24"/>
          <w:lang w:val="en-US" w:eastAsia="zh-CN"/>
        </w:rPr>
        <w:t>0</w:t>
      </w:r>
      <w:r>
        <w:rPr>
          <w:b/>
          <w:bCs/>
          <w:sz w:val="24"/>
        </w:rPr>
        <w:t>.</w:t>
      </w:r>
      <w:r>
        <w:rPr>
          <w:rFonts w:hint="eastAsia"/>
          <w:b/>
          <w:bCs/>
          <w:sz w:val="24"/>
        </w:rPr>
        <w:t>5</w:t>
      </w:r>
      <w:r>
        <w:rPr>
          <w:rFonts w:hint="eastAsia"/>
          <w:b/>
          <w:bCs/>
          <w:sz w:val="24"/>
          <w:lang w:val="en-US" w:eastAsia="zh-CN"/>
        </w:rPr>
        <w:t>.7</w:t>
      </w:r>
      <w:r>
        <w:rPr>
          <w:sz w:val="24"/>
        </w:rPr>
        <w:t xml:space="preserve"> 汇流箱的调试可按现行国家标准《光伏发电站汇流箱检测技术规程》GB/T 34933 的有关规定进行，应符合</w:t>
      </w:r>
      <w:r>
        <w:rPr>
          <w:rFonts w:hint="eastAsia"/>
          <w:sz w:val="24"/>
          <w:highlight w:val="none"/>
          <w:lang w:eastAsia="zh-CN"/>
        </w:rPr>
        <w:t>《</w:t>
      </w:r>
      <w:r>
        <w:rPr>
          <w:rFonts w:hint="eastAsia"/>
          <w:sz w:val="24"/>
          <w:highlight w:val="none"/>
        </w:rPr>
        <w:t>建筑光伏系统应用技术标准》</w:t>
      </w:r>
      <w:r>
        <w:rPr>
          <w:sz w:val="24"/>
          <w:highlight w:val="none"/>
        </w:rPr>
        <w:t>GB/T51368</w:t>
      </w:r>
      <w:r>
        <w:rPr>
          <w:rFonts w:hint="eastAsia"/>
          <w:sz w:val="24"/>
          <w:highlight w:val="none"/>
          <w:lang w:val="en-US" w:eastAsia="zh-CN"/>
        </w:rPr>
        <w:t>有关</w:t>
      </w:r>
      <w:r>
        <w:rPr>
          <w:sz w:val="24"/>
          <w:highlight w:val="none"/>
        </w:rPr>
        <w:t>规定</w:t>
      </w:r>
      <w:r>
        <w:rPr>
          <w:rFonts w:hint="eastAsia"/>
          <w:sz w:val="24"/>
          <w:highlight w:val="none"/>
          <w:lang w:eastAsia="zh-CN"/>
        </w:rPr>
        <w:t>。</w:t>
      </w:r>
    </w:p>
    <w:p w14:paraId="6A3E223D">
      <w:pPr>
        <w:pStyle w:val="2"/>
        <w:spacing w:line="300" w:lineRule="auto"/>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0E1DEDA6">
      <w:pPr>
        <w:pStyle w:val="2"/>
        <w:spacing w:line="300" w:lineRule="auto"/>
        <w:rPr>
          <w:rFonts w:hint="eastAsia" w:ascii="仿宋" w:hAnsi="仿宋" w:eastAsia="仿宋" w:cs="仿宋"/>
          <w:i/>
          <w:iCs/>
          <w:color w:val="0623BA"/>
          <w:sz w:val="24"/>
        </w:rPr>
      </w:pPr>
      <w:r>
        <w:rPr>
          <w:rFonts w:hint="eastAsia" w:ascii="仿宋" w:hAnsi="仿宋" w:eastAsia="仿宋" w:cs="仿宋"/>
          <w:i/>
          <w:iCs/>
          <w:color w:val="0623BA"/>
          <w:sz w:val="24"/>
        </w:rPr>
        <w:t>1</w:t>
      </w:r>
      <w:r>
        <w:rPr>
          <w:rFonts w:hint="eastAsia" w:ascii="仿宋" w:hAnsi="仿宋" w:eastAsia="仿宋" w:cs="仿宋"/>
          <w:i/>
          <w:iCs/>
          <w:color w:val="0623BA"/>
          <w:sz w:val="24"/>
          <w:lang w:val="en-US" w:eastAsia="zh-CN"/>
        </w:rPr>
        <w:t>0</w:t>
      </w:r>
      <w:r>
        <w:rPr>
          <w:rFonts w:hint="eastAsia" w:ascii="仿宋" w:hAnsi="仿宋" w:eastAsia="仿宋" w:cs="仿宋"/>
          <w:i/>
          <w:iCs/>
          <w:color w:val="0623BA"/>
          <w:sz w:val="24"/>
        </w:rPr>
        <w:t>.5.</w:t>
      </w:r>
      <w:r>
        <w:rPr>
          <w:rFonts w:hint="eastAsia" w:ascii="仿宋" w:hAnsi="仿宋" w:eastAsia="仿宋" w:cs="仿宋"/>
          <w:i/>
          <w:iCs/>
          <w:color w:val="0623BA"/>
          <w:sz w:val="24"/>
          <w:lang w:val="en-US" w:eastAsia="zh-CN"/>
        </w:rPr>
        <w:t>7</w:t>
      </w:r>
      <w:r>
        <w:rPr>
          <w:rFonts w:hint="eastAsia" w:ascii="仿宋" w:hAnsi="仿宋" w:eastAsia="仿宋" w:cs="仿宋"/>
          <w:i/>
          <w:iCs/>
          <w:color w:val="0623BA"/>
          <w:sz w:val="24"/>
        </w:rPr>
        <w:t xml:space="preserve"> 本条规定了逆变器在投入运行之后，投、退汇流箱的顺序，主要是为防止带负荷拉刀闸。 </w:t>
      </w:r>
    </w:p>
    <w:p w14:paraId="15753708">
      <w:pPr>
        <w:snapToGrid w:val="0"/>
        <w:spacing w:line="300" w:lineRule="auto"/>
        <w:jc w:val="left"/>
        <w:rPr>
          <w:sz w:val="24"/>
        </w:rPr>
      </w:pPr>
      <w:r>
        <w:rPr>
          <w:b/>
          <w:bCs/>
          <w:sz w:val="24"/>
        </w:rPr>
        <w:t>1</w:t>
      </w:r>
      <w:r>
        <w:rPr>
          <w:rFonts w:hint="eastAsia"/>
          <w:b/>
          <w:bCs/>
          <w:sz w:val="24"/>
          <w:lang w:val="en-US" w:eastAsia="zh-CN"/>
        </w:rPr>
        <w:t>0</w:t>
      </w:r>
      <w:r>
        <w:rPr>
          <w:b/>
          <w:bCs/>
          <w:sz w:val="24"/>
        </w:rPr>
        <w:t>.</w:t>
      </w:r>
      <w:r>
        <w:rPr>
          <w:rFonts w:hint="eastAsia"/>
          <w:b/>
          <w:bCs/>
          <w:sz w:val="24"/>
        </w:rPr>
        <w:t>5</w:t>
      </w:r>
      <w:r>
        <w:rPr>
          <w:b/>
          <w:bCs/>
          <w:sz w:val="24"/>
        </w:rPr>
        <w:t>.</w:t>
      </w:r>
      <w:r>
        <w:rPr>
          <w:rFonts w:hint="eastAsia"/>
          <w:b/>
          <w:bCs/>
          <w:sz w:val="24"/>
          <w:lang w:val="en-US" w:eastAsia="zh-CN"/>
        </w:rPr>
        <w:t>8</w:t>
      </w:r>
      <w:r>
        <w:rPr>
          <w:sz w:val="24"/>
        </w:rPr>
        <w:t xml:space="preserve"> 逆变器调试应符合现行国家标准《光伏发电站施工规范》G</w:t>
      </w:r>
      <w:r>
        <w:rPr>
          <w:sz w:val="24"/>
          <w:highlight w:val="none"/>
        </w:rPr>
        <w:t>B 50794</w:t>
      </w:r>
      <w:r>
        <w:rPr>
          <w:rFonts w:hint="eastAsia"/>
          <w:sz w:val="24"/>
          <w:highlight w:val="none"/>
          <w:lang w:val="en-US" w:eastAsia="zh-CN"/>
        </w:rPr>
        <w:t>及</w:t>
      </w:r>
      <w:r>
        <w:rPr>
          <w:rFonts w:hint="eastAsia"/>
          <w:sz w:val="24"/>
          <w:highlight w:val="none"/>
          <w:lang w:eastAsia="zh-CN"/>
        </w:rPr>
        <w:t>《</w:t>
      </w:r>
      <w:r>
        <w:rPr>
          <w:rFonts w:hint="eastAsia"/>
          <w:sz w:val="24"/>
          <w:highlight w:val="none"/>
        </w:rPr>
        <w:t>建筑光伏系统应用技术标准》</w:t>
      </w:r>
      <w:r>
        <w:rPr>
          <w:sz w:val="24"/>
          <w:highlight w:val="none"/>
        </w:rPr>
        <w:t>GB/T51368</w:t>
      </w:r>
      <w:r>
        <w:rPr>
          <w:rFonts w:hint="eastAsia"/>
          <w:sz w:val="24"/>
          <w:highlight w:val="none"/>
          <w:lang w:val="en-US" w:eastAsia="zh-CN"/>
        </w:rPr>
        <w:t>的有关</w:t>
      </w:r>
      <w:r>
        <w:rPr>
          <w:sz w:val="24"/>
          <w:highlight w:val="none"/>
        </w:rPr>
        <w:t>规定。配电</w:t>
      </w:r>
      <w:r>
        <w:rPr>
          <w:sz w:val="24"/>
        </w:rPr>
        <w:t>柜的调试应符合现行国家标准《电气装置安装工程 电气设备交接试验标准》GB 50150和《低压成套开关设备和电控设备基本试验方法》GB/T 10233的有关规定。</w:t>
      </w:r>
    </w:p>
    <w:p w14:paraId="54C736E3">
      <w:pPr>
        <w:snapToGrid w:val="0"/>
        <w:spacing w:line="300" w:lineRule="auto"/>
        <w:jc w:val="left"/>
        <w:rPr>
          <w:sz w:val="24"/>
        </w:rPr>
      </w:pPr>
      <w:r>
        <w:rPr>
          <w:b/>
          <w:bCs/>
          <w:sz w:val="24"/>
        </w:rPr>
        <w:t>1</w:t>
      </w:r>
      <w:r>
        <w:rPr>
          <w:rFonts w:hint="eastAsia"/>
          <w:b/>
          <w:bCs/>
          <w:sz w:val="24"/>
          <w:lang w:val="en-US" w:eastAsia="zh-CN"/>
        </w:rPr>
        <w:t>0</w:t>
      </w:r>
      <w:r>
        <w:rPr>
          <w:b/>
          <w:bCs/>
          <w:sz w:val="24"/>
        </w:rPr>
        <w:t>.</w:t>
      </w:r>
      <w:r>
        <w:rPr>
          <w:rFonts w:hint="eastAsia"/>
          <w:b/>
          <w:bCs/>
          <w:sz w:val="24"/>
        </w:rPr>
        <w:t>5</w:t>
      </w:r>
      <w:r>
        <w:rPr>
          <w:b/>
          <w:bCs/>
          <w:sz w:val="24"/>
        </w:rPr>
        <w:t>.</w:t>
      </w:r>
      <w:r>
        <w:rPr>
          <w:rFonts w:hint="eastAsia"/>
          <w:b/>
          <w:bCs/>
          <w:sz w:val="24"/>
          <w:lang w:val="en-US" w:eastAsia="zh-CN"/>
        </w:rPr>
        <w:t>9</w:t>
      </w:r>
      <w:r>
        <w:rPr>
          <w:sz w:val="24"/>
        </w:rPr>
        <w:t xml:space="preserve"> 电化学储能系统的调试除应符合国家现行标准《电力系统用蓄电池直流电源装置运行与维护技术规程》DL/T 724、《电化学储能系统储能变流器技术规范》GB/T 34120、《储能变流器检测技术规程》GB/T 34133的有关规定外</w:t>
      </w:r>
      <w:r>
        <w:rPr>
          <w:rFonts w:hint="eastAsia"/>
          <w:sz w:val="24"/>
        </w:rPr>
        <w:t>，</w:t>
      </w:r>
      <w:r>
        <w:rPr>
          <w:sz w:val="24"/>
        </w:rPr>
        <w:t>尚应检测电化学储能电池反接保护、防雷保护、防反向放电保护。</w:t>
      </w:r>
    </w:p>
    <w:p w14:paraId="24D1A54B">
      <w:pPr>
        <w:snapToGrid w:val="0"/>
        <w:spacing w:line="300" w:lineRule="auto"/>
        <w:jc w:val="left"/>
        <w:rPr>
          <w:sz w:val="24"/>
        </w:rPr>
      </w:pPr>
      <w:r>
        <w:rPr>
          <w:b/>
          <w:bCs/>
          <w:sz w:val="24"/>
        </w:rPr>
        <w:t>1</w:t>
      </w:r>
      <w:r>
        <w:rPr>
          <w:rFonts w:hint="eastAsia"/>
          <w:b/>
          <w:bCs/>
          <w:sz w:val="24"/>
          <w:lang w:val="en-US" w:eastAsia="zh-CN"/>
        </w:rPr>
        <w:t>0</w:t>
      </w:r>
      <w:r>
        <w:rPr>
          <w:b/>
          <w:bCs/>
          <w:sz w:val="24"/>
        </w:rPr>
        <w:t>.</w:t>
      </w:r>
      <w:r>
        <w:rPr>
          <w:rFonts w:hint="eastAsia"/>
          <w:b/>
          <w:bCs/>
          <w:sz w:val="24"/>
        </w:rPr>
        <w:t>5</w:t>
      </w:r>
      <w:r>
        <w:rPr>
          <w:b/>
          <w:bCs/>
          <w:sz w:val="24"/>
        </w:rPr>
        <w:t>.</w:t>
      </w:r>
      <w:r>
        <w:rPr>
          <w:rFonts w:hint="eastAsia"/>
          <w:b/>
          <w:bCs/>
          <w:sz w:val="24"/>
          <w:lang w:val="en-US" w:eastAsia="zh-CN"/>
        </w:rPr>
        <w:t>10</w:t>
      </w:r>
      <w:r>
        <w:rPr>
          <w:sz w:val="24"/>
        </w:rPr>
        <w:t xml:space="preserve"> 建筑光伏系统无功补偿装置的设备调试应符合现行国家标准《光伏发电站无功补偿技术规范》GB/T 29321、《光伏发电站无功补偿装置检测技术规程》GB/T 34931 中的有关规定。</w:t>
      </w:r>
    </w:p>
    <w:p w14:paraId="2CF1C585">
      <w:pPr>
        <w:snapToGrid w:val="0"/>
        <w:spacing w:line="300" w:lineRule="auto"/>
        <w:jc w:val="left"/>
        <w:rPr>
          <w:sz w:val="24"/>
        </w:rPr>
      </w:pPr>
      <w:r>
        <w:rPr>
          <w:b/>
          <w:bCs/>
          <w:sz w:val="24"/>
        </w:rPr>
        <w:t>1</w:t>
      </w:r>
      <w:r>
        <w:rPr>
          <w:rFonts w:hint="eastAsia"/>
          <w:b/>
          <w:bCs/>
          <w:sz w:val="24"/>
          <w:lang w:val="en-US" w:eastAsia="zh-CN"/>
        </w:rPr>
        <w:t>0</w:t>
      </w:r>
      <w:r>
        <w:rPr>
          <w:b/>
          <w:bCs/>
          <w:sz w:val="24"/>
        </w:rPr>
        <w:t>.</w:t>
      </w:r>
      <w:r>
        <w:rPr>
          <w:rFonts w:hint="eastAsia"/>
          <w:b/>
          <w:bCs/>
          <w:sz w:val="24"/>
        </w:rPr>
        <w:t>5</w:t>
      </w:r>
      <w:r>
        <w:rPr>
          <w:b/>
          <w:bCs/>
          <w:sz w:val="24"/>
        </w:rPr>
        <w:t>.</w:t>
      </w:r>
      <w:r>
        <w:rPr>
          <w:rFonts w:hint="eastAsia"/>
          <w:b/>
          <w:bCs/>
          <w:sz w:val="24"/>
          <w:lang w:val="en-US" w:eastAsia="zh-CN"/>
        </w:rPr>
        <w:t>11</w:t>
      </w:r>
      <w:r>
        <w:rPr>
          <w:sz w:val="24"/>
        </w:rPr>
        <w:t xml:space="preserve"> 其他电气设备调试应符合现行国家标准《电气装置安装工程 电气设备交接试验标准》GB 50150 的有关规定。</w:t>
      </w:r>
    </w:p>
    <w:p w14:paraId="5C38EC83">
      <w:pPr>
        <w:snapToGrid w:val="0"/>
        <w:spacing w:line="300" w:lineRule="auto"/>
        <w:ind w:firstLine="0" w:firstLineChars="0"/>
        <w:jc w:val="left"/>
        <w:rPr>
          <w:rFonts w:ascii="Times New Roman" w:hAnsi="Times New Roman" w:eastAsia="宋体" w:cs="Times New Roman"/>
          <w:b w:val="0"/>
          <w:bCs w:val="0"/>
          <w:i w:val="0"/>
          <w:iCs w:val="0"/>
          <w:sz w:val="24"/>
          <w:szCs w:val="24"/>
        </w:rPr>
      </w:pPr>
      <w:r>
        <w:rPr>
          <w:b/>
          <w:bCs/>
          <w:sz w:val="24"/>
        </w:rPr>
        <w:t>1</w:t>
      </w:r>
      <w:r>
        <w:rPr>
          <w:rFonts w:hint="eastAsia"/>
          <w:b/>
          <w:bCs/>
          <w:sz w:val="24"/>
          <w:lang w:val="en-US" w:eastAsia="zh-CN"/>
        </w:rPr>
        <w:t>0</w:t>
      </w:r>
      <w:r>
        <w:rPr>
          <w:b/>
          <w:bCs/>
          <w:sz w:val="24"/>
        </w:rPr>
        <w:t>.</w:t>
      </w:r>
      <w:r>
        <w:rPr>
          <w:rFonts w:hint="eastAsia"/>
          <w:b/>
          <w:bCs/>
          <w:sz w:val="24"/>
        </w:rPr>
        <w:t>5</w:t>
      </w:r>
      <w:r>
        <w:rPr>
          <w:b/>
          <w:bCs/>
          <w:sz w:val="24"/>
        </w:rPr>
        <w:t>.1</w:t>
      </w:r>
      <w:r>
        <w:rPr>
          <w:rFonts w:hint="eastAsia"/>
          <w:b/>
          <w:bCs/>
          <w:sz w:val="24"/>
          <w:lang w:val="en-US" w:eastAsia="zh-CN"/>
        </w:rPr>
        <w:t xml:space="preserve">2 </w:t>
      </w:r>
      <w:r>
        <w:rPr>
          <w:rFonts w:ascii="Times New Roman" w:hAnsi="Times New Roman" w:eastAsia="宋体" w:cs="Times New Roman"/>
          <w:b w:val="0"/>
          <w:bCs w:val="0"/>
          <w:i w:val="0"/>
          <w:iCs w:val="0"/>
          <w:color w:val="auto"/>
          <w:sz w:val="24"/>
          <w:szCs w:val="24"/>
        </w:rPr>
        <w:t>二次系统调试应符合下列</w:t>
      </w:r>
      <w:r>
        <w:rPr>
          <w:rFonts w:hint="eastAsia" w:cs="Times New Roman"/>
          <w:b w:val="0"/>
          <w:bCs w:val="0"/>
          <w:i w:val="0"/>
          <w:iCs w:val="0"/>
          <w:color w:val="auto"/>
          <w:sz w:val="24"/>
          <w:szCs w:val="24"/>
          <w:lang w:val="en-US" w:eastAsia="zh-CN"/>
        </w:rPr>
        <w:t>要求</w:t>
      </w:r>
      <w:r>
        <w:rPr>
          <w:rFonts w:ascii="Times New Roman" w:hAnsi="Times New Roman" w:eastAsia="宋体" w:cs="Times New Roman"/>
          <w:b w:val="0"/>
          <w:bCs w:val="0"/>
          <w:i w:val="0"/>
          <w:iCs w:val="0"/>
          <w:color w:val="auto"/>
          <w:sz w:val="24"/>
          <w:szCs w:val="24"/>
        </w:rPr>
        <w:t>：</w:t>
      </w:r>
    </w:p>
    <w:p w14:paraId="0935F262">
      <w:pPr>
        <w:snapToGrid w:val="0"/>
        <w:spacing w:line="300" w:lineRule="auto"/>
        <w:ind w:firstLine="482" w:firstLineChars="200"/>
        <w:jc w:val="left"/>
        <w:rPr>
          <w:rFonts w:hint="default" w:ascii="Times New Roman" w:hAnsi="Times New Roman" w:eastAsia="宋体" w:cs="Times New Roman"/>
          <w:b w:val="0"/>
          <w:bCs w:val="0"/>
          <w:i w:val="0"/>
          <w:iCs w:val="0"/>
          <w:sz w:val="24"/>
          <w:szCs w:val="24"/>
        </w:rPr>
      </w:pPr>
      <w:r>
        <w:rPr>
          <w:rFonts w:hint="eastAsia"/>
          <w:b/>
          <w:bCs/>
          <w:sz w:val="24"/>
          <w:lang w:val="en-US" w:eastAsia="zh-CN"/>
        </w:rPr>
        <w:t>1</w:t>
      </w:r>
      <w:r>
        <w:rPr>
          <w:rFonts w:hint="default" w:ascii="Times New Roman" w:hAnsi="Times New Roman" w:eastAsia="宋体" w:cs="Times New Roman"/>
          <w:b/>
          <w:bCs/>
          <w:i w:val="0"/>
          <w:iCs w:val="0"/>
          <w:color w:val="auto"/>
          <w:sz w:val="24"/>
          <w:szCs w:val="24"/>
        </w:rPr>
        <w:t xml:space="preserve"> </w:t>
      </w:r>
      <w:r>
        <w:rPr>
          <w:rFonts w:hint="default" w:ascii="Times New Roman" w:hAnsi="Times New Roman" w:eastAsia="宋体" w:cs="Times New Roman"/>
          <w:b w:val="0"/>
          <w:bCs w:val="0"/>
          <w:i w:val="0"/>
          <w:iCs w:val="0"/>
          <w:color w:val="auto"/>
          <w:sz w:val="24"/>
          <w:szCs w:val="24"/>
        </w:rPr>
        <w:t>二次系统的调试工作应由调试单位、生产厂家进行，施工单位配合；</w:t>
      </w:r>
    </w:p>
    <w:p w14:paraId="16117316">
      <w:pPr>
        <w:snapToGrid w:val="0"/>
        <w:spacing w:line="300" w:lineRule="auto"/>
        <w:ind w:firstLine="482" w:firstLineChars="200"/>
        <w:jc w:val="left"/>
        <w:rPr>
          <w:rFonts w:hint="default" w:ascii="Times New Roman" w:hAnsi="Times New Roman" w:eastAsia="宋体" w:cs="Times New Roman"/>
          <w:b w:val="0"/>
          <w:bCs w:val="0"/>
          <w:i w:val="0"/>
          <w:iCs w:val="0"/>
          <w:sz w:val="24"/>
          <w:szCs w:val="24"/>
        </w:rPr>
      </w:pPr>
      <w:r>
        <w:rPr>
          <w:rFonts w:hint="eastAsia"/>
          <w:b/>
          <w:bCs/>
          <w:sz w:val="24"/>
          <w:lang w:val="en-US" w:eastAsia="zh-CN"/>
        </w:rPr>
        <w:t>2</w:t>
      </w:r>
      <w:r>
        <w:rPr>
          <w:rFonts w:hint="default" w:ascii="Times New Roman" w:hAnsi="Times New Roman" w:eastAsia="宋体" w:cs="Times New Roman"/>
          <w:b w:val="0"/>
          <w:bCs w:val="0"/>
          <w:i w:val="0"/>
          <w:iCs w:val="0"/>
          <w:color w:val="auto"/>
          <w:sz w:val="24"/>
          <w:szCs w:val="24"/>
        </w:rPr>
        <w:t xml:space="preserve"> 二次系统的调试内容主要应包括：计算机监控系统、继电保护系统、远动通信系统、电能量信息管理系统、不间断电源系统等；</w:t>
      </w:r>
    </w:p>
    <w:p w14:paraId="2B6FF691">
      <w:pPr>
        <w:snapToGrid w:val="0"/>
        <w:spacing w:line="300" w:lineRule="auto"/>
        <w:ind w:firstLine="482" w:firstLineChars="200"/>
        <w:jc w:val="left"/>
        <w:rPr>
          <w:rFonts w:hint="default" w:ascii="Times New Roman" w:hAnsi="Times New Roman" w:eastAsia="宋体" w:cs="Times New Roman"/>
          <w:b w:val="0"/>
          <w:bCs w:val="0"/>
          <w:i w:val="0"/>
          <w:iCs w:val="0"/>
          <w:sz w:val="24"/>
          <w:szCs w:val="24"/>
        </w:rPr>
      </w:pPr>
      <w:r>
        <w:rPr>
          <w:rFonts w:hint="eastAsia"/>
          <w:b/>
          <w:bCs/>
          <w:sz w:val="24"/>
          <w:lang w:val="en-US" w:eastAsia="zh-CN"/>
        </w:rPr>
        <w:t>3</w:t>
      </w:r>
      <w:r>
        <w:rPr>
          <w:rFonts w:hint="default" w:ascii="Times New Roman" w:hAnsi="Times New Roman" w:eastAsia="宋体" w:cs="Times New Roman"/>
          <w:b/>
          <w:bCs/>
          <w:i w:val="0"/>
          <w:iCs w:val="0"/>
          <w:color w:val="auto"/>
          <w:sz w:val="24"/>
          <w:szCs w:val="24"/>
        </w:rPr>
        <w:t xml:space="preserve"> </w:t>
      </w:r>
      <w:r>
        <w:rPr>
          <w:rFonts w:hint="default" w:ascii="Times New Roman" w:hAnsi="Times New Roman" w:eastAsia="宋体" w:cs="Times New Roman"/>
          <w:b w:val="0"/>
          <w:bCs w:val="0"/>
          <w:i w:val="0"/>
          <w:iCs w:val="0"/>
          <w:color w:val="auto"/>
          <w:sz w:val="24"/>
          <w:szCs w:val="24"/>
        </w:rPr>
        <w:t>计算机监控系统的调试应符合下列</w:t>
      </w:r>
      <w:r>
        <w:rPr>
          <w:rFonts w:hint="eastAsia" w:cs="Times New Roman"/>
          <w:b w:val="0"/>
          <w:bCs w:val="0"/>
          <w:i w:val="0"/>
          <w:iCs w:val="0"/>
          <w:color w:val="auto"/>
          <w:sz w:val="24"/>
          <w:szCs w:val="24"/>
          <w:lang w:val="en-US" w:eastAsia="zh-CN"/>
        </w:rPr>
        <w:t>要求</w:t>
      </w:r>
      <w:r>
        <w:rPr>
          <w:rFonts w:hint="default" w:ascii="Times New Roman" w:hAnsi="Times New Roman" w:eastAsia="宋体" w:cs="Times New Roman"/>
          <w:b w:val="0"/>
          <w:bCs w:val="0"/>
          <w:i w:val="0"/>
          <w:iCs w:val="0"/>
          <w:color w:val="auto"/>
          <w:sz w:val="24"/>
          <w:szCs w:val="24"/>
        </w:rPr>
        <w:t>：</w:t>
      </w:r>
    </w:p>
    <w:p w14:paraId="1D9026AE">
      <w:pPr>
        <w:snapToGrid w:val="0"/>
        <w:spacing w:line="300" w:lineRule="auto"/>
        <w:ind w:firstLine="480" w:firstLineChars="200"/>
        <w:jc w:val="left"/>
        <w:rPr>
          <w:rFonts w:hint="default" w:ascii="Times New Roman" w:hAnsi="Times New Roman" w:eastAsia="宋体" w:cs="Times New Roman"/>
          <w:b w:val="0"/>
          <w:bCs w:val="0"/>
          <w:i w:val="0"/>
          <w:iCs w:val="0"/>
          <w:sz w:val="24"/>
          <w:szCs w:val="24"/>
        </w:rPr>
      </w:pPr>
      <w:r>
        <w:rPr>
          <w:rFonts w:hint="eastAsia" w:cs="Times New Roman"/>
          <w:b w:val="0"/>
          <w:bCs w:val="0"/>
          <w:i w:val="0"/>
          <w:iCs w:val="0"/>
          <w:color w:val="auto"/>
          <w:sz w:val="24"/>
          <w:szCs w:val="24"/>
          <w:lang w:val="en-US" w:eastAsia="zh-CN"/>
        </w:rPr>
        <w:t>1）</w:t>
      </w:r>
      <w:r>
        <w:rPr>
          <w:rFonts w:hint="default" w:ascii="Times New Roman" w:hAnsi="Times New Roman" w:eastAsia="宋体" w:cs="Times New Roman"/>
          <w:b w:val="0"/>
          <w:bCs w:val="0"/>
          <w:i w:val="0"/>
          <w:iCs w:val="0"/>
          <w:color w:val="auto"/>
          <w:sz w:val="24"/>
          <w:szCs w:val="24"/>
        </w:rPr>
        <w:t>计算机监控系统设备的数量、型号、额定参数符合设计要求，接地可靠；</w:t>
      </w:r>
    </w:p>
    <w:p w14:paraId="01BC400E">
      <w:pPr>
        <w:snapToGrid w:val="0"/>
        <w:spacing w:line="300" w:lineRule="auto"/>
        <w:ind w:firstLine="480" w:firstLineChars="200"/>
        <w:jc w:val="left"/>
        <w:rPr>
          <w:rFonts w:hint="default" w:ascii="Times New Roman" w:hAnsi="Times New Roman" w:eastAsia="宋体" w:cs="Times New Roman"/>
          <w:b w:val="0"/>
          <w:bCs w:val="0"/>
          <w:i w:val="0"/>
          <w:iCs w:val="0"/>
          <w:sz w:val="24"/>
          <w:szCs w:val="24"/>
        </w:rPr>
      </w:pPr>
      <w:r>
        <w:rPr>
          <w:rFonts w:hint="eastAsia" w:cs="Times New Roman"/>
          <w:b w:val="0"/>
          <w:bCs w:val="0"/>
          <w:i w:val="0"/>
          <w:iCs w:val="0"/>
          <w:color w:val="auto"/>
          <w:sz w:val="24"/>
          <w:szCs w:val="24"/>
          <w:lang w:val="en-US" w:eastAsia="zh-CN"/>
        </w:rPr>
        <w:t>2）</w:t>
      </w:r>
      <w:r>
        <w:rPr>
          <w:rFonts w:hint="default" w:ascii="Times New Roman" w:hAnsi="Times New Roman" w:eastAsia="宋体" w:cs="Times New Roman"/>
          <w:b w:val="0"/>
          <w:bCs w:val="0"/>
          <w:i w:val="0"/>
          <w:iCs w:val="0"/>
          <w:color w:val="auto"/>
          <w:sz w:val="24"/>
          <w:szCs w:val="24"/>
        </w:rPr>
        <w:t>遥信、遥测、遥控、遥调功能准确、可靠；</w:t>
      </w:r>
    </w:p>
    <w:p w14:paraId="0C93E7F5">
      <w:pPr>
        <w:snapToGrid w:val="0"/>
        <w:spacing w:line="300" w:lineRule="auto"/>
        <w:ind w:firstLine="480" w:firstLineChars="200"/>
        <w:jc w:val="left"/>
        <w:rPr>
          <w:rFonts w:hint="default" w:ascii="Times New Roman" w:hAnsi="Times New Roman" w:eastAsia="宋体" w:cs="Times New Roman"/>
          <w:b w:val="0"/>
          <w:bCs w:val="0"/>
          <w:i w:val="0"/>
          <w:iCs w:val="0"/>
          <w:sz w:val="24"/>
          <w:szCs w:val="24"/>
        </w:rPr>
      </w:pPr>
      <w:r>
        <w:rPr>
          <w:rFonts w:hint="eastAsia" w:cs="Times New Roman"/>
          <w:b w:val="0"/>
          <w:bCs w:val="0"/>
          <w:i w:val="0"/>
          <w:iCs w:val="0"/>
          <w:color w:val="auto"/>
          <w:sz w:val="24"/>
          <w:szCs w:val="24"/>
          <w:lang w:val="en-US" w:eastAsia="zh-CN"/>
        </w:rPr>
        <w:t>3）</w:t>
      </w:r>
      <w:r>
        <w:rPr>
          <w:rFonts w:hint="default" w:ascii="Times New Roman" w:hAnsi="Times New Roman" w:eastAsia="宋体" w:cs="Times New Roman"/>
          <w:b w:val="0"/>
          <w:bCs w:val="0"/>
          <w:i w:val="0"/>
          <w:iCs w:val="0"/>
          <w:color w:val="auto"/>
          <w:sz w:val="24"/>
          <w:szCs w:val="24"/>
        </w:rPr>
        <w:t>计算机监控系统防误操作功能准确、可靠；</w:t>
      </w:r>
    </w:p>
    <w:p w14:paraId="1295F088">
      <w:pPr>
        <w:snapToGrid w:val="0"/>
        <w:spacing w:line="300" w:lineRule="auto"/>
        <w:ind w:firstLine="480" w:firstLineChars="200"/>
        <w:jc w:val="left"/>
        <w:rPr>
          <w:rFonts w:hint="default"/>
          <w:b w:val="0"/>
          <w:bCs w:val="0"/>
          <w:sz w:val="24"/>
        </w:rPr>
      </w:pPr>
      <w:r>
        <w:rPr>
          <w:rFonts w:hint="eastAsia" w:cs="Times New Roman"/>
          <w:b w:val="0"/>
          <w:bCs w:val="0"/>
          <w:i w:val="0"/>
          <w:iCs w:val="0"/>
          <w:color w:val="auto"/>
          <w:sz w:val="24"/>
          <w:szCs w:val="24"/>
          <w:lang w:val="en-US" w:eastAsia="zh-CN"/>
        </w:rPr>
        <w:t>4）</w:t>
      </w:r>
      <w:r>
        <w:rPr>
          <w:rFonts w:hint="default" w:ascii="Times New Roman" w:hAnsi="Times New Roman" w:eastAsia="宋体" w:cs="Times New Roman"/>
          <w:b w:val="0"/>
          <w:bCs w:val="0"/>
          <w:i w:val="0"/>
          <w:iCs w:val="0"/>
          <w:color w:val="auto"/>
          <w:sz w:val="24"/>
          <w:szCs w:val="24"/>
        </w:rPr>
        <w:t>计算机监控系统定值调阅、修改和定值组切换功能正确；</w:t>
      </w:r>
    </w:p>
    <w:p w14:paraId="4E14F2E8">
      <w:pPr>
        <w:snapToGrid w:val="0"/>
        <w:spacing w:line="300" w:lineRule="auto"/>
        <w:ind w:firstLine="480" w:firstLineChars="200"/>
        <w:jc w:val="left"/>
        <w:rPr>
          <w:rFonts w:hint="default"/>
          <w:b w:val="0"/>
          <w:bCs w:val="0"/>
          <w:sz w:val="24"/>
        </w:rPr>
      </w:pPr>
      <w:r>
        <w:rPr>
          <w:rFonts w:hint="eastAsia" w:cs="Times New Roman"/>
          <w:b w:val="0"/>
          <w:bCs w:val="0"/>
          <w:i w:val="0"/>
          <w:iCs w:val="0"/>
          <w:color w:val="auto"/>
          <w:sz w:val="24"/>
          <w:szCs w:val="24"/>
          <w:lang w:val="en-US" w:eastAsia="zh-CN"/>
        </w:rPr>
        <w:t>5）</w:t>
      </w:r>
      <w:r>
        <w:rPr>
          <w:rFonts w:hint="default" w:ascii="Times New Roman" w:hAnsi="Times New Roman" w:eastAsia="宋体" w:cs="Times New Roman"/>
          <w:b w:val="0"/>
          <w:bCs w:val="0"/>
          <w:i w:val="0"/>
          <w:iCs w:val="0"/>
          <w:color w:val="auto"/>
          <w:sz w:val="24"/>
          <w:szCs w:val="24"/>
        </w:rPr>
        <w:t>光伏发电系统智能设备的运行状态和参数等信息均准确反映到监控画面上。</w:t>
      </w:r>
    </w:p>
    <w:p w14:paraId="646DE18D">
      <w:pPr>
        <w:snapToGrid w:val="0"/>
        <w:spacing w:line="300" w:lineRule="auto"/>
        <w:ind w:firstLine="482" w:firstLineChars="200"/>
        <w:jc w:val="left"/>
        <w:rPr>
          <w:rFonts w:hint="default"/>
          <w:b w:val="0"/>
          <w:bCs w:val="0"/>
          <w:sz w:val="24"/>
        </w:rPr>
      </w:pPr>
      <w:r>
        <w:rPr>
          <w:rFonts w:hint="eastAsia"/>
          <w:b/>
          <w:bCs/>
          <w:sz w:val="24"/>
          <w:lang w:val="en-US" w:eastAsia="zh-CN"/>
        </w:rPr>
        <w:t xml:space="preserve">4 </w:t>
      </w:r>
      <w:r>
        <w:rPr>
          <w:rFonts w:hint="default" w:ascii="Times New Roman" w:hAnsi="Times New Roman" w:eastAsia="宋体" w:cs="Times New Roman"/>
          <w:b w:val="0"/>
          <w:bCs w:val="0"/>
          <w:i w:val="0"/>
          <w:iCs w:val="0"/>
          <w:color w:val="auto"/>
          <w:sz w:val="24"/>
          <w:szCs w:val="24"/>
        </w:rPr>
        <w:t>继电保护系统的调试应符合下列</w:t>
      </w:r>
      <w:r>
        <w:rPr>
          <w:rFonts w:hint="eastAsia" w:cs="Times New Roman"/>
          <w:b w:val="0"/>
          <w:bCs w:val="0"/>
          <w:i w:val="0"/>
          <w:iCs w:val="0"/>
          <w:color w:val="auto"/>
          <w:sz w:val="24"/>
          <w:szCs w:val="24"/>
          <w:lang w:val="en-US" w:eastAsia="zh-CN"/>
        </w:rPr>
        <w:t>要求</w:t>
      </w:r>
      <w:r>
        <w:rPr>
          <w:rFonts w:hint="default" w:ascii="Times New Roman" w:hAnsi="Times New Roman" w:eastAsia="宋体" w:cs="Times New Roman"/>
          <w:b w:val="0"/>
          <w:bCs w:val="0"/>
          <w:i w:val="0"/>
          <w:iCs w:val="0"/>
          <w:color w:val="auto"/>
          <w:sz w:val="24"/>
          <w:szCs w:val="24"/>
        </w:rPr>
        <w:t>：</w:t>
      </w:r>
    </w:p>
    <w:p w14:paraId="2A1FCE64">
      <w:pPr>
        <w:snapToGrid w:val="0"/>
        <w:spacing w:line="300" w:lineRule="auto"/>
        <w:ind w:firstLine="480" w:firstLineChars="200"/>
        <w:jc w:val="both"/>
        <w:rPr>
          <w:b w:val="0"/>
          <w:bCs w:val="0"/>
          <w:sz w:val="24"/>
        </w:rPr>
      </w:pPr>
      <w:r>
        <w:rPr>
          <w:rFonts w:hint="default" w:ascii="Times New Roman" w:hAnsi="Times New Roman" w:eastAsia="宋体" w:cs="Times New Roman"/>
          <w:b w:val="0"/>
          <w:bCs w:val="0"/>
          <w:i w:val="0"/>
          <w:iCs w:val="0"/>
          <w:color w:val="auto"/>
          <w:sz w:val="24"/>
          <w:szCs w:val="24"/>
        </w:rPr>
        <w:t>调试时应符合现行行业标准《继电保护和电网安全自动装置检验规程》</w:t>
      </w:r>
      <w:r>
        <w:rPr>
          <w:rFonts w:hint="default" w:cs="Times New Roman"/>
          <w:b w:val="0"/>
          <w:bCs w:val="0"/>
          <w:i w:val="0"/>
          <w:iCs w:val="0"/>
          <w:sz w:val="24"/>
          <w:szCs w:val="24"/>
          <w:lang w:val="en-US" w:eastAsia="zh-CN"/>
        </w:rPr>
        <w:t>DL/T995</w:t>
      </w:r>
      <w:r>
        <w:rPr>
          <w:rFonts w:hint="default" w:ascii="Times New Roman" w:hAnsi="Times New Roman" w:eastAsia="宋体" w:cs="Times New Roman"/>
          <w:b w:val="0"/>
          <w:bCs w:val="0"/>
          <w:i w:val="0"/>
          <w:iCs w:val="0"/>
          <w:color w:val="auto"/>
          <w:sz w:val="24"/>
          <w:szCs w:val="24"/>
        </w:rPr>
        <w:t>的相关规定；继电保护装置单体调试时，检查开入、开出、采样等元件功能正确</w:t>
      </w:r>
      <w:r>
        <w:rPr>
          <w:rFonts w:ascii="Times New Roman" w:hAnsi="Times New Roman" w:eastAsia="宋体" w:cs="Times New Roman"/>
          <w:b w:val="0"/>
          <w:bCs w:val="0"/>
          <w:i w:val="0"/>
          <w:iCs w:val="0"/>
          <w:color w:val="auto"/>
          <w:sz w:val="24"/>
          <w:szCs w:val="24"/>
        </w:rPr>
        <w:t>且校对定值正确；开关在合闸状态下模拟保护动作，开关跳闸且保护动作准确、可靠，动作时间符合要求；</w:t>
      </w:r>
    </w:p>
    <w:p w14:paraId="2D2FF73B">
      <w:pPr>
        <w:numPr>
          <w:ilvl w:val="-1"/>
          <w:numId w:val="0"/>
        </w:numPr>
        <w:snapToGrid w:val="0"/>
        <w:spacing w:line="300" w:lineRule="auto"/>
        <w:ind w:firstLine="480" w:firstLineChars="200"/>
        <w:jc w:val="left"/>
        <w:rPr>
          <w:b w:val="0"/>
          <w:bCs w:val="0"/>
          <w:sz w:val="24"/>
        </w:rPr>
      </w:pPr>
      <w:r>
        <w:rPr>
          <w:rFonts w:hint="eastAsia" w:cs="Times New Roman"/>
          <w:b w:val="0"/>
          <w:bCs w:val="0"/>
          <w:i w:val="0"/>
          <w:iCs w:val="0"/>
          <w:color w:val="auto"/>
          <w:sz w:val="24"/>
          <w:szCs w:val="24"/>
          <w:lang w:val="en-US" w:eastAsia="zh-CN"/>
        </w:rPr>
        <w:t>1）</w:t>
      </w:r>
      <w:r>
        <w:rPr>
          <w:rFonts w:ascii="Times New Roman" w:hAnsi="Times New Roman" w:eastAsia="宋体" w:cs="Times New Roman"/>
          <w:b w:val="0"/>
          <w:bCs w:val="0"/>
          <w:i w:val="0"/>
          <w:iCs w:val="0"/>
          <w:color w:val="auto"/>
          <w:sz w:val="24"/>
          <w:szCs w:val="24"/>
        </w:rPr>
        <w:t>继电保护整组调试时，检查实际继电保护动作逻辑与预设继电保护逻辑策略一致；</w:t>
      </w:r>
    </w:p>
    <w:p w14:paraId="03FB693F">
      <w:pPr>
        <w:numPr>
          <w:ilvl w:val="-1"/>
          <w:numId w:val="0"/>
        </w:numPr>
        <w:snapToGrid w:val="0"/>
        <w:spacing w:line="300" w:lineRule="auto"/>
        <w:ind w:firstLine="480" w:firstLineChars="200"/>
        <w:jc w:val="left"/>
        <w:rPr>
          <w:rFonts w:ascii="Times New Roman" w:hAnsi="Times New Roman" w:eastAsia="宋体" w:cs="Times New Roman"/>
          <w:b w:val="0"/>
          <w:bCs w:val="0"/>
          <w:i w:val="0"/>
          <w:iCs w:val="0"/>
          <w:sz w:val="24"/>
          <w:szCs w:val="24"/>
        </w:rPr>
      </w:pPr>
      <w:r>
        <w:rPr>
          <w:rFonts w:hint="eastAsia" w:cs="Times New Roman"/>
          <w:b w:val="0"/>
          <w:bCs w:val="0"/>
          <w:i w:val="0"/>
          <w:iCs w:val="0"/>
          <w:color w:val="auto"/>
          <w:sz w:val="24"/>
          <w:szCs w:val="24"/>
          <w:lang w:val="en-US" w:eastAsia="zh-CN"/>
        </w:rPr>
        <w:t>2）</w:t>
      </w:r>
      <w:r>
        <w:rPr>
          <w:rFonts w:ascii="Times New Roman" w:hAnsi="Times New Roman" w:eastAsia="宋体" w:cs="Times New Roman"/>
          <w:b w:val="0"/>
          <w:bCs w:val="0"/>
          <w:i w:val="0"/>
          <w:iCs w:val="0"/>
          <w:color w:val="auto"/>
          <w:sz w:val="24"/>
          <w:szCs w:val="24"/>
        </w:rPr>
        <w:t>站控层继电保护信息管理系统的站内通信、交互等功能实现正确；站控层继电保护信息管理系统与远方主站通信、交互等功能实现正确；</w:t>
      </w:r>
    </w:p>
    <w:p w14:paraId="6EF241CF">
      <w:pPr>
        <w:numPr>
          <w:ilvl w:val="-1"/>
          <w:numId w:val="0"/>
        </w:numPr>
        <w:snapToGrid w:val="0"/>
        <w:spacing w:line="300" w:lineRule="auto"/>
        <w:ind w:firstLine="480" w:firstLineChars="200"/>
        <w:jc w:val="left"/>
        <w:rPr>
          <w:rFonts w:ascii="Times New Roman" w:hAnsi="Times New Roman" w:eastAsia="宋体" w:cs="Times New Roman"/>
          <w:b w:val="0"/>
          <w:bCs w:val="0"/>
          <w:i w:val="0"/>
          <w:iCs w:val="0"/>
          <w:sz w:val="24"/>
          <w:szCs w:val="24"/>
        </w:rPr>
      </w:pPr>
      <w:r>
        <w:rPr>
          <w:rFonts w:hint="eastAsia" w:cs="Times New Roman"/>
          <w:b w:val="0"/>
          <w:bCs w:val="0"/>
          <w:i w:val="0"/>
          <w:iCs w:val="0"/>
          <w:color w:val="auto"/>
          <w:sz w:val="24"/>
          <w:szCs w:val="24"/>
          <w:lang w:val="en-US" w:eastAsia="zh-CN"/>
        </w:rPr>
        <w:t>3）</w:t>
      </w:r>
      <w:r>
        <w:rPr>
          <w:rFonts w:ascii="Times New Roman" w:hAnsi="Times New Roman" w:eastAsia="宋体" w:cs="Times New Roman"/>
          <w:b w:val="0"/>
          <w:bCs w:val="0"/>
          <w:i w:val="0"/>
          <w:iCs w:val="0"/>
          <w:color w:val="auto"/>
          <w:sz w:val="24"/>
          <w:szCs w:val="24"/>
        </w:rPr>
        <w:t>调试记录齐全、准确。</w:t>
      </w:r>
    </w:p>
    <w:p w14:paraId="2CDA5521">
      <w:pPr>
        <w:snapToGrid w:val="0"/>
        <w:spacing w:line="300" w:lineRule="auto"/>
        <w:ind w:firstLine="482" w:firstLineChars="200"/>
        <w:jc w:val="left"/>
        <w:rPr>
          <w:rFonts w:ascii="Times New Roman" w:hAnsi="Times New Roman" w:eastAsia="宋体" w:cs="Times New Roman"/>
          <w:b w:val="0"/>
          <w:bCs w:val="0"/>
          <w:i w:val="0"/>
          <w:iCs w:val="0"/>
          <w:sz w:val="24"/>
          <w:szCs w:val="24"/>
        </w:rPr>
      </w:pPr>
      <w:r>
        <w:rPr>
          <w:rFonts w:hint="eastAsia"/>
          <w:b/>
          <w:bCs/>
          <w:sz w:val="24"/>
          <w:lang w:val="en-US" w:eastAsia="zh-CN"/>
        </w:rPr>
        <w:t>5</w:t>
      </w:r>
      <w:r>
        <w:rPr>
          <w:rFonts w:ascii="Times New Roman" w:hAnsi="Times New Roman" w:eastAsia="宋体" w:cs="Times New Roman"/>
          <w:b/>
          <w:bCs/>
          <w:i w:val="0"/>
          <w:iCs w:val="0"/>
          <w:color w:val="auto"/>
          <w:sz w:val="24"/>
          <w:szCs w:val="24"/>
        </w:rPr>
        <w:t xml:space="preserve"> </w:t>
      </w:r>
      <w:r>
        <w:rPr>
          <w:rFonts w:ascii="Times New Roman" w:hAnsi="Times New Roman" w:eastAsia="宋体" w:cs="Times New Roman"/>
          <w:b w:val="0"/>
          <w:bCs w:val="0"/>
          <w:i w:val="0"/>
          <w:iCs w:val="0"/>
          <w:color w:val="auto"/>
          <w:sz w:val="24"/>
          <w:szCs w:val="24"/>
        </w:rPr>
        <w:t>远动通信系统的调试应符合下列</w:t>
      </w:r>
      <w:r>
        <w:rPr>
          <w:rFonts w:hint="eastAsia" w:cs="Times New Roman"/>
          <w:b w:val="0"/>
          <w:bCs w:val="0"/>
          <w:i w:val="0"/>
          <w:iCs w:val="0"/>
          <w:color w:val="auto"/>
          <w:sz w:val="24"/>
          <w:szCs w:val="24"/>
          <w:lang w:val="en-US" w:eastAsia="zh-CN"/>
        </w:rPr>
        <w:t>要求</w:t>
      </w:r>
      <w:r>
        <w:rPr>
          <w:rFonts w:ascii="Times New Roman" w:hAnsi="Times New Roman" w:eastAsia="宋体" w:cs="Times New Roman"/>
          <w:b w:val="0"/>
          <w:bCs w:val="0"/>
          <w:i w:val="0"/>
          <w:iCs w:val="0"/>
          <w:color w:val="auto"/>
          <w:sz w:val="24"/>
          <w:szCs w:val="24"/>
        </w:rPr>
        <w:t>：</w:t>
      </w:r>
    </w:p>
    <w:p w14:paraId="7CAFA8AE">
      <w:pPr>
        <w:snapToGrid w:val="0"/>
        <w:spacing w:line="300" w:lineRule="auto"/>
        <w:ind w:firstLine="480" w:firstLineChars="200"/>
        <w:jc w:val="left"/>
        <w:rPr>
          <w:rFonts w:ascii="Times New Roman" w:hAnsi="Times New Roman" w:eastAsia="宋体" w:cs="Times New Roman"/>
          <w:b w:val="0"/>
          <w:bCs w:val="0"/>
          <w:i w:val="0"/>
          <w:iCs w:val="0"/>
          <w:sz w:val="24"/>
          <w:szCs w:val="24"/>
        </w:rPr>
      </w:pPr>
      <w:r>
        <w:rPr>
          <w:rFonts w:hint="eastAsia" w:cs="Times New Roman"/>
          <w:b w:val="0"/>
          <w:bCs w:val="0"/>
          <w:i w:val="0"/>
          <w:iCs w:val="0"/>
          <w:sz w:val="24"/>
          <w:szCs w:val="24"/>
          <w:lang w:val="en-US" w:eastAsia="zh-CN"/>
        </w:rPr>
        <w:t>1）</w:t>
      </w:r>
      <w:r>
        <w:rPr>
          <w:rFonts w:ascii="Times New Roman" w:hAnsi="Times New Roman" w:eastAsia="宋体" w:cs="Times New Roman"/>
          <w:b w:val="0"/>
          <w:bCs w:val="0"/>
          <w:i w:val="0"/>
          <w:iCs w:val="0"/>
          <w:color w:val="auto"/>
          <w:sz w:val="24"/>
          <w:szCs w:val="24"/>
        </w:rPr>
        <w:t>远动通信装置电源稳定、可靠；</w:t>
      </w:r>
    </w:p>
    <w:p w14:paraId="27CCAF6E">
      <w:pPr>
        <w:snapToGrid w:val="0"/>
        <w:spacing w:line="300" w:lineRule="auto"/>
        <w:ind w:firstLine="480" w:firstLineChars="200"/>
        <w:jc w:val="left"/>
        <w:rPr>
          <w:b w:val="0"/>
          <w:bCs w:val="0"/>
          <w:sz w:val="24"/>
        </w:rPr>
      </w:pPr>
      <w:r>
        <w:rPr>
          <w:rFonts w:hint="eastAsia" w:cs="Times New Roman"/>
          <w:b w:val="0"/>
          <w:bCs w:val="0"/>
          <w:i w:val="0"/>
          <w:iCs w:val="0"/>
          <w:sz w:val="24"/>
          <w:szCs w:val="24"/>
          <w:lang w:val="en-US" w:eastAsia="zh-CN"/>
        </w:rPr>
        <w:t>2）</w:t>
      </w:r>
      <w:r>
        <w:rPr>
          <w:rFonts w:ascii="Times New Roman" w:hAnsi="Times New Roman" w:eastAsia="宋体" w:cs="Times New Roman"/>
          <w:b w:val="0"/>
          <w:bCs w:val="0"/>
          <w:i w:val="0"/>
          <w:iCs w:val="0"/>
          <w:color w:val="auto"/>
          <w:sz w:val="24"/>
          <w:szCs w:val="24"/>
        </w:rPr>
        <w:t>站内远动装置至调度方远动装置的信号通道调试完毕且稳定、可靠；</w:t>
      </w:r>
    </w:p>
    <w:p w14:paraId="7A135B89">
      <w:pPr>
        <w:snapToGrid w:val="0"/>
        <w:spacing w:line="300" w:lineRule="auto"/>
        <w:ind w:firstLine="480" w:firstLineChars="200"/>
        <w:jc w:val="left"/>
        <w:rPr>
          <w:b w:val="0"/>
          <w:bCs w:val="0"/>
          <w:sz w:val="24"/>
        </w:rPr>
      </w:pPr>
      <w:r>
        <w:rPr>
          <w:rFonts w:hint="eastAsia" w:cs="Times New Roman"/>
          <w:b w:val="0"/>
          <w:bCs w:val="0"/>
          <w:i w:val="0"/>
          <w:iCs w:val="0"/>
          <w:sz w:val="24"/>
          <w:szCs w:val="24"/>
          <w:lang w:val="en-US" w:eastAsia="zh-CN"/>
        </w:rPr>
        <w:t>3）</w:t>
      </w:r>
      <w:r>
        <w:rPr>
          <w:rFonts w:ascii="Times New Roman" w:hAnsi="Times New Roman" w:eastAsia="宋体" w:cs="Times New Roman"/>
          <w:b w:val="0"/>
          <w:bCs w:val="0"/>
          <w:i w:val="0"/>
          <w:iCs w:val="0"/>
          <w:color w:val="auto"/>
          <w:sz w:val="24"/>
          <w:szCs w:val="24"/>
        </w:rPr>
        <w:t>调度方遥信、遥测、遥控、遥调功能准确、可靠且满足当地传输方式的要求。</w:t>
      </w:r>
    </w:p>
    <w:p w14:paraId="6251F23C">
      <w:pPr>
        <w:snapToGrid w:val="0"/>
        <w:spacing w:line="300" w:lineRule="auto"/>
        <w:ind w:firstLine="482" w:firstLineChars="200"/>
        <w:jc w:val="left"/>
        <w:rPr>
          <w:b w:val="0"/>
          <w:bCs w:val="0"/>
          <w:sz w:val="24"/>
        </w:rPr>
      </w:pPr>
      <w:r>
        <w:rPr>
          <w:rFonts w:hint="eastAsia"/>
          <w:b/>
          <w:bCs/>
          <w:sz w:val="24"/>
          <w:lang w:val="en-US" w:eastAsia="zh-CN"/>
        </w:rPr>
        <w:t>6</w:t>
      </w:r>
      <w:r>
        <w:rPr>
          <w:rFonts w:ascii="Times New Roman" w:hAnsi="Times New Roman" w:eastAsia="宋体" w:cs="Times New Roman"/>
          <w:b w:val="0"/>
          <w:bCs w:val="0"/>
          <w:i w:val="0"/>
          <w:iCs w:val="0"/>
          <w:color w:val="auto"/>
          <w:sz w:val="24"/>
          <w:szCs w:val="24"/>
        </w:rPr>
        <w:t>电能量信息管理系统的调试应符合下列</w:t>
      </w:r>
      <w:r>
        <w:rPr>
          <w:rFonts w:hint="eastAsia" w:cs="Times New Roman"/>
          <w:b w:val="0"/>
          <w:bCs w:val="0"/>
          <w:i w:val="0"/>
          <w:iCs w:val="0"/>
          <w:color w:val="auto"/>
          <w:sz w:val="24"/>
          <w:szCs w:val="24"/>
          <w:lang w:val="en-US" w:eastAsia="zh-CN"/>
        </w:rPr>
        <w:t>要求</w:t>
      </w:r>
      <w:r>
        <w:rPr>
          <w:rFonts w:ascii="Times New Roman" w:hAnsi="Times New Roman" w:eastAsia="宋体" w:cs="Times New Roman"/>
          <w:b w:val="0"/>
          <w:bCs w:val="0"/>
          <w:i w:val="0"/>
          <w:iCs w:val="0"/>
          <w:color w:val="auto"/>
          <w:sz w:val="24"/>
          <w:szCs w:val="24"/>
        </w:rPr>
        <w:t>：</w:t>
      </w:r>
    </w:p>
    <w:p w14:paraId="23610F23">
      <w:pPr>
        <w:numPr>
          <w:ilvl w:val="0"/>
          <w:numId w:val="2"/>
        </w:numPr>
        <w:snapToGrid w:val="0"/>
        <w:spacing w:line="300" w:lineRule="auto"/>
        <w:ind w:firstLine="480" w:firstLineChars="200"/>
        <w:jc w:val="left"/>
        <w:rPr>
          <w:rFonts w:ascii="Times New Roman" w:hAnsi="Times New Roman" w:eastAsia="宋体" w:cs="Times New Roman"/>
          <w:b w:val="0"/>
          <w:bCs w:val="0"/>
          <w:i w:val="0"/>
          <w:iCs w:val="0"/>
          <w:sz w:val="24"/>
          <w:szCs w:val="24"/>
        </w:rPr>
      </w:pPr>
      <w:r>
        <w:rPr>
          <w:rFonts w:ascii="Times New Roman" w:hAnsi="Times New Roman" w:eastAsia="宋体" w:cs="Times New Roman"/>
          <w:b w:val="0"/>
          <w:bCs w:val="0"/>
          <w:i w:val="0"/>
          <w:iCs w:val="0"/>
          <w:color w:val="auto"/>
          <w:sz w:val="24"/>
          <w:szCs w:val="24"/>
        </w:rPr>
        <w:t>电能量采集系统的配置满足当地电网部门的规定；</w:t>
      </w:r>
    </w:p>
    <w:p w14:paraId="63FE7F03">
      <w:pPr>
        <w:numPr>
          <w:ilvl w:val="0"/>
          <w:numId w:val="2"/>
        </w:numPr>
        <w:snapToGrid w:val="0"/>
        <w:spacing w:line="300" w:lineRule="auto"/>
        <w:ind w:firstLine="480" w:firstLineChars="200"/>
        <w:jc w:val="left"/>
        <w:rPr>
          <w:b w:val="0"/>
          <w:bCs w:val="0"/>
          <w:sz w:val="24"/>
        </w:rPr>
      </w:pPr>
      <w:r>
        <w:rPr>
          <w:rFonts w:ascii="Times New Roman" w:hAnsi="Times New Roman" w:eastAsia="宋体" w:cs="Times New Roman"/>
          <w:b w:val="0"/>
          <w:bCs w:val="0"/>
          <w:i w:val="0"/>
          <w:iCs w:val="0"/>
          <w:color w:val="auto"/>
          <w:sz w:val="24"/>
          <w:szCs w:val="24"/>
        </w:rPr>
        <w:t xml:space="preserve"> 光伏发电系统关口计量的主、副表，其规格、型号及准确度相同且通过当地电力计量检测部门的校验并出具报告；</w:t>
      </w:r>
    </w:p>
    <w:p w14:paraId="5DC17A11">
      <w:pPr>
        <w:numPr>
          <w:ilvl w:val="0"/>
          <w:numId w:val="2"/>
        </w:numPr>
        <w:snapToGrid w:val="0"/>
        <w:spacing w:line="300" w:lineRule="auto"/>
        <w:ind w:firstLine="480" w:firstLineChars="200"/>
        <w:jc w:val="left"/>
        <w:rPr>
          <w:rFonts w:ascii="Times New Roman" w:hAnsi="Times New Roman" w:eastAsia="宋体" w:cs="Times New Roman"/>
          <w:b w:val="0"/>
          <w:bCs w:val="0"/>
          <w:i w:val="0"/>
          <w:iCs w:val="0"/>
          <w:sz w:val="24"/>
          <w:szCs w:val="24"/>
        </w:rPr>
      </w:pPr>
      <w:r>
        <w:rPr>
          <w:rFonts w:ascii="Times New Roman" w:hAnsi="Times New Roman" w:eastAsia="宋体" w:cs="Times New Roman"/>
          <w:b w:val="0"/>
          <w:bCs w:val="0"/>
          <w:i w:val="0"/>
          <w:iCs w:val="0"/>
          <w:color w:val="auto"/>
          <w:sz w:val="24"/>
          <w:szCs w:val="24"/>
        </w:rPr>
        <w:t>光伏发电系统关口表的</w:t>
      </w:r>
      <w:r>
        <w:rPr>
          <w:rFonts w:hint="default" w:cs="Times New Roman"/>
          <w:b w:val="0"/>
          <w:bCs w:val="0"/>
          <w:i w:val="0"/>
          <w:iCs w:val="0"/>
          <w:sz w:val="24"/>
          <w:szCs w:val="24"/>
          <w:lang w:val="en-US" w:eastAsia="zh-CN"/>
        </w:rPr>
        <w:t>CT</w:t>
      </w:r>
      <w:r>
        <w:rPr>
          <w:rFonts w:ascii="Times New Roman" w:hAnsi="Times New Roman" w:eastAsia="宋体" w:cs="Times New Roman"/>
          <w:b w:val="0"/>
          <w:bCs w:val="0"/>
          <w:i w:val="0"/>
          <w:iCs w:val="0"/>
          <w:color w:val="auto"/>
          <w:sz w:val="24"/>
          <w:szCs w:val="24"/>
        </w:rPr>
        <w:t>、</w:t>
      </w:r>
      <w:r>
        <w:rPr>
          <w:rFonts w:hint="default" w:cs="Times New Roman"/>
          <w:b w:val="0"/>
          <w:bCs w:val="0"/>
          <w:i w:val="0"/>
          <w:iCs w:val="0"/>
          <w:sz w:val="24"/>
          <w:szCs w:val="24"/>
          <w:lang w:val="en-US" w:eastAsia="zh-CN"/>
        </w:rPr>
        <w:t>PT</w:t>
      </w:r>
      <w:r>
        <w:rPr>
          <w:rFonts w:ascii="Times New Roman" w:hAnsi="Times New Roman" w:eastAsia="宋体" w:cs="Times New Roman"/>
          <w:b w:val="0"/>
          <w:bCs w:val="0"/>
          <w:i w:val="0"/>
          <w:iCs w:val="0"/>
          <w:color w:val="auto"/>
          <w:sz w:val="24"/>
          <w:szCs w:val="24"/>
        </w:rPr>
        <w:t>通过当地电力计量检测部门的校验并出具报告；</w:t>
      </w:r>
      <w:r>
        <w:rPr>
          <w:rFonts w:ascii="Times New Roman" w:hAnsi="Times New Roman" w:eastAsia="宋体" w:cs="Times New Roman"/>
          <w:b w:val="0"/>
          <w:bCs w:val="0"/>
          <w:i w:val="0"/>
          <w:iCs w:val="0"/>
          <w:color w:val="auto"/>
          <w:sz w:val="24"/>
          <w:szCs w:val="24"/>
        </w:rPr>
        <w:br w:type="textWrapping"/>
      </w:r>
      <w:r>
        <w:rPr>
          <w:rFonts w:hint="eastAsia" w:cs="Times New Roman"/>
          <w:b w:val="0"/>
          <w:bCs w:val="0"/>
          <w:i w:val="0"/>
          <w:iCs w:val="0"/>
          <w:sz w:val="24"/>
          <w:szCs w:val="24"/>
          <w:lang w:val="en-US" w:eastAsia="zh-CN"/>
        </w:rPr>
        <w:t xml:space="preserve">    </w:t>
      </w:r>
      <w:r>
        <w:rPr>
          <w:rFonts w:hint="eastAsia" w:cs="Times New Roman"/>
          <w:b w:val="0"/>
          <w:bCs w:val="0"/>
          <w:i w:val="0"/>
          <w:iCs w:val="0"/>
          <w:sz w:val="24"/>
          <w:szCs w:val="24"/>
          <w:lang w:eastAsia="zh-CN"/>
        </w:rPr>
        <w:t>4）</w:t>
      </w:r>
      <w:r>
        <w:rPr>
          <w:rFonts w:ascii="Times New Roman" w:hAnsi="Times New Roman" w:eastAsia="宋体" w:cs="Times New Roman"/>
          <w:b w:val="0"/>
          <w:bCs w:val="0"/>
          <w:i w:val="0"/>
          <w:iCs w:val="0"/>
          <w:color w:val="auto"/>
          <w:sz w:val="24"/>
          <w:szCs w:val="24"/>
        </w:rPr>
        <w:t>光伏发电系统投入运行前，电度表由当地电力计量部门施加封条、封印；</w:t>
      </w:r>
    </w:p>
    <w:p w14:paraId="6EDA100F">
      <w:pPr>
        <w:numPr>
          <w:ilvl w:val="-1"/>
          <w:numId w:val="0"/>
        </w:numPr>
        <w:snapToGrid w:val="0"/>
        <w:spacing w:line="300" w:lineRule="auto"/>
        <w:ind w:firstLine="480" w:firstLineChars="200"/>
        <w:jc w:val="left"/>
        <w:rPr>
          <w:b w:val="0"/>
          <w:bCs w:val="0"/>
          <w:sz w:val="24"/>
        </w:rPr>
      </w:pPr>
      <w:r>
        <w:rPr>
          <w:rFonts w:hint="eastAsia" w:cs="Times New Roman"/>
          <w:b w:val="0"/>
          <w:bCs w:val="0"/>
          <w:i w:val="0"/>
          <w:iCs w:val="0"/>
          <w:sz w:val="24"/>
          <w:szCs w:val="24"/>
          <w:lang w:val="en-US" w:eastAsia="zh-CN"/>
        </w:rPr>
        <w:t>5）</w:t>
      </w:r>
      <w:r>
        <w:rPr>
          <w:rFonts w:ascii="Times New Roman" w:hAnsi="Times New Roman" w:eastAsia="宋体" w:cs="Times New Roman"/>
          <w:b w:val="0"/>
          <w:bCs w:val="0"/>
          <w:i w:val="0"/>
          <w:iCs w:val="0"/>
          <w:color w:val="auto"/>
          <w:sz w:val="24"/>
          <w:szCs w:val="24"/>
        </w:rPr>
        <w:t xml:space="preserve"> 光伏发电系统的电量信息能实时、准确反馈到当地电力计量中心。</w:t>
      </w:r>
    </w:p>
    <w:p w14:paraId="32F7A7B6">
      <w:pPr>
        <w:snapToGrid w:val="0"/>
        <w:spacing w:line="300" w:lineRule="auto"/>
        <w:jc w:val="left"/>
        <w:rPr>
          <w:sz w:val="24"/>
        </w:rPr>
      </w:pPr>
      <w:r>
        <w:rPr>
          <w:b/>
          <w:bCs/>
          <w:sz w:val="24"/>
        </w:rPr>
        <w:t>1</w:t>
      </w:r>
      <w:r>
        <w:rPr>
          <w:rFonts w:hint="eastAsia"/>
          <w:b/>
          <w:bCs/>
          <w:sz w:val="24"/>
          <w:lang w:val="en-US" w:eastAsia="zh-CN"/>
        </w:rPr>
        <w:t>0</w:t>
      </w:r>
      <w:r>
        <w:rPr>
          <w:b/>
          <w:bCs/>
          <w:sz w:val="24"/>
        </w:rPr>
        <w:t>.</w:t>
      </w:r>
      <w:r>
        <w:rPr>
          <w:rFonts w:hint="eastAsia"/>
          <w:b/>
          <w:bCs/>
          <w:sz w:val="24"/>
        </w:rPr>
        <w:t>5</w:t>
      </w:r>
      <w:r>
        <w:rPr>
          <w:b/>
          <w:bCs/>
          <w:sz w:val="24"/>
        </w:rPr>
        <w:t>.1</w:t>
      </w:r>
      <w:r>
        <w:rPr>
          <w:rFonts w:hint="eastAsia"/>
          <w:b/>
          <w:bCs/>
          <w:sz w:val="24"/>
          <w:lang w:val="en-US" w:eastAsia="zh-CN"/>
        </w:rPr>
        <w:t>3</w:t>
      </w:r>
      <w:r>
        <w:rPr>
          <w:sz w:val="24"/>
        </w:rPr>
        <w:t xml:space="preserve"> 建筑光伏系统在完成分步调试、具备电网接入条件后应进行系统联合调试，系统联合调试应符合下列</w:t>
      </w:r>
      <w:r>
        <w:rPr>
          <w:rFonts w:hint="eastAsia" w:cs="Times New Roman"/>
          <w:b w:val="0"/>
          <w:bCs w:val="0"/>
          <w:i w:val="0"/>
          <w:iCs w:val="0"/>
          <w:color w:val="auto"/>
          <w:sz w:val="24"/>
          <w:szCs w:val="24"/>
          <w:lang w:val="en-US" w:eastAsia="zh-CN"/>
        </w:rPr>
        <w:t>要求</w:t>
      </w:r>
      <w:r>
        <w:rPr>
          <w:sz w:val="24"/>
        </w:rPr>
        <w:t>：</w:t>
      </w:r>
    </w:p>
    <w:p w14:paraId="060BFEBC">
      <w:pPr>
        <w:snapToGrid w:val="0"/>
        <w:spacing w:line="300" w:lineRule="auto"/>
        <w:ind w:firstLine="482" w:firstLineChars="200"/>
        <w:jc w:val="left"/>
        <w:rPr>
          <w:rFonts w:hint="eastAsia" w:eastAsia="宋体"/>
          <w:sz w:val="24"/>
          <w:lang w:eastAsia="zh-CN"/>
        </w:rPr>
      </w:pPr>
      <w:r>
        <w:rPr>
          <w:b/>
          <w:bCs/>
          <w:sz w:val="24"/>
        </w:rPr>
        <w:t xml:space="preserve">1 </w:t>
      </w:r>
      <w:r>
        <w:rPr>
          <w:sz w:val="24"/>
        </w:rPr>
        <w:t>合上逆变器电网侧交流空开</w:t>
      </w:r>
      <w:r>
        <w:rPr>
          <w:rFonts w:hint="eastAsia"/>
          <w:sz w:val="24"/>
        </w:rPr>
        <w:t>，</w:t>
      </w:r>
      <w:r>
        <w:rPr>
          <w:sz w:val="24"/>
        </w:rPr>
        <w:t>测量电网侧电压和频率应符合逆变器并网要求</w:t>
      </w:r>
      <w:r>
        <w:rPr>
          <w:rFonts w:hint="eastAsia"/>
          <w:sz w:val="24"/>
          <w:lang w:eastAsia="zh-CN"/>
        </w:rPr>
        <w:t>；</w:t>
      </w:r>
    </w:p>
    <w:p w14:paraId="0DB1721C">
      <w:pPr>
        <w:snapToGrid w:val="0"/>
        <w:spacing w:line="300" w:lineRule="auto"/>
        <w:ind w:firstLine="482" w:firstLineChars="200"/>
        <w:jc w:val="left"/>
        <w:rPr>
          <w:sz w:val="24"/>
        </w:rPr>
      </w:pPr>
      <w:r>
        <w:rPr>
          <w:b/>
          <w:bCs/>
          <w:sz w:val="24"/>
        </w:rPr>
        <w:t xml:space="preserve">2 </w:t>
      </w:r>
      <w:r>
        <w:rPr>
          <w:sz w:val="24"/>
        </w:rPr>
        <w:t>在电网电压、频率均符合并网要求的情况下，合上任意一至两路汇流箱输出直流空开</w:t>
      </w:r>
      <w:r>
        <w:rPr>
          <w:rFonts w:hint="eastAsia"/>
          <w:sz w:val="24"/>
        </w:rPr>
        <w:t>，</w:t>
      </w:r>
      <w:r>
        <w:rPr>
          <w:sz w:val="24"/>
        </w:rPr>
        <w:t>合上相应直流配电柜空开及逆变器侧直流空开，直流电压值应符合逆变器输入条件；</w:t>
      </w:r>
    </w:p>
    <w:p w14:paraId="4140A055">
      <w:pPr>
        <w:snapToGrid w:val="0"/>
        <w:spacing w:line="300" w:lineRule="auto"/>
        <w:ind w:firstLine="482" w:firstLineChars="200"/>
        <w:jc w:val="left"/>
        <w:rPr>
          <w:sz w:val="24"/>
        </w:rPr>
      </w:pPr>
      <w:r>
        <w:rPr>
          <w:b/>
          <w:bCs/>
          <w:sz w:val="24"/>
        </w:rPr>
        <w:t xml:space="preserve">3 </w:t>
      </w:r>
      <w:r>
        <w:rPr>
          <w:sz w:val="24"/>
        </w:rPr>
        <w:t>交流、直流均符合并网运行条件且逆变器无异常，启动逆变器并网运行开关，检测直流电流、二相输出交流电流波形符合要求</w:t>
      </w:r>
      <w:r>
        <w:rPr>
          <w:rFonts w:hint="eastAsia"/>
          <w:sz w:val="24"/>
          <w:lang w:eastAsia="zh-CN"/>
        </w:rPr>
        <w:t>，</w:t>
      </w:r>
      <w:r>
        <w:rPr>
          <w:sz w:val="24"/>
        </w:rPr>
        <w:t>逆变器运行应正常；</w:t>
      </w:r>
    </w:p>
    <w:p w14:paraId="6A5A32BB">
      <w:pPr>
        <w:snapToGrid w:val="0"/>
        <w:spacing w:line="300" w:lineRule="auto"/>
        <w:ind w:firstLine="482" w:firstLineChars="200"/>
        <w:jc w:val="left"/>
        <w:rPr>
          <w:sz w:val="24"/>
        </w:rPr>
      </w:pPr>
      <w:r>
        <w:rPr>
          <w:b/>
          <w:bCs/>
          <w:sz w:val="24"/>
        </w:rPr>
        <w:t xml:space="preserve">4 </w:t>
      </w:r>
      <w:r>
        <w:rPr>
          <w:sz w:val="24"/>
        </w:rPr>
        <w:t>在试运行过程中，听到异响或发现逆变器有异常，应停止逆变器运行；</w:t>
      </w:r>
    </w:p>
    <w:p w14:paraId="4C129783">
      <w:pPr>
        <w:snapToGrid w:val="0"/>
        <w:spacing w:line="300" w:lineRule="auto"/>
        <w:ind w:firstLine="482" w:firstLineChars="200"/>
        <w:jc w:val="left"/>
        <w:rPr>
          <w:sz w:val="24"/>
        </w:rPr>
      </w:pPr>
      <w:r>
        <w:rPr>
          <w:b/>
          <w:bCs/>
          <w:sz w:val="24"/>
        </w:rPr>
        <w:t xml:space="preserve">5 </w:t>
      </w:r>
      <w:r>
        <w:rPr>
          <w:sz w:val="24"/>
        </w:rPr>
        <w:t>正常运行后，应检测功率限制、启停机、紧急停机等功能；</w:t>
      </w:r>
    </w:p>
    <w:p w14:paraId="3693DF58">
      <w:pPr>
        <w:snapToGrid w:val="0"/>
        <w:spacing w:line="300" w:lineRule="auto"/>
        <w:ind w:firstLine="482" w:firstLineChars="200"/>
        <w:jc w:val="left"/>
        <w:rPr>
          <w:sz w:val="24"/>
        </w:rPr>
      </w:pPr>
      <w:r>
        <w:rPr>
          <w:b/>
          <w:bCs/>
          <w:sz w:val="24"/>
        </w:rPr>
        <w:t xml:space="preserve">6 </w:t>
      </w:r>
      <w:r>
        <w:rPr>
          <w:sz w:val="24"/>
        </w:rPr>
        <w:t>应逐步增加直流输入功率检测各功率点运行时的电能质量。</w:t>
      </w:r>
    </w:p>
    <w:p w14:paraId="2D5B3348">
      <w:pPr>
        <w:snapToGrid w:val="0"/>
        <w:spacing w:line="300" w:lineRule="auto"/>
        <w:jc w:val="left"/>
        <w:rPr>
          <w:sz w:val="24"/>
        </w:rPr>
      </w:pPr>
      <w:r>
        <w:rPr>
          <w:b/>
          <w:bCs/>
          <w:sz w:val="24"/>
        </w:rPr>
        <w:t>1</w:t>
      </w:r>
      <w:r>
        <w:rPr>
          <w:rFonts w:hint="eastAsia"/>
          <w:b/>
          <w:bCs/>
          <w:sz w:val="24"/>
          <w:lang w:val="en-US" w:eastAsia="zh-CN"/>
        </w:rPr>
        <w:t>0</w:t>
      </w:r>
      <w:r>
        <w:rPr>
          <w:b/>
          <w:bCs/>
          <w:sz w:val="24"/>
        </w:rPr>
        <w:t>.</w:t>
      </w:r>
      <w:r>
        <w:rPr>
          <w:rFonts w:hint="eastAsia"/>
          <w:b/>
          <w:bCs/>
          <w:sz w:val="24"/>
        </w:rPr>
        <w:t>5</w:t>
      </w:r>
      <w:r>
        <w:rPr>
          <w:b/>
          <w:bCs/>
          <w:sz w:val="24"/>
        </w:rPr>
        <w:t>.1</w:t>
      </w:r>
      <w:r>
        <w:rPr>
          <w:rFonts w:hint="eastAsia"/>
          <w:b/>
          <w:bCs/>
          <w:sz w:val="24"/>
          <w:lang w:val="en-US" w:eastAsia="zh-CN"/>
        </w:rPr>
        <w:t>4</w:t>
      </w:r>
      <w:r>
        <w:rPr>
          <w:sz w:val="24"/>
        </w:rPr>
        <w:t xml:space="preserve"> 独立光伏发电系统调试时应首先确认接线正确、无极性反接及松动情况，合上直流侧断路器后检查设备指示应正常，启动逆变器，电源及电</w:t>
      </w:r>
      <w:r>
        <w:rPr>
          <w:rFonts w:hint="eastAsia"/>
          <w:sz w:val="24"/>
          <w:lang w:val="en-US" w:eastAsia="zh-CN"/>
        </w:rPr>
        <w:t>压</w:t>
      </w:r>
      <w:r>
        <w:rPr>
          <w:sz w:val="24"/>
        </w:rPr>
        <w:t>表指示正确后合上交流断路器。</w:t>
      </w:r>
    </w:p>
    <w:p w14:paraId="2D9DAEF2">
      <w:pPr>
        <w:widowControl/>
        <w:spacing w:line="300" w:lineRule="auto"/>
        <w:jc w:val="left"/>
        <w:rPr>
          <w:sz w:val="24"/>
        </w:rPr>
      </w:pPr>
      <w:r>
        <w:rPr>
          <w:sz w:val="24"/>
        </w:rPr>
        <w:br w:type="page"/>
      </w:r>
    </w:p>
    <w:p w14:paraId="30C72DC2">
      <w:pPr>
        <w:pStyle w:val="5"/>
        <w:spacing w:before="95" w:beforeLines="30" w:after="95" w:afterLines="30" w:line="300" w:lineRule="auto"/>
        <w:jc w:val="center"/>
        <w:rPr>
          <w:rFonts w:ascii="Times New Roman" w:hAnsi="Times New Roman" w:eastAsia="黑体" w:cs="Times New Roman"/>
          <w:sz w:val="28"/>
          <w:szCs w:val="28"/>
        </w:rPr>
      </w:pPr>
      <w:bookmarkStart w:id="391" w:name="_Toc24142"/>
      <w:bookmarkStart w:id="392" w:name="_Toc25956"/>
      <w:bookmarkStart w:id="393" w:name="_Toc19955"/>
      <w:bookmarkStart w:id="394" w:name="_Toc26492"/>
      <w:bookmarkStart w:id="395" w:name="_Toc2487"/>
      <w:bookmarkStart w:id="396" w:name="_Toc14079"/>
      <w:bookmarkStart w:id="397" w:name="_Toc3933"/>
      <w:bookmarkStart w:id="398" w:name="_Toc14316"/>
      <w:r>
        <w:rPr>
          <w:rFonts w:ascii="Times New Roman" w:hAnsi="Times New Roman" w:eastAsia="黑体" w:cs="Times New Roman"/>
          <w:sz w:val="28"/>
          <w:szCs w:val="28"/>
        </w:rPr>
        <w:t>1</w:t>
      </w:r>
      <w:r>
        <w:rPr>
          <w:rFonts w:hint="default" w:ascii="Times New Roman" w:hAnsi="Times New Roman" w:eastAsia="黑体" w:cs="Times New Roman"/>
          <w:sz w:val="28"/>
          <w:szCs w:val="28"/>
          <w:lang w:val="en-US" w:eastAsia="zh-CN"/>
        </w:rPr>
        <w:t>1</w:t>
      </w:r>
      <w:r>
        <w:rPr>
          <w:rFonts w:ascii="Times New Roman" w:hAnsi="Times New Roman" w:eastAsia="黑体" w:cs="Times New Roman"/>
          <w:sz w:val="28"/>
          <w:szCs w:val="28"/>
        </w:rPr>
        <w:t xml:space="preserve"> </w:t>
      </w:r>
      <w:r>
        <w:rPr>
          <w:rFonts w:hint="default" w:ascii="Times New Roman" w:hAnsi="Times New Roman" w:eastAsia="黑体" w:cs="Times New Roman"/>
          <w:sz w:val="28"/>
          <w:szCs w:val="28"/>
        </w:rPr>
        <w:t>环境保护与安全防护</w:t>
      </w:r>
      <w:bookmarkEnd w:id="391"/>
      <w:bookmarkEnd w:id="392"/>
      <w:bookmarkEnd w:id="393"/>
      <w:bookmarkEnd w:id="394"/>
      <w:bookmarkEnd w:id="395"/>
      <w:bookmarkEnd w:id="396"/>
      <w:bookmarkEnd w:id="397"/>
      <w:bookmarkEnd w:id="398"/>
    </w:p>
    <w:p w14:paraId="77B113DE">
      <w:pPr>
        <w:keepNext/>
        <w:keepLines/>
        <w:snapToGrid w:val="0"/>
        <w:spacing w:before="95" w:beforeLines="30" w:after="95" w:afterLines="30" w:line="300" w:lineRule="auto"/>
        <w:jc w:val="center"/>
        <w:outlineLvl w:val="2"/>
        <w:rPr>
          <w:b/>
          <w:sz w:val="24"/>
          <w:szCs w:val="32"/>
        </w:rPr>
      </w:pPr>
      <w:bookmarkStart w:id="399" w:name="_Toc7646"/>
      <w:bookmarkStart w:id="400" w:name="_Toc6018"/>
      <w:bookmarkStart w:id="401" w:name="_Toc22388"/>
      <w:bookmarkStart w:id="402" w:name="_Toc5957"/>
      <w:bookmarkStart w:id="403" w:name="_Toc15544"/>
      <w:bookmarkStart w:id="404" w:name="_Toc20571"/>
      <w:bookmarkStart w:id="405" w:name="_Toc17022"/>
      <w:bookmarkStart w:id="406" w:name="_Toc17390"/>
      <w:r>
        <w:rPr>
          <w:b/>
          <w:sz w:val="24"/>
          <w:szCs w:val="32"/>
        </w:rPr>
        <w:t>1</w:t>
      </w:r>
      <w:r>
        <w:rPr>
          <w:rFonts w:hint="default"/>
          <w:b/>
          <w:sz w:val="24"/>
          <w:szCs w:val="32"/>
          <w:lang w:val="en-US" w:eastAsia="zh-CN"/>
        </w:rPr>
        <w:t>1</w:t>
      </w:r>
      <w:r>
        <w:rPr>
          <w:b/>
          <w:sz w:val="24"/>
          <w:szCs w:val="32"/>
        </w:rPr>
        <w:t>.1 一般规定</w:t>
      </w:r>
      <w:bookmarkEnd w:id="399"/>
      <w:bookmarkEnd w:id="400"/>
      <w:bookmarkEnd w:id="401"/>
      <w:bookmarkEnd w:id="402"/>
      <w:bookmarkEnd w:id="403"/>
      <w:bookmarkEnd w:id="404"/>
      <w:bookmarkEnd w:id="405"/>
      <w:bookmarkEnd w:id="406"/>
    </w:p>
    <w:p w14:paraId="5E70FC34">
      <w:pPr>
        <w:snapToGrid w:val="0"/>
        <w:spacing w:line="300" w:lineRule="auto"/>
        <w:jc w:val="left"/>
        <w:rPr>
          <w:sz w:val="24"/>
        </w:rPr>
      </w:pPr>
      <w:r>
        <w:rPr>
          <w:b/>
          <w:bCs/>
          <w:sz w:val="24"/>
        </w:rPr>
        <w:t>1</w:t>
      </w:r>
      <w:r>
        <w:rPr>
          <w:rFonts w:hint="eastAsia"/>
          <w:b/>
          <w:bCs/>
          <w:sz w:val="24"/>
          <w:lang w:val="en-US" w:eastAsia="zh-CN"/>
        </w:rPr>
        <w:t>1</w:t>
      </w:r>
      <w:r>
        <w:rPr>
          <w:b/>
          <w:bCs/>
          <w:sz w:val="24"/>
        </w:rPr>
        <w:t>.1.1</w:t>
      </w:r>
      <w:r>
        <w:rPr>
          <w:rFonts w:hint="eastAsia"/>
          <w:sz w:val="24"/>
        </w:rPr>
        <w:t xml:space="preserve"> 光伏发电系统的环保、劳动安全</w:t>
      </w:r>
      <w:r>
        <w:rPr>
          <w:rFonts w:hint="eastAsia"/>
          <w:sz w:val="24"/>
          <w:lang w:eastAsia="zh-CN"/>
        </w:rPr>
        <w:t>、</w:t>
      </w:r>
      <w:r>
        <w:rPr>
          <w:rFonts w:hint="eastAsia"/>
          <w:sz w:val="24"/>
          <w:lang w:val="en-US" w:eastAsia="zh-CN"/>
        </w:rPr>
        <w:t>职业卫生</w:t>
      </w:r>
      <w:r>
        <w:rPr>
          <w:rFonts w:hint="eastAsia"/>
          <w:sz w:val="24"/>
        </w:rPr>
        <w:t>应符合现行国家标准《建筑光伏系统应用技术标准》T51368、《光伏发电站设计规范》GB 50797《建筑设计防火规范》GB 50016的规定。</w:t>
      </w:r>
    </w:p>
    <w:p w14:paraId="5889AA27">
      <w:pPr>
        <w:snapToGrid w:val="0"/>
        <w:spacing w:line="300" w:lineRule="auto"/>
        <w:jc w:val="left"/>
        <w:rPr>
          <w:sz w:val="24"/>
        </w:rPr>
      </w:pPr>
      <w:r>
        <w:rPr>
          <w:b/>
          <w:bCs/>
          <w:sz w:val="24"/>
        </w:rPr>
        <w:t>1</w:t>
      </w:r>
      <w:r>
        <w:rPr>
          <w:rFonts w:hint="eastAsia"/>
          <w:b/>
          <w:bCs/>
          <w:sz w:val="24"/>
          <w:lang w:val="en-US" w:eastAsia="zh-CN"/>
        </w:rPr>
        <w:t>1</w:t>
      </w:r>
      <w:r>
        <w:rPr>
          <w:b/>
          <w:bCs/>
          <w:sz w:val="24"/>
        </w:rPr>
        <w:t>.1.</w:t>
      </w:r>
      <w:r>
        <w:rPr>
          <w:rFonts w:hint="eastAsia"/>
          <w:b/>
          <w:bCs/>
          <w:sz w:val="24"/>
          <w:lang w:val="en-US" w:eastAsia="zh-CN"/>
        </w:rPr>
        <w:t>2</w:t>
      </w:r>
      <w:r>
        <w:rPr>
          <w:rFonts w:hint="eastAsia"/>
          <w:sz w:val="24"/>
        </w:rPr>
        <w:t xml:space="preserve"> </w:t>
      </w:r>
      <w:r>
        <w:rPr>
          <w:sz w:val="24"/>
        </w:rPr>
        <w:t>施工单位应针对现场可能发生的危害及事故制定针对性的处置预案并应对现场作业人员进行安全培训。</w:t>
      </w:r>
    </w:p>
    <w:p w14:paraId="428D59D0">
      <w:pPr>
        <w:keepNext/>
        <w:keepLines/>
        <w:snapToGrid w:val="0"/>
        <w:spacing w:before="95" w:beforeLines="30" w:after="95" w:afterLines="30" w:line="300" w:lineRule="auto"/>
        <w:jc w:val="center"/>
        <w:outlineLvl w:val="2"/>
        <w:rPr>
          <w:b/>
          <w:sz w:val="24"/>
          <w:szCs w:val="32"/>
        </w:rPr>
      </w:pPr>
      <w:bookmarkStart w:id="407" w:name="_Toc16191"/>
      <w:bookmarkStart w:id="408" w:name="_Toc10391"/>
      <w:bookmarkStart w:id="409" w:name="_Toc15546"/>
      <w:bookmarkStart w:id="410" w:name="_Toc25664"/>
      <w:bookmarkStart w:id="411" w:name="_Toc3091"/>
      <w:bookmarkStart w:id="412" w:name="_Toc27113"/>
      <w:bookmarkStart w:id="413" w:name="_Toc31359"/>
      <w:bookmarkStart w:id="414" w:name="_Toc22499"/>
      <w:r>
        <w:rPr>
          <w:b/>
          <w:sz w:val="24"/>
          <w:szCs w:val="32"/>
        </w:rPr>
        <w:t>1</w:t>
      </w:r>
      <w:r>
        <w:rPr>
          <w:rFonts w:hint="default"/>
          <w:b/>
          <w:sz w:val="24"/>
          <w:szCs w:val="32"/>
          <w:lang w:val="en-US" w:eastAsia="zh-CN"/>
        </w:rPr>
        <w:t>1</w:t>
      </w:r>
      <w:r>
        <w:rPr>
          <w:b/>
          <w:sz w:val="24"/>
          <w:szCs w:val="32"/>
        </w:rPr>
        <w:t>.2环境保护</w:t>
      </w:r>
      <w:r>
        <w:rPr>
          <w:rFonts w:hint="default"/>
          <w:b/>
          <w:sz w:val="24"/>
          <w:szCs w:val="32"/>
        </w:rPr>
        <w:t>、安全</w:t>
      </w:r>
      <w:bookmarkEnd w:id="407"/>
      <w:bookmarkEnd w:id="408"/>
      <w:bookmarkEnd w:id="409"/>
      <w:bookmarkEnd w:id="410"/>
      <w:bookmarkEnd w:id="411"/>
      <w:bookmarkEnd w:id="412"/>
      <w:bookmarkEnd w:id="413"/>
      <w:bookmarkEnd w:id="414"/>
    </w:p>
    <w:p w14:paraId="152B4354">
      <w:pPr>
        <w:snapToGrid w:val="0"/>
        <w:spacing w:line="300" w:lineRule="auto"/>
        <w:jc w:val="left"/>
        <w:rPr>
          <w:sz w:val="24"/>
        </w:rPr>
      </w:pPr>
      <w:r>
        <w:rPr>
          <w:b/>
          <w:bCs/>
          <w:sz w:val="24"/>
        </w:rPr>
        <w:t>1</w:t>
      </w:r>
      <w:r>
        <w:rPr>
          <w:rFonts w:hint="eastAsia"/>
          <w:b/>
          <w:bCs/>
          <w:sz w:val="24"/>
          <w:lang w:val="en-US" w:eastAsia="zh-CN"/>
        </w:rPr>
        <w:t>1</w:t>
      </w:r>
      <w:r>
        <w:rPr>
          <w:b/>
          <w:bCs/>
          <w:sz w:val="24"/>
        </w:rPr>
        <w:t>.2.1</w:t>
      </w:r>
      <w:r>
        <w:rPr>
          <w:rFonts w:hint="eastAsia"/>
          <w:sz w:val="24"/>
        </w:rPr>
        <w:t xml:space="preserve"> </w:t>
      </w:r>
      <w:r>
        <w:rPr>
          <w:sz w:val="24"/>
        </w:rPr>
        <w:t>光伏组件及光伏发电系统的其他构件产生的光辐射应符合现行国家标准《建筑幕墙》GB/T21086有关规定。</w:t>
      </w:r>
    </w:p>
    <w:p w14:paraId="45AF6468">
      <w:pPr>
        <w:snapToGrid w:val="0"/>
        <w:spacing w:line="300" w:lineRule="auto"/>
        <w:jc w:val="left"/>
        <w:rPr>
          <w:sz w:val="24"/>
        </w:rPr>
      </w:pPr>
      <w:r>
        <w:rPr>
          <w:rFonts w:hint="eastAsia"/>
          <w:b/>
          <w:bCs/>
          <w:sz w:val="24"/>
        </w:rPr>
        <w:t>1</w:t>
      </w:r>
      <w:r>
        <w:rPr>
          <w:rFonts w:hint="eastAsia"/>
          <w:b/>
          <w:bCs/>
          <w:sz w:val="24"/>
          <w:lang w:val="en-US" w:eastAsia="zh-CN"/>
        </w:rPr>
        <w:t>1</w:t>
      </w:r>
      <w:r>
        <w:rPr>
          <w:rFonts w:hint="eastAsia"/>
          <w:b/>
          <w:bCs/>
          <w:sz w:val="24"/>
        </w:rPr>
        <w:t>.2.2</w:t>
      </w:r>
      <w:r>
        <w:rPr>
          <w:rFonts w:hint="eastAsia"/>
          <w:sz w:val="24"/>
        </w:rPr>
        <w:t xml:space="preserve"> 光伏发电系统噪声防治应符合现行国家标准《工业企业厂界环境噪声排放标准》GB 12348和《民用建筑隔声设计规范》GB 50118 的有关规定。</w:t>
      </w:r>
    </w:p>
    <w:p w14:paraId="435173C6">
      <w:pPr>
        <w:snapToGrid w:val="0"/>
        <w:spacing w:line="300" w:lineRule="auto"/>
        <w:jc w:val="left"/>
        <w:rPr>
          <w:sz w:val="24"/>
        </w:rPr>
      </w:pPr>
      <w:r>
        <w:rPr>
          <w:rFonts w:hint="eastAsia"/>
          <w:b/>
          <w:bCs/>
          <w:sz w:val="24"/>
        </w:rPr>
        <w:t>1</w:t>
      </w:r>
      <w:r>
        <w:rPr>
          <w:rFonts w:hint="eastAsia"/>
          <w:b/>
          <w:bCs/>
          <w:sz w:val="24"/>
          <w:lang w:val="en-US" w:eastAsia="zh-CN"/>
        </w:rPr>
        <w:t>1</w:t>
      </w:r>
      <w:r>
        <w:rPr>
          <w:rFonts w:hint="eastAsia"/>
          <w:b/>
          <w:bCs/>
          <w:sz w:val="24"/>
        </w:rPr>
        <w:t>.2.3</w:t>
      </w:r>
      <w:r>
        <w:rPr>
          <w:rFonts w:hint="eastAsia"/>
          <w:sz w:val="24"/>
        </w:rPr>
        <w:t xml:space="preserve"> 在居住、商业和轻工业环境中正常工作的逆变器的电磁发射应不超过现行国家标准《电磁兼容通用标准居住、商业和轻工业环境中的发射》GB 17799.3规定的发射限值</w:t>
      </w:r>
      <w:r>
        <w:rPr>
          <w:rFonts w:hint="eastAsia"/>
          <w:sz w:val="24"/>
          <w:lang w:eastAsia="zh-CN"/>
        </w:rPr>
        <w:t>，</w:t>
      </w:r>
      <w:r>
        <w:rPr>
          <w:rFonts w:hint="eastAsia"/>
          <w:sz w:val="24"/>
        </w:rPr>
        <w:t>连接到工业电网和在工业环境中正常工作的逆变器的电磁发射应不超过现行国家标准《电磁兼容 通用标准 工业环境中的发射》GB17799.4规定的发射限值并符</w:t>
      </w:r>
      <w:r>
        <w:rPr>
          <w:rFonts w:hint="eastAsia"/>
          <w:sz w:val="24"/>
          <w:lang w:val="en-US" w:eastAsia="zh-CN"/>
        </w:rPr>
        <w:t>合</w:t>
      </w:r>
      <w:r>
        <w:rPr>
          <w:rFonts w:hint="eastAsia"/>
          <w:sz w:val="24"/>
        </w:rPr>
        <w:t>现行行业标准《民用建筑电气设计标准》GB 51348的相关规定。</w:t>
      </w:r>
    </w:p>
    <w:p w14:paraId="4C1C8F45">
      <w:pPr>
        <w:snapToGrid w:val="0"/>
        <w:spacing w:line="300" w:lineRule="auto"/>
        <w:jc w:val="left"/>
      </w:pPr>
      <w:r>
        <w:rPr>
          <w:rFonts w:hint="eastAsia"/>
          <w:b/>
          <w:bCs/>
          <w:sz w:val="24"/>
        </w:rPr>
        <w:t>1</w:t>
      </w:r>
      <w:r>
        <w:rPr>
          <w:rFonts w:hint="eastAsia"/>
          <w:b/>
          <w:bCs/>
          <w:sz w:val="24"/>
          <w:lang w:val="en-US" w:eastAsia="zh-CN"/>
        </w:rPr>
        <w:t>1</w:t>
      </w:r>
      <w:r>
        <w:rPr>
          <w:rFonts w:hint="eastAsia"/>
          <w:b/>
          <w:bCs/>
          <w:sz w:val="24"/>
        </w:rPr>
        <w:t>.2.4</w:t>
      </w:r>
      <w:r>
        <w:rPr>
          <w:rFonts w:hint="eastAsia"/>
          <w:sz w:val="24"/>
        </w:rPr>
        <w:t xml:space="preserve"> 平台、走道、吊装孔等有坠落风险处，应设置防护栏杆或盖板</w:t>
      </w:r>
      <w:r>
        <w:rPr>
          <w:rFonts w:hint="eastAsia"/>
          <w:sz w:val="24"/>
          <w:lang w:eastAsia="zh-CN"/>
        </w:rPr>
        <w:t>，</w:t>
      </w:r>
      <w:r>
        <w:rPr>
          <w:rFonts w:hint="eastAsia"/>
          <w:sz w:val="24"/>
        </w:rPr>
        <w:t>楼梯、平台均应</w:t>
      </w:r>
      <w:r>
        <w:rPr>
          <w:rFonts w:hint="eastAsia"/>
          <w:sz w:val="24"/>
          <w:lang w:val="en-US" w:eastAsia="zh-CN"/>
        </w:rPr>
        <w:t>采</w:t>
      </w:r>
      <w:r>
        <w:rPr>
          <w:rFonts w:hint="eastAsia"/>
          <w:sz w:val="24"/>
        </w:rPr>
        <w:t>取防滑措施。需登高检查、维修及更换光伏设备处应设操作平台或扶梯。没有安全防护设施的施工部位应预留相应固定设施，采取相应的防坠落措施。</w:t>
      </w:r>
    </w:p>
    <w:p w14:paraId="68139B1E">
      <w:pPr>
        <w:snapToGrid w:val="0"/>
        <w:spacing w:line="300" w:lineRule="auto"/>
        <w:jc w:val="left"/>
        <w:rPr>
          <w:sz w:val="24"/>
        </w:rPr>
      </w:pPr>
      <w:r>
        <w:rPr>
          <w:rFonts w:hint="eastAsia"/>
          <w:b/>
          <w:bCs/>
          <w:sz w:val="24"/>
        </w:rPr>
        <w:t>1</w:t>
      </w:r>
      <w:r>
        <w:rPr>
          <w:rFonts w:hint="eastAsia"/>
          <w:b/>
          <w:bCs/>
          <w:sz w:val="24"/>
          <w:lang w:val="en-US" w:eastAsia="zh-CN"/>
        </w:rPr>
        <w:t>1</w:t>
      </w:r>
      <w:r>
        <w:rPr>
          <w:rFonts w:hint="eastAsia"/>
          <w:b/>
          <w:bCs/>
          <w:sz w:val="24"/>
        </w:rPr>
        <w:t>.2.5</w:t>
      </w:r>
      <w:r>
        <w:rPr>
          <w:rFonts w:hint="eastAsia"/>
          <w:sz w:val="24"/>
        </w:rPr>
        <w:t xml:space="preserve"> 防坠落伤害设计应符</w:t>
      </w:r>
      <w:r>
        <w:rPr>
          <w:rFonts w:hint="eastAsia"/>
          <w:sz w:val="24"/>
          <w:lang w:val="en-US" w:eastAsia="zh-CN"/>
        </w:rPr>
        <w:t>合</w:t>
      </w:r>
      <w:r>
        <w:rPr>
          <w:rFonts w:hint="eastAsia"/>
          <w:sz w:val="24"/>
        </w:rPr>
        <w:t>现行国家标准《生产设备安全卫生设计总则》GB 5083《固定式钢梯及平台安全要求》GB4053/等标准的规定。</w:t>
      </w:r>
    </w:p>
    <w:p w14:paraId="0B5AEF53">
      <w:pPr>
        <w:snapToGrid w:val="0"/>
        <w:spacing w:line="300" w:lineRule="auto"/>
        <w:jc w:val="left"/>
        <w:rPr>
          <w:rFonts w:hint="eastAsia"/>
          <w:sz w:val="24"/>
        </w:rPr>
      </w:pPr>
      <w:r>
        <w:rPr>
          <w:rFonts w:hint="eastAsia"/>
          <w:b/>
          <w:bCs/>
          <w:sz w:val="24"/>
        </w:rPr>
        <w:t>1</w:t>
      </w:r>
      <w:r>
        <w:rPr>
          <w:rFonts w:hint="eastAsia"/>
          <w:b/>
          <w:bCs/>
          <w:sz w:val="24"/>
          <w:lang w:val="en-US" w:eastAsia="zh-CN"/>
        </w:rPr>
        <w:t>1</w:t>
      </w:r>
      <w:r>
        <w:rPr>
          <w:rFonts w:hint="eastAsia"/>
          <w:b/>
          <w:bCs/>
          <w:sz w:val="24"/>
        </w:rPr>
        <w:t>.2.</w:t>
      </w:r>
      <w:r>
        <w:rPr>
          <w:rFonts w:hint="eastAsia"/>
          <w:b/>
          <w:bCs/>
          <w:sz w:val="24"/>
          <w:lang w:val="en-US" w:eastAsia="zh-CN"/>
        </w:rPr>
        <w:t>6</w:t>
      </w:r>
      <w:r>
        <w:rPr>
          <w:rFonts w:hint="eastAsia"/>
          <w:sz w:val="24"/>
        </w:rPr>
        <w:t xml:space="preserve"> 屋面安装光伏阵列区域应有防止锚固设施失效后光伏组件坠落的措施。</w:t>
      </w:r>
    </w:p>
    <w:p w14:paraId="3E3AB174">
      <w:pPr>
        <w:snapToGrid w:val="0"/>
        <w:spacing w:line="300" w:lineRule="auto"/>
        <w:jc w:val="left"/>
        <w:rPr>
          <w:sz w:val="24"/>
        </w:rPr>
      </w:pPr>
      <w:r>
        <w:rPr>
          <w:rFonts w:hint="eastAsia"/>
          <w:b/>
          <w:bCs/>
          <w:sz w:val="24"/>
        </w:rPr>
        <w:t>1</w:t>
      </w:r>
      <w:r>
        <w:rPr>
          <w:rFonts w:hint="eastAsia"/>
          <w:b/>
          <w:bCs/>
          <w:sz w:val="24"/>
          <w:lang w:val="en-US" w:eastAsia="zh-CN"/>
        </w:rPr>
        <w:t>1</w:t>
      </w:r>
      <w:r>
        <w:rPr>
          <w:rFonts w:hint="eastAsia"/>
          <w:b/>
          <w:bCs/>
          <w:sz w:val="24"/>
        </w:rPr>
        <w:t>.2.</w:t>
      </w:r>
      <w:r>
        <w:rPr>
          <w:rFonts w:hint="eastAsia"/>
          <w:b/>
          <w:bCs/>
          <w:sz w:val="24"/>
          <w:lang w:val="en-US" w:eastAsia="zh-CN"/>
        </w:rPr>
        <w:t>7</w:t>
      </w:r>
      <w:r>
        <w:rPr>
          <w:rFonts w:hint="eastAsia"/>
          <w:sz w:val="24"/>
        </w:rPr>
        <w:t xml:space="preserve"> 电气设备的安全性应符合本</w:t>
      </w:r>
      <w:r>
        <w:rPr>
          <w:rFonts w:hint="eastAsia"/>
          <w:sz w:val="24"/>
          <w:lang w:val="en-US" w:eastAsia="zh-CN"/>
        </w:rPr>
        <w:t>标准</w:t>
      </w:r>
      <w:r>
        <w:rPr>
          <w:rFonts w:hint="eastAsia"/>
          <w:sz w:val="24"/>
        </w:rPr>
        <w:t>及现行</w:t>
      </w:r>
      <w:r>
        <w:rPr>
          <w:rFonts w:hint="eastAsia"/>
          <w:sz w:val="24"/>
          <w:lang w:val="en-US" w:eastAsia="zh-CN"/>
        </w:rPr>
        <w:t>国</w:t>
      </w:r>
      <w:r>
        <w:rPr>
          <w:rFonts w:hint="eastAsia"/>
          <w:sz w:val="24"/>
        </w:rPr>
        <w:t>家标准《国家电气设备安全技术规范》GB 19517的规定。电气设备的布置应满足带电设备的安全防护距离要求</w:t>
      </w:r>
      <w:r>
        <w:rPr>
          <w:rFonts w:hint="eastAsia"/>
          <w:sz w:val="24"/>
          <w:lang w:eastAsia="zh-CN"/>
        </w:rPr>
        <w:t>，</w:t>
      </w:r>
      <w:r>
        <w:rPr>
          <w:rFonts w:hint="eastAsia"/>
          <w:sz w:val="24"/>
        </w:rPr>
        <w:t>应有必要的隔离防护</w:t>
      </w:r>
      <w:r>
        <w:rPr>
          <w:rFonts w:hint="eastAsia"/>
          <w:sz w:val="24"/>
          <w:lang w:val="en-US" w:eastAsia="zh-CN"/>
        </w:rPr>
        <w:t>措施</w:t>
      </w:r>
      <w:r>
        <w:rPr>
          <w:rFonts w:hint="eastAsia"/>
          <w:sz w:val="24"/>
        </w:rPr>
        <w:t>。</w:t>
      </w:r>
    </w:p>
    <w:p w14:paraId="6A43A9D1">
      <w:pPr>
        <w:snapToGrid w:val="0"/>
        <w:spacing w:line="300" w:lineRule="auto"/>
        <w:jc w:val="left"/>
        <w:rPr>
          <w:sz w:val="24"/>
        </w:rPr>
      </w:pPr>
      <w:r>
        <w:rPr>
          <w:rFonts w:hint="eastAsia"/>
          <w:b/>
          <w:bCs/>
          <w:sz w:val="24"/>
        </w:rPr>
        <w:t>1</w:t>
      </w:r>
      <w:r>
        <w:rPr>
          <w:rFonts w:hint="eastAsia"/>
          <w:b/>
          <w:bCs/>
          <w:sz w:val="24"/>
          <w:lang w:val="en-US" w:eastAsia="zh-CN"/>
        </w:rPr>
        <w:t>1</w:t>
      </w:r>
      <w:r>
        <w:rPr>
          <w:rFonts w:hint="eastAsia"/>
          <w:b/>
          <w:bCs/>
          <w:sz w:val="24"/>
        </w:rPr>
        <w:t>.2.</w:t>
      </w:r>
      <w:r>
        <w:rPr>
          <w:rFonts w:hint="eastAsia"/>
          <w:b/>
          <w:bCs/>
          <w:sz w:val="24"/>
          <w:lang w:val="en-US" w:eastAsia="zh-CN"/>
        </w:rPr>
        <w:t>8</w:t>
      </w:r>
      <w:r>
        <w:rPr>
          <w:rFonts w:hint="eastAsia"/>
          <w:sz w:val="24"/>
        </w:rPr>
        <w:t xml:space="preserve"> 防电气伤害设计应符合现行国家标准《低压电气装置第4-41部分：安全防护 电击防护》GB 16895.21的有关规定。</w:t>
      </w:r>
    </w:p>
    <w:p w14:paraId="2B95F56F">
      <w:pPr>
        <w:snapToGrid w:val="0"/>
        <w:spacing w:line="300" w:lineRule="auto"/>
        <w:jc w:val="left"/>
        <w:rPr>
          <w:sz w:val="24"/>
        </w:rPr>
      </w:pPr>
      <w:r>
        <w:rPr>
          <w:rFonts w:hint="eastAsia"/>
          <w:b/>
          <w:bCs/>
          <w:sz w:val="24"/>
        </w:rPr>
        <w:t>1</w:t>
      </w:r>
      <w:r>
        <w:rPr>
          <w:rFonts w:hint="eastAsia"/>
          <w:b/>
          <w:bCs/>
          <w:sz w:val="24"/>
          <w:lang w:val="en-US" w:eastAsia="zh-CN"/>
        </w:rPr>
        <w:t>1</w:t>
      </w:r>
      <w:r>
        <w:rPr>
          <w:rFonts w:hint="eastAsia"/>
          <w:b/>
          <w:bCs/>
          <w:sz w:val="24"/>
        </w:rPr>
        <w:t>.2.</w:t>
      </w:r>
      <w:r>
        <w:rPr>
          <w:rFonts w:hint="eastAsia"/>
          <w:b/>
          <w:bCs/>
          <w:sz w:val="24"/>
          <w:lang w:val="en-US" w:eastAsia="zh-CN"/>
        </w:rPr>
        <w:t>9</w:t>
      </w:r>
      <w:r>
        <w:rPr>
          <w:rFonts w:hint="eastAsia"/>
          <w:sz w:val="24"/>
        </w:rPr>
        <w:t xml:space="preserve"> 防暑、防寒、防潮、防噪声设计应符合现行国家标准《民用建筑供暖通风与空气调节设计规范》GB 50736和《工业建筑供暖通风与空气调节设计规范》GB 5009等标准的规定。</w:t>
      </w:r>
    </w:p>
    <w:p w14:paraId="5B535376">
      <w:pPr>
        <w:widowControl/>
        <w:spacing w:line="300" w:lineRule="auto"/>
        <w:jc w:val="left"/>
        <w:rPr>
          <w:sz w:val="24"/>
        </w:rPr>
      </w:pPr>
      <w:r>
        <w:rPr>
          <w:sz w:val="24"/>
        </w:rPr>
        <w:br w:type="page"/>
      </w:r>
    </w:p>
    <w:p w14:paraId="24019AFF">
      <w:pPr>
        <w:pStyle w:val="5"/>
        <w:spacing w:before="95" w:beforeLines="30" w:after="95" w:afterLines="30" w:line="300" w:lineRule="auto"/>
        <w:jc w:val="center"/>
        <w:rPr>
          <w:rFonts w:ascii="Times New Roman" w:hAnsi="Times New Roman" w:eastAsia="黑体" w:cs="Times New Roman"/>
          <w:sz w:val="28"/>
          <w:szCs w:val="28"/>
        </w:rPr>
      </w:pPr>
      <w:bookmarkStart w:id="415" w:name="_Toc1667"/>
      <w:bookmarkStart w:id="416" w:name="_Toc24597"/>
      <w:bookmarkStart w:id="417" w:name="_Toc18914"/>
      <w:bookmarkStart w:id="418" w:name="_Toc4490"/>
      <w:bookmarkStart w:id="419" w:name="_Toc1438"/>
      <w:bookmarkStart w:id="420" w:name="_Toc17846"/>
      <w:bookmarkStart w:id="421" w:name="_Toc15796"/>
      <w:bookmarkStart w:id="422" w:name="_Toc4467"/>
      <w:r>
        <w:rPr>
          <w:rFonts w:ascii="Times New Roman" w:hAnsi="Times New Roman" w:eastAsia="黑体" w:cs="Times New Roman"/>
          <w:sz w:val="28"/>
          <w:szCs w:val="28"/>
        </w:rPr>
        <w:t>1</w:t>
      </w:r>
      <w:r>
        <w:rPr>
          <w:rFonts w:hint="default" w:ascii="Times New Roman" w:hAnsi="Times New Roman" w:eastAsia="黑体" w:cs="Times New Roman"/>
          <w:sz w:val="28"/>
          <w:szCs w:val="28"/>
          <w:lang w:val="en-US" w:eastAsia="zh-CN"/>
        </w:rPr>
        <w:t>2</w:t>
      </w:r>
      <w:r>
        <w:rPr>
          <w:rFonts w:ascii="Times New Roman" w:hAnsi="Times New Roman" w:eastAsia="黑体" w:cs="Times New Roman"/>
          <w:sz w:val="28"/>
          <w:szCs w:val="28"/>
        </w:rPr>
        <w:t xml:space="preserve"> 消防</w:t>
      </w:r>
      <w:bookmarkEnd w:id="415"/>
      <w:bookmarkEnd w:id="416"/>
      <w:bookmarkEnd w:id="417"/>
      <w:bookmarkEnd w:id="418"/>
      <w:bookmarkEnd w:id="419"/>
      <w:bookmarkEnd w:id="420"/>
      <w:bookmarkEnd w:id="421"/>
      <w:bookmarkEnd w:id="422"/>
    </w:p>
    <w:p w14:paraId="29DA9CFF">
      <w:pPr>
        <w:keepNext/>
        <w:keepLines/>
        <w:snapToGrid w:val="0"/>
        <w:spacing w:before="95" w:beforeLines="30" w:after="95" w:afterLines="30" w:line="300" w:lineRule="auto"/>
        <w:jc w:val="center"/>
        <w:outlineLvl w:val="2"/>
        <w:rPr>
          <w:b/>
          <w:sz w:val="24"/>
          <w:szCs w:val="32"/>
        </w:rPr>
      </w:pPr>
      <w:bookmarkStart w:id="423" w:name="_Toc1250"/>
      <w:bookmarkStart w:id="424" w:name="_Toc26778"/>
      <w:bookmarkStart w:id="425" w:name="_Toc10043"/>
      <w:bookmarkStart w:id="426" w:name="_Toc1381"/>
      <w:bookmarkStart w:id="427" w:name="_Toc29582"/>
      <w:bookmarkStart w:id="428" w:name="_Toc7005"/>
      <w:bookmarkStart w:id="429" w:name="_Toc27300"/>
      <w:bookmarkStart w:id="430" w:name="_Toc29077"/>
      <w:r>
        <w:rPr>
          <w:b/>
          <w:sz w:val="24"/>
          <w:szCs w:val="32"/>
        </w:rPr>
        <w:t>1</w:t>
      </w:r>
      <w:r>
        <w:rPr>
          <w:rFonts w:hint="default"/>
          <w:b/>
          <w:sz w:val="24"/>
          <w:szCs w:val="32"/>
          <w:lang w:val="en-US" w:eastAsia="zh-CN"/>
        </w:rPr>
        <w:t>2</w:t>
      </w:r>
      <w:r>
        <w:rPr>
          <w:b/>
          <w:sz w:val="24"/>
          <w:szCs w:val="32"/>
        </w:rPr>
        <w:t>.1一般规定</w:t>
      </w:r>
      <w:bookmarkEnd w:id="423"/>
      <w:bookmarkEnd w:id="424"/>
      <w:bookmarkEnd w:id="425"/>
      <w:bookmarkEnd w:id="426"/>
      <w:bookmarkEnd w:id="427"/>
      <w:bookmarkEnd w:id="428"/>
      <w:bookmarkEnd w:id="429"/>
      <w:bookmarkEnd w:id="430"/>
    </w:p>
    <w:p w14:paraId="083D80CB">
      <w:pPr>
        <w:snapToGrid w:val="0"/>
        <w:spacing w:line="300" w:lineRule="auto"/>
        <w:jc w:val="left"/>
        <w:rPr>
          <w:sz w:val="24"/>
        </w:rPr>
      </w:pPr>
      <w:r>
        <w:rPr>
          <w:b/>
          <w:bCs/>
          <w:sz w:val="24"/>
        </w:rPr>
        <w:t>1</w:t>
      </w:r>
      <w:r>
        <w:rPr>
          <w:rFonts w:hint="eastAsia"/>
          <w:b/>
          <w:bCs/>
          <w:sz w:val="24"/>
          <w:lang w:val="en-US" w:eastAsia="zh-CN"/>
        </w:rPr>
        <w:t>2</w:t>
      </w:r>
      <w:r>
        <w:rPr>
          <w:b/>
          <w:bCs/>
          <w:sz w:val="24"/>
        </w:rPr>
        <w:t>.1.1</w:t>
      </w:r>
      <w:r>
        <w:rPr>
          <w:sz w:val="24"/>
        </w:rPr>
        <w:t xml:space="preserve"> 建筑光伏系统防火和灭火系统设计应符合现行国家标准《建筑设计防火规范》GB50016、《建筑内部装修设计防火规范》GB50222和《气体灭火系统设计规范》GB50370的有关规定。</w:t>
      </w:r>
    </w:p>
    <w:p w14:paraId="7B90BFCF">
      <w:pPr>
        <w:snapToGrid w:val="0"/>
        <w:spacing w:line="300" w:lineRule="auto"/>
        <w:jc w:val="left"/>
        <w:rPr>
          <w:sz w:val="24"/>
        </w:rPr>
      </w:pPr>
      <w:r>
        <w:rPr>
          <w:b/>
          <w:bCs/>
          <w:sz w:val="24"/>
        </w:rPr>
        <w:t>1</w:t>
      </w:r>
      <w:r>
        <w:rPr>
          <w:rFonts w:hint="eastAsia"/>
          <w:b/>
          <w:bCs/>
          <w:sz w:val="24"/>
          <w:lang w:val="en-US" w:eastAsia="zh-CN"/>
        </w:rPr>
        <w:t>2</w:t>
      </w:r>
      <w:r>
        <w:rPr>
          <w:b/>
          <w:bCs/>
          <w:sz w:val="24"/>
        </w:rPr>
        <w:t>.1.2</w:t>
      </w:r>
      <w:r>
        <w:rPr>
          <w:rFonts w:hint="eastAsia"/>
          <w:sz w:val="24"/>
        </w:rPr>
        <w:t xml:space="preserve"> </w:t>
      </w:r>
      <w:r>
        <w:rPr>
          <w:sz w:val="24"/>
        </w:rPr>
        <w:t>建筑光伏系统安装应避开爆炸危险场所。</w:t>
      </w:r>
    </w:p>
    <w:p w14:paraId="14023E0E">
      <w:pPr>
        <w:snapToGrid w:val="0"/>
        <w:spacing w:line="300" w:lineRule="auto"/>
        <w:jc w:val="left"/>
        <w:rPr>
          <w:sz w:val="24"/>
        </w:rPr>
      </w:pPr>
      <w:r>
        <w:rPr>
          <w:b/>
          <w:bCs/>
          <w:sz w:val="24"/>
        </w:rPr>
        <w:t>1</w:t>
      </w:r>
      <w:r>
        <w:rPr>
          <w:rFonts w:hint="eastAsia"/>
          <w:b/>
          <w:bCs/>
          <w:sz w:val="24"/>
          <w:lang w:val="en-US" w:eastAsia="zh-CN"/>
        </w:rPr>
        <w:t>2</w:t>
      </w:r>
      <w:r>
        <w:rPr>
          <w:b/>
          <w:bCs/>
          <w:sz w:val="24"/>
        </w:rPr>
        <w:t>.1.3</w:t>
      </w:r>
      <w:r>
        <w:rPr>
          <w:rFonts w:hint="eastAsia"/>
          <w:sz w:val="24"/>
        </w:rPr>
        <w:t xml:space="preserve"> </w:t>
      </w:r>
      <w:r>
        <w:rPr>
          <w:sz w:val="24"/>
        </w:rPr>
        <w:t>建筑光伏系统不</w:t>
      </w:r>
      <w:r>
        <w:rPr>
          <w:rFonts w:hint="eastAsia"/>
          <w:sz w:val="24"/>
          <w:lang w:val="en-US" w:eastAsia="zh-CN"/>
        </w:rPr>
        <w:t>应</w:t>
      </w:r>
      <w:r>
        <w:rPr>
          <w:sz w:val="24"/>
        </w:rPr>
        <w:t>影响建筑之间的防火间距及消防疏散。</w:t>
      </w:r>
    </w:p>
    <w:p w14:paraId="1F376160">
      <w:pPr>
        <w:keepNext/>
        <w:keepLines/>
        <w:snapToGrid w:val="0"/>
        <w:spacing w:before="95" w:beforeLines="30" w:after="95" w:afterLines="30" w:line="300" w:lineRule="auto"/>
        <w:jc w:val="center"/>
        <w:outlineLvl w:val="2"/>
        <w:rPr>
          <w:b/>
          <w:sz w:val="24"/>
          <w:szCs w:val="32"/>
        </w:rPr>
      </w:pPr>
      <w:bookmarkStart w:id="431" w:name="_Toc4993"/>
      <w:bookmarkStart w:id="432" w:name="_Toc1880"/>
      <w:bookmarkStart w:id="433" w:name="_Toc17399"/>
      <w:bookmarkStart w:id="434" w:name="_Toc22055"/>
      <w:bookmarkStart w:id="435" w:name="_Toc633"/>
      <w:bookmarkStart w:id="436" w:name="_Toc21045"/>
      <w:bookmarkStart w:id="437" w:name="_Toc9598"/>
      <w:bookmarkStart w:id="438" w:name="_Toc697"/>
      <w:r>
        <w:rPr>
          <w:b/>
          <w:sz w:val="24"/>
          <w:szCs w:val="32"/>
        </w:rPr>
        <w:t>1</w:t>
      </w:r>
      <w:r>
        <w:rPr>
          <w:rFonts w:hint="default"/>
          <w:b/>
          <w:sz w:val="24"/>
          <w:szCs w:val="32"/>
          <w:lang w:val="en-US" w:eastAsia="zh-CN"/>
        </w:rPr>
        <w:t>2</w:t>
      </w:r>
      <w:r>
        <w:rPr>
          <w:b/>
          <w:sz w:val="24"/>
          <w:szCs w:val="32"/>
        </w:rPr>
        <w:t>.2防火</w:t>
      </w:r>
      <w:bookmarkEnd w:id="431"/>
      <w:bookmarkEnd w:id="432"/>
      <w:bookmarkEnd w:id="433"/>
      <w:bookmarkEnd w:id="434"/>
      <w:bookmarkEnd w:id="435"/>
      <w:bookmarkEnd w:id="436"/>
      <w:bookmarkEnd w:id="437"/>
      <w:bookmarkEnd w:id="438"/>
    </w:p>
    <w:p w14:paraId="4A658CF3">
      <w:pPr>
        <w:spacing w:before="199" w:line="259" w:lineRule="auto"/>
        <w:ind w:left="31" w:right="39" w:firstLine="3"/>
        <w:rPr>
          <w:rFonts w:ascii="宋体" w:hAnsi="宋体" w:eastAsia="宋体" w:cs="宋体"/>
          <w:sz w:val="24"/>
          <w:szCs w:val="24"/>
        </w:rPr>
      </w:pPr>
      <w:r>
        <w:rPr>
          <w:b/>
          <w:bCs/>
          <w:sz w:val="24"/>
        </w:rPr>
        <w:t>1</w:t>
      </w:r>
      <w:r>
        <w:rPr>
          <w:rFonts w:hint="eastAsia"/>
          <w:b/>
          <w:bCs/>
          <w:sz w:val="24"/>
          <w:lang w:val="en-US" w:eastAsia="zh-CN"/>
        </w:rPr>
        <w:t>2</w:t>
      </w:r>
      <w:r>
        <w:rPr>
          <w:b/>
          <w:bCs/>
          <w:sz w:val="24"/>
        </w:rPr>
        <w:t>.2.1</w:t>
      </w:r>
      <w:r>
        <w:rPr>
          <w:rFonts w:hint="eastAsia"/>
          <w:b/>
          <w:bCs/>
          <w:sz w:val="24"/>
        </w:rPr>
        <w:t xml:space="preserve"> </w:t>
      </w:r>
      <w:r>
        <w:rPr>
          <w:sz w:val="24"/>
        </w:rPr>
        <w:t>光伏构件的燃烧性能和耐火极限应根据</w:t>
      </w:r>
      <w:r>
        <w:rPr>
          <w:rFonts w:hint="default" w:ascii="Times New Roman" w:hAnsi="Times New Roman" w:eastAsia="宋体" w:cs="Times New Roman"/>
          <w:spacing w:val="0"/>
          <w:sz w:val="24"/>
          <w:szCs w:val="24"/>
          <w:lang w:val="en-US" w:eastAsia="zh-CN"/>
        </w:rPr>
        <w:t>IEC 61730测定。</w:t>
      </w:r>
      <w:r>
        <w:rPr>
          <w:sz w:val="24"/>
        </w:rPr>
        <w:t>建材型光伏构件应采用</w:t>
      </w:r>
      <w:r>
        <w:rPr>
          <w:rFonts w:hint="default" w:ascii="Times New Roman" w:hAnsi="Times New Roman" w:eastAsia="宋体" w:cs="Times New Roman"/>
          <w:spacing w:val="0"/>
          <w:sz w:val="24"/>
          <w:szCs w:val="24"/>
          <w:lang w:val="en-US" w:eastAsia="zh-CN"/>
        </w:rPr>
        <w:t>火焰蔓延A级和燃烧性能A级材料</w:t>
      </w:r>
      <w:r>
        <w:rPr>
          <w:rFonts w:hint="default" w:ascii="Times New Roman" w:hAnsi="Times New Roman" w:eastAsia="宋体" w:cs="Times New Roman"/>
          <w:spacing w:val="0"/>
          <w:sz w:val="24"/>
          <w:szCs w:val="24"/>
          <w:lang w:eastAsia="zh-CN"/>
        </w:rPr>
        <w:t>，</w:t>
      </w:r>
      <w:r>
        <w:rPr>
          <w:sz w:val="24"/>
        </w:rPr>
        <w:t>光伏遮阳构件可采用</w:t>
      </w:r>
      <w:r>
        <w:rPr>
          <w:rFonts w:hint="default" w:ascii="Times New Roman" w:hAnsi="Times New Roman" w:eastAsia="宋体" w:cs="Times New Roman"/>
          <w:spacing w:val="0"/>
          <w:sz w:val="24"/>
          <w:szCs w:val="24"/>
          <w:lang w:val="en-US" w:eastAsia="zh-CN"/>
        </w:rPr>
        <w:t>火焰蔓延A级和燃烧性能C级及以上材料</w:t>
      </w:r>
      <w:r>
        <w:rPr>
          <w:rFonts w:ascii="Times New Roman" w:hAnsi="Times New Roman" w:eastAsia="宋体" w:cs="Times New Roman"/>
          <w:spacing w:val="0"/>
          <w:sz w:val="24"/>
          <w:szCs w:val="24"/>
        </w:rPr>
        <w:t>。</w:t>
      </w:r>
    </w:p>
    <w:p w14:paraId="2102C93F">
      <w:pPr>
        <w:snapToGrid w:val="0"/>
        <w:spacing w:line="300" w:lineRule="auto"/>
        <w:jc w:val="left"/>
        <w:rPr>
          <w:sz w:val="24"/>
          <w:highlight w:val="none"/>
        </w:rPr>
      </w:pPr>
      <w:r>
        <w:rPr>
          <w:b/>
          <w:bCs/>
          <w:sz w:val="24"/>
          <w:highlight w:val="none"/>
        </w:rPr>
        <w:t>1</w:t>
      </w:r>
      <w:r>
        <w:rPr>
          <w:rFonts w:hint="eastAsia"/>
          <w:b/>
          <w:bCs/>
          <w:sz w:val="24"/>
          <w:highlight w:val="none"/>
          <w:lang w:val="en-US" w:eastAsia="zh-CN"/>
        </w:rPr>
        <w:t>2</w:t>
      </w:r>
      <w:r>
        <w:rPr>
          <w:b/>
          <w:bCs/>
          <w:sz w:val="24"/>
          <w:highlight w:val="none"/>
        </w:rPr>
        <w:t>.2.2</w:t>
      </w:r>
      <w:r>
        <w:rPr>
          <w:rFonts w:hint="eastAsia"/>
          <w:sz w:val="24"/>
          <w:highlight w:val="none"/>
        </w:rPr>
        <w:t xml:space="preserve"> </w:t>
      </w:r>
      <w:r>
        <w:rPr>
          <w:sz w:val="24"/>
          <w:highlight w:val="none"/>
        </w:rPr>
        <w:t>控制室、配电室、逆变器室等设备用房应采用耐火极限不低于2.0h的隔墙和耐火极限不低于1.5h的楼板与其他部位隔开，</w:t>
      </w:r>
      <w:r>
        <w:rPr>
          <w:rFonts w:hint="eastAsia"/>
          <w:sz w:val="24"/>
          <w:highlight w:val="none"/>
        </w:rPr>
        <w:t>变配电室开向建筑内的门应采用甲级防火门</w:t>
      </w:r>
      <w:r>
        <w:rPr>
          <w:rFonts w:hint="eastAsia"/>
          <w:sz w:val="24"/>
          <w:highlight w:val="none"/>
          <w:lang w:eastAsia="zh-CN"/>
        </w:rPr>
        <w:t>，</w:t>
      </w:r>
      <w:r>
        <w:rPr>
          <w:sz w:val="24"/>
          <w:highlight w:val="none"/>
        </w:rPr>
        <w:t>其内部所有装修均应采用A级装修材料。</w:t>
      </w:r>
    </w:p>
    <w:p w14:paraId="39C4ABF5">
      <w:pPr>
        <w:snapToGrid w:val="0"/>
        <w:spacing w:line="300" w:lineRule="auto"/>
        <w:jc w:val="left"/>
        <w:rPr>
          <w:rFonts w:hint="default" w:eastAsia="宋体"/>
          <w:sz w:val="24"/>
          <w:lang w:val="en-US" w:eastAsia="zh-CN"/>
        </w:rPr>
      </w:pPr>
      <w:r>
        <w:rPr>
          <w:b/>
          <w:bCs/>
          <w:sz w:val="24"/>
        </w:rPr>
        <w:t>1</w:t>
      </w:r>
      <w:r>
        <w:rPr>
          <w:rFonts w:hint="eastAsia"/>
          <w:b/>
          <w:bCs/>
          <w:sz w:val="24"/>
          <w:lang w:val="en-US" w:eastAsia="zh-CN"/>
        </w:rPr>
        <w:t>2</w:t>
      </w:r>
      <w:r>
        <w:rPr>
          <w:b/>
          <w:bCs/>
          <w:sz w:val="24"/>
        </w:rPr>
        <w:t>.2.3</w:t>
      </w:r>
      <w:r>
        <w:rPr>
          <w:rFonts w:hint="eastAsia"/>
          <w:sz w:val="24"/>
        </w:rPr>
        <w:t xml:space="preserve"> </w:t>
      </w:r>
      <w:r>
        <w:rPr>
          <w:sz w:val="24"/>
        </w:rPr>
        <w:t>光伏幕墙的防火构造应符合现行行业标准《玻璃幕墙工程技术规范》JGJ102的有关规定。无窗间墙和窗槛墙的幕墙应符合现行</w:t>
      </w:r>
      <w:r>
        <w:rPr>
          <w:rFonts w:hint="eastAsia"/>
          <w:sz w:val="24"/>
          <w:lang w:val="en-US" w:eastAsia="zh-CN"/>
        </w:rPr>
        <w:t>国家标准</w:t>
      </w:r>
      <w:r>
        <w:rPr>
          <w:rFonts w:hint="eastAsia"/>
          <w:sz w:val="24"/>
        </w:rPr>
        <w:t>《建筑设计防火规范》GB 50016</w:t>
      </w:r>
      <w:r>
        <w:rPr>
          <w:rFonts w:hint="eastAsia"/>
          <w:sz w:val="24"/>
          <w:lang w:val="en-US" w:eastAsia="zh-CN"/>
        </w:rPr>
        <w:t>的有关规定。</w:t>
      </w:r>
    </w:p>
    <w:p w14:paraId="56468BC4">
      <w:pPr>
        <w:snapToGrid w:val="0"/>
        <w:spacing w:line="300" w:lineRule="auto"/>
        <w:jc w:val="left"/>
        <w:rPr>
          <w:sz w:val="24"/>
        </w:rPr>
      </w:pPr>
      <w:r>
        <w:rPr>
          <w:b/>
          <w:bCs/>
          <w:sz w:val="24"/>
        </w:rPr>
        <w:t>1</w:t>
      </w:r>
      <w:r>
        <w:rPr>
          <w:rFonts w:hint="eastAsia"/>
          <w:b/>
          <w:bCs/>
          <w:sz w:val="24"/>
          <w:lang w:val="en-US" w:eastAsia="zh-CN"/>
        </w:rPr>
        <w:t>2</w:t>
      </w:r>
      <w:r>
        <w:rPr>
          <w:b/>
          <w:bCs/>
          <w:sz w:val="24"/>
        </w:rPr>
        <w:t>.2.</w:t>
      </w:r>
      <w:r>
        <w:rPr>
          <w:rFonts w:hint="eastAsia"/>
          <w:b/>
          <w:bCs/>
          <w:sz w:val="24"/>
          <w:lang w:val="en-US" w:eastAsia="zh-CN"/>
        </w:rPr>
        <w:t>4</w:t>
      </w:r>
      <w:r>
        <w:rPr>
          <w:rFonts w:hint="eastAsia"/>
          <w:sz w:val="24"/>
        </w:rPr>
        <w:t xml:space="preserve"> </w:t>
      </w:r>
      <w:r>
        <w:rPr>
          <w:sz w:val="24"/>
        </w:rPr>
        <w:t>同一光伏幕墙组件不应跨越建筑物的两个防火分区。</w:t>
      </w:r>
    </w:p>
    <w:p w14:paraId="095A6834">
      <w:pPr>
        <w:snapToGrid w:val="0"/>
        <w:spacing w:line="300" w:lineRule="auto"/>
        <w:jc w:val="left"/>
        <w:rPr>
          <w:sz w:val="24"/>
        </w:rPr>
      </w:pPr>
      <w:r>
        <w:rPr>
          <w:b/>
          <w:bCs/>
          <w:sz w:val="24"/>
        </w:rPr>
        <w:t>1</w:t>
      </w:r>
      <w:r>
        <w:rPr>
          <w:rFonts w:hint="eastAsia"/>
          <w:b/>
          <w:bCs/>
          <w:sz w:val="24"/>
          <w:lang w:val="en-US" w:eastAsia="zh-CN"/>
        </w:rPr>
        <w:t>2</w:t>
      </w:r>
      <w:r>
        <w:rPr>
          <w:b/>
          <w:bCs/>
          <w:sz w:val="24"/>
        </w:rPr>
        <w:t>.2.</w:t>
      </w:r>
      <w:r>
        <w:rPr>
          <w:rFonts w:hint="eastAsia"/>
          <w:b/>
          <w:bCs/>
          <w:sz w:val="24"/>
          <w:lang w:val="en-US" w:eastAsia="zh-CN"/>
        </w:rPr>
        <w:t>5</w:t>
      </w:r>
      <w:r>
        <w:rPr>
          <w:rFonts w:hint="eastAsia"/>
          <w:sz w:val="24"/>
        </w:rPr>
        <w:t xml:space="preserve"> </w:t>
      </w:r>
      <w:r>
        <w:rPr>
          <w:sz w:val="24"/>
        </w:rPr>
        <w:t>建筑内的电缆井应独立设置，其井壁应为耐火极限不低于1.0h的不燃烧体，井壁上的检查门应采用丙级防火门。电缆井在每层楼板处应采用不低于楼板耐火极限的不燃烧体或防火封堵材料封堵。</w:t>
      </w:r>
    </w:p>
    <w:p w14:paraId="1FD5E3C6">
      <w:pPr>
        <w:snapToGrid w:val="0"/>
        <w:spacing w:line="300" w:lineRule="auto"/>
        <w:jc w:val="left"/>
        <w:rPr>
          <w:sz w:val="24"/>
        </w:rPr>
      </w:pPr>
      <w:r>
        <w:rPr>
          <w:b/>
          <w:bCs/>
          <w:sz w:val="24"/>
        </w:rPr>
        <w:t>1</w:t>
      </w:r>
      <w:r>
        <w:rPr>
          <w:rFonts w:hint="eastAsia"/>
          <w:b/>
          <w:bCs/>
          <w:sz w:val="24"/>
          <w:lang w:val="en-US" w:eastAsia="zh-CN"/>
        </w:rPr>
        <w:t>2</w:t>
      </w:r>
      <w:r>
        <w:rPr>
          <w:b/>
          <w:bCs/>
          <w:sz w:val="24"/>
        </w:rPr>
        <w:t>.2.</w:t>
      </w:r>
      <w:r>
        <w:rPr>
          <w:rFonts w:hint="eastAsia"/>
          <w:b/>
          <w:bCs/>
          <w:sz w:val="24"/>
          <w:lang w:val="en-US" w:eastAsia="zh-CN"/>
        </w:rPr>
        <w:t>6</w:t>
      </w:r>
      <w:r>
        <w:rPr>
          <w:rFonts w:hint="eastAsia"/>
          <w:sz w:val="24"/>
        </w:rPr>
        <w:t xml:space="preserve"> </w:t>
      </w:r>
      <w:r>
        <w:rPr>
          <w:sz w:val="24"/>
        </w:rPr>
        <w:t>电缆不应敷设在变形缝内。当其穿过变形缝时，应在穿过处加设不燃烧材料套管，应采用不燃烧材料将套管空隙填塞密实。</w:t>
      </w:r>
    </w:p>
    <w:p w14:paraId="720BFFE8">
      <w:pPr>
        <w:snapToGrid w:val="0"/>
        <w:spacing w:line="300" w:lineRule="auto"/>
        <w:jc w:val="left"/>
        <w:rPr>
          <w:sz w:val="24"/>
        </w:rPr>
      </w:pPr>
      <w:r>
        <w:rPr>
          <w:b/>
          <w:bCs/>
          <w:sz w:val="24"/>
        </w:rPr>
        <w:t>1</w:t>
      </w:r>
      <w:r>
        <w:rPr>
          <w:rFonts w:hint="eastAsia"/>
          <w:b/>
          <w:bCs/>
          <w:sz w:val="24"/>
          <w:lang w:val="en-US" w:eastAsia="zh-CN"/>
        </w:rPr>
        <w:t>2</w:t>
      </w:r>
      <w:r>
        <w:rPr>
          <w:b/>
          <w:bCs/>
          <w:sz w:val="24"/>
        </w:rPr>
        <w:t>.2.</w:t>
      </w:r>
      <w:r>
        <w:rPr>
          <w:rFonts w:hint="eastAsia"/>
          <w:b/>
          <w:bCs/>
          <w:sz w:val="24"/>
          <w:lang w:val="en-US" w:eastAsia="zh-CN"/>
        </w:rPr>
        <w:t>7</w:t>
      </w:r>
      <w:r>
        <w:rPr>
          <w:rFonts w:hint="eastAsia"/>
          <w:sz w:val="24"/>
        </w:rPr>
        <w:t xml:space="preserve"> </w:t>
      </w:r>
      <w:r>
        <w:rPr>
          <w:sz w:val="24"/>
        </w:rPr>
        <w:t>电缆不宜穿过防火墙。当穿过时，应采用防火封堵材料将墙与管道之间的空隙紧密填实。</w:t>
      </w:r>
    </w:p>
    <w:p w14:paraId="0517E5B3">
      <w:pPr>
        <w:snapToGrid w:val="0"/>
        <w:spacing w:line="300" w:lineRule="auto"/>
        <w:jc w:val="left"/>
        <w:rPr>
          <w:sz w:val="24"/>
        </w:rPr>
      </w:pPr>
      <w:r>
        <w:rPr>
          <w:b/>
          <w:bCs/>
          <w:sz w:val="24"/>
        </w:rPr>
        <w:t>1</w:t>
      </w:r>
      <w:r>
        <w:rPr>
          <w:rFonts w:hint="eastAsia"/>
          <w:b/>
          <w:bCs/>
          <w:sz w:val="24"/>
          <w:lang w:val="en-US" w:eastAsia="zh-CN"/>
        </w:rPr>
        <w:t>2</w:t>
      </w:r>
      <w:r>
        <w:rPr>
          <w:b/>
          <w:bCs/>
          <w:sz w:val="24"/>
        </w:rPr>
        <w:t>.2.</w:t>
      </w:r>
      <w:r>
        <w:rPr>
          <w:rFonts w:hint="eastAsia"/>
          <w:b/>
          <w:bCs/>
          <w:sz w:val="24"/>
          <w:lang w:val="en-US" w:eastAsia="zh-CN"/>
        </w:rPr>
        <w:t>8</w:t>
      </w:r>
      <w:r>
        <w:rPr>
          <w:rFonts w:hint="eastAsia"/>
          <w:sz w:val="24"/>
        </w:rPr>
        <w:t xml:space="preserve"> </w:t>
      </w:r>
      <w:r>
        <w:rPr>
          <w:sz w:val="24"/>
        </w:rPr>
        <w:t>光伏系统所有外露于空气的材料均为难燃或不燃材料，所有</w:t>
      </w:r>
      <w:r>
        <w:rPr>
          <w:rFonts w:hint="eastAsia"/>
          <w:sz w:val="24"/>
          <w:lang w:val="en-US" w:eastAsia="zh-CN"/>
        </w:rPr>
        <w:t>室内</w:t>
      </w:r>
      <w:r>
        <w:rPr>
          <w:sz w:val="24"/>
        </w:rPr>
        <w:t>的材料燃烧后不</w:t>
      </w:r>
      <w:r>
        <w:rPr>
          <w:rFonts w:hint="eastAsia"/>
          <w:sz w:val="24"/>
          <w:lang w:val="en-US" w:eastAsia="zh-CN"/>
        </w:rPr>
        <w:t>应</w:t>
      </w:r>
      <w:r>
        <w:rPr>
          <w:sz w:val="24"/>
        </w:rPr>
        <w:t>释放有毒有害气体。</w:t>
      </w:r>
    </w:p>
    <w:p w14:paraId="62C67B11">
      <w:pPr>
        <w:snapToGrid w:val="0"/>
        <w:spacing w:line="300" w:lineRule="auto"/>
        <w:jc w:val="left"/>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72470BA3">
      <w:pPr>
        <w:snapToGrid w:val="0"/>
        <w:spacing w:line="300" w:lineRule="auto"/>
        <w:jc w:val="left"/>
        <w:rPr>
          <w:rFonts w:hint="eastAsia" w:ascii="仿宋" w:hAnsi="仿宋" w:eastAsia="仿宋" w:cs="仿宋"/>
          <w:i/>
          <w:iCs/>
          <w:color w:val="0623BA"/>
          <w:sz w:val="24"/>
        </w:rPr>
      </w:pPr>
      <w:r>
        <w:rPr>
          <w:rFonts w:hint="eastAsia" w:ascii="仿宋" w:hAnsi="仿宋" w:eastAsia="仿宋" w:cs="仿宋"/>
          <w:i/>
          <w:iCs/>
          <w:color w:val="0623BA"/>
          <w:sz w:val="24"/>
        </w:rPr>
        <w:t>1</w:t>
      </w:r>
      <w:r>
        <w:rPr>
          <w:rFonts w:hint="eastAsia" w:ascii="仿宋" w:hAnsi="仿宋" w:eastAsia="仿宋" w:cs="仿宋"/>
          <w:i/>
          <w:iCs/>
          <w:color w:val="0623BA"/>
          <w:sz w:val="24"/>
          <w:lang w:val="en-US" w:eastAsia="zh-CN"/>
        </w:rPr>
        <w:t>2</w:t>
      </w:r>
      <w:r>
        <w:rPr>
          <w:rFonts w:hint="eastAsia" w:ascii="仿宋" w:hAnsi="仿宋" w:eastAsia="仿宋" w:cs="仿宋"/>
          <w:i/>
          <w:iCs/>
          <w:color w:val="0623BA"/>
          <w:sz w:val="24"/>
        </w:rPr>
        <w:t>.2.</w:t>
      </w:r>
      <w:r>
        <w:rPr>
          <w:rFonts w:hint="eastAsia" w:ascii="仿宋" w:hAnsi="仿宋" w:eastAsia="仿宋" w:cs="仿宋"/>
          <w:i/>
          <w:iCs/>
          <w:color w:val="0623BA"/>
          <w:sz w:val="24"/>
          <w:lang w:val="en-US" w:eastAsia="zh-CN"/>
        </w:rPr>
        <w:t>8</w:t>
      </w:r>
      <w:r>
        <w:rPr>
          <w:rFonts w:hint="eastAsia" w:ascii="仿宋" w:hAnsi="仿宋" w:eastAsia="仿宋" w:cs="仿宋"/>
          <w:i/>
          <w:iCs/>
          <w:color w:val="0623BA"/>
          <w:sz w:val="24"/>
        </w:rPr>
        <w:t xml:space="preserve"> 光伏系统外露于空气的材料包括接线盒、接线头等。隐藏的材料包括光伏线缆、密封胶条、粘结胶水等。</w:t>
      </w:r>
    </w:p>
    <w:p w14:paraId="53A7A1B3">
      <w:pPr>
        <w:snapToGrid w:val="0"/>
        <w:spacing w:line="300" w:lineRule="auto"/>
        <w:jc w:val="left"/>
        <w:rPr>
          <w:sz w:val="24"/>
        </w:rPr>
      </w:pPr>
      <w:r>
        <w:rPr>
          <w:b/>
          <w:bCs/>
          <w:sz w:val="24"/>
        </w:rPr>
        <w:t>1</w:t>
      </w:r>
      <w:r>
        <w:rPr>
          <w:rFonts w:hint="eastAsia"/>
          <w:b/>
          <w:bCs/>
          <w:sz w:val="24"/>
          <w:lang w:val="en-US" w:eastAsia="zh-CN"/>
        </w:rPr>
        <w:t>2</w:t>
      </w:r>
      <w:r>
        <w:rPr>
          <w:b/>
          <w:bCs/>
          <w:sz w:val="24"/>
        </w:rPr>
        <w:t>.2.</w:t>
      </w:r>
      <w:r>
        <w:rPr>
          <w:rFonts w:hint="eastAsia"/>
          <w:b/>
          <w:bCs/>
          <w:sz w:val="24"/>
          <w:lang w:val="en-US" w:eastAsia="zh-CN"/>
        </w:rPr>
        <w:t>9</w:t>
      </w:r>
      <w:r>
        <w:rPr>
          <w:sz w:val="24"/>
        </w:rPr>
        <w:t>建筑内部的配电箱不应直接安装在低于B1级的装修材料上。</w:t>
      </w:r>
    </w:p>
    <w:p w14:paraId="60E9D9D6">
      <w:pPr>
        <w:snapToGrid w:val="0"/>
        <w:spacing w:before="0" w:beforeLines="0" w:after="0" w:afterLines="-2147483648" w:line="300" w:lineRule="auto"/>
        <w:jc w:val="left"/>
        <w:rPr>
          <w:rFonts w:hint="default" w:cs="Times New Roman"/>
          <w:b w:val="0"/>
          <w:bCs w:val="0"/>
          <w:i w:val="0"/>
          <w:iCs w:val="0"/>
          <w:sz w:val="24"/>
          <w:szCs w:val="24"/>
          <w:lang w:eastAsia="zh-CN"/>
        </w:rPr>
      </w:pPr>
      <w:bookmarkStart w:id="439" w:name="_Toc30091"/>
      <w:bookmarkStart w:id="440" w:name="_Toc19121"/>
      <w:bookmarkStart w:id="441" w:name="_Toc17866"/>
      <w:r>
        <w:rPr>
          <w:b/>
          <w:bCs/>
          <w:sz w:val="24"/>
        </w:rPr>
        <w:t>1</w:t>
      </w:r>
      <w:r>
        <w:rPr>
          <w:rFonts w:hint="eastAsia"/>
          <w:b/>
          <w:bCs/>
          <w:sz w:val="24"/>
          <w:lang w:val="en-US" w:eastAsia="zh-CN"/>
        </w:rPr>
        <w:t>2</w:t>
      </w:r>
      <w:r>
        <w:rPr>
          <w:b/>
          <w:bCs/>
          <w:sz w:val="24"/>
        </w:rPr>
        <w:t>.2.1</w:t>
      </w:r>
      <w:r>
        <w:rPr>
          <w:rFonts w:hint="eastAsia"/>
          <w:b/>
          <w:bCs/>
          <w:sz w:val="24"/>
          <w:lang w:val="en-US" w:eastAsia="zh-CN"/>
        </w:rPr>
        <w:t>0</w:t>
      </w:r>
      <w:r>
        <w:rPr>
          <w:rFonts w:hint="eastAsia"/>
          <w:sz w:val="24"/>
        </w:rPr>
        <w:t xml:space="preserve"> </w:t>
      </w:r>
      <w:r>
        <w:rPr>
          <w:rFonts w:ascii="Times New Roman" w:hAnsi="Times New Roman" w:eastAsia="宋体" w:cs="Times New Roman"/>
          <w:b w:val="0"/>
          <w:bCs w:val="0"/>
          <w:i w:val="0"/>
          <w:iCs w:val="0"/>
          <w:color w:val="auto"/>
          <w:sz w:val="24"/>
          <w:szCs w:val="24"/>
        </w:rPr>
        <w:t>建筑光储直柔系统的各部位线缆宜选用铜芯电缆，</w:t>
      </w:r>
      <w:r>
        <w:rPr>
          <w:rFonts w:ascii="Times New Roman" w:hAnsi="Times New Roman" w:eastAsia="宋体" w:cs="Times New Roman"/>
          <w:b w:val="0"/>
          <w:bCs w:val="0"/>
          <w:i w:val="0"/>
          <w:iCs w:val="0"/>
          <w:sz w:val="24"/>
          <w:szCs w:val="24"/>
        </w:rPr>
        <w:t>穿越建筑围护结构的直流电缆宜利用既有建筑的电缆通道，需要另辟通道的应做好防水、防火封堵</w:t>
      </w:r>
      <w:r>
        <w:rPr>
          <w:rFonts w:hint="default" w:cs="Times New Roman"/>
          <w:b w:val="0"/>
          <w:bCs w:val="0"/>
          <w:i w:val="0"/>
          <w:iCs w:val="0"/>
          <w:sz w:val="24"/>
          <w:szCs w:val="24"/>
          <w:lang w:eastAsia="zh-CN"/>
        </w:rPr>
        <w:t>。</w:t>
      </w:r>
    </w:p>
    <w:p w14:paraId="1914EA98">
      <w:pPr>
        <w:pStyle w:val="2"/>
        <w:rPr>
          <w:rFonts w:hint="default"/>
          <w:lang w:val="en-US" w:eastAsia="zh-CN"/>
        </w:rPr>
      </w:pPr>
    </w:p>
    <w:p w14:paraId="5D85EEEB">
      <w:pPr>
        <w:keepNext/>
        <w:keepLines/>
        <w:snapToGrid w:val="0"/>
        <w:spacing w:before="95" w:beforeLines="30" w:after="95" w:afterLines="30" w:line="300" w:lineRule="auto"/>
        <w:jc w:val="center"/>
        <w:outlineLvl w:val="2"/>
        <w:rPr>
          <w:b/>
          <w:sz w:val="24"/>
          <w:szCs w:val="32"/>
        </w:rPr>
      </w:pPr>
      <w:bookmarkStart w:id="442" w:name="_Toc10508"/>
      <w:bookmarkStart w:id="443" w:name="_Toc10836"/>
      <w:bookmarkStart w:id="444" w:name="_Toc7291"/>
      <w:bookmarkStart w:id="445" w:name="_Toc15277"/>
      <w:r>
        <w:rPr>
          <w:b/>
          <w:sz w:val="24"/>
          <w:szCs w:val="32"/>
        </w:rPr>
        <w:t>1</w:t>
      </w:r>
      <w:r>
        <w:rPr>
          <w:rFonts w:hint="default"/>
          <w:b/>
          <w:sz w:val="24"/>
          <w:szCs w:val="32"/>
          <w:lang w:val="en-US" w:eastAsia="zh-CN"/>
        </w:rPr>
        <w:t>2</w:t>
      </w:r>
      <w:r>
        <w:rPr>
          <w:b/>
          <w:sz w:val="24"/>
          <w:szCs w:val="32"/>
        </w:rPr>
        <w:t>.3消防设施</w:t>
      </w:r>
      <w:bookmarkEnd w:id="439"/>
      <w:bookmarkEnd w:id="440"/>
      <w:bookmarkEnd w:id="441"/>
      <w:bookmarkEnd w:id="442"/>
      <w:bookmarkEnd w:id="443"/>
      <w:bookmarkEnd w:id="444"/>
      <w:bookmarkEnd w:id="445"/>
    </w:p>
    <w:p w14:paraId="420EC330">
      <w:pPr>
        <w:snapToGrid w:val="0"/>
        <w:spacing w:line="300" w:lineRule="auto"/>
        <w:jc w:val="left"/>
        <w:rPr>
          <w:sz w:val="24"/>
        </w:rPr>
      </w:pPr>
      <w:r>
        <w:rPr>
          <w:b/>
          <w:bCs/>
          <w:sz w:val="24"/>
        </w:rPr>
        <w:t>1</w:t>
      </w:r>
      <w:r>
        <w:rPr>
          <w:rFonts w:hint="eastAsia"/>
          <w:b/>
          <w:bCs/>
          <w:sz w:val="24"/>
          <w:lang w:val="en-US" w:eastAsia="zh-CN"/>
        </w:rPr>
        <w:t>2</w:t>
      </w:r>
      <w:r>
        <w:rPr>
          <w:b/>
          <w:bCs/>
          <w:sz w:val="24"/>
        </w:rPr>
        <w:t>.3.1</w:t>
      </w:r>
      <w:r>
        <w:rPr>
          <w:rFonts w:hint="eastAsia"/>
          <w:sz w:val="24"/>
        </w:rPr>
        <w:t xml:space="preserve"> </w:t>
      </w:r>
      <w:r>
        <w:rPr>
          <w:sz w:val="24"/>
        </w:rPr>
        <w:t>建筑光伏系统消防给水和灭火设施的设计应根据建筑用途及其重要性、火灾特性和火灾危险性等综合因素按现行国家标准《建筑设计防火规范》GB50016的有关规定执行。</w:t>
      </w:r>
    </w:p>
    <w:p w14:paraId="5225C203">
      <w:pPr>
        <w:snapToGrid w:val="0"/>
        <w:spacing w:line="300" w:lineRule="auto"/>
        <w:jc w:val="left"/>
        <w:rPr>
          <w:sz w:val="24"/>
        </w:rPr>
      </w:pPr>
      <w:r>
        <w:rPr>
          <w:b/>
          <w:bCs/>
          <w:sz w:val="24"/>
        </w:rPr>
        <w:t>1</w:t>
      </w:r>
      <w:r>
        <w:rPr>
          <w:rFonts w:hint="eastAsia"/>
          <w:b/>
          <w:bCs/>
          <w:sz w:val="24"/>
          <w:lang w:val="en-US" w:eastAsia="zh-CN"/>
        </w:rPr>
        <w:t>2</w:t>
      </w:r>
      <w:r>
        <w:rPr>
          <w:b/>
          <w:bCs/>
          <w:sz w:val="24"/>
        </w:rPr>
        <w:t>.3.</w:t>
      </w:r>
      <w:r>
        <w:rPr>
          <w:rFonts w:hint="eastAsia"/>
          <w:b/>
          <w:bCs/>
          <w:sz w:val="24"/>
          <w:lang w:val="en-US" w:eastAsia="zh-CN"/>
        </w:rPr>
        <w:t>2</w:t>
      </w:r>
      <w:r>
        <w:rPr>
          <w:rFonts w:hint="eastAsia"/>
          <w:b/>
          <w:bCs/>
          <w:sz w:val="24"/>
        </w:rPr>
        <w:t xml:space="preserve"> </w:t>
      </w:r>
      <w:r>
        <w:rPr>
          <w:rFonts w:hint="default"/>
          <w:b w:val="0"/>
          <w:bCs w:val="0"/>
          <w:sz w:val="24"/>
        </w:rPr>
        <w:t>人员密集场所和公共建筑</w:t>
      </w:r>
      <w:r>
        <w:rPr>
          <w:sz w:val="24"/>
        </w:rPr>
        <w:t>建筑光伏系统应设置电气火灾监控系统，应符合现行国家标准《电气火灾监控系统》GB14287的有关规定。</w:t>
      </w:r>
    </w:p>
    <w:p w14:paraId="4E144A99">
      <w:pPr>
        <w:snapToGrid w:val="0"/>
        <w:spacing w:line="300" w:lineRule="auto"/>
        <w:jc w:val="left"/>
        <w:rPr>
          <w:sz w:val="24"/>
        </w:rPr>
      </w:pPr>
      <w:r>
        <w:rPr>
          <w:b/>
          <w:bCs/>
          <w:sz w:val="24"/>
        </w:rPr>
        <w:t>1</w:t>
      </w:r>
      <w:r>
        <w:rPr>
          <w:rFonts w:hint="eastAsia"/>
          <w:b/>
          <w:bCs/>
          <w:sz w:val="24"/>
          <w:lang w:val="en-US" w:eastAsia="zh-CN"/>
        </w:rPr>
        <w:t>2</w:t>
      </w:r>
      <w:r>
        <w:rPr>
          <w:b/>
          <w:bCs/>
          <w:sz w:val="24"/>
        </w:rPr>
        <w:t>.3.</w:t>
      </w:r>
      <w:r>
        <w:rPr>
          <w:rFonts w:hint="eastAsia"/>
          <w:b/>
          <w:bCs/>
          <w:sz w:val="24"/>
          <w:lang w:val="en-US" w:eastAsia="zh-CN"/>
        </w:rPr>
        <w:t>3</w:t>
      </w:r>
      <w:r>
        <w:rPr>
          <w:sz w:val="24"/>
        </w:rPr>
        <w:t>发生火灾时可自动或手动切断</w:t>
      </w:r>
      <w:r>
        <w:rPr>
          <w:rFonts w:hint="eastAsia"/>
          <w:sz w:val="24"/>
          <w:lang w:val="en-US" w:eastAsia="zh-CN"/>
        </w:rPr>
        <w:t>控制</w:t>
      </w:r>
      <w:r>
        <w:rPr>
          <w:sz w:val="24"/>
        </w:rPr>
        <w:t>系统电源。</w:t>
      </w:r>
    </w:p>
    <w:p w14:paraId="2BD67D44">
      <w:pPr>
        <w:snapToGrid w:val="0"/>
        <w:spacing w:line="300" w:lineRule="auto"/>
        <w:jc w:val="left"/>
        <w:rPr>
          <w:sz w:val="24"/>
        </w:rPr>
      </w:pPr>
      <w:r>
        <w:rPr>
          <w:b/>
          <w:bCs/>
          <w:sz w:val="24"/>
        </w:rPr>
        <w:t>1</w:t>
      </w:r>
      <w:r>
        <w:rPr>
          <w:rFonts w:hint="eastAsia"/>
          <w:b/>
          <w:bCs/>
          <w:sz w:val="24"/>
          <w:lang w:val="en-US" w:eastAsia="zh-CN"/>
        </w:rPr>
        <w:t>2</w:t>
      </w:r>
      <w:r>
        <w:rPr>
          <w:b/>
          <w:bCs/>
          <w:sz w:val="24"/>
        </w:rPr>
        <w:t>.3.</w:t>
      </w:r>
      <w:r>
        <w:rPr>
          <w:rFonts w:hint="eastAsia"/>
          <w:b/>
          <w:bCs/>
          <w:sz w:val="24"/>
          <w:lang w:val="en-US" w:eastAsia="zh-CN"/>
        </w:rPr>
        <w:t>4</w:t>
      </w:r>
      <w:r>
        <w:rPr>
          <w:rFonts w:hint="eastAsia"/>
          <w:sz w:val="24"/>
        </w:rPr>
        <w:t xml:space="preserve"> </w:t>
      </w:r>
      <w:r>
        <w:rPr>
          <w:sz w:val="24"/>
        </w:rPr>
        <w:t>手提灭火器的设置应符合现行国家标准《建筑灭火器配置设计规范》GB 50140 的有关规定。</w:t>
      </w:r>
    </w:p>
    <w:p w14:paraId="1977F1BB">
      <w:pPr>
        <w:snapToGrid w:val="0"/>
        <w:spacing w:line="300" w:lineRule="auto"/>
        <w:jc w:val="left"/>
        <w:rPr>
          <w:rFonts w:hint="eastAsia"/>
          <w:sz w:val="24"/>
        </w:rPr>
      </w:pPr>
      <w:r>
        <w:rPr>
          <w:rFonts w:hint="eastAsia"/>
          <w:b/>
          <w:bCs/>
          <w:sz w:val="24"/>
        </w:rPr>
        <w:t>1</w:t>
      </w:r>
      <w:r>
        <w:rPr>
          <w:rFonts w:hint="eastAsia"/>
          <w:b/>
          <w:bCs/>
          <w:sz w:val="24"/>
          <w:lang w:val="en-US" w:eastAsia="zh-CN"/>
        </w:rPr>
        <w:t>2</w:t>
      </w:r>
      <w:r>
        <w:rPr>
          <w:rFonts w:hint="eastAsia"/>
          <w:b/>
          <w:bCs/>
          <w:sz w:val="24"/>
        </w:rPr>
        <w:t>.3.</w:t>
      </w:r>
      <w:r>
        <w:rPr>
          <w:rFonts w:hint="eastAsia"/>
          <w:b/>
          <w:bCs/>
          <w:sz w:val="24"/>
          <w:lang w:val="en-US" w:eastAsia="zh-CN"/>
        </w:rPr>
        <w:t>5</w:t>
      </w:r>
      <w:r>
        <w:rPr>
          <w:rFonts w:hint="eastAsia"/>
          <w:sz w:val="24"/>
        </w:rPr>
        <w:t xml:space="preserve"> 光伏系统主要室内电气设备为逆变控制器，因此消防给水系统的设置原则应按《火力发电厂与变电站设计防火规范》GB50229的相关规定执行。</w:t>
      </w:r>
    </w:p>
    <w:p w14:paraId="46952444">
      <w:pPr>
        <w:pStyle w:val="2"/>
        <w:rPr>
          <w:rFonts w:hint="default" w:ascii="宋体" w:hAnsi="宋体" w:eastAsia="宋体" w:cs="宋体"/>
          <w:sz w:val="24"/>
          <w:szCs w:val="24"/>
          <w:lang w:val="en-US" w:eastAsia="zh-CN"/>
        </w:rPr>
      </w:pPr>
    </w:p>
    <w:p w14:paraId="6E8F1F9E">
      <w:pPr>
        <w:widowControl/>
        <w:spacing w:line="300" w:lineRule="auto"/>
        <w:jc w:val="left"/>
        <w:rPr>
          <w:sz w:val="24"/>
        </w:rPr>
      </w:pPr>
      <w:r>
        <w:rPr>
          <w:sz w:val="24"/>
        </w:rPr>
        <w:br w:type="page"/>
      </w:r>
    </w:p>
    <w:p w14:paraId="44FE3AD8">
      <w:pPr>
        <w:pStyle w:val="5"/>
        <w:spacing w:before="95" w:beforeLines="30" w:after="95" w:afterLines="30" w:line="300" w:lineRule="auto"/>
        <w:jc w:val="center"/>
        <w:rPr>
          <w:rFonts w:ascii="Times New Roman" w:hAnsi="Times New Roman" w:eastAsia="黑体" w:cs="Times New Roman"/>
          <w:sz w:val="28"/>
          <w:szCs w:val="28"/>
        </w:rPr>
      </w:pPr>
      <w:bookmarkStart w:id="446" w:name="_Toc16504"/>
      <w:bookmarkStart w:id="447" w:name="_Toc13976"/>
      <w:bookmarkStart w:id="448" w:name="_Toc18576"/>
      <w:bookmarkStart w:id="449" w:name="_Toc31308"/>
      <w:bookmarkStart w:id="450" w:name="_Toc15027"/>
      <w:bookmarkStart w:id="451" w:name="_Toc31997"/>
      <w:bookmarkStart w:id="452" w:name="_Toc7318"/>
      <w:bookmarkStart w:id="453" w:name="_Toc9196"/>
      <w:r>
        <w:rPr>
          <w:rFonts w:ascii="Times New Roman" w:hAnsi="Times New Roman" w:eastAsia="黑体" w:cs="Times New Roman"/>
          <w:sz w:val="28"/>
          <w:szCs w:val="28"/>
        </w:rPr>
        <w:t>1</w:t>
      </w:r>
      <w:r>
        <w:rPr>
          <w:rFonts w:hint="default" w:ascii="Times New Roman" w:hAnsi="Times New Roman" w:eastAsia="黑体" w:cs="Times New Roman"/>
          <w:sz w:val="28"/>
          <w:szCs w:val="28"/>
          <w:lang w:val="en-US" w:eastAsia="zh-CN"/>
        </w:rPr>
        <w:t>3</w:t>
      </w:r>
      <w:r>
        <w:rPr>
          <w:rFonts w:ascii="Times New Roman" w:hAnsi="Times New Roman" w:eastAsia="黑体" w:cs="Times New Roman"/>
          <w:sz w:val="28"/>
          <w:szCs w:val="28"/>
        </w:rPr>
        <w:t xml:space="preserve"> 验收</w:t>
      </w:r>
      <w:bookmarkEnd w:id="446"/>
      <w:bookmarkEnd w:id="447"/>
      <w:bookmarkEnd w:id="448"/>
      <w:bookmarkEnd w:id="449"/>
      <w:bookmarkEnd w:id="450"/>
      <w:bookmarkEnd w:id="451"/>
      <w:bookmarkEnd w:id="452"/>
      <w:bookmarkEnd w:id="453"/>
    </w:p>
    <w:p w14:paraId="52B3B7BA">
      <w:pPr>
        <w:keepNext/>
        <w:keepLines/>
        <w:spacing w:before="95" w:beforeLines="30" w:after="95" w:afterLines="30" w:line="300" w:lineRule="auto"/>
        <w:ind w:firstLine="3614" w:firstLineChars="1500"/>
        <w:outlineLvl w:val="2"/>
        <w:rPr>
          <w:rFonts w:hint="default" w:ascii="Times New Roman" w:hAnsi="Times New Roman" w:eastAsia="宋体" w:cs="Times New Roman"/>
          <w:b/>
          <w:sz w:val="24"/>
          <w:szCs w:val="32"/>
          <w:lang w:val="en-US" w:eastAsia="zh-CN"/>
        </w:rPr>
      </w:pPr>
      <w:bookmarkStart w:id="454" w:name="_Toc3682"/>
      <w:bookmarkStart w:id="455" w:name="_Toc31612"/>
      <w:bookmarkStart w:id="456" w:name="_Toc28265"/>
      <w:bookmarkStart w:id="457" w:name="_Toc30331"/>
      <w:bookmarkStart w:id="458" w:name="_Toc18143"/>
      <w:bookmarkStart w:id="459" w:name="_Toc23462"/>
      <w:r>
        <w:rPr>
          <w:rFonts w:hint="default" w:ascii="Times New Roman" w:hAnsi="Times New Roman" w:eastAsia="宋体" w:cs="Times New Roman"/>
          <w:b/>
          <w:sz w:val="24"/>
          <w:szCs w:val="32"/>
          <w:lang w:val="en-US" w:eastAsia="zh-CN"/>
        </w:rPr>
        <w:t>1</w:t>
      </w:r>
      <w:r>
        <w:rPr>
          <w:rFonts w:hint="default" w:cs="Times New Roman"/>
          <w:b/>
          <w:sz w:val="24"/>
          <w:szCs w:val="32"/>
          <w:lang w:val="en-US" w:eastAsia="zh-CN"/>
        </w:rPr>
        <w:t>3</w:t>
      </w:r>
      <w:r>
        <w:rPr>
          <w:rFonts w:hint="default" w:ascii="Times New Roman" w:hAnsi="Times New Roman" w:eastAsia="宋体" w:cs="Times New Roman"/>
          <w:b/>
          <w:sz w:val="24"/>
          <w:szCs w:val="32"/>
          <w:lang w:val="en-US" w:eastAsia="zh-CN"/>
        </w:rPr>
        <w:t>.1 一般规定</w:t>
      </w:r>
      <w:bookmarkEnd w:id="454"/>
      <w:bookmarkEnd w:id="455"/>
      <w:bookmarkEnd w:id="456"/>
      <w:bookmarkEnd w:id="457"/>
      <w:bookmarkEnd w:id="458"/>
      <w:bookmarkEnd w:id="459"/>
    </w:p>
    <w:p w14:paraId="1B52DC94">
      <w:pPr>
        <w:snapToGrid w:val="0"/>
        <w:spacing w:line="300" w:lineRule="auto"/>
        <w:jc w:val="left"/>
        <w:rPr>
          <w:rFonts w:hint="eastAsia"/>
          <w:sz w:val="24"/>
          <w:lang w:eastAsia="zh-CN"/>
        </w:rPr>
      </w:pPr>
      <w:r>
        <w:rPr>
          <w:b/>
          <w:bCs/>
          <w:sz w:val="24"/>
        </w:rPr>
        <w:t>1</w:t>
      </w:r>
      <w:r>
        <w:rPr>
          <w:rFonts w:hint="eastAsia"/>
          <w:b/>
          <w:bCs/>
          <w:sz w:val="24"/>
          <w:lang w:eastAsia="zh-CN"/>
        </w:rPr>
        <w:t>3</w:t>
      </w:r>
      <w:r>
        <w:rPr>
          <w:b/>
          <w:bCs/>
          <w:sz w:val="24"/>
        </w:rPr>
        <w:t>.</w:t>
      </w:r>
      <w:r>
        <w:rPr>
          <w:rFonts w:hint="eastAsia"/>
          <w:b/>
          <w:bCs/>
          <w:sz w:val="24"/>
          <w:lang w:val="en-US" w:eastAsia="zh-CN"/>
        </w:rPr>
        <w:t xml:space="preserve">1.1 </w:t>
      </w:r>
      <w:r>
        <w:rPr>
          <w:sz w:val="24"/>
          <w:highlight w:val="none"/>
        </w:rPr>
        <w:t>大、中型光伏发电系统应按本标准第1</w:t>
      </w:r>
      <w:r>
        <w:rPr>
          <w:rFonts w:hint="eastAsia"/>
          <w:sz w:val="24"/>
          <w:highlight w:val="none"/>
          <w:lang w:val="en-US" w:eastAsia="zh-CN"/>
        </w:rPr>
        <w:t>3</w:t>
      </w:r>
      <w:r>
        <w:rPr>
          <w:sz w:val="24"/>
          <w:highlight w:val="none"/>
        </w:rPr>
        <w:t>.</w:t>
      </w:r>
      <w:r>
        <w:rPr>
          <w:rFonts w:hint="eastAsia"/>
          <w:sz w:val="24"/>
          <w:highlight w:val="none"/>
          <w:lang w:val="en-US" w:eastAsia="zh-CN"/>
        </w:rPr>
        <w:t>2.3</w:t>
      </w:r>
      <w:r>
        <w:rPr>
          <w:sz w:val="24"/>
          <w:highlight w:val="none"/>
        </w:rPr>
        <w:t>条</w:t>
      </w:r>
      <w:r>
        <w:rPr>
          <w:rFonts w:hint="eastAsia"/>
          <w:sz w:val="24"/>
          <w:highlight w:val="none"/>
          <w:lang w:val="en-US" w:eastAsia="zh-CN"/>
        </w:rPr>
        <w:t>和</w:t>
      </w:r>
      <w:r>
        <w:rPr>
          <w:sz w:val="24"/>
          <w:highlight w:val="none"/>
        </w:rPr>
        <w:t>第1</w:t>
      </w:r>
      <w:r>
        <w:rPr>
          <w:rFonts w:hint="eastAsia"/>
          <w:sz w:val="24"/>
          <w:highlight w:val="none"/>
          <w:lang w:eastAsia="zh-CN"/>
        </w:rPr>
        <w:t>3</w:t>
      </w:r>
      <w:r>
        <w:rPr>
          <w:sz w:val="24"/>
          <w:highlight w:val="none"/>
        </w:rPr>
        <w:t>.</w:t>
      </w:r>
      <w:r>
        <w:rPr>
          <w:rFonts w:hint="eastAsia"/>
          <w:sz w:val="24"/>
          <w:highlight w:val="none"/>
          <w:lang w:eastAsia="zh-CN"/>
        </w:rPr>
        <w:t>2</w:t>
      </w:r>
      <w:r>
        <w:rPr>
          <w:sz w:val="24"/>
          <w:highlight w:val="none"/>
        </w:rPr>
        <w:t>.11条的规定验收</w:t>
      </w:r>
      <w:r>
        <w:rPr>
          <w:rFonts w:hint="eastAsia"/>
          <w:sz w:val="24"/>
          <w:highlight w:val="none"/>
          <w:lang w:eastAsia="zh-CN"/>
        </w:rPr>
        <w:t>。</w:t>
      </w:r>
      <w:r>
        <w:rPr>
          <w:sz w:val="24"/>
        </w:rPr>
        <w:t>光伏发电系统的光伏组件或方阵检查测试表应按本标准附录</w:t>
      </w:r>
      <w:r>
        <w:rPr>
          <w:rFonts w:hint="eastAsia"/>
          <w:sz w:val="24"/>
          <w:lang w:val="en-US" w:eastAsia="zh-CN"/>
        </w:rPr>
        <w:t>B</w:t>
      </w:r>
      <w:r>
        <w:rPr>
          <w:sz w:val="24"/>
        </w:rPr>
        <w:t>的格式填写</w:t>
      </w:r>
      <w:r>
        <w:rPr>
          <w:rFonts w:hint="eastAsia"/>
          <w:sz w:val="24"/>
          <w:lang w:eastAsia="zh-CN"/>
        </w:rPr>
        <w:t>。</w:t>
      </w:r>
    </w:p>
    <w:p w14:paraId="2E92D5A6">
      <w:pPr>
        <w:snapToGrid w:val="0"/>
        <w:spacing w:line="300" w:lineRule="auto"/>
        <w:jc w:val="left"/>
        <w:rPr>
          <w:sz w:val="24"/>
        </w:rPr>
      </w:pPr>
      <w:r>
        <w:rPr>
          <w:rFonts w:hint="eastAsia"/>
          <w:b/>
          <w:bCs/>
          <w:sz w:val="24"/>
          <w:lang w:val="en-US" w:eastAsia="zh-CN"/>
        </w:rPr>
        <w:t xml:space="preserve">13.1.2 </w:t>
      </w:r>
      <w:r>
        <w:rPr>
          <w:sz w:val="24"/>
        </w:rPr>
        <w:t>小型光伏发电系统可根据项目的实际情况</w:t>
      </w:r>
      <w:r>
        <w:rPr>
          <w:rFonts w:hint="eastAsia"/>
          <w:sz w:val="24"/>
          <w:lang w:eastAsia="zh-CN"/>
        </w:rPr>
        <w:t>，</w:t>
      </w:r>
      <w:r>
        <w:rPr>
          <w:rFonts w:hint="eastAsia"/>
          <w:sz w:val="24"/>
          <w:lang w:val="en-US" w:eastAsia="zh-CN"/>
        </w:rPr>
        <w:t>对其结构及电气</w:t>
      </w:r>
      <w:r>
        <w:rPr>
          <w:sz w:val="24"/>
        </w:rPr>
        <w:t>按有关规定进行验收。</w:t>
      </w:r>
    </w:p>
    <w:p w14:paraId="717D73ED">
      <w:pPr>
        <w:snapToGrid w:val="0"/>
        <w:spacing w:line="300" w:lineRule="auto"/>
        <w:ind w:firstLine="0" w:firstLineChars="0"/>
        <w:jc w:val="left"/>
        <w:rPr>
          <w:rFonts w:ascii="Times New Roman" w:hAnsi="Times New Roman" w:eastAsia="宋体" w:cs="Times New Roman"/>
          <w:b w:val="0"/>
          <w:bCs w:val="0"/>
          <w:i w:val="0"/>
          <w:iCs w:val="0"/>
          <w:sz w:val="24"/>
          <w:szCs w:val="24"/>
        </w:rPr>
      </w:pPr>
      <w:r>
        <w:rPr>
          <w:rFonts w:hint="default"/>
          <w:b/>
          <w:bCs/>
          <w:sz w:val="24"/>
          <w:lang w:val="en-US" w:eastAsia="zh-CN"/>
        </w:rPr>
        <w:t xml:space="preserve">13.1.3 </w:t>
      </w:r>
      <w:r>
        <w:rPr>
          <w:rFonts w:ascii="Times New Roman" w:hAnsi="Times New Roman" w:eastAsia="宋体" w:cs="Times New Roman"/>
          <w:b w:val="0"/>
          <w:bCs w:val="0"/>
          <w:i w:val="0"/>
          <w:iCs w:val="0"/>
          <w:color w:val="000000"/>
          <w:sz w:val="24"/>
          <w:szCs w:val="24"/>
        </w:rPr>
        <w:t>建筑光伏工程为建筑节能分部工程的一个子分部工程，其分项工程、检验批划分应符合下列</w:t>
      </w:r>
      <w:r>
        <w:rPr>
          <w:rFonts w:hint="eastAsia" w:cs="Times New Roman"/>
          <w:b w:val="0"/>
          <w:bCs w:val="0"/>
          <w:i w:val="0"/>
          <w:iCs w:val="0"/>
          <w:color w:val="000000"/>
          <w:sz w:val="24"/>
          <w:szCs w:val="24"/>
          <w:lang w:eastAsia="zh-CN"/>
        </w:rPr>
        <w:t>要求</w:t>
      </w:r>
      <w:r>
        <w:rPr>
          <w:rFonts w:ascii="Times New Roman" w:hAnsi="Times New Roman" w:eastAsia="宋体" w:cs="Times New Roman"/>
          <w:b w:val="0"/>
          <w:bCs w:val="0"/>
          <w:i w:val="0"/>
          <w:iCs w:val="0"/>
          <w:color w:val="000000"/>
          <w:sz w:val="24"/>
          <w:szCs w:val="24"/>
        </w:rPr>
        <w:t>：</w:t>
      </w:r>
    </w:p>
    <w:p w14:paraId="1E291977">
      <w:pPr>
        <w:snapToGrid w:val="0"/>
        <w:spacing w:line="300" w:lineRule="auto"/>
        <w:ind w:firstLine="482" w:firstLineChars="200"/>
        <w:jc w:val="left"/>
        <w:rPr>
          <w:rFonts w:ascii="Times New Roman" w:hAnsi="Times New Roman" w:eastAsia="宋体" w:cs="Times New Roman"/>
          <w:b w:val="0"/>
          <w:bCs w:val="0"/>
          <w:i w:val="0"/>
          <w:iCs w:val="0"/>
          <w:sz w:val="24"/>
          <w:szCs w:val="24"/>
        </w:rPr>
      </w:pPr>
      <w:r>
        <w:rPr>
          <w:rFonts w:hint="default" w:cs="Times New Roman"/>
          <w:b/>
          <w:bCs/>
          <w:i w:val="0"/>
          <w:iCs w:val="0"/>
          <w:sz w:val="24"/>
          <w:szCs w:val="24"/>
          <w:lang w:eastAsia="zh-CN"/>
        </w:rPr>
        <w:t>1</w:t>
      </w:r>
      <w:r>
        <w:rPr>
          <w:rFonts w:ascii="Times New Roman" w:hAnsi="Times New Roman" w:eastAsia="宋体" w:cs="Times New Roman"/>
          <w:b/>
          <w:bCs/>
          <w:i w:val="0"/>
          <w:iCs w:val="0"/>
          <w:color w:val="000000"/>
          <w:sz w:val="24"/>
          <w:szCs w:val="24"/>
        </w:rPr>
        <w:t xml:space="preserve"> </w:t>
      </w:r>
      <w:r>
        <w:rPr>
          <w:rFonts w:ascii="Times New Roman" w:hAnsi="Times New Roman" w:eastAsia="宋体" w:cs="Times New Roman"/>
          <w:b w:val="0"/>
          <w:bCs w:val="0"/>
          <w:i w:val="0"/>
          <w:iCs w:val="0"/>
          <w:color w:val="000000"/>
          <w:sz w:val="24"/>
          <w:szCs w:val="24"/>
        </w:rPr>
        <w:t>建筑光伏子分部工程分为基座、支架、光伏组件、电气系统四个分项工程；</w:t>
      </w:r>
    </w:p>
    <w:p w14:paraId="50C3FCC6">
      <w:pPr>
        <w:snapToGrid w:val="0"/>
        <w:spacing w:line="300" w:lineRule="auto"/>
        <w:ind w:firstLine="482" w:firstLineChars="200"/>
        <w:jc w:val="left"/>
        <w:rPr>
          <w:rFonts w:ascii="Times New Roman" w:hAnsi="Times New Roman" w:eastAsia="宋体" w:cs="Times New Roman"/>
          <w:b w:val="0"/>
          <w:bCs w:val="0"/>
          <w:i w:val="0"/>
          <w:iCs w:val="0"/>
          <w:sz w:val="24"/>
          <w:szCs w:val="24"/>
        </w:rPr>
      </w:pPr>
      <w:r>
        <w:rPr>
          <w:rFonts w:hint="eastAsia"/>
          <w:b/>
          <w:bCs/>
          <w:sz w:val="24"/>
          <w:lang w:val="en-US" w:eastAsia="zh-CN"/>
        </w:rPr>
        <w:t xml:space="preserve">2 </w:t>
      </w:r>
      <w:r>
        <w:rPr>
          <w:rFonts w:ascii="Times New Roman" w:hAnsi="Times New Roman" w:eastAsia="宋体" w:cs="Times New Roman"/>
          <w:b w:val="0"/>
          <w:bCs w:val="0"/>
          <w:i w:val="0"/>
          <w:iCs w:val="0"/>
          <w:color w:val="000000"/>
          <w:sz w:val="24"/>
          <w:szCs w:val="24"/>
        </w:rPr>
        <w:t>建筑光伏子分部工程可按照分项工程进行验收，当分项工程较大时，可以将分项工程分为若干个检验批进行验收；</w:t>
      </w:r>
    </w:p>
    <w:p w14:paraId="473CCFB7">
      <w:pPr>
        <w:snapToGrid w:val="0"/>
        <w:spacing w:line="300" w:lineRule="auto"/>
        <w:ind w:firstLine="482" w:firstLineChars="200"/>
        <w:jc w:val="left"/>
        <w:rPr>
          <w:rFonts w:ascii="Times New Roman" w:hAnsi="Times New Roman" w:eastAsia="宋体" w:cs="Times New Roman"/>
          <w:b w:val="0"/>
          <w:bCs w:val="0"/>
          <w:i w:val="0"/>
          <w:iCs w:val="0"/>
          <w:sz w:val="24"/>
          <w:szCs w:val="24"/>
        </w:rPr>
      </w:pPr>
      <w:r>
        <w:rPr>
          <w:rFonts w:hint="eastAsia"/>
          <w:b/>
          <w:bCs/>
          <w:sz w:val="24"/>
          <w:lang w:val="en-US" w:eastAsia="zh-CN"/>
        </w:rPr>
        <w:t xml:space="preserve">3 </w:t>
      </w:r>
      <w:r>
        <w:rPr>
          <w:rFonts w:ascii="Times New Roman" w:hAnsi="Times New Roman" w:eastAsia="宋体" w:cs="Times New Roman"/>
          <w:b w:val="0"/>
          <w:bCs w:val="0"/>
          <w:i w:val="0"/>
          <w:iCs w:val="0"/>
          <w:color w:val="000000"/>
          <w:sz w:val="24"/>
          <w:szCs w:val="24"/>
        </w:rPr>
        <w:t>当建筑光伏子分部工程验收无法按照上述要求划分分项工程时，可由建设、 监理、施工等各方协商进行划分，但验收项目、验收内容、验收标准和验收记录均应符合本</w:t>
      </w:r>
      <w:r>
        <w:rPr>
          <w:rFonts w:hint="eastAsia" w:cs="Times New Roman"/>
          <w:b w:val="0"/>
          <w:bCs w:val="0"/>
          <w:i w:val="0"/>
          <w:iCs w:val="0"/>
          <w:sz w:val="24"/>
          <w:szCs w:val="24"/>
          <w:lang w:val="en-US" w:eastAsia="zh-CN"/>
        </w:rPr>
        <w:t>标准</w:t>
      </w:r>
      <w:r>
        <w:rPr>
          <w:rFonts w:ascii="Times New Roman" w:hAnsi="Times New Roman" w:eastAsia="宋体" w:cs="Times New Roman"/>
          <w:b w:val="0"/>
          <w:bCs w:val="0"/>
          <w:i w:val="0"/>
          <w:iCs w:val="0"/>
          <w:color w:val="000000"/>
          <w:sz w:val="24"/>
          <w:szCs w:val="24"/>
        </w:rPr>
        <w:t>的规定。</w:t>
      </w:r>
    </w:p>
    <w:p w14:paraId="1B09D29F">
      <w:pPr>
        <w:snapToGrid w:val="0"/>
        <w:spacing w:line="300" w:lineRule="auto"/>
        <w:ind w:firstLine="0" w:firstLineChars="0"/>
        <w:jc w:val="left"/>
        <w:rPr>
          <w:rFonts w:ascii="Times New Roman" w:hAnsi="Times New Roman" w:eastAsia="宋体" w:cs="Times New Roman"/>
          <w:b w:val="0"/>
          <w:bCs w:val="0"/>
          <w:i w:val="0"/>
          <w:iCs w:val="0"/>
          <w:sz w:val="24"/>
          <w:szCs w:val="24"/>
        </w:rPr>
      </w:pPr>
      <w:r>
        <w:rPr>
          <w:rFonts w:hint="eastAsia"/>
          <w:b/>
          <w:bCs/>
          <w:sz w:val="24"/>
          <w:lang w:val="en-US" w:eastAsia="zh-CN"/>
        </w:rPr>
        <w:t xml:space="preserve">13.1.4 </w:t>
      </w:r>
      <w:r>
        <w:rPr>
          <w:rFonts w:ascii="Times New Roman" w:hAnsi="Times New Roman" w:eastAsia="宋体" w:cs="Times New Roman"/>
          <w:b w:val="0"/>
          <w:bCs w:val="0"/>
          <w:i w:val="0"/>
          <w:iCs w:val="0"/>
          <w:color w:val="000000"/>
          <w:sz w:val="24"/>
          <w:szCs w:val="24"/>
        </w:rPr>
        <w:t>建筑光伏工程施工质量验收的各方参加人员资格、程序和组织应符合下列</w:t>
      </w:r>
      <w:r>
        <w:rPr>
          <w:rFonts w:hint="eastAsia" w:cs="Times New Roman"/>
          <w:b w:val="0"/>
          <w:bCs w:val="0"/>
          <w:i w:val="0"/>
          <w:iCs w:val="0"/>
          <w:color w:val="000000"/>
          <w:sz w:val="24"/>
          <w:szCs w:val="24"/>
          <w:lang w:eastAsia="zh-CN"/>
        </w:rPr>
        <w:t>要求</w:t>
      </w:r>
      <w:r>
        <w:rPr>
          <w:rFonts w:ascii="Times New Roman" w:hAnsi="Times New Roman" w:eastAsia="宋体" w:cs="Times New Roman"/>
          <w:b w:val="0"/>
          <w:bCs w:val="0"/>
          <w:i w:val="0"/>
          <w:iCs w:val="0"/>
          <w:color w:val="000000"/>
          <w:sz w:val="24"/>
          <w:szCs w:val="24"/>
        </w:rPr>
        <w:t>：</w:t>
      </w:r>
    </w:p>
    <w:p w14:paraId="086267F6">
      <w:pPr>
        <w:snapToGrid w:val="0"/>
        <w:spacing w:line="300" w:lineRule="auto"/>
        <w:ind w:firstLine="482" w:firstLineChars="200"/>
        <w:jc w:val="left"/>
        <w:rPr>
          <w:rFonts w:ascii="Times New Roman" w:hAnsi="Times New Roman" w:eastAsia="宋体" w:cs="Times New Roman"/>
          <w:b w:val="0"/>
          <w:bCs w:val="0"/>
          <w:i w:val="0"/>
          <w:iCs w:val="0"/>
          <w:sz w:val="24"/>
          <w:szCs w:val="24"/>
        </w:rPr>
      </w:pPr>
      <w:r>
        <w:rPr>
          <w:rFonts w:hint="eastAsia" w:cs="Times New Roman"/>
          <w:b/>
          <w:bCs/>
          <w:i w:val="0"/>
          <w:iCs w:val="0"/>
          <w:sz w:val="24"/>
          <w:szCs w:val="24"/>
          <w:lang w:val="en-US" w:eastAsia="zh-CN"/>
        </w:rPr>
        <w:t xml:space="preserve">1 </w:t>
      </w:r>
      <w:r>
        <w:rPr>
          <w:rFonts w:ascii="Times New Roman" w:hAnsi="Times New Roman" w:eastAsia="宋体" w:cs="Times New Roman"/>
          <w:b w:val="0"/>
          <w:bCs w:val="0"/>
          <w:i w:val="0"/>
          <w:iCs w:val="0"/>
          <w:color w:val="000000"/>
          <w:sz w:val="24"/>
          <w:szCs w:val="24"/>
        </w:rPr>
        <w:t>检验批验收和隐蔽工程验收应由专业监理工程师（建设单位项目技术负责人）组织并主持，施工单位相关专业质量检查员、施工员参加验收；</w:t>
      </w:r>
    </w:p>
    <w:p w14:paraId="19990E29">
      <w:pPr>
        <w:snapToGrid w:val="0"/>
        <w:spacing w:line="300" w:lineRule="auto"/>
        <w:ind w:firstLine="482" w:firstLineChars="200"/>
        <w:jc w:val="left"/>
        <w:rPr>
          <w:rFonts w:ascii="Times New Roman" w:hAnsi="Times New Roman" w:eastAsia="宋体" w:cs="Times New Roman"/>
          <w:b w:val="0"/>
          <w:bCs w:val="0"/>
          <w:i w:val="0"/>
          <w:iCs w:val="0"/>
          <w:sz w:val="24"/>
          <w:szCs w:val="24"/>
        </w:rPr>
      </w:pPr>
      <w:r>
        <w:rPr>
          <w:rFonts w:hint="eastAsia" w:cs="Times New Roman"/>
          <w:b/>
          <w:bCs/>
          <w:i w:val="0"/>
          <w:iCs w:val="0"/>
          <w:sz w:val="24"/>
          <w:szCs w:val="24"/>
          <w:lang w:eastAsia="zh-CN"/>
        </w:rPr>
        <w:t>2</w:t>
      </w:r>
      <w:r>
        <w:rPr>
          <w:rFonts w:hint="eastAsia" w:cs="Times New Roman"/>
          <w:b/>
          <w:bCs/>
          <w:i w:val="0"/>
          <w:iCs w:val="0"/>
          <w:sz w:val="24"/>
          <w:szCs w:val="24"/>
          <w:lang w:val="en-US" w:eastAsia="zh-CN"/>
        </w:rPr>
        <w:t xml:space="preserve"> </w:t>
      </w:r>
      <w:r>
        <w:rPr>
          <w:rFonts w:ascii="Times New Roman" w:hAnsi="Times New Roman" w:eastAsia="宋体" w:cs="Times New Roman"/>
          <w:b w:val="0"/>
          <w:bCs w:val="0"/>
          <w:i w:val="0"/>
          <w:iCs w:val="0"/>
          <w:color w:val="000000"/>
          <w:sz w:val="24"/>
          <w:szCs w:val="24"/>
        </w:rPr>
        <w:t>分项工程验收应由专业监理工程师（建设单位项目技术负责人）组织并主持，施工单位项目技术负责人和相关专业的质量检查员、施工员参加验收</w:t>
      </w:r>
      <w:r>
        <w:rPr>
          <w:rFonts w:hint="eastAsia" w:cs="Times New Roman"/>
          <w:b w:val="0"/>
          <w:bCs w:val="0"/>
          <w:i w:val="0"/>
          <w:iCs w:val="0"/>
          <w:color w:val="000000"/>
          <w:sz w:val="24"/>
          <w:szCs w:val="24"/>
          <w:lang w:eastAsia="zh-CN"/>
        </w:rPr>
        <w:t>，</w:t>
      </w:r>
      <w:r>
        <w:rPr>
          <w:rFonts w:ascii="Times New Roman" w:hAnsi="Times New Roman" w:eastAsia="宋体" w:cs="Times New Roman"/>
          <w:b w:val="0"/>
          <w:bCs w:val="0"/>
          <w:i w:val="0"/>
          <w:iCs w:val="0"/>
          <w:color w:val="000000"/>
          <w:sz w:val="24"/>
          <w:szCs w:val="24"/>
        </w:rPr>
        <w:t>必要时可邀请主要设备、材料供应商及分包单位、设计单位相关专业人员参加验收；</w:t>
      </w:r>
    </w:p>
    <w:p w14:paraId="590958B3">
      <w:pPr>
        <w:snapToGrid w:val="0"/>
        <w:spacing w:line="300" w:lineRule="auto"/>
        <w:ind w:firstLine="482" w:firstLineChars="200"/>
        <w:jc w:val="left"/>
        <w:rPr>
          <w:rFonts w:ascii="Times New Roman" w:hAnsi="Times New Roman" w:eastAsia="宋体" w:cs="Times New Roman"/>
          <w:sz w:val="24"/>
          <w:szCs w:val="24"/>
        </w:rPr>
      </w:pPr>
      <w:r>
        <w:rPr>
          <w:rFonts w:hint="eastAsia" w:cs="Times New Roman"/>
          <w:b/>
          <w:bCs/>
          <w:i w:val="0"/>
          <w:iCs w:val="0"/>
          <w:sz w:val="24"/>
          <w:szCs w:val="24"/>
          <w:lang w:eastAsia="zh-CN"/>
        </w:rPr>
        <w:t>3</w:t>
      </w:r>
      <w:r>
        <w:rPr>
          <w:rFonts w:hint="eastAsia" w:cs="Times New Roman"/>
          <w:b w:val="0"/>
          <w:bCs w:val="0"/>
          <w:i w:val="0"/>
          <w:iCs w:val="0"/>
          <w:sz w:val="24"/>
          <w:szCs w:val="24"/>
          <w:lang w:val="en-US" w:eastAsia="zh-CN"/>
        </w:rPr>
        <w:t xml:space="preserve"> </w:t>
      </w:r>
      <w:r>
        <w:rPr>
          <w:rFonts w:ascii="Times New Roman" w:hAnsi="Times New Roman" w:eastAsia="宋体" w:cs="Times New Roman"/>
          <w:b w:val="0"/>
          <w:bCs w:val="0"/>
          <w:i w:val="0"/>
          <w:iCs w:val="0"/>
          <w:color w:val="000000"/>
          <w:sz w:val="24"/>
          <w:szCs w:val="24"/>
        </w:rPr>
        <w:t>子分部工程验收应由总监理工程师组织并主持</w:t>
      </w:r>
      <w:r>
        <w:rPr>
          <w:rFonts w:hint="eastAsia" w:cs="Times New Roman"/>
          <w:b w:val="0"/>
          <w:bCs w:val="0"/>
          <w:i w:val="0"/>
          <w:iCs w:val="0"/>
          <w:sz w:val="24"/>
          <w:szCs w:val="24"/>
          <w:lang w:eastAsia="zh-CN"/>
        </w:rPr>
        <w:t>，</w:t>
      </w:r>
      <w:r>
        <w:rPr>
          <w:rFonts w:ascii="Times New Roman" w:hAnsi="Times New Roman" w:eastAsia="宋体" w:cs="Times New Roman"/>
          <w:b w:val="0"/>
          <w:bCs w:val="0"/>
          <w:i w:val="0"/>
          <w:iCs w:val="0"/>
          <w:color w:val="000000"/>
          <w:sz w:val="24"/>
          <w:szCs w:val="24"/>
        </w:rPr>
        <w:t>专业监理工程师应参加验收</w:t>
      </w:r>
      <w:r>
        <w:rPr>
          <w:rFonts w:hint="eastAsia" w:cs="Times New Roman"/>
          <w:b w:val="0"/>
          <w:bCs w:val="0"/>
          <w:i w:val="0"/>
          <w:iCs w:val="0"/>
          <w:sz w:val="24"/>
          <w:szCs w:val="24"/>
          <w:lang w:eastAsia="zh-CN"/>
        </w:rPr>
        <w:t>；</w:t>
      </w:r>
      <w:r>
        <w:rPr>
          <w:rFonts w:ascii="Times New Roman" w:hAnsi="Times New Roman" w:eastAsia="宋体" w:cs="Times New Roman"/>
          <w:b w:val="0"/>
          <w:bCs w:val="0"/>
          <w:i w:val="0"/>
          <w:iCs w:val="0"/>
          <w:color w:val="000000"/>
          <w:sz w:val="24"/>
          <w:szCs w:val="24"/>
        </w:rPr>
        <w:t>施工单位项目负责人、项目技术负责人和相关专业的负责人、质量检查员、 施工员应参加验收</w:t>
      </w:r>
      <w:r>
        <w:rPr>
          <w:rFonts w:hint="eastAsia" w:cs="Times New Roman"/>
          <w:b w:val="0"/>
          <w:bCs w:val="0"/>
          <w:i w:val="0"/>
          <w:iCs w:val="0"/>
          <w:sz w:val="24"/>
          <w:szCs w:val="24"/>
          <w:lang w:eastAsia="zh-CN"/>
        </w:rPr>
        <w:t>；</w:t>
      </w:r>
      <w:r>
        <w:rPr>
          <w:rFonts w:ascii="Times New Roman" w:hAnsi="Times New Roman" w:eastAsia="宋体" w:cs="Times New Roman"/>
          <w:b w:val="0"/>
          <w:bCs w:val="0"/>
          <w:i w:val="0"/>
          <w:iCs w:val="0"/>
          <w:color w:val="000000"/>
          <w:sz w:val="24"/>
          <w:szCs w:val="24"/>
        </w:rPr>
        <w:t>施工单位的质量、技术负责人应参加验收；设计单位项目负责人和相关专业负责人应参加验收；主要设备、材料供应商及分包单位负责人应参加验收。</w:t>
      </w:r>
    </w:p>
    <w:p w14:paraId="2827D6DD">
      <w:pPr>
        <w:keepNext/>
        <w:keepLines/>
        <w:spacing w:before="95" w:beforeLines="30" w:after="95" w:afterLines="30" w:line="300" w:lineRule="auto"/>
        <w:ind w:firstLine="3614" w:firstLineChars="1500"/>
        <w:outlineLvl w:val="2"/>
        <w:rPr>
          <w:rFonts w:hint="default" w:ascii="Times New Roman" w:hAnsi="Times New Roman" w:eastAsia="宋体" w:cs="Times New Roman"/>
          <w:b/>
          <w:sz w:val="24"/>
          <w:szCs w:val="32"/>
        </w:rPr>
      </w:pPr>
      <w:bookmarkStart w:id="460" w:name="_Toc10165"/>
      <w:bookmarkStart w:id="461" w:name="_Toc27731"/>
      <w:bookmarkStart w:id="462" w:name="_Toc8655"/>
      <w:bookmarkStart w:id="463" w:name="_Toc19089"/>
      <w:bookmarkStart w:id="464" w:name="_Toc1862"/>
      <w:bookmarkStart w:id="465" w:name="_Toc4994"/>
      <w:r>
        <w:rPr>
          <w:rFonts w:hint="default" w:ascii="Times New Roman" w:hAnsi="Times New Roman" w:eastAsia="宋体" w:cs="Times New Roman"/>
          <w:b/>
          <w:sz w:val="24"/>
          <w:szCs w:val="32"/>
          <w:lang w:val="en-US" w:eastAsia="zh-CN"/>
        </w:rPr>
        <w:t>1</w:t>
      </w:r>
      <w:r>
        <w:rPr>
          <w:rFonts w:hint="default" w:cs="Times New Roman"/>
          <w:b/>
          <w:sz w:val="24"/>
          <w:szCs w:val="32"/>
          <w:lang w:val="en-US" w:eastAsia="zh-CN"/>
        </w:rPr>
        <w:t>3</w:t>
      </w:r>
      <w:r>
        <w:rPr>
          <w:rFonts w:hint="default" w:ascii="Times New Roman" w:hAnsi="Times New Roman" w:eastAsia="宋体" w:cs="Times New Roman"/>
          <w:b/>
          <w:sz w:val="24"/>
          <w:szCs w:val="32"/>
          <w:lang w:val="en-US" w:eastAsia="zh-CN"/>
        </w:rPr>
        <w:t>.2验收要求</w:t>
      </w:r>
      <w:bookmarkEnd w:id="460"/>
      <w:bookmarkEnd w:id="461"/>
      <w:bookmarkEnd w:id="462"/>
      <w:bookmarkEnd w:id="463"/>
      <w:bookmarkEnd w:id="464"/>
      <w:bookmarkEnd w:id="465"/>
    </w:p>
    <w:p w14:paraId="0BED946C">
      <w:pPr>
        <w:snapToGrid w:val="0"/>
        <w:spacing w:line="300" w:lineRule="auto"/>
        <w:jc w:val="left"/>
        <w:rPr>
          <w:rFonts w:hint="default" w:eastAsia="微软雅黑"/>
          <w:sz w:val="24"/>
          <w:lang w:val="en-US" w:eastAsia="zh-CN"/>
        </w:rPr>
      </w:pPr>
      <w:r>
        <w:rPr>
          <w:b/>
          <w:bCs/>
          <w:sz w:val="24"/>
        </w:rPr>
        <w:t>1</w:t>
      </w:r>
      <w:r>
        <w:rPr>
          <w:rFonts w:hint="eastAsia"/>
          <w:b/>
          <w:bCs/>
          <w:sz w:val="24"/>
          <w:lang w:val="en-US" w:eastAsia="zh-CN"/>
        </w:rPr>
        <w:t>3</w:t>
      </w:r>
      <w:r>
        <w:rPr>
          <w:b/>
          <w:bCs/>
          <w:sz w:val="24"/>
        </w:rPr>
        <w:t>.</w:t>
      </w:r>
      <w:r>
        <w:rPr>
          <w:rFonts w:hint="eastAsia"/>
          <w:b/>
          <w:bCs/>
          <w:sz w:val="24"/>
          <w:lang w:val="en-US" w:eastAsia="zh-CN"/>
        </w:rPr>
        <w:t>2</w:t>
      </w:r>
      <w:r>
        <w:rPr>
          <w:b/>
          <w:bCs/>
          <w:sz w:val="24"/>
        </w:rPr>
        <w:t>.1</w:t>
      </w:r>
      <w:r>
        <w:rPr>
          <w:rFonts w:hint="eastAsia"/>
          <w:sz w:val="24"/>
        </w:rPr>
        <w:t xml:space="preserve"> </w:t>
      </w:r>
      <w:r>
        <w:rPr>
          <w:rFonts w:hint="default"/>
          <w:color w:val="000000"/>
          <w:sz w:val="24"/>
          <w:lang w:val="en-US" w:eastAsia="zh-CN"/>
        </w:rPr>
        <w:t>光伏系统工程验收应符合《</w:t>
      </w:r>
      <w:r>
        <w:rPr>
          <w:rFonts w:ascii="Times New Roman" w:hAnsi="Times New Roman" w:eastAsia="宋体" w:cs="Times New Roman"/>
          <w:b w:val="0"/>
          <w:bCs w:val="0"/>
          <w:i w:val="0"/>
          <w:iCs w:val="0"/>
          <w:caps w:val="0"/>
          <w:color w:val="000000"/>
          <w:spacing w:val="0"/>
          <w:sz w:val="24"/>
          <w:szCs w:val="24"/>
          <w:shd w:val="clear" w:fill="auto"/>
        </w:rPr>
        <w:t>广东省建筑节能与绿色建筑工程施工质量验收规范</w:t>
      </w:r>
      <w:r>
        <w:rPr>
          <w:rFonts w:hint="default"/>
          <w:color w:val="000000"/>
          <w:sz w:val="24"/>
          <w:lang w:val="en-US" w:eastAsia="zh-CN"/>
        </w:rPr>
        <w:t>》</w:t>
      </w:r>
      <w:r>
        <w:rPr>
          <w:rFonts w:ascii="Times New Roman" w:hAnsi="Times New Roman" w:eastAsia="宋体" w:cs="Times New Roman"/>
          <w:i w:val="0"/>
          <w:iCs w:val="0"/>
          <w:caps w:val="0"/>
          <w:color w:val="000000"/>
          <w:spacing w:val="0"/>
          <w:sz w:val="24"/>
          <w:szCs w:val="24"/>
          <w:shd w:val="clear" w:fill="auto"/>
        </w:rPr>
        <w:t>DBJ 15-65</w:t>
      </w:r>
      <w:r>
        <w:rPr>
          <w:rFonts w:hint="default" w:ascii="Times New Roman" w:hAnsi="Times New Roman" w:eastAsia="宋体" w:cs="Times New Roman"/>
          <w:i w:val="0"/>
          <w:iCs w:val="0"/>
          <w:caps w:val="0"/>
          <w:color w:val="000000"/>
          <w:spacing w:val="0"/>
          <w:sz w:val="24"/>
          <w:szCs w:val="24"/>
          <w:shd w:val="clear" w:fill="auto"/>
          <w:lang w:val="en-US" w:eastAsia="zh-CN"/>
        </w:rPr>
        <w:t>相关规定。</w:t>
      </w:r>
    </w:p>
    <w:p w14:paraId="1699148A">
      <w:pPr>
        <w:snapToGrid w:val="0"/>
        <w:spacing w:line="300" w:lineRule="auto"/>
        <w:jc w:val="left"/>
        <w:rPr>
          <w:sz w:val="24"/>
        </w:rPr>
      </w:pPr>
      <w:r>
        <w:rPr>
          <w:b/>
          <w:bCs/>
          <w:sz w:val="24"/>
        </w:rPr>
        <w:t>1</w:t>
      </w:r>
      <w:r>
        <w:rPr>
          <w:rFonts w:hint="eastAsia"/>
          <w:b/>
          <w:bCs/>
          <w:sz w:val="24"/>
          <w:lang w:val="en-US" w:eastAsia="zh-CN"/>
        </w:rPr>
        <w:t>3</w:t>
      </w:r>
      <w:r>
        <w:rPr>
          <w:b/>
          <w:bCs/>
          <w:sz w:val="24"/>
        </w:rPr>
        <w:t>.</w:t>
      </w:r>
      <w:r>
        <w:rPr>
          <w:rFonts w:hint="eastAsia"/>
          <w:b/>
          <w:bCs/>
          <w:sz w:val="24"/>
          <w:lang w:val="en-US" w:eastAsia="zh-CN"/>
        </w:rPr>
        <w:t>2</w:t>
      </w:r>
      <w:r>
        <w:rPr>
          <w:b/>
          <w:bCs/>
          <w:sz w:val="24"/>
        </w:rPr>
        <w:t>.</w:t>
      </w:r>
      <w:r>
        <w:rPr>
          <w:rFonts w:hint="eastAsia"/>
          <w:b/>
          <w:bCs/>
          <w:sz w:val="24"/>
          <w:lang w:val="en-US" w:eastAsia="zh-CN"/>
        </w:rPr>
        <w:t>2</w:t>
      </w:r>
      <w:r>
        <w:rPr>
          <w:rFonts w:hint="eastAsia"/>
          <w:sz w:val="24"/>
        </w:rPr>
        <w:t xml:space="preserve"> </w:t>
      </w:r>
      <w:r>
        <w:rPr>
          <w:sz w:val="24"/>
        </w:rPr>
        <w:t>光伏发电系统工程验收应通过单位工程验收、工程启动验收、工程试运和移交生产验收以及工程竣工验收。</w:t>
      </w:r>
    </w:p>
    <w:p w14:paraId="11A4BC55">
      <w:pPr>
        <w:snapToGrid w:val="0"/>
        <w:spacing w:line="300" w:lineRule="auto"/>
        <w:jc w:val="left"/>
        <w:rPr>
          <w:sz w:val="24"/>
        </w:rPr>
      </w:pPr>
      <w:r>
        <w:rPr>
          <w:b/>
          <w:bCs/>
          <w:sz w:val="24"/>
        </w:rPr>
        <w:t>1</w:t>
      </w:r>
      <w:r>
        <w:rPr>
          <w:rFonts w:hint="eastAsia"/>
          <w:b/>
          <w:bCs/>
          <w:sz w:val="24"/>
          <w:lang w:val="en-US" w:eastAsia="zh-CN"/>
        </w:rPr>
        <w:t>3</w:t>
      </w:r>
      <w:r>
        <w:rPr>
          <w:b/>
          <w:bCs/>
          <w:sz w:val="24"/>
        </w:rPr>
        <w:t>.</w:t>
      </w:r>
      <w:r>
        <w:rPr>
          <w:rFonts w:hint="eastAsia"/>
          <w:b/>
          <w:bCs/>
          <w:sz w:val="24"/>
          <w:lang w:val="en-US" w:eastAsia="zh-CN"/>
        </w:rPr>
        <w:t>2</w:t>
      </w:r>
      <w:r>
        <w:rPr>
          <w:rFonts w:hint="eastAsia"/>
          <w:b/>
          <w:bCs/>
          <w:sz w:val="24"/>
        </w:rPr>
        <w:t>.</w:t>
      </w:r>
      <w:r>
        <w:rPr>
          <w:rFonts w:hint="eastAsia"/>
          <w:b/>
          <w:bCs/>
          <w:sz w:val="24"/>
          <w:lang w:val="en-US" w:eastAsia="zh-CN"/>
        </w:rPr>
        <w:t>3</w:t>
      </w:r>
      <w:r>
        <w:rPr>
          <w:rFonts w:hint="eastAsia"/>
          <w:sz w:val="24"/>
        </w:rPr>
        <w:t xml:space="preserve"> </w:t>
      </w:r>
      <w:r>
        <w:rPr>
          <w:sz w:val="24"/>
        </w:rPr>
        <w:t>光伏发电系统工程验收应符合下列</w:t>
      </w:r>
      <w:r>
        <w:rPr>
          <w:rFonts w:hint="eastAsia"/>
          <w:sz w:val="24"/>
          <w:lang w:eastAsia="zh-CN"/>
        </w:rPr>
        <w:t>要求</w:t>
      </w:r>
      <w:r>
        <w:rPr>
          <w:sz w:val="24"/>
        </w:rPr>
        <w:t>：</w:t>
      </w:r>
    </w:p>
    <w:p w14:paraId="12A4A409">
      <w:pPr>
        <w:snapToGrid w:val="0"/>
        <w:spacing w:line="300" w:lineRule="auto"/>
        <w:ind w:firstLine="482" w:firstLineChars="200"/>
        <w:jc w:val="left"/>
        <w:rPr>
          <w:sz w:val="24"/>
        </w:rPr>
      </w:pPr>
      <w:r>
        <w:rPr>
          <w:b/>
          <w:bCs/>
          <w:sz w:val="24"/>
        </w:rPr>
        <w:t>1</w:t>
      </w:r>
      <w:r>
        <w:rPr>
          <w:rFonts w:hint="eastAsia"/>
          <w:b/>
          <w:bCs/>
          <w:sz w:val="24"/>
          <w:lang w:val="en-US" w:eastAsia="zh-CN"/>
        </w:rPr>
        <w:t xml:space="preserve"> </w:t>
      </w:r>
      <w:r>
        <w:rPr>
          <w:sz w:val="24"/>
        </w:rPr>
        <w:t>单位工程的验收应在施工单位自行检查评定合格的基础上进行；</w:t>
      </w:r>
    </w:p>
    <w:p w14:paraId="07343635">
      <w:pPr>
        <w:snapToGrid w:val="0"/>
        <w:spacing w:line="300" w:lineRule="auto"/>
        <w:ind w:firstLine="482" w:firstLineChars="200"/>
        <w:jc w:val="left"/>
        <w:rPr>
          <w:sz w:val="24"/>
        </w:rPr>
      </w:pPr>
      <w:r>
        <w:rPr>
          <w:b/>
          <w:bCs/>
          <w:sz w:val="24"/>
        </w:rPr>
        <w:t>2</w:t>
      </w:r>
      <w:r>
        <w:rPr>
          <w:rFonts w:hint="eastAsia"/>
          <w:b/>
          <w:bCs/>
          <w:sz w:val="24"/>
          <w:lang w:val="en-US" w:eastAsia="zh-CN"/>
        </w:rPr>
        <w:t xml:space="preserve"> </w:t>
      </w:r>
      <w:r>
        <w:rPr>
          <w:sz w:val="24"/>
        </w:rPr>
        <w:t>工程启动验收应在单位工程验收合格的基础上进行；</w:t>
      </w:r>
    </w:p>
    <w:p w14:paraId="1BD376D6">
      <w:pPr>
        <w:snapToGrid w:val="0"/>
        <w:spacing w:line="300" w:lineRule="auto"/>
        <w:ind w:firstLine="482" w:firstLineChars="200"/>
        <w:jc w:val="left"/>
        <w:rPr>
          <w:sz w:val="24"/>
        </w:rPr>
      </w:pPr>
      <w:r>
        <w:rPr>
          <w:b/>
          <w:bCs/>
          <w:sz w:val="24"/>
        </w:rPr>
        <w:t>3</w:t>
      </w:r>
      <w:r>
        <w:rPr>
          <w:rFonts w:hint="eastAsia"/>
          <w:b/>
          <w:bCs/>
          <w:sz w:val="24"/>
          <w:lang w:val="en-US" w:eastAsia="zh-CN"/>
        </w:rPr>
        <w:t xml:space="preserve"> </w:t>
      </w:r>
      <w:r>
        <w:rPr>
          <w:sz w:val="24"/>
        </w:rPr>
        <w:t>工程试运和移交生产验收应在工程启动验收完成并应具备工程试运和移交生产验收条件后进行；</w:t>
      </w:r>
    </w:p>
    <w:p w14:paraId="3445C4D4">
      <w:pPr>
        <w:snapToGrid w:val="0"/>
        <w:spacing w:line="300" w:lineRule="auto"/>
        <w:ind w:firstLine="482" w:firstLineChars="200"/>
        <w:jc w:val="left"/>
        <w:rPr>
          <w:sz w:val="24"/>
        </w:rPr>
      </w:pPr>
      <w:r>
        <w:rPr>
          <w:b/>
          <w:bCs/>
          <w:sz w:val="24"/>
        </w:rPr>
        <w:t>4</w:t>
      </w:r>
      <w:r>
        <w:rPr>
          <w:rFonts w:hint="eastAsia"/>
          <w:b/>
          <w:bCs/>
          <w:sz w:val="24"/>
          <w:lang w:val="en-US" w:eastAsia="zh-CN"/>
        </w:rPr>
        <w:t xml:space="preserve"> </w:t>
      </w:r>
      <w:r>
        <w:rPr>
          <w:sz w:val="24"/>
        </w:rPr>
        <w:t>工程竣工验收应在试运和移交生产验收合格后进行。</w:t>
      </w:r>
    </w:p>
    <w:p w14:paraId="481610F7">
      <w:pPr>
        <w:snapToGrid w:val="0"/>
        <w:spacing w:line="300" w:lineRule="auto"/>
        <w:jc w:val="left"/>
        <w:rPr>
          <w:sz w:val="24"/>
        </w:rPr>
      </w:pPr>
      <w:r>
        <w:rPr>
          <w:b/>
          <w:bCs/>
          <w:sz w:val="24"/>
        </w:rPr>
        <w:t>1</w:t>
      </w:r>
      <w:r>
        <w:rPr>
          <w:rFonts w:hint="eastAsia"/>
          <w:b/>
          <w:bCs/>
          <w:sz w:val="24"/>
          <w:lang w:val="en-US" w:eastAsia="zh-CN"/>
        </w:rPr>
        <w:t>3</w:t>
      </w:r>
      <w:r>
        <w:rPr>
          <w:b/>
          <w:bCs/>
          <w:sz w:val="24"/>
        </w:rPr>
        <w:t>.</w:t>
      </w:r>
      <w:r>
        <w:rPr>
          <w:rFonts w:hint="eastAsia"/>
          <w:b/>
          <w:bCs/>
          <w:sz w:val="24"/>
          <w:lang w:val="en-US" w:eastAsia="zh-CN"/>
        </w:rPr>
        <w:t>2</w:t>
      </w:r>
      <w:r>
        <w:rPr>
          <w:b/>
          <w:bCs/>
          <w:sz w:val="24"/>
        </w:rPr>
        <w:t>.</w:t>
      </w:r>
      <w:r>
        <w:rPr>
          <w:rFonts w:hint="eastAsia"/>
          <w:b/>
          <w:bCs/>
          <w:sz w:val="24"/>
          <w:lang w:val="en-US" w:eastAsia="zh-CN"/>
        </w:rPr>
        <w:t>4</w:t>
      </w:r>
      <w:r>
        <w:rPr>
          <w:rFonts w:hint="eastAsia"/>
          <w:b/>
          <w:bCs/>
          <w:sz w:val="24"/>
        </w:rPr>
        <w:t xml:space="preserve"> </w:t>
      </w:r>
      <w:r>
        <w:rPr>
          <w:sz w:val="24"/>
        </w:rPr>
        <w:t>光伏发电系统分项工程检验批质量验收合格标准应符合下列规定：</w:t>
      </w:r>
    </w:p>
    <w:p w14:paraId="03907342">
      <w:pPr>
        <w:snapToGrid w:val="0"/>
        <w:spacing w:line="300" w:lineRule="auto"/>
        <w:ind w:firstLine="482" w:firstLineChars="200"/>
        <w:jc w:val="left"/>
        <w:rPr>
          <w:sz w:val="24"/>
        </w:rPr>
      </w:pPr>
      <w:r>
        <w:rPr>
          <w:b/>
          <w:bCs/>
          <w:sz w:val="24"/>
        </w:rPr>
        <w:t>1</w:t>
      </w:r>
      <w:r>
        <w:rPr>
          <w:rFonts w:hint="eastAsia"/>
          <w:b/>
          <w:bCs/>
          <w:sz w:val="24"/>
          <w:lang w:val="en-US" w:eastAsia="zh-CN"/>
        </w:rPr>
        <w:t xml:space="preserve"> </w:t>
      </w:r>
      <w:r>
        <w:rPr>
          <w:sz w:val="24"/>
        </w:rPr>
        <w:t>主控项目应符合质量合格标准要求；</w:t>
      </w:r>
    </w:p>
    <w:p w14:paraId="7D90960A">
      <w:pPr>
        <w:snapToGrid w:val="0"/>
        <w:spacing w:line="300" w:lineRule="auto"/>
        <w:ind w:firstLine="482" w:firstLineChars="200"/>
        <w:jc w:val="left"/>
        <w:rPr>
          <w:sz w:val="24"/>
        </w:rPr>
      </w:pPr>
      <w:r>
        <w:rPr>
          <w:b/>
          <w:bCs/>
          <w:sz w:val="24"/>
        </w:rPr>
        <w:t>2</w:t>
      </w:r>
      <w:r>
        <w:rPr>
          <w:rFonts w:hint="eastAsia"/>
          <w:b/>
          <w:bCs/>
          <w:sz w:val="24"/>
          <w:lang w:val="en-US" w:eastAsia="zh-CN"/>
        </w:rPr>
        <w:t xml:space="preserve"> </w:t>
      </w:r>
      <w:r>
        <w:rPr>
          <w:sz w:val="24"/>
        </w:rPr>
        <w:t>一般项目其检验结果应有80%及以上的检查点（值）符合质量合格标准要求。</w:t>
      </w:r>
    </w:p>
    <w:p w14:paraId="7FD861EB">
      <w:pPr>
        <w:snapToGrid w:val="0"/>
        <w:spacing w:line="300" w:lineRule="auto"/>
        <w:jc w:val="left"/>
        <w:rPr>
          <w:sz w:val="24"/>
        </w:rPr>
      </w:pPr>
      <w:r>
        <w:rPr>
          <w:b/>
          <w:bCs/>
          <w:sz w:val="24"/>
        </w:rPr>
        <w:t>1</w:t>
      </w:r>
      <w:r>
        <w:rPr>
          <w:rFonts w:hint="eastAsia"/>
          <w:b/>
          <w:bCs/>
          <w:sz w:val="24"/>
          <w:lang w:val="en-US" w:eastAsia="zh-CN"/>
        </w:rPr>
        <w:t>3</w:t>
      </w:r>
      <w:r>
        <w:rPr>
          <w:b/>
          <w:bCs/>
          <w:sz w:val="24"/>
        </w:rPr>
        <w:t>.</w:t>
      </w:r>
      <w:r>
        <w:rPr>
          <w:rFonts w:hint="eastAsia"/>
          <w:b/>
          <w:bCs/>
          <w:sz w:val="24"/>
          <w:lang w:val="en-US" w:eastAsia="zh-CN"/>
        </w:rPr>
        <w:t>2</w:t>
      </w:r>
      <w:r>
        <w:rPr>
          <w:b/>
          <w:bCs/>
          <w:sz w:val="24"/>
        </w:rPr>
        <w:t>.</w:t>
      </w:r>
      <w:r>
        <w:rPr>
          <w:rFonts w:hint="eastAsia"/>
          <w:b/>
          <w:bCs/>
          <w:sz w:val="24"/>
          <w:lang w:val="en-US" w:eastAsia="zh-CN"/>
        </w:rPr>
        <w:t>5</w:t>
      </w:r>
      <w:r>
        <w:rPr>
          <w:rFonts w:hint="eastAsia"/>
          <w:b/>
          <w:bCs/>
          <w:sz w:val="24"/>
        </w:rPr>
        <w:t xml:space="preserve"> </w:t>
      </w:r>
      <w:r>
        <w:rPr>
          <w:sz w:val="24"/>
        </w:rPr>
        <w:t>光伏发电系统分项工程质量验收合格标准应符合下列</w:t>
      </w:r>
      <w:r>
        <w:rPr>
          <w:rFonts w:hint="eastAsia"/>
          <w:sz w:val="24"/>
          <w:lang w:eastAsia="zh-CN"/>
        </w:rPr>
        <w:t>要求</w:t>
      </w:r>
      <w:r>
        <w:rPr>
          <w:sz w:val="24"/>
        </w:rPr>
        <w:t>：</w:t>
      </w:r>
    </w:p>
    <w:p w14:paraId="006929B7">
      <w:pPr>
        <w:snapToGrid w:val="0"/>
        <w:spacing w:line="300" w:lineRule="auto"/>
        <w:ind w:firstLine="482" w:firstLineChars="200"/>
        <w:jc w:val="left"/>
        <w:rPr>
          <w:sz w:val="24"/>
        </w:rPr>
      </w:pPr>
      <w:r>
        <w:rPr>
          <w:b/>
          <w:bCs/>
          <w:sz w:val="24"/>
        </w:rPr>
        <w:t>1</w:t>
      </w:r>
      <w:r>
        <w:rPr>
          <w:rFonts w:hint="eastAsia"/>
          <w:b/>
          <w:bCs/>
          <w:sz w:val="24"/>
          <w:lang w:val="en-US" w:eastAsia="zh-CN"/>
        </w:rPr>
        <w:t xml:space="preserve"> </w:t>
      </w:r>
      <w:r>
        <w:rPr>
          <w:sz w:val="24"/>
        </w:rPr>
        <w:t>分项工程所含的各检验批均应符合质量合格标准要求；</w:t>
      </w:r>
    </w:p>
    <w:p w14:paraId="4C29FB58">
      <w:pPr>
        <w:snapToGrid w:val="0"/>
        <w:spacing w:line="300" w:lineRule="auto"/>
        <w:ind w:firstLine="482" w:firstLineChars="200"/>
        <w:jc w:val="left"/>
        <w:rPr>
          <w:sz w:val="24"/>
        </w:rPr>
      </w:pPr>
      <w:r>
        <w:rPr>
          <w:b/>
          <w:bCs/>
          <w:sz w:val="24"/>
        </w:rPr>
        <w:t>2</w:t>
      </w:r>
      <w:r>
        <w:rPr>
          <w:rFonts w:hint="eastAsia"/>
          <w:b/>
          <w:bCs/>
          <w:sz w:val="24"/>
          <w:lang w:val="en-US" w:eastAsia="zh-CN"/>
        </w:rPr>
        <w:t xml:space="preserve"> </w:t>
      </w:r>
      <w:r>
        <w:rPr>
          <w:sz w:val="24"/>
        </w:rPr>
        <w:t>分项工程所含的各检验批质量验收记录应完整。</w:t>
      </w:r>
      <w:r>
        <w:rPr>
          <w:rFonts w:hint="eastAsia"/>
          <w:sz w:val="24"/>
        </w:rPr>
        <w:t>光伏发电系统施工应对隐蔽部位在隐蔽前验收，应有详细的文字记录和必要的图像资料。</w:t>
      </w:r>
    </w:p>
    <w:p w14:paraId="34AF5C9D">
      <w:pPr>
        <w:snapToGrid w:val="0"/>
        <w:spacing w:line="300" w:lineRule="auto"/>
        <w:jc w:val="left"/>
        <w:rPr>
          <w:sz w:val="24"/>
        </w:rPr>
      </w:pPr>
      <w:r>
        <w:rPr>
          <w:b/>
          <w:bCs/>
          <w:sz w:val="24"/>
        </w:rPr>
        <w:t>1</w:t>
      </w:r>
      <w:r>
        <w:rPr>
          <w:rFonts w:hint="eastAsia"/>
          <w:b/>
          <w:bCs/>
          <w:sz w:val="24"/>
          <w:lang w:val="en-US" w:eastAsia="zh-CN"/>
        </w:rPr>
        <w:t>3</w:t>
      </w:r>
      <w:r>
        <w:rPr>
          <w:b/>
          <w:bCs/>
          <w:sz w:val="24"/>
        </w:rPr>
        <w:t>.</w:t>
      </w:r>
      <w:r>
        <w:rPr>
          <w:rFonts w:hint="eastAsia"/>
          <w:b/>
          <w:bCs/>
          <w:sz w:val="24"/>
          <w:lang w:val="en-US" w:eastAsia="zh-CN"/>
        </w:rPr>
        <w:t>2</w:t>
      </w:r>
      <w:r>
        <w:rPr>
          <w:b/>
          <w:bCs/>
          <w:sz w:val="24"/>
        </w:rPr>
        <w:t>.</w:t>
      </w:r>
      <w:r>
        <w:rPr>
          <w:rFonts w:hint="eastAsia"/>
          <w:b/>
          <w:bCs/>
          <w:sz w:val="24"/>
          <w:lang w:val="en-US" w:eastAsia="zh-CN"/>
        </w:rPr>
        <w:t>6</w:t>
      </w:r>
      <w:r>
        <w:rPr>
          <w:rFonts w:hint="eastAsia"/>
          <w:b/>
          <w:bCs/>
          <w:sz w:val="24"/>
        </w:rPr>
        <w:t xml:space="preserve"> </w:t>
      </w:r>
      <w:r>
        <w:rPr>
          <w:sz w:val="24"/>
        </w:rPr>
        <w:t>光伏发电系统分部工程质量验收合格标准应符合下列</w:t>
      </w:r>
      <w:r>
        <w:rPr>
          <w:rFonts w:hint="eastAsia"/>
          <w:sz w:val="24"/>
          <w:lang w:eastAsia="zh-CN"/>
        </w:rPr>
        <w:t>要求</w:t>
      </w:r>
      <w:r>
        <w:rPr>
          <w:sz w:val="24"/>
        </w:rPr>
        <w:t>：</w:t>
      </w:r>
    </w:p>
    <w:p w14:paraId="668F77DC">
      <w:pPr>
        <w:snapToGrid w:val="0"/>
        <w:spacing w:line="300" w:lineRule="auto"/>
        <w:ind w:firstLine="482" w:firstLineChars="200"/>
        <w:jc w:val="left"/>
        <w:rPr>
          <w:sz w:val="24"/>
        </w:rPr>
      </w:pPr>
      <w:r>
        <w:rPr>
          <w:b/>
          <w:bCs/>
          <w:sz w:val="24"/>
        </w:rPr>
        <w:t>1</w:t>
      </w:r>
      <w:r>
        <w:rPr>
          <w:rFonts w:hint="eastAsia"/>
          <w:b/>
          <w:bCs/>
          <w:sz w:val="24"/>
          <w:lang w:val="en-US" w:eastAsia="zh-CN"/>
        </w:rPr>
        <w:t xml:space="preserve"> </w:t>
      </w:r>
      <w:r>
        <w:rPr>
          <w:sz w:val="24"/>
        </w:rPr>
        <w:t>质量控制资料应完整；</w:t>
      </w:r>
    </w:p>
    <w:p w14:paraId="63320B76">
      <w:pPr>
        <w:snapToGrid w:val="0"/>
        <w:spacing w:line="300" w:lineRule="auto"/>
        <w:ind w:firstLine="482" w:firstLineChars="200"/>
        <w:jc w:val="left"/>
        <w:rPr>
          <w:sz w:val="24"/>
        </w:rPr>
      </w:pPr>
      <w:r>
        <w:rPr>
          <w:b/>
          <w:bCs/>
          <w:sz w:val="24"/>
        </w:rPr>
        <w:t>2</w:t>
      </w:r>
      <w:r>
        <w:rPr>
          <w:rFonts w:hint="eastAsia"/>
          <w:b/>
          <w:bCs/>
          <w:sz w:val="24"/>
          <w:lang w:val="en-US" w:eastAsia="zh-CN"/>
        </w:rPr>
        <w:t xml:space="preserve"> </w:t>
      </w:r>
      <w:r>
        <w:rPr>
          <w:sz w:val="24"/>
        </w:rPr>
        <w:t>分部工程所含分项工程的质量验收应合格；</w:t>
      </w:r>
    </w:p>
    <w:p w14:paraId="369AE303">
      <w:pPr>
        <w:snapToGrid w:val="0"/>
        <w:spacing w:line="300" w:lineRule="auto"/>
        <w:ind w:firstLine="482" w:firstLineChars="200"/>
        <w:jc w:val="left"/>
        <w:rPr>
          <w:sz w:val="24"/>
        </w:rPr>
      </w:pPr>
      <w:r>
        <w:rPr>
          <w:b/>
          <w:bCs/>
          <w:sz w:val="24"/>
        </w:rPr>
        <w:t>3</w:t>
      </w:r>
      <w:r>
        <w:rPr>
          <w:rFonts w:hint="eastAsia"/>
          <w:b/>
          <w:bCs/>
          <w:sz w:val="24"/>
          <w:lang w:val="en-US" w:eastAsia="zh-CN"/>
        </w:rPr>
        <w:t xml:space="preserve"> </w:t>
      </w:r>
      <w:r>
        <w:rPr>
          <w:sz w:val="24"/>
        </w:rPr>
        <w:t>观感质量验收应符合要求。</w:t>
      </w:r>
    </w:p>
    <w:p w14:paraId="6F5E9654">
      <w:pPr>
        <w:snapToGrid w:val="0"/>
        <w:spacing w:line="300" w:lineRule="auto"/>
        <w:jc w:val="left"/>
        <w:rPr>
          <w:sz w:val="24"/>
        </w:rPr>
      </w:pPr>
      <w:r>
        <w:rPr>
          <w:b/>
          <w:bCs/>
          <w:sz w:val="24"/>
        </w:rPr>
        <w:t>1</w:t>
      </w:r>
      <w:r>
        <w:rPr>
          <w:rFonts w:hint="eastAsia"/>
          <w:b/>
          <w:bCs/>
          <w:sz w:val="24"/>
          <w:lang w:val="en-US" w:eastAsia="zh-CN"/>
        </w:rPr>
        <w:t>3</w:t>
      </w:r>
      <w:r>
        <w:rPr>
          <w:b/>
          <w:bCs/>
          <w:sz w:val="24"/>
        </w:rPr>
        <w:t>.</w:t>
      </w:r>
      <w:r>
        <w:rPr>
          <w:rFonts w:hint="eastAsia"/>
          <w:b/>
          <w:bCs/>
          <w:sz w:val="24"/>
          <w:lang w:val="en-US" w:eastAsia="zh-CN"/>
        </w:rPr>
        <w:t>2</w:t>
      </w:r>
      <w:r>
        <w:rPr>
          <w:b/>
          <w:bCs/>
          <w:sz w:val="24"/>
        </w:rPr>
        <w:t>.</w:t>
      </w:r>
      <w:r>
        <w:rPr>
          <w:rFonts w:hint="eastAsia"/>
          <w:b/>
          <w:bCs/>
          <w:sz w:val="24"/>
          <w:lang w:val="en-US" w:eastAsia="zh-CN"/>
        </w:rPr>
        <w:t>7</w:t>
      </w:r>
      <w:r>
        <w:rPr>
          <w:rFonts w:hint="eastAsia"/>
          <w:b/>
          <w:bCs/>
          <w:sz w:val="24"/>
        </w:rPr>
        <w:t xml:space="preserve"> </w:t>
      </w:r>
      <w:r>
        <w:rPr>
          <w:sz w:val="24"/>
        </w:rPr>
        <w:t>光伏发电系统单位工程质量验收合格标准应符合下列</w:t>
      </w:r>
      <w:r>
        <w:rPr>
          <w:rFonts w:hint="eastAsia"/>
          <w:sz w:val="24"/>
          <w:lang w:eastAsia="zh-CN"/>
        </w:rPr>
        <w:t>要求</w:t>
      </w:r>
      <w:r>
        <w:rPr>
          <w:sz w:val="24"/>
        </w:rPr>
        <w:t>：</w:t>
      </w:r>
    </w:p>
    <w:p w14:paraId="2C503AA9">
      <w:pPr>
        <w:snapToGrid w:val="0"/>
        <w:spacing w:line="300" w:lineRule="auto"/>
        <w:ind w:firstLine="482" w:firstLineChars="200"/>
        <w:jc w:val="left"/>
        <w:rPr>
          <w:sz w:val="24"/>
        </w:rPr>
      </w:pPr>
      <w:r>
        <w:rPr>
          <w:b/>
          <w:bCs/>
          <w:sz w:val="24"/>
        </w:rPr>
        <w:t>1</w:t>
      </w:r>
      <w:r>
        <w:rPr>
          <w:rFonts w:hint="eastAsia"/>
          <w:b/>
          <w:bCs/>
          <w:sz w:val="24"/>
          <w:lang w:val="en-US" w:eastAsia="zh-CN"/>
        </w:rPr>
        <w:t xml:space="preserve"> </w:t>
      </w:r>
      <w:r>
        <w:rPr>
          <w:sz w:val="24"/>
        </w:rPr>
        <w:t>质量控制资料应完整；</w:t>
      </w:r>
    </w:p>
    <w:p w14:paraId="2C62A01D">
      <w:pPr>
        <w:snapToGrid w:val="0"/>
        <w:spacing w:line="300" w:lineRule="auto"/>
        <w:ind w:firstLine="482" w:firstLineChars="200"/>
        <w:jc w:val="left"/>
        <w:rPr>
          <w:sz w:val="24"/>
        </w:rPr>
      </w:pPr>
      <w:r>
        <w:rPr>
          <w:b/>
          <w:bCs/>
          <w:sz w:val="24"/>
        </w:rPr>
        <w:t>2</w:t>
      </w:r>
      <w:r>
        <w:rPr>
          <w:rFonts w:hint="eastAsia"/>
          <w:b/>
          <w:bCs/>
          <w:sz w:val="24"/>
          <w:lang w:val="en-US" w:eastAsia="zh-CN"/>
        </w:rPr>
        <w:t xml:space="preserve"> </w:t>
      </w:r>
      <w:r>
        <w:rPr>
          <w:sz w:val="24"/>
        </w:rPr>
        <w:t>单位工程所含分部工程的质量验收应合格；</w:t>
      </w:r>
    </w:p>
    <w:p w14:paraId="27DC57EF">
      <w:pPr>
        <w:snapToGrid w:val="0"/>
        <w:spacing w:line="300" w:lineRule="auto"/>
        <w:ind w:firstLine="482" w:firstLineChars="200"/>
        <w:jc w:val="left"/>
        <w:rPr>
          <w:sz w:val="24"/>
        </w:rPr>
      </w:pPr>
      <w:r>
        <w:rPr>
          <w:b/>
          <w:bCs/>
          <w:sz w:val="24"/>
        </w:rPr>
        <w:t>3</w:t>
      </w:r>
      <w:r>
        <w:rPr>
          <w:rFonts w:hint="eastAsia"/>
          <w:b/>
          <w:bCs/>
          <w:sz w:val="24"/>
          <w:lang w:val="en-US" w:eastAsia="zh-CN"/>
        </w:rPr>
        <w:t xml:space="preserve"> </w:t>
      </w:r>
      <w:r>
        <w:rPr>
          <w:sz w:val="24"/>
        </w:rPr>
        <w:t>主要功能项目的抽查结果应符合相应的技术要求；</w:t>
      </w:r>
    </w:p>
    <w:p w14:paraId="56ADBBCC">
      <w:pPr>
        <w:snapToGrid w:val="0"/>
        <w:spacing w:line="300" w:lineRule="auto"/>
        <w:ind w:firstLine="482" w:firstLineChars="200"/>
        <w:jc w:val="left"/>
        <w:rPr>
          <w:sz w:val="24"/>
        </w:rPr>
      </w:pPr>
      <w:r>
        <w:rPr>
          <w:b/>
          <w:bCs/>
          <w:sz w:val="24"/>
        </w:rPr>
        <w:t>4</w:t>
      </w:r>
      <w:r>
        <w:rPr>
          <w:rFonts w:hint="eastAsia"/>
          <w:b/>
          <w:bCs/>
          <w:sz w:val="24"/>
          <w:lang w:val="en-US" w:eastAsia="zh-CN"/>
        </w:rPr>
        <w:t xml:space="preserve"> </w:t>
      </w:r>
      <w:r>
        <w:rPr>
          <w:sz w:val="24"/>
        </w:rPr>
        <w:t>观感质量验收应符合要求。</w:t>
      </w:r>
    </w:p>
    <w:p w14:paraId="7B96549F">
      <w:pPr>
        <w:snapToGrid w:val="0"/>
        <w:spacing w:line="300" w:lineRule="auto"/>
        <w:jc w:val="left"/>
        <w:rPr>
          <w:sz w:val="24"/>
        </w:rPr>
      </w:pPr>
      <w:r>
        <w:rPr>
          <w:b/>
          <w:bCs/>
          <w:sz w:val="24"/>
        </w:rPr>
        <w:t>1</w:t>
      </w:r>
      <w:r>
        <w:rPr>
          <w:rFonts w:hint="eastAsia"/>
          <w:b/>
          <w:bCs/>
          <w:sz w:val="24"/>
          <w:lang w:val="en-US" w:eastAsia="zh-CN"/>
        </w:rPr>
        <w:t>3</w:t>
      </w:r>
      <w:r>
        <w:rPr>
          <w:b/>
          <w:bCs/>
          <w:sz w:val="24"/>
        </w:rPr>
        <w:t>.</w:t>
      </w:r>
      <w:r>
        <w:rPr>
          <w:rFonts w:hint="eastAsia"/>
          <w:b/>
          <w:bCs/>
          <w:sz w:val="24"/>
          <w:lang w:val="en-US" w:eastAsia="zh-CN"/>
        </w:rPr>
        <w:t>2</w:t>
      </w:r>
      <w:r>
        <w:rPr>
          <w:b/>
          <w:bCs/>
          <w:sz w:val="24"/>
        </w:rPr>
        <w:t>.</w:t>
      </w:r>
      <w:r>
        <w:rPr>
          <w:rFonts w:hint="eastAsia"/>
          <w:b/>
          <w:bCs/>
          <w:sz w:val="24"/>
          <w:lang w:val="en-US" w:eastAsia="zh-CN"/>
        </w:rPr>
        <w:t>8</w:t>
      </w:r>
      <w:r>
        <w:rPr>
          <w:rFonts w:hint="eastAsia"/>
          <w:b/>
          <w:bCs/>
          <w:sz w:val="24"/>
        </w:rPr>
        <w:t xml:space="preserve"> </w:t>
      </w:r>
      <w:r>
        <w:rPr>
          <w:sz w:val="24"/>
        </w:rPr>
        <w:t>光伏幕墙工程质量验收尚应符合现行行业标准《玻璃幕墙工程质量检验标准》JGJ/T139的有关规定。光伏采光顶工程质量验收尚应符合现行行业标准《采光顶与金属屋面技术规程》JGJ255</w:t>
      </w:r>
      <w:r>
        <w:rPr>
          <w:rFonts w:hint="eastAsia"/>
          <w:sz w:val="24"/>
        </w:rPr>
        <w:t>、《建筑玻璃采光顶技术要求》JG/T 231</w:t>
      </w:r>
      <w:r>
        <w:rPr>
          <w:sz w:val="24"/>
        </w:rPr>
        <w:t>的有关规定。</w:t>
      </w:r>
    </w:p>
    <w:p w14:paraId="4B6835D8">
      <w:pPr>
        <w:snapToGrid w:val="0"/>
        <w:spacing w:line="300" w:lineRule="auto"/>
        <w:jc w:val="left"/>
        <w:rPr>
          <w:sz w:val="24"/>
        </w:rPr>
      </w:pPr>
      <w:r>
        <w:rPr>
          <w:b/>
          <w:bCs/>
          <w:sz w:val="24"/>
        </w:rPr>
        <w:t>1</w:t>
      </w:r>
      <w:r>
        <w:rPr>
          <w:rFonts w:hint="eastAsia"/>
          <w:b/>
          <w:bCs/>
          <w:sz w:val="24"/>
          <w:lang w:val="en-US" w:eastAsia="zh-CN"/>
        </w:rPr>
        <w:t>3</w:t>
      </w:r>
      <w:r>
        <w:rPr>
          <w:b/>
          <w:bCs/>
          <w:sz w:val="24"/>
        </w:rPr>
        <w:t>.</w:t>
      </w:r>
      <w:r>
        <w:rPr>
          <w:rFonts w:hint="eastAsia"/>
          <w:b/>
          <w:bCs/>
          <w:sz w:val="24"/>
          <w:lang w:val="en-US" w:eastAsia="zh-CN"/>
        </w:rPr>
        <w:t>2</w:t>
      </w:r>
      <w:r>
        <w:rPr>
          <w:b/>
          <w:bCs/>
          <w:sz w:val="24"/>
        </w:rPr>
        <w:t>.</w:t>
      </w:r>
      <w:r>
        <w:rPr>
          <w:rFonts w:hint="eastAsia"/>
          <w:b/>
          <w:bCs/>
          <w:sz w:val="24"/>
          <w:lang w:val="en-US" w:eastAsia="zh-CN"/>
        </w:rPr>
        <w:t>9</w:t>
      </w:r>
      <w:r>
        <w:rPr>
          <w:rFonts w:hint="eastAsia"/>
          <w:b/>
          <w:bCs/>
          <w:sz w:val="24"/>
        </w:rPr>
        <w:t xml:space="preserve"> </w:t>
      </w:r>
      <w:r>
        <w:rPr>
          <w:sz w:val="24"/>
        </w:rPr>
        <w:t>单位工程验收组应由建设、设计、监理、施工、调试等有关单位负责人及专业技术人员组成。</w:t>
      </w:r>
    </w:p>
    <w:p w14:paraId="267D157B">
      <w:pPr>
        <w:snapToGrid w:val="0"/>
        <w:spacing w:line="300" w:lineRule="auto"/>
        <w:jc w:val="left"/>
        <w:rPr>
          <w:sz w:val="24"/>
        </w:rPr>
      </w:pPr>
      <w:r>
        <w:rPr>
          <w:b/>
          <w:bCs/>
          <w:sz w:val="24"/>
        </w:rPr>
        <w:t>1</w:t>
      </w:r>
      <w:r>
        <w:rPr>
          <w:rFonts w:hint="eastAsia"/>
          <w:b/>
          <w:bCs/>
          <w:sz w:val="24"/>
          <w:lang w:val="en-US" w:eastAsia="zh-CN"/>
        </w:rPr>
        <w:t>3</w:t>
      </w:r>
      <w:r>
        <w:rPr>
          <w:b/>
          <w:bCs/>
          <w:sz w:val="24"/>
        </w:rPr>
        <w:t>.</w:t>
      </w:r>
      <w:r>
        <w:rPr>
          <w:rFonts w:hint="eastAsia"/>
          <w:b/>
          <w:bCs/>
          <w:sz w:val="24"/>
          <w:lang w:val="en-US" w:eastAsia="zh-CN"/>
        </w:rPr>
        <w:t>2</w:t>
      </w:r>
      <w:r>
        <w:rPr>
          <w:b/>
          <w:bCs/>
          <w:sz w:val="24"/>
        </w:rPr>
        <w:t>.</w:t>
      </w:r>
      <w:r>
        <w:rPr>
          <w:rFonts w:hint="eastAsia"/>
          <w:b/>
          <w:bCs/>
          <w:sz w:val="24"/>
          <w:lang w:val="en-US" w:eastAsia="zh-CN"/>
        </w:rPr>
        <w:t>10</w:t>
      </w:r>
      <w:r>
        <w:rPr>
          <w:rFonts w:hint="eastAsia"/>
          <w:b/>
          <w:bCs/>
          <w:sz w:val="24"/>
        </w:rPr>
        <w:t xml:space="preserve"> </w:t>
      </w:r>
      <w:r>
        <w:rPr>
          <w:sz w:val="24"/>
        </w:rPr>
        <w:t>工程启动验收委员会应由建设、监理、调试、生产、设计、政府相关部门和电力主管部门等有关单位组成，施工单位、设备制造商等参建单位应列席工程启动验收会议。</w:t>
      </w:r>
    </w:p>
    <w:p w14:paraId="15B4412B">
      <w:pPr>
        <w:snapToGrid w:val="0"/>
        <w:spacing w:line="300" w:lineRule="auto"/>
        <w:jc w:val="left"/>
        <w:rPr>
          <w:sz w:val="24"/>
        </w:rPr>
      </w:pPr>
      <w:r>
        <w:rPr>
          <w:b/>
          <w:bCs/>
          <w:sz w:val="24"/>
        </w:rPr>
        <w:t>1</w:t>
      </w:r>
      <w:r>
        <w:rPr>
          <w:rFonts w:hint="eastAsia"/>
          <w:b/>
          <w:bCs/>
          <w:sz w:val="24"/>
          <w:lang w:val="en-US" w:eastAsia="zh-CN"/>
        </w:rPr>
        <w:t>3</w:t>
      </w:r>
      <w:r>
        <w:rPr>
          <w:b/>
          <w:bCs/>
          <w:sz w:val="24"/>
        </w:rPr>
        <w:t>.</w:t>
      </w:r>
      <w:r>
        <w:rPr>
          <w:rFonts w:hint="eastAsia"/>
          <w:b/>
          <w:bCs/>
          <w:sz w:val="24"/>
          <w:lang w:val="en-US" w:eastAsia="zh-CN"/>
        </w:rPr>
        <w:t>2</w:t>
      </w:r>
      <w:r>
        <w:rPr>
          <w:b/>
          <w:bCs/>
          <w:sz w:val="24"/>
        </w:rPr>
        <w:t>.1</w:t>
      </w:r>
      <w:r>
        <w:rPr>
          <w:rFonts w:hint="eastAsia"/>
          <w:b/>
          <w:bCs/>
          <w:sz w:val="24"/>
          <w:lang w:val="en-US" w:eastAsia="zh-CN"/>
        </w:rPr>
        <w:t>1</w:t>
      </w:r>
      <w:r>
        <w:rPr>
          <w:rFonts w:hint="eastAsia"/>
          <w:sz w:val="24"/>
        </w:rPr>
        <w:t xml:space="preserve"> </w:t>
      </w:r>
      <w:r>
        <w:rPr>
          <w:sz w:val="24"/>
        </w:rPr>
        <w:t>工程试运和移交生产验收组应由建设、监理、调试、生产运行、设计等有关单位</w:t>
      </w:r>
      <w:r>
        <w:rPr>
          <w:rFonts w:hint="eastAsia"/>
          <w:sz w:val="24"/>
          <w:lang w:val="en-US" w:eastAsia="zh-CN"/>
        </w:rPr>
        <w:t>人员</w:t>
      </w:r>
      <w:r>
        <w:rPr>
          <w:sz w:val="24"/>
        </w:rPr>
        <w:t>组成。</w:t>
      </w:r>
    </w:p>
    <w:p w14:paraId="35F361CA">
      <w:pPr>
        <w:snapToGrid w:val="0"/>
        <w:spacing w:line="300" w:lineRule="auto"/>
        <w:jc w:val="left"/>
        <w:rPr>
          <w:sz w:val="24"/>
        </w:rPr>
      </w:pPr>
      <w:r>
        <w:rPr>
          <w:b/>
          <w:bCs/>
          <w:sz w:val="24"/>
        </w:rPr>
        <w:t>1</w:t>
      </w:r>
      <w:r>
        <w:rPr>
          <w:rFonts w:hint="eastAsia"/>
          <w:b/>
          <w:bCs/>
          <w:sz w:val="24"/>
          <w:lang w:val="en-US" w:eastAsia="zh-CN"/>
        </w:rPr>
        <w:t>3</w:t>
      </w:r>
      <w:r>
        <w:rPr>
          <w:b/>
          <w:bCs/>
          <w:sz w:val="24"/>
        </w:rPr>
        <w:t>.</w:t>
      </w:r>
      <w:r>
        <w:rPr>
          <w:rFonts w:hint="eastAsia"/>
          <w:b/>
          <w:bCs/>
          <w:sz w:val="24"/>
          <w:lang w:val="en-US" w:eastAsia="zh-CN"/>
        </w:rPr>
        <w:t>2</w:t>
      </w:r>
      <w:r>
        <w:rPr>
          <w:b/>
          <w:bCs/>
          <w:sz w:val="24"/>
        </w:rPr>
        <w:t>.1</w:t>
      </w:r>
      <w:r>
        <w:rPr>
          <w:rFonts w:hint="eastAsia"/>
          <w:b/>
          <w:bCs/>
          <w:sz w:val="24"/>
          <w:lang w:val="en-US" w:eastAsia="zh-CN"/>
        </w:rPr>
        <w:t>2</w:t>
      </w:r>
      <w:r>
        <w:rPr>
          <w:rFonts w:hint="eastAsia"/>
          <w:b/>
          <w:bCs/>
          <w:sz w:val="24"/>
        </w:rPr>
        <w:t xml:space="preserve"> </w:t>
      </w:r>
      <w:r>
        <w:rPr>
          <w:sz w:val="24"/>
        </w:rPr>
        <w:t>工程竣工验收应符合下列</w:t>
      </w:r>
      <w:r>
        <w:rPr>
          <w:rFonts w:hint="eastAsia"/>
          <w:sz w:val="24"/>
          <w:lang w:eastAsia="zh-CN"/>
        </w:rPr>
        <w:t>要求</w:t>
      </w:r>
      <w:r>
        <w:rPr>
          <w:rFonts w:hint="eastAsia"/>
          <w:sz w:val="24"/>
        </w:rPr>
        <w:t>：</w:t>
      </w:r>
    </w:p>
    <w:p w14:paraId="05ED6AF9">
      <w:pPr>
        <w:snapToGrid w:val="0"/>
        <w:spacing w:line="300" w:lineRule="auto"/>
        <w:ind w:firstLine="482" w:firstLineChars="200"/>
        <w:jc w:val="left"/>
        <w:rPr>
          <w:sz w:val="24"/>
        </w:rPr>
      </w:pPr>
      <w:r>
        <w:rPr>
          <w:b/>
          <w:bCs/>
          <w:sz w:val="24"/>
        </w:rPr>
        <w:t>1</w:t>
      </w:r>
      <w:r>
        <w:rPr>
          <w:rFonts w:hint="eastAsia"/>
          <w:b/>
          <w:bCs/>
          <w:sz w:val="24"/>
        </w:rPr>
        <w:t xml:space="preserve"> </w:t>
      </w:r>
      <w:r>
        <w:rPr>
          <w:sz w:val="24"/>
        </w:rPr>
        <w:t>竣工资料应完整齐备；</w:t>
      </w:r>
    </w:p>
    <w:p w14:paraId="224E639C">
      <w:pPr>
        <w:snapToGrid w:val="0"/>
        <w:spacing w:line="300" w:lineRule="auto"/>
        <w:ind w:firstLine="482" w:firstLineChars="200"/>
        <w:jc w:val="left"/>
        <w:rPr>
          <w:sz w:val="24"/>
        </w:rPr>
      </w:pPr>
      <w:r>
        <w:rPr>
          <w:b/>
          <w:bCs/>
          <w:sz w:val="24"/>
        </w:rPr>
        <w:t>2</w:t>
      </w:r>
      <w:r>
        <w:rPr>
          <w:rFonts w:hint="eastAsia"/>
          <w:b/>
          <w:bCs/>
          <w:sz w:val="24"/>
        </w:rPr>
        <w:t xml:space="preserve"> </w:t>
      </w:r>
      <w:r>
        <w:rPr>
          <w:sz w:val="24"/>
        </w:rPr>
        <w:t>工程应按批准的设计要求进行建设；</w:t>
      </w:r>
    </w:p>
    <w:p w14:paraId="10962841">
      <w:pPr>
        <w:snapToGrid w:val="0"/>
        <w:spacing w:line="300" w:lineRule="auto"/>
        <w:ind w:firstLine="482" w:firstLineChars="200"/>
        <w:jc w:val="left"/>
        <w:rPr>
          <w:sz w:val="24"/>
        </w:rPr>
      </w:pPr>
      <w:r>
        <w:rPr>
          <w:b/>
          <w:bCs/>
          <w:sz w:val="24"/>
        </w:rPr>
        <w:t>3</w:t>
      </w:r>
      <w:r>
        <w:rPr>
          <w:rFonts w:hint="eastAsia"/>
          <w:b/>
          <w:bCs/>
          <w:sz w:val="24"/>
        </w:rPr>
        <w:t xml:space="preserve"> </w:t>
      </w:r>
      <w:r>
        <w:rPr>
          <w:sz w:val="24"/>
        </w:rPr>
        <w:t>应检查已完工程在设计、施工、设备制造安装等过程中与质量相关资料的收集、整理和签证归档情况；</w:t>
      </w:r>
    </w:p>
    <w:p w14:paraId="65C5349D">
      <w:pPr>
        <w:snapToGrid w:val="0"/>
        <w:spacing w:line="300" w:lineRule="auto"/>
        <w:ind w:firstLine="482" w:firstLineChars="200"/>
        <w:jc w:val="left"/>
        <w:rPr>
          <w:sz w:val="24"/>
        </w:rPr>
      </w:pPr>
      <w:r>
        <w:rPr>
          <w:b/>
          <w:bCs/>
          <w:sz w:val="24"/>
        </w:rPr>
        <w:t>4</w:t>
      </w:r>
      <w:r>
        <w:rPr>
          <w:rFonts w:hint="eastAsia"/>
          <w:b/>
          <w:bCs/>
          <w:sz w:val="24"/>
        </w:rPr>
        <w:t xml:space="preserve"> </w:t>
      </w:r>
      <w:r>
        <w:rPr>
          <w:sz w:val="24"/>
        </w:rPr>
        <w:t>应检查施工安全管理情况；</w:t>
      </w:r>
    </w:p>
    <w:p w14:paraId="1A12489C">
      <w:pPr>
        <w:snapToGrid w:val="0"/>
        <w:spacing w:line="300" w:lineRule="auto"/>
        <w:ind w:firstLine="482" w:firstLineChars="200"/>
        <w:jc w:val="left"/>
        <w:rPr>
          <w:sz w:val="24"/>
        </w:rPr>
      </w:pPr>
      <w:r>
        <w:rPr>
          <w:b/>
          <w:bCs/>
          <w:sz w:val="24"/>
        </w:rPr>
        <w:t>5</w:t>
      </w:r>
      <w:r>
        <w:rPr>
          <w:rFonts w:hint="eastAsia"/>
          <w:b/>
          <w:bCs/>
          <w:sz w:val="24"/>
        </w:rPr>
        <w:t xml:space="preserve"> </w:t>
      </w:r>
      <w:r>
        <w:rPr>
          <w:sz w:val="24"/>
        </w:rPr>
        <w:t>工程应具备运行或进行下一阶段工作的条件；</w:t>
      </w:r>
    </w:p>
    <w:p w14:paraId="11A9E9FB">
      <w:pPr>
        <w:snapToGrid w:val="0"/>
        <w:spacing w:line="300" w:lineRule="auto"/>
        <w:ind w:firstLine="482" w:firstLineChars="200"/>
        <w:jc w:val="left"/>
        <w:rPr>
          <w:sz w:val="24"/>
        </w:rPr>
      </w:pPr>
      <w:r>
        <w:rPr>
          <w:b/>
          <w:bCs/>
          <w:sz w:val="24"/>
        </w:rPr>
        <w:t>6</w:t>
      </w:r>
      <w:r>
        <w:rPr>
          <w:rFonts w:hint="eastAsia"/>
          <w:b/>
          <w:bCs/>
          <w:sz w:val="24"/>
        </w:rPr>
        <w:t xml:space="preserve"> </w:t>
      </w:r>
      <w:r>
        <w:rPr>
          <w:sz w:val="24"/>
        </w:rPr>
        <w:t>应检查工程投资控制和资金使用情况；</w:t>
      </w:r>
    </w:p>
    <w:p w14:paraId="45FF232E">
      <w:pPr>
        <w:snapToGrid w:val="0"/>
        <w:spacing w:line="300" w:lineRule="auto"/>
        <w:ind w:firstLine="482" w:firstLineChars="200"/>
        <w:jc w:val="left"/>
        <w:rPr>
          <w:sz w:val="24"/>
        </w:rPr>
      </w:pPr>
      <w:r>
        <w:rPr>
          <w:b/>
          <w:bCs/>
          <w:sz w:val="24"/>
        </w:rPr>
        <w:t>7</w:t>
      </w:r>
      <w:r>
        <w:rPr>
          <w:rFonts w:hint="eastAsia"/>
          <w:b/>
          <w:bCs/>
          <w:sz w:val="24"/>
        </w:rPr>
        <w:t xml:space="preserve"> </w:t>
      </w:r>
      <w:r>
        <w:rPr>
          <w:sz w:val="24"/>
        </w:rPr>
        <w:t>应对验收遗留问题提出处理意见。</w:t>
      </w:r>
    </w:p>
    <w:p w14:paraId="5E6C1C93">
      <w:pPr>
        <w:pStyle w:val="2"/>
        <w:spacing w:line="300" w:lineRule="auto"/>
      </w:pPr>
    </w:p>
    <w:p w14:paraId="46E99E1C">
      <w:pPr>
        <w:widowControl/>
        <w:spacing w:line="300" w:lineRule="auto"/>
        <w:jc w:val="left"/>
        <w:rPr>
          <w:sz w:val="24"/>
        </w:rPr>
      </w:pPr>
      <w:r>
        <w:rPr>
          <w:sz w:val="24"/>
        </w:rPr>
        <w:br w:type="page"/>
      </w:r>
    </w:p>
    <w:p w14:paraId="7A0A53BC">
      <w:pPr>
        <w:pStyle w:val="5"/>
        <w:spacing w:before="95" w:beforeLines="30" w:after="95" w:afterLines="30" w:line="300" w:lineRule="auto"/>
        <w:jc w:val="center"/>
        <w:rPr>
          <w:rFonts w:ascii="Times New Roman" w:hAnsi="Times New Roman" w:eastAsia="黑体" w:cs="Times New Roman"/>
          <w:sz w:val="28"/>
          <w:szCs w:val="28"/>
        </w:rPr>
      </w:pPr>
      <w:bookmarkStart w:id="466" w:name="_Toc22931"/>
      <w:bookmarkStart w:id="467" w:name="_Toc11522"/>
      <w:bookmarkStart w:id="468" w:name="_Toc28780"/>
      <w:bookmarkStart w:id="469" w:name="_Toc13787"/>
      <w:bookmarkStart w:id="470" w:name="_Toc18818"/>
      <w:bookmarkStart w:id="471" w:name="_Toc10562"/>
      <w:bookmarkStart w:id="472" w:name="_Toc12182"/>
      <w:bookmarkStart w:id="473" w:name="_Toc15137"/>
      <w:r>
        <w:rPr>
          <w:rFonts w:ascii="Times New Roman" w:hAnsi="Times New Roman" w:eastAsia="黑体" w:cs="Times New Roman"/>
          <w:sz w:val="28"/>
          <w:szCs w:val="28"/>
        </w:rPr>
        <w:t>1</w:t>
      </w:r>
      <w:r>
        <w:rPr>
          <w:rFonts w:hint="default" w:ascii="Times New Roman" w:hAnsi="Times New Roman" w:eastAsia="黑体" w:cs="Times New Roman"/>
          <w:sz w:val="28"/>
          <w:szCs w:val="28"/>
          <w:lang w:val="en-US" w:eastAsia="zh-CN"/>
        </w:rPr>
        <w:t>4</w:t>
      </w:r>
      <w:r>
        <w:rPr>
          <w:rFonts w:ascii="Times New Roman" w:hAnsi="Times New Roman" w:eastAsia="黑体" w:cs="Times New Roman"/>
          <w:sz w:val="28"/>
          <w:szCs w:val="28"/>
        </w:rPr>
        <w:t xml:space="preserve"> 运行与维护</w:t>
      </w:r>
      <w:bookmarkEnd w:id="466"/>
      <w:bookmarkEnd w:id="467"/>
      <w:bookmarkEnd w:id="468"/>
      <w:bookmarkEnd w:id="469"/>
      <w:bookmarkEnd w:id="470"/>
      <w:bookmarkEnd w:id="471"/>
      <w:bookmarkEnd w:id="472"/>
      <w:bookmarkEnd w:id="473"/>
    </w:p>
    <w:p w14:paraId="5C4B2EDC">
      <w:pPr>
        <w:keepNext/>
        <w:keepLines/>
        <w:spacing w:before="95" w:beforeLines="30" w:after="95" w:afterLines="30" w:line="300" w:lineRule="auto"/>
        <w:ind w:firstLine="3614" w:firstLineChars="1500"/>
        <w:outlineLvl w:val="2"/>
        <w:rPr>
          <w:b/>
          <w:sz w:val="24"/>
          <w:szCs w:val="32"/>
        </w:rPr>
      </w:pPr>
      <w:bookmarkStart w:id="474" w:name="_Toc922"/>
      <w:bookmarkStart w:id="475" w:name="_Toc9415"/>
      <w:bookmarkStart w:id="476" w:name="_Toc27394"/>
      <w:bookmarkStart w:id="477" w:name="_Toc2434"/>
      <w:bookmarkStart w:id="478" w:name="_Toc25582"/>
      <w:bookmarkStart w:id="479" w:name="_Toc11387"/>
      <w:bookmarkStart w:id="480" w:name="_Toc15351"/>
      <w:bookmarkStart w:id="481" w:name="_Toc9433"/>
      <w:r>
        <w:rPr>
          <w:b/>
          <w:sz w:val="24"/>
          <w:szCs w:val="32"/>
        </w:rPr>
        <w:t>1</w:t>
      </w:r>
      <w:r>
        <w:rPr>
          <w:rFonts w:hint="default"/>
          <w:b/>
          <w:sz w:val="24"/>
          <w:szCs w:val="32"/>
          <w:lang w:val="en-US" w:eastAsia="zh-CN"/>
        </w:rPr>
        <w:t>4</w:t>
      </w:r>
      <w:r>
        <w:rPr>
          <w:b/>
          <w:sz w:val="24"/>
          <w:szCs w:val="32"/>
        </w:rPr>
        <w:t>.1一般规定</w:t>
      </w:r>
      <w:bookmarkEnd w:id="474"/>
      <w:bookmarkEnd w:id="475"/>
      <w:bookmarkEnd w:id="476"/>
      <w:bookmarkEnd w:id="477"/>
      <w:bookmarkEnd w:id="478"/>
      <w:bookmarkEnd w:id="479"/>
      <w:bookmarkEnd w:id="480"/>
      <w:bookmarkEnd w:id="481"/>
    </w:p>
    <w:p w14:paraId="70FD3943">
      <w:pPr>
        <w:snapToGrid w:val="0"/>
        <w:spacing w:line="300" w:lineRule="auto"/>
        <w:rPr>
          <w:rFonts w:hint="eastAsia" w:ascii="黑体" w:hAnsi="宋体" w:eastAsia="黑体" w:cs="黑体"/>
          <w:color w:val="000000"/>
          <w:sz w:val="22"/>
          <w:szCs w:val="22"/>
        </w:rPr>
      </w:pPr>
      <w:r>
        <w:rPr>
          <w:b/>
          <w:bCs/>
          <w:sz w:val="24"/>
        </w:rPr>
        <w:t>1</w:t>
      </w:r>
      <w:r>
        <w:rPr>
          <w:rFonts w:hint="eastAsia"/>
          <w:b/>
          <w:bCs/>
          <w:sz w:val="24"/>
          <w:lang w:val="en-US" w:eastAsia="zh-CN"/>
        </w:rPr>
        <w:t>4</w:t>
      </w:r>
      <w:r>
        <w:rPr>
          <w:b/>
          <w:bCs/>
          <w:sz w:val="24"/>
        </w:rPr>
        <w:t>.1.1</w:t>
      </w:r>
      <w:r>
        <w:rPr>
          <w:rFonts w:hint="eastAsia"/>
          <w:sz w:val="24"/>
        </w:rPr>
        <w:t xml:space="preserve"> </w:t>
      </w:r>
      <w:r>
        <w:rPr>
          <w:sz w:val="24"/>
        </w:rPr>
        <w:t>建筑光伏系统经验收合格后</w:t>
      </w:r>
      <w:r>
        <w:rPr>
          <w:rFonts w:hint="eastAsia"/>
          <w:sz w:val="24"/>
        </w:rPr>
        <w:t>，</w:t>
      </w:r>
      <w:r>
        <w:rPr>
          <w:sz w:val="24"/>
        </w:rPr>
        <w:t>在系统投用前</w:t>
      </w:r>
      <w:r>
        <w:rPr>
          <w:rFonts w:hint="eastAsia"/>
          <w:sz w:val="24"/>
        </w:rPr>
        <w:t>，</w:t>
      </w:r>
      <w:r>
        <w:rPr>
          <w:sz w:val="24"/>
        </w:rPr>
        <w:t>应制定运行与维护技术手册</w:t>
      </w:r>
      <w:r>
        <w:rPr>
          <w:rFonts w:hint="eastAsia" w:ascii="黑体" w:hAnsi="宋体" w:eastAsia="黑体" w:cs="黑体"/>
          <w:color w:val="000000"/>
          <w:sz w:val="22"/>
          <w:szCs w:val="22"/>
        </w:rPr>
        <w:t>。</w:t>
      </w:r>
    </w:p>
    <w:p w14:paraId="1BA6B7E8">
      <w:pPr>
        <w:snapToGrid w:val="0"/>
        <w:spacing w:line="300" w:lineRule="auto"/>
        <w:rPr>
          <w:sz w:val="24"/>
        </w:rPr>
      </w:pPr>
      <w:r>
        <w:rPr>
          <w:b/>
          <w:bCs/>
          <w:sz w:val="24"/>
        </w:rPr>
        <w:t>1</w:t>
      </w:r>
      <w:r>
        <w:rPr>
          <w:rFonts w:hint="eastAsia"/>
          <w:b/>
          <w:bCs/>
          <w:sz w:val="24"/>
          <w:lang w:val="en-US" w:eastAsia="zh-CN"/>
        </w:rPr>
        <w:t>4</w:t>
      </w:r>
      <w:r>
        <w:rPr>
          <w:b/>
          <w:bCs/>
          <w:sz w:val="24"/>
        </w:rPr>
        <w:t>.1.</w:t>
      </w:r>
      <w:r>
        <w:rPr>
          <w:rFonts w:hint="eastAsia"/>
          <w:b/>
          <w:bCs/>
          <w:sz w:val="24"/>
        </w:rPr>
        <w:t>2</w:t>
      </w:r>
      <w:r>
        <w:rPr>
          <w:rFonts w:hint="eastAsia"/>
          <w:sz w:val="24"/>
        </w:rPr>
        <w:t xml:space="preserve"> </w:t>
      </w:r>
      <w:r>
        <w:rPr>
          <w:sz w:val="24"/>
        </w:rPr>
        <w:t>建筑光伏系统正式投运前，应编制现场运行与维护规程并应对运行与维护人员进行培训</w:t>
      </w:r>
      <w:r>
        <w:rPr>
          <w:rFonts w:hint="eastAsia"/>
          <w:sz w:val="24"/>
          <w:lang w:eastAsia="zh-CN"/>
        </w:rPr>
        <w:t>，</w:t>
      </w:r>
      <w:r>
        <w:rPr>
          <w:rFonts w:hint="eastAsia"/>
          <w:sz w:val="24"/>
          <w:lang w:val="en-US" w:eastAsia="zh-CN"/>
        </w:rPr>
        <w:t>达到</w:t>
      </w:r>
      <w:r>
        <w:rPr>
          <w:sz w:val="24"/>
        </w:rPr>
        <w:t>相应的专业技能。</w:t>
      </w:r>
    </w:p>
    <w:p w14:paraId="3F07CF66">
      <w:pPr>
        <w:snapToGrid w:val="0"/>
        <w:spacing w:line="300" w:lineRule="auto"/>
        <w:jc w:val="left"/>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4042EA89">
      <w:pPr>
        <w:snapToGrid w:val="0"/>
        <w:spacing w:line="300" w:lineRule="auto"/>
        <w:jc w:val="left"/>
        <w:rPr>
          <w:rFonts w:hint="eastAsia" w:ascii="仿宋" w:hAnsi="仿宋" w:eastAsia="仿宋" w:cs="仿宋"/>
          <w:i/>
          <w:iCs/>
          <w:color w:val="0623BA"/>
          <w:sz w:val="24"/>
        </w:rPr>
      </w:pPr>
      <w:r>
        <w:rPr>
          <w:rFonts w:hint="eastAsia" w:ascii="仿宋" w:hAnsi="仿宋" w:eastAsia="仿宋" w:cs="仿宋"/>
          <w:i/>
          <w:iCs/>
          <w:color w:val="0623BA"/>
          <w:sz w:val="24"/>
        </w:rPr>
        <w:t>1</w:t>
      </w:r>
      <w:r>
        <w:rPr>
          <w:rFonts w:hint="eastAsia" w:ascii="仿宋" w:hAnsi="仿宋" w:eastAsia="仿宋" w:cs="仿宋"/>
          <w:i/>
          <w:iCs/>
          <w:color w:val="0623BA"/>
          <w:sz w:val="24"/>
          <w:lang w:val="en-US" w:eastAsia="zh-CN"/>
        </w:rPr>
        <w:t>4</w:t>
      </w:r>
      <w:r>
        <w:rPr>
          <w:rFonts w:hint="eastAsia" w:ascii="仿宋" w:hAnsi="仿宋" w:eastAsia="仿宋" w:cs="仿宋"/>
          <w:i/>
          <w:iCs/>
          <w:color w:val="0623BA"/>
          <w:sz w:val="24"/>
        </w:rPr>
        <w:t>.1.</w:t>
      </w:r>
      <w:r>
        <w:rPr>
          <w:rFonts w:hint="eastAsia" w:ascii="仿宋" w:hAnsi="仿宋" w:eastAsia="仿宋" w:cs="仿宋"/>
          <w:i/>
          <w:iCs/>
          <w:color w:val="0623BA"/>
          <w:sz w:val="24"/>
          <w:lang w:val="en-US" w:eastAsia="zh-CN"/>
        </w:rPr>
        <w:t>2</w:t>
      </w:r>
      <w:r>
        <w:rPr>
          <w:rFonts w:hint="eastAsia" w:ascii="仿宋" w:hAnsi="仿宋" w:eastAsia="仿宋" w:cs="仿宋"/>
          <w:i/>
          <w:iCs/>
          <w:color w:val="0623BA"/>
          <w:sz w:val="24"/>
        </w:rPr>
        <w:t xml:space="preserve"> 本条专业技能指国家规定的各种操作资格，主要包括</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特种作业操作证（电工）、国家职业资格证（电工或太阳能利用工）、电工进网作业许可证；400V以上电压等级接入电网的光伏系统运维人员应具有高压类职业资格证</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接入公共电网的光伏系统运维人员应具有电工进网作业许可证。</w:t>
      </w:r>
    </w:p>
    <w:p w14:paraId="5283D4BC">
      <w:pPr>
        <w:snapToGrid w:val="0"/>
        <w:spacing w:line="300" w:lineRule="auto"/>
        <w:rPr>
          <w:sz w:val="24"/>
        </w:rPr>
      </w:pPr>
      <w:r>
        <w:rPr>
          <w:b/>
          <w:bCs/>
          <w:sz w:val="24"/>
        </w:rPr>
        <w:t>1</w:t>
      </w:r>
      <w:r>
        <w:rPr>
          <w:rFonts w:hint="eastAsia"/>
          <w:b/>
          <w:bCs/>
          <w:sz w:val="24"/>
          <w:lang w:val="en-US" w:eastAsia="zh-CN"/>
        </w:rPr>
        <w:t>4</w:t>
      </w:r>
      <w:r>
        <w:rPr>
          <w:b/>
          <w:bCs/>
          <w:sz w:val="24"/>
        </w:rPr>
        <w:t>.1.</w:t>
      </w:r>
      <w:r>
        <w:rPr>
          <w:rFonts w:hint="eastAsia"/>
          <w:b/>
          <w:bCs/>
          <w:sz w:val="24"/>
          <w:lang w:val="en-US" w:eastAsia="zh-CN"/>
        </w:rPr>
        <w:t>3</w:t>
      </w:r>
      <w:r>
        <w:rPr>
          <w:sz w:val="24"/>
        </w:rPr>
        <w:t xml:space="preserve"> 建筑光伏系统主要部件在运行期间</w:t>
      </w:r>
      <w:r>
        <w:rPr>
          <w:rFonts w:hint="eastAsia"/>
          <w:sz w:val="24"/>
        </w:rPr>
        <w:t>，</w:t>
      </w:r>
      <w:r>
        <w:rPr>
          <w:sz w:val="24"/>
        </w:rPr>
        <w:t>应始终符合国家现行有关产品标准的规定</w:t>
      </w:r>
      <w:r>
        <w:rPr>
          <w:rFonts w:hint="eastAsia"/>
          <w:sz w:val="24"/>
        </w:rPr>
        <w:t>，</w:t>
      </w:r>
      <w:r>
        <w:rPr>
          <w:sz w:val="24"/>
        </w:rPr>
        <w:t>达不到要求的部件应及时维修或更换。</w:t>
      </w:r>
    </w:p>
    <w:p w14:paraId="6454A3EC">
      <w:pPr>
        <w:snapToGrid w:val="0"/>
        <w:spacing w:line="300" w:lineRule="auto"/>
        <w:rPr>
          <w:rFonts w:hint="eastAsia" w:ascii="仿宋" w:hAnsi="仿宋" w:eastAsia="仿宋" w:cs="仿宋"/>
          <w:i/>
          <w:iCs/>
          <w:color w:val="0623BA"/>
          <w:sz w:val="24"/>
        </w:rPr>
      </w:pPr>
      <w:r>
        <w:rPr>
          <w:rFonts w:hint="default" w:ascii="仿宋" w:hAnsi="仿宋" w:eastAsia="仿宋" w:cs="仿宋"/>
          <w:b/>
          <w:bCs/>
          <w:i/>
          <w:iCs/>
          <w:color w:val="0623BA"/>
          <w:sz w:val="24"/>
          <w:highlight w:val="none"/>
        </w:rPr>
        <w:t>1</w:t>
      </w:r>
      <w:r>
        <w:rPr>
          <w:rFonts w:hint="eastAsia" w:ascii="仿宋" w:hAnsi="仿宋" w:eastAsia="仿宋" w:cs="仿宋"/>
          <w:b/>
          <w:bCs/>
          <w:i/>
          <w:iCs/>
          <w:color w:val="0623BA"/>
          <w:sz w:val="24"/>
          <w:highlight w:val="none"/>
          <w:lang w:eastAsia="zh-CN"/>
        </w:rPr>
        <w:t>4</w:t>
      </w:r>
      <w:r>
        <w:rPr>
          <w:rFonts w:hint="default" w:ascii="仿宋" w:hAnsi="仿宋" w:eastAsia="仿宋" w:cs="仿宋"/>
          <w:b/>
          <w:bCs/>
          <w:i/>
          <w:iCs/>
          <w:color w:val="0623BA"/>
          <w:sz w:val="24"/>
          <w:highlight w:val="none"/>
        </w:rPr>
        <w:t>.1.</w:t>
      </w:r>
      <w:r>
        <w:rPr>
          <w:rFonts w:hint="eastAsia" w:ascii="仿宋" w:hAnsi="仿宋" w:eastAsia="仿宋" w:cs="仿宋"/>
          <w:b/>
          <w:bCs/>
          <w:i/>
          <w:iCs/>
          <w:color w:val="0623BA"/>
          <w:sz w:val="24"/>
          <w:highlight w:val="none"/>
          <w:lang w:eastAsia="zh-CN"/>
        </w:rPr>
        <w:t>3</w:t>
      </w:r>
      <w:r>
        <w:rPr>
          <w:rFonts w:hint="eastAsia" w:ascii="仿宋" w:hAnsi="仿宋" w:eastAsia="仿宋" w:cs="仿宋"/>
          <w:i/>
          <w:iCs/>
          <w:color w:val="0623BA"/>
          <w:sz w:val="24"/>
          <w:lang w:eastAsia="zh-CN"/>
        </w:rPr>
        <w:t>建筑集成光伏发电系统</w:t>
      </w:r>
      <w:r>
        <w:rPr>
          <w:rFonts w:hint="eastAsia" w:ascii="仿宋" w:hAnsi="仿宋" w:eastAsia="仿宋" w:cs="仿宋"/>
          <w:i/>
          <w:iCs/>
          <w:color w:val="0623BA"/>
          <w:sz w:val="24"/>
        </w:rPr>
        <w:t>的主要部件包括光伏组件、支撑结构、直流汇流箱、直流配电柜、控制器、逆变器、交流配电柜及线路、建筑结合部件、储能装置、数据通信系统等,各个部件的使用寿命、使用环境、产品性能等参数不尽相同。为保证建筑集成光伏发电系统的运行</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各个部件均应按照产品标准的规定来使用。对不能正常使用的部件</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需要及时维修、更换</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防止事故发生。</w:t>
      </w:r>
    </w:p>
    <w:p w14:paraId="712E9A89">
      <w:pPr>
        <w:snapToGrid w:val="0"/>
        <w:spacing w:line="300" w:lineRule="auto"/>
        <w:rPr>
          <w:sz w:val="24"/>
        </w:rPr>
      </w:pPr>
      <w:r>
        <w:rPr>
          <w:b/>
          <w:bCs/>
          <w:sz w:val="24"/>
        </w:rPr>
        <w:t>1</w:t>
      </w:r>
      <w:r>
        <w:rPr>
          <w:rFonts w:hint="eastAsia"/>
          <w:b/>
          <w:bCs/>
          <w:sz w:val="24"/>
          <w:lang w:val="en-US" w:eastAsia="zh-CN"/>
        </w:rPr>
        <w:t>4</w:t>
      </w:r>
      <w:r>
        <w:rPr>
          <w:b/>
          <w:bCs/>
          <w:sz w:val="24"/>
        </w:rPr>
        <w:t>.1.</w:t>
      </w:r>
      <w:r>
        <w:rPr>
          <w:rFonts w:hint="eastAsia"/>
          <w:b/>
          <w:bCs/>
          <w:sz w:val="24"/>
          <w:lang w:val="en-US" w:eastAsia="zh-CN"/>
        </w:rPr>
        <w:t>4</w:t>
      </w:r>
      <w:r>
        <w:rPr>
          <w:rFonts w:hint="eastAsia"/>
          <w:sz w:val="24"/>
        </w:rPr>
        <w:t xml:space="preserve"> </w:t>
      </w:r>
      <w:r>
        <w:rPr>
          <w:sz w:val="24"/>
        </w:rPr>
        <w:t>建筑光伏系统中的计量设备和器具应符合计量的要求。</w:t>
      </w:r>
    </w:p>
    <w:p w14:paraId="71BC5881">
      <w:pPr>
        <w:snapToGrid w:val="0"/>
        <w:spacing w:line="300" w:lineRule="auto"/>
        <w:jc w:val="left"/>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1D500413">
      <w:pPr>
        <w:snapToGrid w:val="0"/>
        <w:spacing w:line="300" w:lineRule="auto"/>
        <w:rPr>
          <w:rFonts w:hint="eastAsia" w:ascii="仿宋" w:hAnsi="仿宋" w:eastAsia="仿宋" w:cs="仿宋"/>
          <w:i/>
          <w:iCs/>
          <w:color w:val="0623BA"/>
          <w:sz w:val="24"/>
        </w:rPr>
      </w:pPr>
      <w:r>
        <w:rPr>
          <w:rFonts w:hint="eastAsia" w:ascii="仿宋" w:hAnsi="仿宋" w:eastAsia="仿宋" w:cs="仿宋"/>
          <w:i/>
          <w:iCs/>
          <w:color w:val="0623BA"/>
          <w:sz w:val="24"/>
        </w:rPr>
        <w:t>1</w:t>
      </w:r>
      <w:r>
        <w:rPr>
          <w:rFonts w:hint="eastAsia" w:ascii="仿宋" w:hAnsi="仿宋" w:eastAsia="仿宋" w:cs="仿宋"/>
          <w:i/>
          <w:iCs/>
          <w:color w:val="0623BA"/>
          <w:sz w:val="24"/>
          <w:lang w:val="en-US" w:eastAsia="zh-CN"/>
        </w:rPr>
        <w:t>4</w:t>
      </w:r>
      <w:r>
        <w:rPr>
          <w:rFonts w:hint="eastAsia" w:ascii="仿宋" w:hAnsi="仿宋" w:eastAsia="仿宋" w:cs="仿宋"/>
          <w:i/>
          <w:iCs/>
          <w:color w:val="0623BA"/>
          <w:sz w:val="24"/>
        </w:rPr>
        <w:t>.1.</w:t>
      </w:r>
      <w:r>
        <w:rPr>
          <w:rFonts w:hint="eastAsia" w:ascii="仿宋" w:hAnsi="仿宋" w:eastAsia="仿宋" w:cs="仿宋"/>
          <w:i/>
          <w:iCs/>
          <w:color w:val="0623BA"/>
          <w:sz w:val="24"/>
          <w:lang w:val="en-US" w:eastAsia="zh-CN"/>
        </w:rPr>
        <w:t>4</w:t>
      </w:r>
      <w:r>
        <w:rPr>
          <w:rFonts w:hint="eastAsia" w:ascii="仿宋" w:hAnsi="仿宋" w:eastAsia="仿宋" w:cs="仿宋"/>
          <w:i/>
          <w:iCs/>
          <w:color w:val="0623BA"/>
          <w:sz w:val="24"/>
        </w:rPr>
        <w:t xml:space="preserve"> 建筑光伏系统中的计量设备应符合国家现行有关规定</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以便今后获得相关的政策补贴。</w:t>
      </w:r>
    </w:p>
    <w:p w14:paraId="2B8F8FD6">
      <w:pPr>
        <w:snapToGrid w:val="0"/>
        <w:spacing w:line="300" w:lineRule="auto"/>
        <w:rPr>
          <w:rFonts w:hint="default" w:eastAsia="宋体"/>
          <w:sz w:val="24"/>
          <w:lang w:val="en-US" w:eastAsia="zh-CN"/>
        </w:rPr>
      </w:pPr>
      <w:r>
        <w:rPr>
          <w:b/>
          <w:bCs/>
          <w:sz w:val="24"/>
        </w:rPr>
        <w:t>1</w:t>
      </w:r>
      <w:r>
        <w:rPr>
          <w:rFonts w:hint="eastAsia"/>
          <w:b/>
          <w:bCs/>
          <w:sz w:val="24"/>
          <w:lang w:val="en-US" w:eastAsia="zh-CN"/>
        </w:rPr>
        <w:t>4</w:t>
      </w:r>
      <w:r>
        <w:rPr>
          <w:b/>
          <w:bCs/>
          <w:sz w:val="24"/>
        </w:rPr>
        <w:t>.1.</w:t>
      </w:r>
      <w:r>
        <w:rPr>
          <w:rFonts w:hint="eastAsia"/>
          <w:b/>
          <w:bCs/>
          <w:sz w:val="24"/>
          <w:lang w:val="en-US" w:eastAsia="zh-CN"/>
        </w:rPr>
        <w:t>5</w:t>
      </w:r>
      <w:r>
        <w:rPr>
          <w:rFonts w:hint="eastAsia"/>
          <w:b/>
          <w:bCs/>
          <w:sz w:val="24"/>
        </w:rPr>
        <w:t xml:space="preserve"> </w:t>
      </w:r>
      <w:r>
        <w:rPr>
          <w:sz w:val="24"/>
        </w:rPr>
        <w:t>建筑光伏系统</w:t>
      </w:r>
      <w:r>
        <w:rPr>
          <w:rFonts w:hint="eastAsia"/>
          <w:sz w:val="24"/>
          <w:lang w:val="en-US" w:eastAsia="zh-CN"/>
        </w:rPr>
        <w:t>的运营与维护应</w:t>
      </w:r>
      <w:r>
        <w:rPr>
          <w:rFonts w:hint="eastAsia"/>
          <w:sz w:val="24"/>
          <w:highlight w:val="none"/>
          <w:lang w:val="en-US" w:eastAsia="zh-CN"/>
        </w:rPr>
        <w:t>符合《</w:t>
      </w:r>
      <w:r>
        <w:rPr>
          <w:rFonts w:hint="eastAsia"/>
          <w:sz w:val="24"/>
          <w:highlight w:val="none"/>
        </w:rPr>
        <w:t>建筑光伏系统应用技术标准</w:t>
      </w:r>
      <w:r>
        <w:rPr>
          <w:rFonts w:hint="eastAsia"/>
          <w:sz w:val="24"/>
          <w:highlight w:val="none"/>
          <w:lang w:val="en-US" w:eastAsia="zh-CN"/>
        </w:rPr>
        <w:t>》</w:t>
      </w:r>
      <w:r>
        <w:rPr>
          <w:sz w:val="24"/>
          <w:highlight w:val="none"/>
        </w:rPr>
        <w:t>GB/T51368</w:t>
      </w:r>
      <w:r>
        <w:rPr>
          <w:rFonts w:hint="eastAsia"/>
          <w:sz w:val="24"/>
          <w:highlight w:val="none"/>
          <w:lang w:val="en-US" w:eastAsia="zh-CN"/>
        </w:rPr>
        <w:t>的相关规定。</w:t>
      </w:r>
    </w:p>
    <w:p w14:paraId="2CAE5696">
      <w:pPr>
        <w:snapToGrid w:val="0"/>
        <w:spacing w:line="300" w:lineRule="auto"/>
        <w:rPr>
          <w:sz w:val="24"/>
        </w:rPr>
      </w:pPr>
      <w:r>
        <w:rPr>
          <w:b/>
          <w:bCs/>
          <w:sz w:val="24"/>
        </w:rPr>
        <w:t>1</w:t>
      </w:r>
      <w:r>
        <w:rPr>
          <w:rFonts w:hint="eastAsia"/>
          <w:b/>
          <w:bCs/>
          <w:sz w:val="24"/>
          <w:lang w:val="en-US" w:eastAsia="zh-CN"/>
        </w:rPr>
        <w:t>4</w:t>
      </w:r>
      <w:r>
        <w:rPr>
          <w:b/>
          <w:bCs/>
          <w:sz w:val="24"/>
        </w:rPr>
        <w:t>.1.</w:t>
      </w:r>
      <w:r>
        <w:rPr>
          <w:rFonts w:hint="eastAsia"/>
          <w:b/>
          <w:bCs/>
          <w:sz w:val="24"/>
          <w:lang w:val="en-US" w:eastAsia="zh-CN"/>
        </w:rPr>
        <w:t>6</w:t>
      </w:r>
      <w:r>
        <w:rPr>
          <w:rFonts w:hint="eastAsia"/>
          <w:b/>
          <w:bCs/>
          <w:sz w:val="24"/>
        </w:rPr>
        <w:t xml:space="preserve"> </w:t>
      </w:r>
      <w:r>
        <w:rPr>
          <w:sz w:val="24"/>
        </w:rPr>
        <w:t>建筑光伏系统运行与维护应符合现行国家标准《光伏发电站安全规程》GB/T35694、《低压电气装置第4-41部分：安全防护电击防护》GB16895.21、《电气设备应用场所的安全要求第1部分：总则》GB/T24612.1、《电气设备应用场所的安全要求第2部分：在断电状态下操作的安全措施》GB/T24612.2和《配电线路带电作业技术导则》GB/T18857的有关规定。</w:t>
      </w:r>
    </w:p>
    <w:p w14:paraId="2730A8DE">
      <w:pPr>
        <w:snapToGrid w:val="0"/>
        <w:spacing w:line="300" w:lineRule="auto"/>
        <w:jc w:val="left"/>
        <w:rPr>
          <w:sz w:val="24"/>
        </w:rPr>
      </w:pPr>
      <w:r>
        <w:rPr>
          <w:rFonts w:hint="eastAsia"/>
          <w:b/>
          <w:bCs/>
          <w:sz w:val="24"/>
        </w:rPr>
        <w:t>1</w:t>
      </w:r>
      <w:r>
        <w:rPr>
          <w:rFonts w:hint="eastAsia"/>
          <w:b/>
          <w:bCs/>
          <w:sz w:val="24"/>
          <w:lang w:val="en-US" w:eastAsia="zh-CN"/>
        </w:rPr>
        <w:t>4</w:t>
      </w:r>
      <w:r>
        <w:rPr>
          <w:rFonts w:hint="eastAsia"/>
          <w:b/>
          <w:bCs/>
          <w:sz w:val="24"/>
        </w:rPr>
        <w:t>.1.</w:t>
      </w:r>
      <w:r>
        <w:rPr>
          <w:rFonts w:hint="eastAsia"/>
          <w:b/>
          <w:bCs/>
          <w:sz w:val="24"/>
          <w:lang w:val="en-US" w:eastAsia="zh-CN"/>
        </w:rPr>
        <w:t>7</w:t>
      </w:r>
      <w:r>
        <w:rPr>
          <w:rFonts w:hint="eastAsia"/>
          <w:sz w:val="24"/>
        </w:rPr>
        <w:t xml:space="preserve"> 新投入运行的设备应进行核相，无误后方可进行并列运行。由于检修或更换设备引起接线变动时，也应进行核相。</w:t>
      </w:r>
    </w:p>
    <w:p w14:paraId="1FAFCB01">
      <w:pPr>
        <w:snapToGrid w:val="0"/>
        <w:spacing w:line="300" w:lineRule="auto"/>
        <w:rPr>
          <w:rFonts w:hint="eastAsia"/>
          <w:sz w:val="24"/>
          <w:highlight w:val="yellow"/>
        </w:rPr>
      </w:pPr>
      <w:r>
        <w:rPr>
          <w:rFonts w:hint="eastAsia"/>
          <w:b/>
          <w:bCs/>
          <w:sz w:val="24"/>
        </w:rPr>
        <w:t>1</w:t>
      </w:r>
      <w:r>
        <w:rPr>
          <w:rFonts w:hint="eastAsia"/>
          <w:b/>
          <w:bCs/>
          <w:sz w:val="24"/>
          <w:lang w:val="en-US" w:eastAsia="zh-CN"/>
        </w:rPr>
        <w:t>4</w:t>
      </w:r>
      <w:r>
        <w:rPr>
          <w:rFonts w:hint="eastAsia"/>
          <w:b/>
          <w:bCs/>
          <w:sz w:val="24"/>
        </w:rPr>
        <w:t>.1.</w:t>
      </w:r>
      <w:r>
        <w:rPr>
          <w:rFonts w:hint="eastAsia"/>
          <w:b/>
          <w:bCs/>
          <w:sz w:val="24"/>
          <w:lang w:val="en-US" w:eastAsia="zh-CN"/>
        </w:rPr>
        <w:t>8</w:t>
      </w:r>
      <w:r>
        <w:rPr>
          <w:rFonts w:hint="eastAsia"/>
          <w:sz w:val="24"/>
        </w:rPr>
        <w:t xml:space="preserve"> 建筑光伏系统运行和维护的全部过程应进行记录，所有记录应存档并应对每次故障记录进行分析。当建筑光伏系统设备故障时，运行人员应详细记录故障发生的时间、故障现象，协助检修人员进行维护工作</w:t>
      </w:r>
      <w:r>
        <w:rPr>
          <w:rFonts w:hint="eastAsia"/>
          <w:sz w:val="24"/>
          <w:lang w:eastAsia="zh-CN"/>
        </w:rPr>
        <w:t>。</w:t>
      </w:r>
      <w:r>
        <w:rPr>
          <w:rFonts w:hint="eastAsia"/>
          <w:sz w:val="24"/>
        </w:rPr>
        <w:t>故障排除后，检修人员应将出现故障的设备名称、故障现象描述、故障时间、处理方法、备品配件更换情况、检修人员及检修时间等详细情况记入检修台账中，为分析建筑光伏系统运行状况和制定检修方案提供依据。建筑光伏系统的故障处理</w:t>
      </w:r>
      <w:r>
        <w:rPr>
          <w:rFonts w:hint="eastAsia"/>
          <w:sz w:val="24"/>
          <w:lang w:val="en-US" w:eastAsia="zh-CN"/>
        </w:rPr>
        <w:t>参见本标准附录C。</w:t>
      </w:r>
    </w:p>
    <w:p w14:paraId="72D2ED16">
      <w:pPr>
        <w:snapToGrid w:val="0"/>
        <w:spacing w:line="300" w:lineRule="auto"/>
        <w:jc w:val="left"/>
        <w:rPr>
          <w:rFonts w:hint="eastAsia" w:ascii="仿宋" w:hAnsi="仿宋" w:eastAsia="仿宋" w:cs="仿宋"/>
          <w:b/>
          <w:bCs/>
          <w:i/>
          <w:iCs/>
          <w:color w:val="0623BA"/>
          <w:sz w:val="24"/>
          <w:highlight w:val="yellow"/>
        </w:rPr>
      </w:pPr>
      <w:r>
        <w:rPr>
          <w:rFonts w:hint="eastAsia" w:ascii="仿宋" w:hAnsi="仿宋" w:eastAsia="仿宋" w:cs="仿宋"/>
          <w:b/>
          <w:bCs/>
          <w:i/>
          <w:iCs/>
          <w:color w:val="0623BA"/>
          <w:sz w:val="24"/>
        </w:rPr>
        <w:t>【条文说明】</w:t>
      </w:r>
    </w:p>
    <w:p w14:paraId="7A0A4903">
      <w:pPr>
        <w:snapToGrid w:val="0"/>
        <w:spacing w:line="300" w:lineRule="auto"/>
        <w:jc w:val="left"/>
        <w:rPr>
          <w:rFonts w:hint="eastAsia" w:ascii="仿宋" w:hAnsi="仿宋" w:eastAsia="仿宋" w:cs="仿宋"/>
          <w:i/>
          <w:iCs/>
          <w:color w:val="0623BA"/>
          <w:sz w:val="24"/>
        </w:rPr>
      </w:pPr>
      <w:r>
        <w:rPr>
          <w:rFonts w:hint="eastAsia" w:ascii="仿宋" w:hAnsi="仿宋" w:eastAsia="仿宋" w:cs="仿宋"/>
          <w:i/>
          <w:iCs/>
          <w:color w:val="0623BA"/>
          <w:sz w:val="24"/>
        </w:rPr>
        <w:t>1</w:t>
      </w:r>
      <w:r>
        <w:rPr>
          <w:rFonts w:hint="eastAsia" w:ascii="仿宋" w:hAnsi="仿宋" w:eastAsia="仿宋" w:cs="仿宋"/>
          <w:i/>
          <w:iCs/>
          <w:color w:val="0623BA"/>
          <w:sz w:val="24"/>
          <w:lang w:val="en-US" w:eastAsia="zh-CN"/>
        </w:rPr>
        <w:t>4</w:t>
      </w:r>
      <w:r>
        <w:rPr>
          <w:rFonts w:hint="eastAsia" w:ascii="仿宋" w:hAnsi="仿宋" w:eastAsia="仿宋" w:cs="仿宋"/>
          <w:i/>
          <w:iCs/>
          <w:color w:val="0623BA"/>
          <w:sz w:val="24"/>
        </w:rPr>
        <w:t>.1.</w:t>
      </w:r>
      <w:r>
        <w:rPr>
          <w:rFonts w:hint="eastAsia" w:ascii="仿宋" w:hAnsi="仿宋" w:eastAsia="仿宋" w:cs="仿宋"/>
          <w:i/>
          <w:iCs/>
          <w:color w:val="0623BA"/>
          <w:sz w:val="24"/>
          <w:lang w:val="en-US" w:eastAsia="zh-CN"/>
        </w:rPr>
        <w:t>8</w:t>
      </w:r>
      <w:r>
        <w:rPr>
          <w:rFonts w:hint="eastAsia" w:ascii="仿宋" w:hAnsi="仿宋" w:eastAsia="仿宋" w:cs="仿宋"/>
          <w:i/>
          <w:iCs/>
          <w:color w:val="0623BA"/>
          <w:sz w:val="24"/>
        </w:rPr>
        <w:t xml:space="preserve"> 为了衡量系统的性能以及做好管理工作</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建筑光伏系统运行和维护的全过程需做好详细的记录。</w:t>
      </w:r>
    </w:p>
    <w:p w14:paraId="4800FA90">
      <w:pPr>
        <w:pStyle w:val="2"/>
        <w:spacing w:after="0" w:line="300" w:lineRule="auto"/>
        <w:rPr>
          <w:rFonts w:hint="default" w:eastAsia="宋体"/>
          <w:sz w:val="24"/>
          <w:lang w:val="en-US" w:eastAsia="zh-CN"/>
        </w:rPr>
      </w:pPr>
      <w:r>
        <w:rPr>
          <w:rFonts w:hint="eastAsia" w:ascii="Times New Roman" w:hAnsi="Times New Roman" w:eastAsia="宋体" w:cs="Times New Roman"/>
          <w:b/>
          <w:bCs/>
          <w:i w:val="0"/>
          <w:iCs w:val="0"/>
          <w:color w:val="auto"/>
          <w:sz w:val="24"/>
          <w:lang w:val="en-US" w:eastAsia="zh-CN"/>
        </w:rPr>
        <w:t>1</w:t>
      </w:r>
      <w:r>
        <w:rPr>
          <w:rFonts w:hint="eastAsia" w:cs="Times New Roman"/>
          <w:b/>
          <w:bCs/>
          <w:i w:val="0"/>
          <w:iCs w:val="0"/>
          <w:color w:val="auto"/>
          <w:sz w:val="24"/>
          <w:lang w:val="en-US" w:eastAsia="zh-CN"/>
        </w:rPr>
        <w:t>4</w:t>
      </w:r>
      <w:r>
        <w:rPr>
          <w:rFonts w:hint="eastAsia" w:ascii="Times New Roman" w:hAnsi="Times New Roman" w:eastAsia="宋体" w:cs="Times New Roman"/>
          <w:b/>
          <w:bCs/>
          <w:i w:val="0"/>
          <w:iCs w:val="0"/>
          <w:color w:val="auto"/>
          <w:sz w:val="24"/>
          <w:lang w:val="en-US" w:eastAsia="zh-CN"/>
        </w:rPr>
        <w:t>.1.</w:t>
      </w:r>
      <w:r>
        <w:rPr>
          <w:rFonts w:hint="eastAsia" w:cs="Times New Roman"/>
          <w:b/>
          <w:bCs/>
          <w:i w:val="0"/>
          <w:iCs w:val="0"/>
          <w:sz w:val="24"/>
          <w:lang w:val="en-US" w:eastAsia="zh-CN"/>
        </w:rPr>
        <w:t>9</w:t>
      </w:r>
      <w:r>
        <w:rPr>
          <w:rFonts w:hint="eastAsia" w:ascii="Times New Roman" w:hAnsi="Times New Roman" w:eastAsia="宋体" w:cs="Times New Roman"/>
          <w:i w:val="0"/>
          <w:iCs w:val="0"/>
          <w:color w:val="auto"/>
          <w:sz w:val="24"/>
          <w:lang w:val="en-US" w:eastAsia="zh-CN"/>
        </w:rPr>
        <w:t xml:space="preserve"> 光伏</w:t>
      </w:r>
      <w:r>
        <w:rPr>
          <w:rFonts w:hint="eastAsia"/>
          <w:kern w:val="2"/>
          <w:sz w:val="24"/>
          <w:vertAlign w:val="baseline"/>
          <w:lang w:val="en-US" w:eastAsia="zh-CN"/>
        </w:rPr>
        <w:t>小型系统由专业运维单位统一管理，中大型系统宜建立管理团队管理。</w:t>
      </w:r>
    </w:p>
    <w:p w14:paraId="37FD9ED0">
      <w:pPr>
        <w:keepNext/>
        <w:keepLines/>
        <w:spacing w:before="95" w:beforeLines="30" w:after="95" w:afterLines="30" w:line="300" w:lineRule="auto"/>
        <w:ind w:firstLine="0" w:firstLineChars="0"/>
        <w:jc w:val="center"/>
        <w:outlineLvl w:val="2"/>
        <w:rPr>
          <w:rFonts w:hint="default" w:eastAsia="宋体"/>
          <w:b/>
          <w:sz w:val="24"/>
          <w:szCs w:val="32"/>
          <w:lang w:val="en-US" w:eastAsia="zh-CN"/>
        </w:rPr>
      </w:pPr>
      <w:bookmarkStart w:id="482" w:name="_Toc29417"/>
      <w:bookmarkStart w:id="483" w:name="_Toc20878"/>
      <w:bookmarkStart w:id="484" w:name="_Toc17810"/>
      <w:bookmarkStart w:id="485" w:name="_Toc4770"/>
      <w:bookmarkStart w:id="486" w:name="_Toc21285"/>
      <w:bookmarkStart w:id="487" w:name="_Toc14294"/>
      <w:bookmarkStart w:id="488" w:name="_Toc14150"/>
      <w:bookmarkStart w:id="489" w:name="_Toc15147"/>
      <w:r>
        <w:rPr>
          <w:rFonts w:hint="default"/>
          <w:b/>
          <w:sz w:val="24"/>
          <w:szCs w:val="32"/>
        </w:rPr>
        <w:t>1</w:t>
      </w:r>
      <w:r>
        <w:rPr>
          <w:rFonts w:hint="default"/>
          <w:b/>
          <w:sz w:val="24"/>
          <w:szCs w:val="32"/>
          <w:lang w:val="en-US" w:eastAsia="zh-CN"/>
        </w:rPr>
        <w:t>4</w:t>
      </w:r>
      <w:r>
        <w:rPr>
          <w:rFonts w:hint="default"/>
          <w:b/>
          <w:sz w:val="24"/>
          <w:szCs w:val="32"/>
        </w:rPr>
        <w:t xml:space="preserve">.2 </w:t>
      </w:r>
      <w:r>
        <w:rPr>
          <w:rFonts w:hint="default"/>
          <w:b/>
          <w:sz w:val="24"/>
          <w:szCs w:val="32"/>
          <w:lang w:val="en-US" w:eastAsia="zh-CN"/>
        </w:rPr>
        <w:t>建筑</w:t>
      </w:r>
      <w:r>
        <w:rPr>
          <w:rFonts w:hint="default"/>
          <w:b/>
          <w:sz w:val="24"/>
          <w:szCs w:val="32"/>
        </w:rPr>
        <w:t>运行管理</w:t>
      </w:r>
      <w:bookmarkEnd w:id="482"/>
      <w:bookmarkEnd w:id="483"/>
      <w:r>
        <w:rPr>
          <w:rFonts w:hint="default"/>
          <w:b/>
          <w:sz w:val="24"/>
          <w:szCs w:val="32"/>
          <w:lang w:val="en-US" w:eastAsia="zh-CN"/>
        </w:rPr>
        <w:t>与维护</w:t>
      </w:r>
      <w:bookmarkEnd w:id="484"/>
      <w:bookmarkEnd w:id="485"/>
      <w:bookmarkEnd w:id="486"/>
      <w:bookmarkEnd w:id="487"/>
      <w:bookmarkEnd w:id="488"/>
      <w:bookmarkEnd w:id="489"/>
    </w:p>
    <w:p w14:paraId="360DF559">
      <w:pPr>
        <w:snapToGrid w:val="0"/>
        <w:spacing w:line="300" w:lineRule="auto"/>
        <w:rPr>
          <w:sz w:val="24"/>
        </w:rPr>
      </w:pPr>
      <w:r>
        <w:rPr>
          <w:b/>
          <w:bCs/>
          <w:sz w:val="24"/>
        </w:rPr>
        <w:t>1</w:t>
      </w:r>
      <w:r>
        <w:rPr>
          <w:rFonts w:hint="eastAsia"/>
          <w:b/>
          <w:bCs/>
          <w:sz w:val="24"/>
          <w:lang w:val="en-US" w:eastAsia="zh-CN"/>
        </w:rPr>
        <w:t>4</w:t>
      </w:r>
      <w:r>
        <w:rPr>
          <w:b/>
          <w:bCs/>
          <w:sz w:val="24"/>
        </w:rPr>
        <w:t>.</w:t>
      </w:r>
      <w:r>
        <w:rPr>
          <w:rFonts w:hint="eastAsia"/>
          <w:b/>
          <w:bCs/>
          <w:sz w:val="24"/>
          <w:lang w:val="en-US" w:eastAsia="zh-CN"/>
        </w:rPr>
        <w:t>2</w:t>
      </w:r>
      <w:r>
        <w:rPr>
          <w:b/>
          <w:bCs/>
          <w:sz w:val="24"/>
        </w:rPr>
        <w:t>.</w:t>
      </w:r>
      <w:r>
        <w:rPr>
          <w:rFonts w:hint="eastAsia"/>
          <w:b/>
          <w:bCs/>
          <w:sz w:val="24"/>
          <w:lang w:val="en-US" w:eastAsia="zh-CN"/>
        </w:rPr>
        <w:t>1</w:t>
      </w:r>
      <w:r>
        <w:rPr>
          <w:sz w:val="24"/>
        </w:rPr>
        <w:t xml:space="preserve"> 建筑光伏系统的主要部件周围不得堆积易燃易爆物品</w:t>
      </w:r>
      <w:r>
        <w:rPr>
          <w:rFonts w:hint="eastAsia"/>
          <w:sz w:val="24"/>
        </w:rPr>
        <w:t>，</w:t>
      </w:r>
      <w:r>
        <w:rPr>
          <w:sz w:val="24"/>
        </w:rPr>
        <w:t>设备本身及周围环境应散热良好</w:t>
      </w:r>
      <w:r>
        <w:rPr>
          <w:rFonts w:hint="eastAsia"/>
          <w:sz w:val="24"/>
        </w:rPr>
        <w:t>。</w:t>
      </w:r>
      <w:r>
        <w:rPr>
          <w:rFonts w:hint="eastAsia"/>
          <w:sz w:val="24"/>
          <w:lang w:val="en-US" w:eastAsia="zh-CN"/>
        </w:rPr>
        <w:t>设备</w:t>
      </w:r>
      <w:r>
        <w:rPr>
          <w:sz w:val="24"/>
        </w:rPr>
        <w:t>上的灰尘和污物应及时清理。</w:t>
      </w:r>
    </w:p>
    <w:p w14:paraId="059178B3">
      <w:pPr>
        <w:snapToGrid w:val="0"/>
        <w:spacing w:line="300" w:lineRule="auto"/>
        <w:jc w:val="left"/>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36832F62">
      <w:pPr>
        <w:pStyle w:val="2"/>
        <w:spacing w:line="300" w:lineRule="auto"/>
        <w:rPr>
          <w:rFonts w:hint="eastAsia" w:ascii="仿宋" w:hAnsi="仿宋" w:eastAsia="仿宋" w:cs="仿宋"/>
          <w:i/>
          <w:iCs/>
          <w:color w:val="0623BA"/>
          <w:sz w:val="24"/>
        </w:rPr>
      </w:pPr>
      <w:r>
        <w:rPr>
          <w:rFonts w:hint="eastAsia" w:ascii="仿宋" w:hAnsi="仿宋" w:eastAsia="仿宋" w:cs="仿宋"/>
          <w:b w:val="0"/>
          <w:bCs w:val="0"/>
          <w:i/>
          <w:iCs/>
          <w:color w:val="0623BA"/>
          <w:sz w:val="24"/>
        </w:rPr>
        <w:t>1</w:t>
      </w:r>
      <w:r>
        <w:rPr>
          <w:rFonts w:hint="eastAsia" w:ascii="仿宋" w:hAnsi="仿宋" w:eastAsia="仿宋" w:cs="仿宋"/>
          <w:b w:val="0"/>
          <w:bCs w:val="0"/>
          <w:i/>
          <w:iCs/>
          <w:color w:val="0623BA"/>
          <w:sz w:val="24"/>
          <w:lang w:eastAsia="zh-CN"/>
        </w:rPr>
        <w:t>4</w:t>
      </w:r>
      <w:r>
        <w:rPr>
          <w:rFonts w:hint="eastAsia" w:ascii="仿宋" w:hAnsi="仿宋" w:eastAsia="仿宋" w:cs="仿宋"/>
          <w:b w:val="0"/>
          <w:bCs w:val="0"/>
          <w:i/>
          <w:iCs/>
          <w:color w:val="0623BA"/>
          <w:sz w:val="24"/>
        </w:rPr>
        <w:t>.</w:t>
      </w:r>
      <w:r>
        <w:rPr>
          <w:rFonts w:hint="eastAsia" w:ascii="仿宋" w:hAnsi="仿宋" w:eastAsia="仿宋" w:cs="仿宋"/>
          <w:b w:val="0"/>
          <w:bCs w:val="0"/>
          <w:i/>
          <w:iCs/>
          <w:color w:val="0623BA"/>
          <w:sz w:val="24"/>
          <w:lang w:val="en-US" w:eastAsia="zh-CN"/>
        </w:rPr>
        <w:t xml:space="preserve">2.1 </w:t>
      </w:r>
      <w:r>
        <w:rPr>
          <w:rFonts w:hint="eastAsia" w:ascii="仿宋" w:hAnsi="仿宋" w:eastAsia="仿宋" w:cs="仿宋"/>
          <w:i/>
          <w:iCs/>
          <w:color w:val="0623BA"/>
          <w:sz w:val="24"/>
        </w:rPr>
        <w:t>为了防止火灾等事故发生</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光建筑光伏系统主要部件的周围应避免放置杂物。为了防止</w:t>
      </w:r>
      <w:r>
        <w:rPr>
          <w:rFonts w:hint="eastAsia" w:ascii="仿宋" w:hAnsi="仿宋" w:eastAsia="仿宋" w:cs="仿宋"/>
          <w:i/>
          <w:iCs/>
          <w:color w:val="0623BA"/>
          <w:sz w:val="24"/>
          <w:lang w:val="en-US" w:eastAsia="zh-CN"/>
        </w:rPr>
        <w:t>设备</w:t>
      </w:r>
      <w:r>
        <w:rPr>
          <w:rFonts w:hint="eastAsia" w:ascii="仿宋" w:hAnsi="仿宋" w:eastAsia="仿宋" w:cs="仿宋"/>
          <w:i/>
          <w:iCs/>
          <w:color w:val="0623BA"/>
          <w:sz w:val="24"/>
        </w:rPr>
        <w:t>过热、短路等事故</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延长设备使用寿命</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增加发电量</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需保持设备的洁净和周围环境的通风散热。</w:t>
      </w:r>
    </w:p>
    <w:p w14:paraId="5209B097">
      <w:pPr>
        <w:snapToGrid w:val="0"/>
        <w:spacing w:line="300" w:lineRule="auto"/>
        <w:ind w:firstLine="0" w:firstLineChars="0"/>
        <w:jc w:val="left"/>
        <w:rPr>
          <w:rFonts w:hint="eastAsia" w:ascii="Times New Roman" w:hAnsi="Times New Roman" w:eastAsia="宋体" w:cs="Times New Roman"/>
          <w:b w:val="0"/>
          <w:bCs w:val="0"/>
          <w:sz w:val="24"/>
          <w:szCs w:val="24"/>
        </w:rPr>
      </w:pPr>
      <w:bookmarkStart w:id="490" w:name="_Toc22624"/>
      <w:r>
        <w:rPr>
          <w:rFonts w:hint="eastAsia"/>
          <w:b/>
          <w:bCs/>
          <w:sz w:val="24"/>
          <w:highlight w:val="none"/>
        </w:rPr>
        <w:t>1</w:t>
      </w:r>
      <w:r>
        <w:rPr>
          <w:rFonts w:hint="eastAsia"/>
          <w:b/>
          <w:bCs/>
          <w:sz w:val="24"/>
          <w:highlight w:val="none"/>
          <w:lang w:val="en-US" w:eastAsia="zh-CN"/>
        </w:rPr>
        <w:t>4</w:t>
      </w:r>
      <w:r>
        <w:rPr>
          <w:rFonts w:hint="eastAsia"/>
          <w:b/>
          <w:bCs/>
          <w:sz w:val="24"/>
          <w:highlight w:val="none"/>
        </w:rPr>
        <w:t>.</w:t>
      </w:r>
      <w:r>
        <w:rPr>
          <w:rFonts w:hint="eastAsia"/>
          <w:b/>
          <w:bCs/>
          <w:sz w:val="24"/>
          <w:highlight w:val="none"/>
          <w:lang w:val="en-US" w:eastAsia="zh-CN"/>
        </w:rPr>
        <w:t>2</w:t>
      </w:r>
      <w:r>
        <w:rPr>
          <w:rFonts w:hint="eastAsia"/>
          <w:b/>
          <w:bCs/>
          <w:sz w:val="24"/>
          <w:highlight w:val="none"/>
        </w:rPr>
        <w:t>.</w:t>
      </w:r>
      <w:r>
        <w:rPr>
          <w:rFonts w:hint="eastAsia"/>
          <w:b/>
          <w:bCs/>
          <w:sz w:val="24"/>
          <w:highlight w:val="none"/>
          <w:lang w:val="en-US" w:eastAsia="zh-CN"/>
        </w:rPr>
        <w:t>2</w:t>
      </w:r>
      <w:r>
        <w:rPr>
          <w:b/>
          <w:bCs/>
          <w:sz w:val="24"/>
          <w:highlight w:val="none"/>
        </w:rPr>
        <w:t xml:space="preserve"> </w:t>
      </w:r>
      <w:r>
        <w:rPr>
          <w:rFonts w:hint="eastAsia" w:ascii="Times New Roman" w:hAnsi="Times New Roman" w:cs="Times New Roman"/>
          <w:b w:val="0"/>
          <w:bCs w:val="0"/>
          <w:i w:val="0"/>
          <w:iCs w:val="0"/>
          <w:sz w:val="24"/>
          <w:szCs w:val="24"/>
          <w:highlight w:val="none"/>
          <w:lang w:val="en-US" w:eastAsia="zh-CN"/>
        </w:rPr>
        <w:t>每</w:t>
      </w:r>
      <w:r>
        <w:rPr>
          <w:rFonts w:hint="eastAsia" w:ascii="Times New Roman" w:hAnsi="Times New Roman" w:eastAsia="宋体" w:cs="Times New Roman"/>
          <w:b w:val="0"/>
          <w:bCs w:val="0"/>
          <w:i w:val="0"/>
          <w:iCs w:val="0"/>
          <w:sz w:val="24"/>
          <w:szCs w:val="24"/>
          <w:highlight w:val="none"/>
        </w:rPr>
        <w:t>年对光伏系统、支架及锚固结构等至少应进行一次检行。在极端天气来临前应对设备加强巡检并应采取相应防护措施。极端天气以后及系统重新投运前</w:t>
      </w:r>
      <w:r>
        <w:rPr>
          <w:rFonts w:hint="eastAsia" w:cs="Times New Roman"/>
          <w:b w:val="0"/>
          <w:bCs w:val="0"/>
          <w:i w:val="0"/>
          <w:iCs w:val="0"/>
          <w:sz w:val="24"/>
          <w:szCs w:val="24"/>
          <w:highlight w:val="none"/>
          <w:lang w:eastAsia="zh-CN"/>
        </w:rPr>
        <w:t>，</w:t>
      </w:r>
      <w:r>
        <w:rPr>
          <w:rFonts w:hint="eastAsia" w:ascii="Times New Roman" w:hAnsi="Times New Roman" w:eastAsia="宋体" w:cs="Times New Roman"/>
          <w:b w:val="0"/>
          <w:bCs w:val="0"/>
          <w:i w:val="0"/>
          <w:iCs w:val="0"/>
          <w:sz w:val="24"/>
          <w:szCs w:val="24"/>
          <w:highlight w:val="none"/>
        </w:rPr>
        <w:t>应对系统进行全面检查。</w:t>
      </w:r>
      <w:bookmarkEnd w:id="490"/>
    </w:p>
    <w:p w14:paraId="79C8828F">
      <w:pPr>
        <w:snapToGrid w:val="0"/>
        <w:spacing w:line="300" w:lineRule="auto"/>
        <w:jc w:val="left"/>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3976A571">
      <w:pPr>
        <w:pStyle w:val="2"/>
        <w:spacing w:line="300" w:lineRule="auto"/>
        <w:rPr>
          <w:rFonts w:hint="eastAsia" w:ascii="仿宋" w:hAnsi="仿宋" w:eastAsia="仿宋" w:cs="仿宋"/>
          <w:i/>
          <w:iCs/>
          <w:color w:val="0623BA"/>
          <w:sz w:val="24"/>
        </w:rPr>
      </w:pPr>
      <w:r>
        <w:rPr>
          <w:rFonts w:hint="eastAsia" w:ascii="仿宋" w:hAnsi="仿宋" w:eastAsia="仿宋" w:cs="仿宋"/>
          <w:b w:val="0"/>
          <w:bCs w:val="0"/>
          <w:i/>
          <w:iCs/>
          <w:color w:val="0623BA"/>
          <w:sz w:val="24"/>
        </w:rPr>
        <w:t>1</w:t>
      </w:r>
      <w:r>
        <w:rPr>
          <w:rFonts w:hint="eastAsia" w:ascii="仿宋" w:hAnsi="仿宋" w:eastAsia="仿宋" w:cs="仿宋"/>
          <w:b w:val="0"/>
          <w:bCs w:val="0"/>
          <w:i/>
          <w:iCs/>
          <w:color w:val="0623BA"/>
          <w:sz w:val="24"/>
          <w:lang w:eastAsia="zh-CN"/>
        </w:rPr>
        <w:t>4</w:t>
      </w:r>
      <w:r>
        <w:rPr>
          <w:rFonts w:hint="eastAsia" w:ascii="仿宋" w:hAnsi="仿宋" w:eastAsia="仿宋" w:cs="仿宋"/>
          <w:b w:val="0"/>
          <w:bCs w:val="0"/>
          <w:i/>
          <w:iCs/>
          <w:color w:val="0623BA"/>
          <w:sz w:val="24"/>
        </w:rPr>
        <w:t>.</w:t>
      </w:r>
      <w:r>
        <w:rPr>
          <w:rFonts w:hint="eastAsia" w:ascii="仿宋" w:hAnsi="仿宋" w:eastAsia="仿宋" w:cs="仿宋"/>
          <w:b w:val="0"/>
          <w:bCs w:val="0"/>
          <w:i/>
          <w:iCs/>
          <w:color w:val="0623BA"/>
          <w:sz w:val="24"/>
          <w:lang w:val="en-US" w:eastAsia="zh-CN"/>
        </w:rPr>
        <w:t xml:space="preserve">2.2 </w:t>
      </w:r>
      <w:r>
        <w:rPr>
          <w:rFonts w:hint="eastAsia" w:ascii="仿宋" w:hAnsi="仿宋" w:eastAsia="仿宋" w:cs="仿宋"/>
          <w:b w:val="0"/>
          <w:bCs w:val="0"/>
          <w:i/>
          <w:iCs/>
          <w:color w:val="0623BA"/>
          <w:sz w:val="24"/>
          <w:szCs w:val="24"/>
          <w:lang w:val="en-US" w:eastAsia="zh-CN"/>
        </w:rPr>
        <w:t>建筑集成光伏发电系统</w:t>
      </w:r>
      <w:r>
        <w:rPr>
          <w:rFonts w:hint="eastAsia" w:ascii="仿宋" w:hAnsi="仿宋" w:eastAsia="仿宋" w:cs="仿宋"/>
          <w:b w:val="0"/>
          <w:bCs w:val="0"/>
          <w:i/>
          <w:iCs/>
          <w:color w:val="0623BA"/>
          <w:sz w:val="24"/>
          <w:szCs w:val="24"/>
        </w:rPr>
        <w:t>项目</w:t>
      </w:r>
      <w:r>
        <w:rPr>
          <w:rFonts w:hint="eastAsia" w:ascii="仿宋" w:hAnsi="仿宋" w:eastAsia="仿宋" w:cs="仿宋"/>
          <w:b w:val="0"/>
          <w:bCs w:val="0"/>
          <w:i/>
          <w:iCs/>
          <w:color w:val="0623BA"/>
          <w:sz w:val="24"/>
          <w:szCs w:val="24"/>
          <w:lang w:val="en-US" w:eastAsia="zh-CN"/>
        </w:rPr>
        <w:t>应定期</w:t>
      </w:r>
      <w:r>
        <w:rPr>
          <w:rFonts w:hint="eastAsia" w:ascii="仿宋" w:hAnsi="仿宋" w:eastAsia="仿宋" w:cs="仿宋"/>
          <w:b w:val="0"/>
          <w:bCs w:val="0"/>
          <w:i/>
          <w:iCs/>
          <w:color w:val="0623BA"/>
          <w:sz w:val="24"/>
          <w:szCs w:val="24"/>
        </w:rPr>
        <w:t>对光伏系统、支架及锚固结构进行检行。</w:t>
      </w:r>
    </w:p>
    <w:p w14:paraId="28B558FE">
      <w:pPr>
        <w:snapToGrid w:val="0"/>
        <w:spacing w:line="300" w:lineRule="auto"/>
        <w:jc w:val="left"/>
        <w:rPr>
          <w:sz w:val="24"/>
        </w:rPr>
      </w:pPr>
      <w:r>
        <w:rPr>
          <w:rFonts w:hint="eastAsia"/>
          <w:b/>
          <w:bCs/>
          <w:sz w:val="24"/>
        </w:rPr>
        <w:t>1</w:t>
      </w:r>
      <w:r>
        <w:rPr>
          <w:rFonts w:hint="eastAsia"/>
          <w:b/>
          <w:bCs/>
          <w:sz w:val="24"/>
          <w:lang w:val="en-US" w:eastAsia="zh-CN"/>
        </w:rPr>
        <w:t>4</w:t>
      </w:r>
      <w:r>
        <w:rPr>
          <w:rFonts w:hint="eastAsia"/>
          <w:b/>
          <w:bCs/>
          <w:sz w:val="24"/>
        </w:rPr>
        <w:t>.</w:t>
      </w:r>
      <w:r>
        <w:rPr>
          <w:rFonts w:hint="eastAsia"/>
          <w:b/>
          <w:bCs/>
          <w:sz w:val="24"/>
          <w:lang w:val="en-US" w:eastAsia="zh-CN"/>
        </w:rPr>
        <w:t>2.3</w:t>
      </w:r>
      <w:r>
        <w:rPr>
          <w:rFonts w:hint="eastAsia"/>
          <w:sz w:val="24"/>
        </w:rPr>
        <w:t xml:space="preserve"> 建筑光伏系统与建筑物结合部分应符合下列</w:t>
      </w:r>
      <w:r>
        <w:rPr>
          <w:rFonts w:hint="eastAsia"/>
          <w:sz w:val="24"/>
          <w:lang w:eastAsia="zh-CN"/>
        </w:rPr>
        <w:t>要求</w:t>
      </w:r>
      <w:r>
        <w:rPr>
          <w:rFonts w:hint="eastAsia"/>
          <w:sz w:val="24"/>
        </w:rPr>
        <w:t>：</w:t>
      </w:r>
    </w:p>
    <w:p w14:paraId="0F2C7257">
      <w:pPr>
        <w:snapToGrid w:val="0"/>
        <w:spacing w:line="300" w:lineRule="auto"/>
        <w:ind w:firstLine="482" w:firstLineChars="200"/>
        <w:jc w:val="left"/>
        <w:rPr>
          <w:rFonts w:hint="eastAsia" w:eastAsia="宋体"/>
          <w:sz w:val="24"/>
          <w:lang w:eastAsia="zh-CN"/>
        </w:rPr>
      </w:pPr>
      <w:r>
        <w:rPr>
          <w:rFonts w:hint="eastAsia"/>
          <w:b/>
          <w:bCs/>
          <w:sz w:val="24"/>
        </w:rPr>
        <w:t xml:space="preserve">1 </w:t>
      </w:r>
      <w:r>
        <w:rPr>
          <w:rFonts w:hint="eastAsia"/>
          <w:sz w:val="24"/>
        </w:rPr>
        <w:t>检查建筑光伏系统与建筑主体结构连接是否牢固，用于固定光伏方阵的植筋或螺栓不应松动</w:t>
      </w:r>
      <w:r>
        <w:rPr>
          <w:rFonts w:hint="eastAsia"/>
          <w:sz w:val="24"/>
          <w:lang w:eastAsia="zh-CN"/>
        </w:rPr>
        <w:t>；</w:t>
      </w:r>
    </w:p>
    <w:p w14:paraId="7A79C8EE">
      <w:pPr>
        <w:snapToGrid w:val="0"/>
        <w:spacing w:line="300" w:lineRule="auto"/>
        <w:ind w:firstLine="482" w:firstLineChars="200"/>
        <w:jc w:val="left"/>
        <w:rPr>
          <w:sz w:val="24"/>
        </w:rPr>
      </w:pPr>
      <w:r>
        <w:rPr>
          <w:rFonts w:hint="eastAsia"/>
          <w:b/>
          <w:bCs/>
          <w:sz w:val="24"/>
        </w:rPr>
        <w:t xml:space="preserve">2 </w:t>
      </w:r>
      <w:r>
        <w:rPr>
          <w:rFonts w:hint="eastAsia"/>
          <w:sz w:val="24"/>
        </w:rPr>
        <w:t>检查光伏方阵整体是否有变形、错位、松动等现象；</w:t>
      </w:r>
    </w:p>
    <w:p w14:paraId="7C0A1455">
      <w:pPr>
        <w:snapToGrid w:val="0"/>
        <w:spacing w:line="300" w:lineRule="auto"/>
        <w:ind w:firstLine="482" w:firstLineChars="200"/>
        <w:jc w:val="left"/>
        <w:rPr>
          <w:sz w:val="24"/>
        </w:rPr>
      </w:pPr>
      <w:r>
        <w:rPr>
          <w:rFonts w:hint="eastAsia"/>
          <w:b/>
          <w:bCs/>
          <w:sz w:val="24"/>
        </w:rPr>
        <w:t xml:space="preserve">3 </w:t>
      </w:r>
      <w:r>
        <w:rPr>
          <w:rFonts w:hint="eastAsia"/>
          <w:sz w:val="24"/>
        </w:rPr>
        <w:t>光伏方阵支架的焊缝不应开焊，金属材料的防锈涂膜应完整，不应有剥落、锈蚀现象；</w:t>
      </w:r>
    </w:p>
    <w:p w14:paraId="782AB619">
      <w:pPr>
        <w:snapToGrid w:val="0"/>
        <w:spacing w:line="300" w:lineRule="auto"/>
        <w:ind w:firstLine="482" w:firstLineChars="200"/>
        <w:jc w:val="left"/>
        <w:rPr>
          <w:sz w:val="24"/>
        </w:rPr>
      </w:pPr>
      <w:r>
        <w:rPr>
          <w:rFonts w:hint="eastAsia"/>
          <w:b/>
          <w:bCs/>
          <w:sz w:val="24"/>
        </w:rPr>
        <w:t xml:space="preserve">4 </w:t>
      </w:r>
      <w:r>
        <w:rPr>
          <w:rFonts w:hint="eastAsia"/>
          <w:sz w:val="24"/>
        </w:rPr>
        <w:t>光伏方阵的支承结构之间不应存在其他设施，建筑光伏系统区域内严禁增设对建筑光伏系统运行及安全可能产生影响的设施。</w:t>
      </w:r>
    </w:p>
    <w:p w14:paraId="36987839">
      <w:pPr>
        <w:snapToGrid w:val="0"/>
        <w:spacing w:line="300" w:lineRule="auto"/>
        <w:rPr>
          <w:sz w:val="24"/>
        </w:rPr>
      </w:pPr>
      <w:r>
        <w:rPr>
          <w:b/>
          <w:bCs/>
          <w:sz w:val="24"/>
        </w:rPr>
        <w:t>1</w:t>
      </w:r>
      <w:r>
        <w:rPr>
          <w:rFonts w:hint="eastAsia"/>
          <w:b/>
          <w:bCs/>
          <w:sz w:val="24"/>
          <w:lang w:val="en-US" w:eastAsia="zh-CN"/>
        </w:rPr>
        <w:t>4</w:t>
      </w:r>
      <w:r>
        <w:rPr>
          <w:b/>
          <w:bCs/>
          <w:sz w:val="24"/>
        </w:rPr>
        <w:t>.</w:t>
      </w:r>
      <w:r>
        <w:rPr>
          <w:rFonts w:hint="eastAsia"/>
          <w:b/>
          <w:bCs/>
          <w:sz w:val="24"/>
          <w:lang w:val="en-US" w:eastAsia="zh-CN"/>
        </w:rPr>
        <w:t>2.4</w:t>
      </w:r>
      <w:r>
        <w:rPr>
          <w:rFonts w:hint="eastAsia"/>
          <w:sz w:val="24"/>
        </w:rPr>
        <w:t xml:space="preserve"> </w:t>
      </w:r>
      <w:r>
        <w:rPr>
          <w:sz w:val="24"/>
        </w:rPr>
        <w:t>建筑光伏系统的各个接线端子应牢固可靠</w:t>
      </w:r>
      <w:r>
        <w:rPr>
          <w:rFonts w:hint="eastAsia"/>
          <w:sz w:val="24"/>
        </w:rPr>
        <w:t>，</w:t>
      </w:r>
      <w:r>
        <w:rPr>
          <w:rFonts w:hint="eastAsia"/>
          <w:sz w:val="24"/>
          <w:lang w:val="en-US" w:eastAsia="zh-CN"/>
        </w:rPr>
        <w:t>设备</w:t>
      </w:r>
      <w:r>
        <w:rPr>
          <w:sz w:val="24"/>
        </w:rPr>
        <w:t>的接线孔处应采取有效封堵措施。</w:t>
      </w:r>
    </w:p>
    <w:p w14:paraId="5E290C04">
      <w:pPr>
        <w:snapToGrid w:val="0"/>
        <w:spacing w:line="300" w:lineRule="auto"/>
        <w:ind w:firstLine="0" w:firstLineChars="0"/>
        <w:jc w:val="left"/>
        <w:rPr>
          <w:rFonts w:hint="eastAsia" w:eastAsia="宋体"/>
          <w:sz w:val="24"/>
          <w:lang w:eastAsia="zh-CN"/>
        </w:rPr>
      </w:pPr>
      <w:r>
        <w:rPr>
          <w:rFonts w:hint="eastAsia"/>
          <w:b/>
          <w:bCs/>
          <w:sz w:val="24"/>
        </w:rPr>
        <w:t>1</w:t>
      </w:r>
      <w:r>
        <w:rPr>
          <w:rFonts w:hint="eastAsia"/>
          <w:b/>
          <w:bCs/>
          <w:sz w:val="24"/>
          <w:lang w:val="en-US" w:eastAsia="zh-CN"/>
        </w:rPr>
        <w:t>4</w:t>
      </w:r>
      <w:r>
        <w:rPr>
          <w:rFonts w:hint="eastAsia"/>
          <w:b/>
          <w:bCs/>
          <w:sz w:val="24"/>
        </w:rPr>
        <w:t>.2.</w:t>
      </w:r>
      <w:r>
        <w:rPr>
          <w:rFonts w:hint="eastAsia"/>
          <w:b/>
          <w:bCs/>
          <w:sz w:val="24"/>
          <w:lang w:val="en-US" w:eastAsia="zh-CN"/>
        </w:rPr>
        <w:t xml:space="preserve">5 </w:t>
      </w:r>
      <w:r>
        <w:rPr>
          <w:rFonts w:hint="default"/>
          <w:sz w:val="24"/>
        </w:rPr>
        <w:t>支撑结构的维护管理应符合下列</w:t>
      </w:r>
      <w:r>
        <w:rPr>
          <w:rFonts w:hint="eastAsia"/>
          <w:sz w:val="24"/>
          <w:lang w:eastAsia="zh-CN"/>
        </w:rPr>
        <w:t>要求：</w:t>
      </w:r>
    </w:p>
    <w:p w14:paraId="42ADB03A">
      <w:pPr>
        <w:snapToGrid w:val="0"/>
        <w:spacing w:line="300" w:lineRule="auto"/>
        <w:ind w:firstLine="482" w:firstLineChars="200"/>
        <w:jc w:val="left"/>
        <w:rPr>
          <w:rFonts w:hint="eastAsia"/>
          <w:sz w:val="24"/>
        </w:rPr>
      </w:pPr>
      <w:r>
        <w:rPr>
          <w:rFonts w:hint="default"/>
          <w:b/>
          <w:bCs/>
          <w:sz w:val="24"/>
          <w:lang w:val="en-US" w:eastAsia="zh-CN"/>
        </w:rPr>
        <w:t xml:space="preserve">1 </w:t>
      </w:r>
      <w:r>
        <w:rPr>
          <w:rFonts w:hint="default"/>
          <w:sz w:val="24"/>
        </w:rPr>
        <w:t>螺栓、焊缝和支撑结构的连接等应牢固可靠</w:t>
      </w:r>
      <w:r>
        <w:rPr>
          <w:rFonts w:hint="eastAsia"/>
          <w:sz w:val="24"/>
          <w:lang w:eastAsia="zh-CN"/>
        </w:rPr>
        <w:t>；</w:t>
      </w:r>
    </w:p>
    <w:p w14:paraId="6F1472E9">
      <w:pPr>
        <w:snapToGrid w:val="0"/>
        <w:spacing w:line="300" w:lineRule="auto"/>
        <w:ind w:firstLine="482" w:firstLineChars="200"/>
        <w:jc w:val="left"/>
        <w:rPr>
          <w:sz w:val="24"/>
        </w:rPr>
      </w:pPr>
      <w:r>
        <w:rPr>
          <w:rFonts w:hint="default"/>
          <w:b/>
          <w:bCs/>
          <w:sz w:val="24"/>
          <w:lang w:eastAsia="zh-CN"/>
        </w:rPr>
        <w:t>2</w:t>
      </w:r>
      <w:r>
        <w:rPr>
          <w:rFonts w:hint="default"/>
          <w:b/>
          <w:bCs/>
          <w:sz w:val="24"/>
        </w:rPr>
        <w:t xml:space="preserve"> </w:t>
      </w:r>
      <w:r>
        <w:rPr>
          <w:rFonts w:hint="default"/>
          <w:sz w:val="24"/>
        </w:rPr>
        <w:t>支撑结构表面的防腐层，不应存在开裂和脱落现象，否则应及时处理。</w:t>
      </w:r>
    </w:p>
    <w:p w14:paraId="01B2D7A5">
      <w:pPr>
        <w:snapToGrid w:val="0"/>
        <w:spacing w:line="300" w:lineRule="auto"/>
        <w:jc w:val="left"/>
        <w:rPr>
          <w:rFonts w:hint="eastAsia"/>
          <w:sz w:val="24"/>
        </w:rPr>
      </w:pPr>
      <w:r>
        <w:rPr>
          <w:rFonts w:hint="eastAsia"/>
          <w:b/>
          <w:bCs/>
          <w:sz w:val="24"/>
        </w:rPr>
        <w:t>1</w:t>
      </w:r>
      <w:r>
        <w:rPr>
          <w:rFonts w:hint="eastAsia"/>
          <w:b/>
          <w:bCs/>
          <w:sz w:val="24"/>
          <w:lang w:val="en-US" w:eastAsia="zh-CN"/>
        </w:rPr>
        <w:t>4</w:t>
      </w:r>
      <w:r>
        <w:rPr>
          <w:rFonts w:hint="eastAsia"/>
          <w:b/>
          <w:bCs/>
          <w:sz w:val="24"/>
        </w:rPr>
        <w:t>.2.</w:t>
      </w:r>
      <w:r>
        <w:rPr>
          <w:rFonts w:hint="eastAsia"/>
          <w:b/>
          <w:bCs/>
          <w:sz w:val="24"/>
          <w:lang w:val="en-US" w:eastAsia="zh-CN"/>
        </w:rPr>
        <w:t xml:space="preserve">6 </w:t>
      </w:r>
      <w:r>
        <w:rPr>
          <w:rFonts w:hint="eastAsia"/>
          <w:sz w:val="24"/>
        </w:rPr>
        <w:t>应建立运行分析制度，依据建筑光伏系统运行的档案资料，定期组织技术人员对建筑光伏系统运行状况进行分析，及时针对存在的问题，提出切实可行的解决方案。</w:t>
      </w:r>
    </w:p>
    <w:p w14:paraId="6CDB55F4">
      <w:pPr>
        <w:keepNext/>
        <w:keepLines/>
        <w:spacing w:before="95" w:beforeLines="30" w:after="95" w:afterLines="30" w:line="300" w:lineRule="auto"/>
        <w:jc w:val="center"/>
        <w:outlineLvl w:val="2"/>
        <w:rPr>
          <w:b/>
          <w:sz w:val="24"/>
          <w:szCs w:val="32"/>
        </w:rPr>
      </w:pPr>
      <w:bookmarkStart w:id="491" w:name="_Toc27745"/>
      <w:bookmarkStart w:id="492" w:name="_Toc3659"/>
      <w:bookmarkStart w:id="493" w:name="_Toc32085"/>
      <w:bookmarkStart w:id="494" w:name="_Toc26886"/>
      <w:bookmarkStart w:id="495" w:name="_Toc15877"/>
      <w:bookmarkStart w:id="496" w:name="_Toc4294"/>
      <w:bookmarkStart w:id="497" w:name="_Toc3816"/>
      <w:bookmarkStart w:id="498" w:name="_Toc362"/>
      <w:r>
        <w:rPr>
          <w:rFonts w:hint="default"/>
          <w:b/>
          <w:sz w:val="24"/>
          <w:szCs w:val="32"/>
        </w:rPr>
        <w:t>1</w:t>
      </w:r>
      <w:r>
        <w:rPr>
          <w:rFonts w:hint="default"/>
          <w:b/>
          <w:sz w:val="24"/>
          <w:szCs w:val="32"/>
          <w:lang w:val="en-US" w:eastAsia="zh-CN"/>
        </w:rPr>
        <w:t>4</w:t>
      </w:r>
      <w:r>
        <w:rPr>
          <w:rFonts w:hint="default"/>
          <w:b/>
          <w:sz w:val="24"/>
          <w:szCs w:val="32"/>
        </w:rPr>
        <w:t>.3</w:t>
      </w:r>
      <w:r>
        <w:rPr>
          <w:rFonts w:hint="default"/>
          <w:b/>
          <w:sz w:val="24"/>
          <w:szCs w:val="32"/>
          <w:lang w:val="en-US" w:eastAsia="zh-CN"/>
        </w:rPr>
        <w:t>光伏系统</w:t>
      </w:r>
      <w:r>
        <w:rPr>
          <w:rFonts w:hint="default"/>
          <w:b/>
          <w:sz w:val="24"/>
          <w:szCs w:val="32"/>
        </w:rPr>
        <w:t>运行管理</w:t>
      </w:r>
      <w:r>
        <w:rPr>
          <w:rFonts w:hint="default"/>
          <w:b/>
          <w:sz w:val="24"/>
          <w:szCs w:val="32"/>
          <w:lang w:val="en-US" w:eastAsia="zh-CN"/>
        </w:rPr>
        <w:t>与维护</w:t>
      </w:r>
      <w:bookmarkEnd w:id="491"/>
      <w:bookmarkEnd w:id="492"/>
      <w:bookmarkEnd w:id="493"/>
      <w:bookmarkEnd w:id="494"/>
      <w:bookmarkEnd w:id="495"/>
      <w:bookmarkEnd w:id="496"/>
      <w:bookmarkEnd w:id="497"/>
      <w:bookmarkEnd w:id="498"/>
    </w:p>
    <w:p w14:paraId="0489AE00">
      <w:pPr>
        <w:snapToGrid w:val="0"/>
        <w:spacing w:line="300" w:lineRule="auto"/>
        <w:jc w:val="left"/>
        <w:rPr>
          <w:sz w:val="24"/>
        </w:rPr>
      </w:pPr>
      <w:r>
        <w:rPr>
          <w:b/>
          <w:bCs/>
          <w:sz w:val="24"/>
        </w:rPr>
        <w:t>1</w:t>
      </w:r>
      <w:r>
        <w:rPr>
          <w:rFonts w:hint="eastAsia"/>
          <w:b/>
          <w:bCs/>
          <w:sz w:val="24"/>
          <w:lang w:val="en-US" w:eastAsia="zh-CN"/>
        </w:rPr>
        <w:t>4.3.1</w:t>
      </w:r>
      <w:r>
        <w:rPr>
          <w:rFonts w:hint="eastAsia"/>
          <w:b/>
          <w:bCs/>
          <w:sz w:val="24"/>
        </w:rPr>
        <w:t xml:space="preserve"> </w:t>
      </w:r>
      <w:r>
        <w:rPr>
          <w:sz w:val="24"/>
        </w:rPr>
        <w:t>光伏系统运行发生异常时，应及时与专业维修人员联系处理。主要设备和控制装置应由专业人员维修。</w:t>
      </w:r>
      <w:r>
        <w:rPr>
          <w:rFonts w:hint="eastAsia"/>
          <w:sz w:val="24"/>
        </w:rPr>
        <w:t>运行和维护操作时应注意作业安全。自行检查的项目严禁涉及带电体或潜在的带电体及设备。</w:t>
      </w:r>
    </w:p>
    <w:p w14:paraId="2DDD25D8">
      <w:pPr>
        <w:snapToGrid w:val="0"/>
        <w:spacing w:line="300" w:lineRule="auto"/>
        <w:jc w:val="left"/>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6E17705D">
      <w:pPr>
        <w:snapToGrid w:val="0"/>
        <w:spacing w:line="300" w:lineRule="auto"/>
        <w:jc w:val="left"/>
        <w:rPr>
          <w:rFonts w:hint="eastAsia" w:ascii="仿宋" w:hAnsi="仿宋" w:eastAsia="仿宋" w:cs="仿宋"/>
          <w:i/>
          <w:iCs/>
          <w:color w:val="0623BA"/>
          <w:sz w:val="24"/>
        </w:rPr>
      </w:pPr>
      <w:r>
        <w:rPr>
          <w:rFonts w:hint="eastAsia" w:ascii="仿宋" w:hAnsi="仿宋" w:eastAsia="仿宋" w:cs="仿宋"/>
          <w:i/>
          <w:iCs/>
          <w:color w:val="0623BA"/>
          <w:sz w:val="24"/>
        </w:rPr>
        <w:t>1</w:t>
      </w:r>
      <w:r>
        <w:rPr>
          <w:rFonts w:hint="eastAsia" w:ascii="仿宋" w:hAnsi="仿宋" w:eastAsia="仿宋" w:cs="仿宋"/>
          <w:i/>
          <w:iCs/>
          <w:color w:val="0623BA"/>
          <w:sz w:val="24"/>
          <w:lang w:val="en-US" w:eastAsia="zh-CN"/>
        </w:rPr>
        <w:t>4</w:t>
      </w:r>
      <w:r>
        <w:rPr>
          <w:rFonts w:hint="eastAsia" w:ascii="仿宋" w:hAnsi="仿宋" w:eastAsia="仿宋" w:cs="仿宋"/>
          <w:i/>
          <w:iCs/>
          <w:color w:val="0623BA"/>
          <w:sz w:val="24"/>
        </w:rPr>
        <w:t>.</w:t>
      </w:r>
      <w:r>
        <w:rPr>
          <w:rFonts w:hint="eastAsia" w:ascii="仿宋" w:hAnsi="仿宋" w:eastAsia="仿宋" w:cs="仿宋"/>
          <w:i/>
          <w:iCs/>
          <w:color w:val="0623BA"/>
          <w:sz w:val="24"/>
          <w:lang w:val="en-US" w:eastAsia="zh-CN"/>
        </w:rPr>
        <w:t>3.1</w:t>
      </w:r>
      <w:r>
        <w:rPr>
          <w:rFonts w:hint="eastAsia" w:ascii="仿宋" w:hAnsi="仿宋" w:eastAsia="仿宋" w:cs="仿宋"/>
          <w:i/>
          <w:iCs/>
          <w:color w:val="0623BA"/>
          <w:sz w:val="24"/>
        </w:rPr>
        <w:t xml:space="preserve"> 系统运行发生异常时，应由专业维修人员或在其指导下进行处理。若无法得到及时处理，应按照光伏系统操作手册进行应急处理。</w:t>
      </w:r>
    </w:p>
    <w:p w14:paraId="77DFDD41">
      <w:pPr>
        <w:snapToGrid w:val="0"/>
        <w:spacing w:line="300" w:lineRule="auto"/>
        <w:jc w:val="left"/>
        <w:rPr>
          <w:rFonts w:hint="default" w:eastAsia="宋体"/>
          <w:sz w:val="24"/>
          <w:lang w:val="en-US" w:eastAsia="zh-CN"/>
        </w:rPr>
      </w:pPr>
      <w:r>
        <w:rPr>
          <w:b/>
          <w:bCs/>
          <w:sz w:val="24"/>
        </w:rPr>
        <w:t>1</w:t>
      </w:r>
      <w:r>
        <w:rPr>
          <w:rFonts w:hint="eastAsia"/>
          <w:b/>
          <w:bCs/>
          <w:sz w:val="24"/>
          <w:lang w:val="en-US" w:eastAsia="zh-CN"/>
        </w:rPr>
        <w:t>4</w:t>
      </w:r>
      <w:r>
        <w:rPr>
          <w:b/>
          <w:bCs/>
          <w:sz w:val="24"/>
        </w:rPr>
        <w:t>.</w:t>
      </w:r>
      <w:r>
        <w:rPr>
          <w:rFonts w:hint="eastAsia"/>
          <w:b/>
          <w:bCs/>
          <w:sz w:val="24"/>
        </w:rPr>
        <w:t>3</w:t>
      </w:r>
      <w:r>
        <w:rPr>
          <w:b/>
          <w:bCs/>
          <w:sz w:val="24"/>
        </w:rPr>
        <w:t>.</w:t>
      </w:r>
      <w:r>
        <w:rPr>
          <w:rFonts w:hint="eastAsia"/>
          <w:b/>
          <w:bCs/>
          <w:sz w:val="24"/>
          <w:lang w:val="en-US" w:eastAsia="zh-CN"/>
        </w:rPr>
        <w:t>2</w:t>
      </w:r>
      <w:r>
        <w:rPr>
          <w:rFonts w:hint="eastAsia"/>
          <w:b/>
          <w:bCs/>
          <w:sz w:val="24"/>
        </w:rPr>
        <w:t xml:space="preserve"> </w:t>
      </w:r>
      <w:r>
        <w:rPr>
          <w:sz w:val="24"/>
        </w:rPr>
        <w:t>光伏方阵</w:t>
      </w:r>
      <w:r>
        <w:rPr>
          <w:rFonts w:hint="eastAsia"/>
          <w:sz w:val="24"/>
          <w:lang w:val="en-US" w:eastAsia="zh-CN"/>
        </w:rPr>
        <w:t>应定期检查与维护应按下列要求：</w:t>
      </w:r>
    </w:p>
    <w:p w14:paraId="23E14800">
      <w:pPr>
        <w:snapToGrid w:val="0"/>
        <w:spacing w:line="300" w:lineRule="auto"/>
        <w:ind w:firstLine="482" w:firstLineChars="200"/>
        <w:jc w:val="left"/>
        <w:rPr>
          <w:rFonts w:hint="eastAsia" w:eastAsia="宋体"/>
          <w:sz w:val="24"/>
          <w:lang w:eastAsia="zh-CN"/>
        </w:rPr>
      </w:pPr>
      <w:r>
        <w:rPr>
          <w:rFonts w:hint="eastAsia"/>
          <w:b/>
          <w:bCs/>
          <w:sz w:val="24"/>
        </w:rPr>
        <w:t xml:space="preserve">1 </w:t>
      </w:r>
      <w:r>
        <w:rPr>
          <w:rFonts w:hint="eastAsia"/>
          <w:sz w:val="24"/>
        </w:rPr>
        <w:t>光伏系统的光伏组件，应定期清洗。应使用设备配套或其它安全、环保、无刺激性气味清洁剂，严禁用硬物擦拭。应综合考虑社会、自然等因素确定清洗作业时段，不应在风力大于4级、大雨或大雪等气象条件下清洗光伏组件</w:t>
      </w:r>
      <w:r>
        <w:rPr>
          <w:rFonts w:hint="eastAsia"/>
          <w:sz w:val="24"/>
          <w:lang w:eastAsia="zh-CN"/>
        </w:rPr>
        <w:t>；</w:t>
      </w:r>
    </w:p>
    <w:p w14:paraId="0319D9A9">
      <w:pPr>
        <w:pStyle w:val="2"/>
        <w:spacing w:line="300" w:lineRule="auto"/>
        <w:ind w:firstLine="482" w:firstLineChars="200"/>
        <w:rPr>
          <w:sz w:val="24"/>
        </w:rPr>
      </w:pPr>
      <w:r>
        <w:rPr>
          <w:rFonts w:hint="eastAsia"/>
          <w:b/>
          <w:bCs/>
          <w:sz w:val="24"/>
        </w:rPr>
        <w:t xml:space="preserve">2 </w:t>
      </w:r>
      <w:r>
        <w:rPr>
          <w:rFonts w:hint="eastAsia"/>
          <w:sz w:val="24"/>
        </w:rPr>
        <w:t>应定期检查光伏组件间连线</w:t>
      </w:r>
      <w:r>
        <w:rPr>
          <w:rFonts w:hint="eastAsia"/>
          <w:sz w:val="24"/>
          <w:lang w:eastAsia="zh-CN"/>
        </w:rPr>
        <w:t>，</w:t>
      </w:r>
      <w:r>
        <w:rPr>
          <w:rFonts w:hint="eastAsia"/>
          <w:sz w:val="24"/>
        </w:rPr>
        <w:t>连线连接应可靠、牢固、无接地并绝缘良好；</w:t>
      </w:r>
    </w:p>
    <w:p w14:paraId="226578C7">
      <w:pPr>
        <w:spacing w:line="300" w:lineRule="auto"/>
        <w:ind w:firstLine="482" w:firstLineChars="200"/>
        <w:jc w:val="left"/>
        <w:rPr>
          <w:sz w:val="24"/>
        </w:rPr>
      </w:pPr>
      <w:r>
        <w:rPr>
          <w:rFonts w:hint="eastAsia"/>
          <w:b/>
          <w:bCs/>
          <w:sz w:val="24"/>
        </w:rPr>
        <w:t xml:space="preserve">3 </w:t>
      </w:r>
      <w:r>
        <w:rPr>
          <w:rFonts w:hint="eastAsia"/>
          <w:sz w:val="24"/>
        </w:rPr>
        <w:t>定期检查光伏组件，如有破损或因热斑损坏等及时更换；</w:t>
      </w:r>
    </w:p>
    <w:p w14:paraId="429743A7">
      <w:pPr>
        <w:snapToGrid w:val="0"/>
        <w:spacing w:line="300" w:lineRule="auto"/>
        <w:ind w:firstLine="482" w:firstLineChars="200"/>
        <w:jc w:val="left"/>
        <w:rPr>
          <w:sz w:val="24"/>
        </w:rPr>
      </w:pPr>
      <w:r>
        <w:rPr>
          <w:rFonts w:hint="eastAsia"/>
          <w:b/>
          <w:bCs/>
          <w:sz w:val="24"/>
        </w:rPr>
        <w:t xml:space="preserve">4 </w:t>
      </w:r>
      <w:r>
        <w:rPr>
          <w:rFonts w:hint="eastAsia"/>
          <w:sz w:val="24"/>
        </w:rPr>
        <w:t>建筑光伏系统应定期检查光伏方阵遮挡情况。当光伏方阵被遮挡时，应及时进行处理；</w:t>
      </w:r>
    </w:p>
    <w:p w14:paraId="363CDFA8">
      <w:pPr>
        <w:snapToGrid w:val="0"/>
        <w:spacing w:line="300" w:lineRule="auto"/>
        <w:ind w:firstLine="482" w:firstLineChars="200"/>
        <w:jc w:val="left"/>
        <w:rPr>
          <w:sz w:val="24"/>
        </w:rPr>
      </w:pPr>
      <w:r>
        <w:rPr>
          <w:b/>
          <w:bCs/>
          <w:sz w:val="24"/>
        </w:rPr>
        <w:t xml:space="preserve">5 </w:t>
      </w:r>
      <w:r>
        <w:rPr>
          <w:sz w:val="24"/>
        </w:rPr>
        <w:t>建筑光伏系统的光伏组件、支架等的紧固情况应定期检查，出现松动应及时紧固，出现腐蚀、损坏应及时维修；</w:t>
      </w:r>
    </w:p>
    <w:p w14:paraId="488A4C5F">
      <w:pPr>
        <w:snapToGrid w:val="0"/>
        <w:spacing w:line="300" w:lineRule="auto"/>
        <w:ind w:firstLine="482" w:firstLineChars="200"/>
        <w:jc w:val="left"/>
        <w:rPr>
          <w:rFonts w:hint="eastAsia" w:eastAsia="宋体"/>
          <w:sz w:val="24"/>
          <w:lang w:eastAsia="zh-CN"/>
        </w:rPr>
      </w:pPr>
      <w:r>
        <w:rPr>
          <w:rFonts w:hint="eastAsia"/>
          <w:b/>
          <w:bCs/>
          <w:sz w:val="24"/>
        </w:rPr>
        <w:t xml:space="preserve">6 </w:t>
      </w:r>
      <w:r>
        <w:rPr>
          <w:rFonts w:hint="eastAsia"/>
          <w:sz w:val="24"/>
        </w:rPr>
        <w:t>雨、雪、大风、冰雹等恶劣天气过后应及时检查光伏方阵，发现异常应及时进行处理</w:t>
      </w:r>
      <w:r>
        <w:rPr>
          <w:rFonts w:hint="eastAsia"/>
          <w:sz w:val="24"/>
          <w:lang w:eastAsia="zh-CN"/>
        </w:rPr>
        <w:t>；</w:t>
      </w:r>
    </w:p>
    <w:p w14:paraId="0673C7E9">
      <w:pPr>
        <w:snapToGrid w:val="0"/>
        <w:spacing w:line="300" w:lineRule="auto"/>
        <w:ind w:firstLine="482" w:firstLineChars="200"/>
        <w:jc w:val="left"/>
        <w:rPr>
          <w:sz w:val="24"/>
        </w:rPr>
      </w:pPr>
      <w:r>
        <w:rPr>
          <w:rFonts w:hint="eastAsia"/>
          <w:b/>
          <w:bCs/>
          <w:sz w:val="24"/>
        </w:rPr>
        <w:t xml:space="preserve">7 </w:t>
      </w:r>
      <w:r>
        <w:rPr>
          <w:rFonts w:hint="eastAsia"/>
          <w:sz w:val="24"/>
        </w:rPr>
        <w:t>光伏组件应定期由专业人员检查，若发现下列问题应及时调整或更换：</w:t>
      </w:r>
    </w:p>
    <w:p w14:paraId="5B89C361">
      <w:pPr>
        <w:snapToGrid w:val="0"/>
        <w:spacing w:line="300" w:lineRule="auto"/>
        <w:ind w:firstLine="480" w:firstLineChars="200"/>
        <w:jc w:val="left"/>
        <w:rPr>
          <w:sz w:val="24"/>
        </w:rPr>
      </w:pPr>
      <w:r>
        <w:rPr>
          <w:rFonts w:hint="eastAsia"/>
          <w:sz w:val="24"/>
        </w:rPr>
        <w:t>1）中空玻璃结露、进水、失效；</w:t>
      </w:r>
    </w:p>
    <w:p w14:paraId="58E7218A">
      <w:pPr>
        <w:snapToGrid w:val="0"/>
        <w:spacing w:line="300" w:lineRule="auto"/>
        <w:ind w:firstLine="480" w:firstLineChars="200"/>
        <w:jc w:val="left"/>
        <w:rPr>
          <w:sz w:val="24"/>
        </w:rPr>
      </w:pPr>
      <w:r>
        <w:rPr>
          <w:rFonts w:hint="eastAsia"/>
          <w:sz w:val="24"/>
        </w:rPr>
        <w:t>2）玻璃炸裂；</w:t>
      </w:r>
    </w:p>
    <w:p w14:paraId="75AD73AA">
      <w:pPr>
        <w:snapToGrid w:val="0"/>
        <w:spacing w:line="300" w:lineRule="auto"/>
        <w:ind w:firstLine="480" w:firstLineChars="200"/>
        <w:jc w:val="left"/>
        <w:rPr>
          <w:sz w:val="24"/>
        </w:rPr>
      </w:pPr>
      <w:r>
        <w:rPr>
          <w:rFonts w:hint="eastAsia"/>
          <w:sz w:val="24"/>
        </w:rPr>
        <w:t>3）镀膜玻璃脱膜；</w:t>
      </w:r>
    </w:p>
    <w:p w14:paraId="4C49E0DF">
      <w:pPr>
        <w:snapToGrid w:val="0"/>
        <w:spacing w:line="300" w:lineRule="auto"/>
        <w:ind w:firstLine="480" w:firstLineChars="200"/>
        <w:jc w:val="left"/>
        <w:rPr>
          <w:sz w:val="24"/>
        </w:rPr>
      </w:pPr>
      <w:r>
        <w:rPr>
          <w:rFonts w:hint="eastAsia"/>
          <w:sz w:val="24"/>
        </w:rPr>
        <w:t>4）玻璃松动、开裂、破损等。</w:t>
      </w:r>
    </w:p>
    <w:p w14:paraId="00017F61">
      <w:pPr>
        <w:snapToGrid w:val="0"/>
        <w:spacing w:line="300" w:lineRule="auto"/>
        <w:ind w:firstLine="482" w:firstLineChars="200"/>
        <w:jc w:val="left"/>
        <w:rPr>
          <w:rFonts w:hint="eastAsia" w:eastAsia="宋体"/>
          <w:sz w:val="24"/>
          <w:lang w:eastAsia="zh-CN"/>
        </w:rPr>
      </w:pPr>
      <w:r>
        <w:rPr>
          <w:rFonts w:hint="eastAsia"/>
          <w:b/>
          <w:bCs/>
          <w:sz w:val="24"/>
        </w:rPr>
        <w:t xml:space="preserve">8 </w:t>
      </w:r>
      <w:r>
        <w:rPr>
          <w:rFonts w:hint="eastAsia"/>
          <w:sz w:val="24"/>
        </w:rPr>
        <w:t>光伏组件的密封胶应无脱胶、开裂、起泡等不良现象，密封胶条不应发生脱落或损坏</w:t>
      </w:r>
      <w:r>
        <w:rPr>
          <w:rFonts w:hint="eastAsia"/>
          <w:sz w:val="24"/>
          <w:lang w:eastAsia="zh-CN"/>
        </w:rPr>
        <w:t>；</w:t>
      </w:r>
    </w:p>
    <w:p w14:paraId="0D23D3FC">
      <w:pPr>
        <w:snapToGrid w:val="0"/>
        <w:spacing w:line="300" w:lineRule="auto"/>
        <w:ind w:firstLine="482" w:firstLineChars="200"/>
        <w:jc w:val="left"/>
        <w:rPr>
          <w:rFonts w:hint="eastAsia" w:eastAsia="宋体"/>
          <w:sz w:val="24"/>
          <w:lang w:eastAsia="zh-CN"/>
        </w:rPr>
      </w:pPr>
      <w:r>
        <w:rPr>
          <w:rFonts w:hint="eastAsia"/>
          <w:b/>
          <w:bCs/>
          <w:sz w:val="24"/>
        </w:rPr>
        <w:t xml:space="preserve">9 </w:t>
      </w:r>
      <w:r>
        <w:rPr>
          <w:rFonts w:hint="eastAsia"/>
          <w:sz w:val="24"/>
        </w:rPr>
        <w:t>对光伏组件进行检查、清洗、保养、维修时，所采用的机具设备应牢固、操作灵活方便、安全可靠并应有防止撞击和损伤光伏组件的措施</w:t>
      </w:r>
      <w:r>
        <w:rPr>
          <w:rFonts w:hint="eastAsia"/>
          <w:sz w:val="24"/>
          <w:lang w:eastAsia="zh-CN"/>
        </w:rPr>
        <w:t>；</w:t>
      </w:r>
    </w:p>
    <w:p w14:paraId="43A58E51">
      <w:pPr>
        <w:snapToGrid w:val="0"/>
        <w:spacing w:line="300" w:lineRule="auto"/>
        <w:ind w:firstLine="482" w:firstLineChars="200"/>
        <w:jc w:val="left"/>
        <w:rPr>
          <w:rFonts w:hint="eastAsia" w:eastAsia="宋体"/>
          <w:sz w:val="24"/>
          <w:lang w:eastAsia="zh-CN"/>
        </w:rPr>
      </w:pPr>
      <w:r>
        <w:rPr>
          <w:rFonts w:hint="eastAsia"/>
          <w:b/>
          <w:bCs/>
          <w:sz w:val="24"/>
        </w:rPr>
        <w:t xml:space="preserve">10 </w:t>
      </w:r>
      <w:r>
        <w:rPr>
          <w:rFonts w:hint="eastAsia"/>
          <w:sz w:val="24"/>
        </w:rPr>
        <w:t>清洁光伏组件时，应防止水流入防火隔断材料及组件或方阵的电气接口</w:t>
      </w:r>
      <w:r>
        <w:rPr>
          <w:rFonts w:hint="eastAsia"/>
          <w:sz w:val="24"/>
          <w:lang w:eastAsia="zh-CN"/>
        </w:rPr>
        <w:t>；</w:t>
      </w:r>
    </w:p>
    <w:p w14:paraId="0DB6164C">
      <w:pPr>
        <w:snapToGrid w:val="0"/>
        <w:spacing w:line="300" w:lineRule="auto"/>
        <w:ind w:firstLine="482" w:firstLineChars="200"/>
        <w:jc w:val="left"/>
        <w:rPr>
          <w:sz w:val="24"/>
        </w:rPr>
      </w:pPr>
      <w:r>
        <w:rPr>
          <w:rFonts w:hint="eastAsia"/>
          <w:b/>
          <w:bCs/>
          <w:sz w:val="24"/>
        </w:rPr>
        <w:t xml:space="preserve">11 </w:t>
      </w:r>
      <w:r>
        <w:rPr>
          <w:rFonts w:hint="eastAsia"/>
          <w:sz w:val="24"/>
        </w:rPr>
        <w:t>应定期检查光伏组件、电气设备及接地体等，具体要求如下：</w:t>
      </w:r>
    </w:p>
    <w:p w14:paraId="21441B5E">
      <w:pPr>
        <w:snapToGrid w:val="0"/>
        <w:spacing w:line="300" w:lineRule="auto"/>
        <w:ind w:firstLine="480" w:firstLineChars="200"/>
        <w:jc w:val="left"/>
        <w:rPr>
          <w:sz w:val="24"/>
        </w:rPr>
      </w:pPr>
      <w:r>
        <w:rPr>
          <w:rFonts w:hint="eastAsia"/>
          <w:sz w:val="24"/>
        </w:rPr>
        <w:t>1） 检查光伏组件绝缘性能是否良好；</w:t>
      </w:r>
    </w:p>
    <w:p w14:paraId="55041165">
      <w:pPr>
        <w:snapToGrid w:val="0"/>
        <w:spacing w:line="300" w:lineRule="auto"/>
        <w:ind w:firstLine="480" w:firstLineChars="200"/>
        <w:jc w:val="left"/>
        <w:rPr>
          <w:sz w:val="24"/>
        </w:rPr>
      </w:pPr>
      <w:r>
        <w:rPr>
          <w:rFonts w:hint="eastAsia"/>
          <w:sz w:val="24"/>
        </w:rPr>
        <w:t>2） 检查电气设备外观是否破损或老化，连接是否可靠牢固；</w:t>
      </w:r>
    </w:p>
    <w:p w14:paraId="4E391BAE">
      <w:pPr>
        <w:snapToGrid w:val="0"/>
        <w:spacing w:line="300" w:lineRule="auto"/>
        <w:ind w:firstLine="480" w:firstLineChars="200"/>
        <w:jc w:val="left"/>
        <w:rPr>
          <w:sz w:val="24"/>
        </w:rPr>
      </w:pPr>
      <w:r>
        <w:rPr>
          <w:rFonts w:hint="eastAsia"/>
          <w:sz w:val="24"/>
        </w:rPr>
        <w:t>3） 用钳形电流表测试建筑光伏组件电流，检查光伏组件电流指示是否正常；</w:t>
      </w:r>
    </w:p>
    <w:p w14:paraId="408D4338">
      <w:pPr>
        <w:snapToGrid w:val="0"/>
        <w:spacing w:line="300" w:lineRule="auto"/>
        <w:ind w:firstLine="480" w:firstLineChars="200"/>
        <w:jc w:val="left"/>
        <w:rPr>
          <w:sz w:val="24"/>
        </w:rPr>
      </w:pPr>
      <w:r>
        <w:rPr>
          <w:rFonts w:hint="eastAsia"/>
          <w:sz w:val="24"/>
        </w:rPr>
        <w:t>4） 用扭矩扳手检查螺丝是否松动，确保光伏组件无松动；使用金属边框的建筑光伏组件，边框和支架应结合良好（电性能），边框应牢固接地；</w:t>
      </w:r>
    </w:p>
    <w:p w14:paraId="5D532E6D">
      <w:pPr>
        <w:snapToGrid w:val="0"/>
        <w:spacing w:line="300" w:lineRule="auto"/>
        <w:ind w:firstLine="480" w:firstLineChars="200"/>
        <w:jc w:val="left"/>
        <w:rPr>
          <w:sz w:val="24"/>
        </w:rPr>
      </w:pPr>
      <w:r>
        <w:rPr>
          <w:rFonts w:hint="eastAsia"/>
          <w:sz w:val="24"/>
        </w:rPr>
        <w:t>5） 支架与预埋件、支架本体连接均应牢固可靠；</w:t>
      </w:r>
    </w:p>
    <w:p w14:paraId="37BA3FB6">
      <w:pPr>
        <w:snapToGrid w:val="0"/>
        <w:spacing w:line="300" w:lineRule="auto"/>
        <w:ind w:firstLine="480" w:firstLineChars="200"/>
        <w:jc w:val="left"/>
        <w:rPr>
          <w:sz w:val="24"/>
        </w:rPr>
      </w:pPr>
      <w:r>
        <w:rPr>
          <w:rFonts w:hint="eastAsia"/>
          <w:sz w:val="24"/>
        </w:rPr>
        <w:t>6） 支架表面的防腐涂层，不应出现开裂和脱落现象，若出现上述现象应及时修补。</w:t>
      </w:r>
    </w:p>
    <w:p w14:paraId="59FE1FFF">
      <w:pPr>
        <w:pStyle w:val="2"/>
        <w:spacing w:after="0" w:line="300" w:lineRule="auto"/>
        <w:ind w:firstLine="482" w:firstLineChars="200"/>
        <w:rPr>
          <w:rFonts w:hint="eastAsia" w:eastAsia="宋体"/>
          <w:sz w:val="24"/>
          <w:lang w:eastAsia="zh-CN"/>
        </w:rPr>
      </w:pPr>
      <w:r>
        <w:rPr>
          <w:rFonts w:hint="eastAsia"/>
          <w:b/>
          <w:bCs/>
          <w:sz w:val="24"/>
        </w:rPr>
        <w:t xml:space="preserve">12 </w:t>
      </w:r>
      <w:r>
        <w:rPr>
          <w:rFonts w:hint="eastAsia"/>
          <w:sz w:val="24"/>
        </w:rPr>
        <w:t>边框和支撑结构应结合良好，两者之间接触电阻不应大于4</w:t>
      </w:r>
      <w:r>
        <w:rPr>
          <w:rFonts w:hint="default" w:ascii="Times New Roman" w:hAnsi="Times New Roman" w:cs="Times New Roman"/>
          <w:sz w:val="24"/>
        </w:rPr>
        <w:t>Ω</w:t>
      </w:r>
      <w:r>
        <w:rPr>
          <w:rFonts w:hint="eastAsia"/>
          <w:sz w:val="24"/>
          <w:lang w:eastAsia="zh-CN"/>
        </w:rPr>
        <w:t>；</w:t>
      </w:r>
    </w:p>
    <w:p w14:paraId="7EBF956D">
      <w:pPr>
        <w:pStyle w:val="2"/>
        <w:spacing w:after="0" w:line="300" w:lineRule="auto"/>
        <w:ind w:firstLine="482" w:firstLineChars="200"/>
        <w:rPr>
          <w:rFonts w:hint="eastAsia" w:eastAsia="宋体"/>
          <w:sz w:val="24"/>
          <w:lang w:eastAsia="zh-CN"/>
        </w:rPr>
      </w:pPr>
      <w:r>
        <w:rPr>
          <w:rFonts w:hint="eastAsia"/>
          <w:b/>
          <w:bCs/>
          <w:sz w:val="24"/>
        </w:rPr>
        <w:t xml:space="preserve">13 </w:t>
      </w:r>
      <w:r>
        <w:rPr>
          <w:rFonts w:hint="eastAsia"/>
          <w:sz w:val="24"/>
        </w:rPr>
        <w:t>当太阳辐照度为500W/m</w:t>
      </w:r>
      <w:r>
        <w:rPr>
          <w:rFonts w:hint="eastAsia"/>
          <w:sz w:val="24"/>
          <w:vertAlign w:val="superscript"/>
        </w:rPr>
        <w:t>2</w:t>
      </w:r>
      <w:r>
        <w:rPr>
          <w:rFonts w:hint="eastAsia"/>
          <w:sz w:val="24"/>
        </w:rPr>
        <w:t>以上</w:t>
      </w:r>
      <w:r>
        <w:rPr>
          <w:rFonts w:hint="eastAsia"/>
          <w:sz w:val="24"/>
          <w:lang w:eastAsia="zh-CN"/>
        </w:rPr>
        <w:t>，</w:t>
      </w:r>
      <w:r>
        <w:rPr>
          <w:rFonts w:hint="eastAsia"/>
          <w:sz w:val="24"/>
        </w:rPr>
        <w:t>风速不大于2m/s且无阴影遮挡时，同一光伏组件外表面</w:t>
      </w:r>
      <w:r>
        <w:rPr>
          <w:rFonts w:hint="eastAsia"/>
          <w:sz w:val="24"/>
          <w:lang w:eastAsia="zh-CN"/>
        </w:rPr>
        <w:t>（</w:t>
      </w:r>
      <w:r>
        <w:rPr>
          <w:rFonts w:hint="eastAsia"/>
          <w:sz w:val="24"/>
        </w:rPr>
        <w:t>电池正上方区域</w:t>
      </w:r>
      <w:r>
        <w:rPr>
          <w:rFonts w:hint="eastAsia"/>
          <w:sz w:val="24"/>
          <w:lang w:eastAsia="zh-CN"/>
        </w:rPr>
        <w:t>）</w:t>
      </w:r>
      <w:r>
        <w:rPr>
          <w:rFonts w:hint="eastAsia"/>
          <w:sz w:val="24"/>
        </w:rPr>
        <w:t>温度差异应小于20℃。装机容量大于50kWp的光伏电站，宜配备用于检测光伏组件外表面温度差异的红外线热像仪</w:t>
      </w:r>
      <w:r>
        <w:rPr>
          <w:rFonts w:hint="eastAsia"/>
          <w:sz w:val="24"/>
          <w:lang w:eastAsia="zh-CN"/>
        </w:rPr>
        <w:t>；</w:t>
      </w:r>
    </w:p>
    <w:p w14:paraId="7165EC27">
      <w:pPr>
        <w:pStyle w:val="2"/>
        <w:spacing w:after="0" w:line="300" w:lineRule="auto"/>
        <w:ind w:firstLine="482" w:firstLineChars="200"/>
        <w:rPr>
          <w:sz w:val="24"/>
        </w:rPr>
      </w:pPr>
      <w:r>
        <w:rPr>
          <w:rFonts w:hint="eastAsia"/>
          <w:b/>
          <w:bCs/>
          <w:sz w:val="24"/>
        </w:rPr>
        <w:t xml:space="preserve">14 </w:t>
      </w:r>
      <w:r>
        <w:rPr>
          <w:rFonts w:hint="eastAsia"/>
          <w:sz w:val="24"/>
        </w:rPr>
        <w:t>应使用直流钳型电流表在太阳辐射强度基本一致的条件下测量接人同一个直流汇流箱的各光伏组件串的</w:t>
      </w:r>
      <w:r>
        <w:rPr>
          <w:rFonts w:hint="eastAsia"/>
          <w:sz w:val="24"/>
          <w:lang w:val="en-US" w:eastAsia="zh-CN"/>
        </w:rPr>
        <w:t>输入</w:t>
      </w:r>
      <w:r>
        <w:rPr>
          <w:rFonts w:hint="eastAsia"/>
          <w:sz w:val="24"/>
        </w:rPr>
        <w:t xml:space="preserve">电流并计算其平均值，各组件串与平均值的偏差不应超过5%。 </w:t>
      </w:r>
    </w:p>
    <w:p w14:paraId="124601D6">
      <w:pPr>
        <w:snapToGrid w:val="0"/>
        <w:spacing w:line="300" w:lineRule="auto"/>
        <w:jc w:val="left"/>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3281203A">
      <w:pPr>
        <w:snapToGrid w:val="0"/>
        <w:spacing w:line="300" w:lineRule="auto"/>
        <w:jc w:val="left"/>
        <w:rPr>
          <w:rFonts w:hint="eastAsia" w:ascii="仿宋" w:hAnsi="仿宋" w:eastAsia="仿宋" w:cs="仿宋"/>
          <w:i/>
          <w:iCs/>
          <w:color w:val="0623BA"/>
          <w:sz w:val="24"/>
          <w:lang w:eastAsia="zh-CN"/>
        </w:rPr>
      </w:pPr>
      <w:r>
        <w:rPr>
          <w:rFonts w:hint="eastAsia" w:ascii="仿宋" w:hAnsi="仿宋" w:eastAsia="仿宋" w:cs="仿宋"/>
          <w:i/>
          <w:iCs/>
          <w:color w:val="0623BA"/>
          <w:sz w:val="24"/>
        </w:rPr>
        <w:t>1</w:t>
      </w:r>
      <w:r>
        <w:rPr>
          <w:rFonts w:hint="eastAsia" w:ascii="仿宋" w:hAnsi="仿宋" w:eastAsia="仿宋" w:cs="仿宋"/>
          <w:i/>
          <w:iCs/>
          <w:color w:val="0623BA"/>
          <w:sz w:val="24"/>
          <w:lang w:val="en-US" w:eastAsia="zh-CN"/>
        </w:rPr>
        <w:t>4</w:t>
      </w:r>
      <w:r>
        <w:rPr>
          <w:rFonts w:hint="eastAsia" w:ascii="仿宋" w:hAnsi="仿宋" w:eastAsia="仿宋" w:cs="仿宋"/>
          <w:i/>
          <w:iCs/>
          <w:color w:val="0623BA"/>
          <w:sz w:val="24"/>
        </w:rPr>
        <w:t>.3.</w:t>
      </w:r>
      <w:r>
        <w:rPr>
          <w:rFonts w:hint="eastAsia" w:ascii="仿宋" w:hAnsi="仿宋" w:eastAsia="仿宋" w:cs="仿宋"/>
          <w:i/>
          <w:iCs/>
          <w:color w:val="0623BA"/>
          <w:sz w:val="24"/>
          <w:lang w:val="en-US" w:eastAsia="zh-CN"/>
        </w:rPr>
        <w:t>2</w:t>
      </w:r>
      <w:r>
        <w:rPr>
          <w:rFonts w:hint="eastAsia" w:ascii="仿宋" w:hAnsi="仿宋" w:eastAsia="仿宋" w:cs="仿宋"/>
          <w:i/>
          <w:iCs/>
          <w:color w:val="0623BA"/>
          <w:sz w:val="24"/>
        </w:rPr>
        <w:t>光伏方阵</w:t>
      </w:r>
      <w:r>
        <w:rPr>
          <w:rFonts w:hint="eastAsia" w:ascii="仿宋" w:hAnsi="仿宋" w:eastAsia="仿宋" w:cs="仿宋"/>
          <w:i/>
          <w:iCs/>
          <w:color w:val="0623BA"/>
          <w:sz w:val="24"/>
          <w:lang w:val="en-US" w:eastAsia="zh-CN"/>
        </w:rPr>
        <w:t>应定期检查与维护：</w:t>
      </w:r>
    </w:p>
    <w:p w14:paraId="09A65FDE">
      <w:pPr>
        <w:snapToGrid w:val="0"/>
        <w:spacing w:line="300" w:lineRule="auto"/>
        <w:ind w:firstLine="480" w:firstLineChars="200"/>
        <w:jc w:val="left"/>
        <w:rPr>
          <w:rFonts w:hint="eastAsia" w:ascii="仿宋" w:hAnsi="仿宋" w:eastAsia="仿宋" w:cs="仿宋"/>
          <w:i/>
          <w:iCs/>
          <w:color w:val="0623BA"/>
          <w:sz w:val="24"/>
        </w:rPr>
      </w:pPr>
      <w:r>
        <w:rPr>
          <w:rFonts w:hint="eastAsia" w:ascii="仿宋" w:hAnsi="仿宋" w:eastAsia="仿宋" w:cs="仿宋"/>
          <w:i/>
          <w:iCs/>
          <w:color w:val="0623BA"/>
          <w:sz w:val="24"/>
          <w:lang w:val="en-US" w:eastAsia="zh-CN"/>
        </w:rPr>
        <w:t xml:space="preserve">1 </w:t>
      </w:r>
      <w:r>
        <w:rPr>
          <w:rFonts w:hint="eastAsia" w:ascii="仿宋" w:hAnsi="仿宋" w:eastAsia="仿宋" w:cs="仿宋"/>
          <w:i/>
          <w:iCs/>
          <w:color w:val="0623BA"/>
          <w:sz w:val="24"/>
        </w:rPr>
        <w:t>光伏组件或阵列的清洗应根据当地气候状况</w:t>
      </w:r>
      <w:r>
        <w:rPr>
          <w:rFonts w:hint="eastAsia" w:ascii="仿宋" w:hAnsi="仿宋" w:eastAsia="仿宋" w:cs="仿宋"/>
          <w:i/>
          <w:iCs/>
          <w:color w:val="0623BA"/>
          <w:sz w:val="24"/>
          <w:lang w:val="en-US" w:eastAsia="zh-CN"/>
        </w:rPr>
        <w:t>确</w:t>
      </w:r>
      <w:r>
        <w:rPr>
          <w:rFonts w:hint="eastAsia" w:ascii="仿宋" w:hAnsi="仿宋" w:eastAsia="仿宋" w:cs="仿宋"/>
          <w:i/>
          <w:iCs/>
          <w:color w:val="0623BA"/>
          <w:sz w:val="24"/>
        </w:rPr>
        <w:t>定，在干燥或灰尘较多的季节，应增加清洗次数。清洗时应先用清水冲洗，然后用干净的柔软布将水迹擦干，切勿用有腐蚀性的</w:t>
      </w:r>
      <w:r>
        <w:rPr>
          <w:rFonts w:hint="eastAsia" w:ascii="仿宋" w:hAnsi="仿宋" w:eastAsia="仿宋" w:cs="仿宋"/>
          <w:i/>
          <w:iCs/>
          <w:color w:val="0623BA"/>
          <w:sz w:val="24"/>
          <w:lang w:val="en-US" w:eastAsia="zh-CN"/>
        </w:rPr>
        <w:t>溶剂</w:t>
      </w:r>
      <w:r>
        <w:rPr>
          <w:rFonts w:hint="eastAsia" w:ascii="仿宋" w:hAnsi="仿宋" w:eastAsia="仿宋" w:cs="仿宋"/>
          <w:i/>
          <w:iCs/>
          <w:color w:val="0623BA"/>
          <w:sz w:val="24"/>
        </w:rPr>
        <w:t>冲洗或用硬物擦拭。若遇下雪天气，应及时清扫组件或阵列表面的积雪，清洗(或清扫) 时，应避免在</w:t>
      </w:r>
      <w:r>
        <w:rPr>
          <w:rFonts w:hint="eastAsia" w:ascii="仿宋" w:hAnsi="仿宋" w:eastAsia="仿宋" w:cs="仿宋"/>
          <w:i/>
          <w:iCs/>
          <w:color w:val="0623BA"/>
          <w:sz w:val="24"/>
          <w:lang w:val="en-US" w:eastAsia="zh-CN"/>
        </w:rPr>
        <w:t>太阳辐射</w:t>
      </w:r>
      <w:r>
        <w:rPr>
          <w:rFonts w:hint="eastAsia" w:ascii="仿宋" w:hAnsi="仿宋" w:eastAsia="仿宋" w:cs="仿宋"/>
          <w:i/>
          <w:iCs/>
          <w:color w:val="0623BA"/>
          <w:sz w:val="24"/>
        </w:rPr>
        <w:t>较强时进行。若组件或阵列表面有树叶、鸟粪等杂物，应及时清理干净</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 xml:space="preserve"> </w:t>
      </w:r>
    </w:p>
    <w:p w14:paraId="1024530A">
      <w:pPr>
        <w:snapToGrid w:val="0"/>
        <w:spacing w:line="300" w:lineRule="auto"/>
        <w:ind w:firstLine="480" w:firstLineChars="200"/>
        <w:jc w:val="left"/>
        <w:rPr>
          <w:rFonts w:hint="eastAsia" w:ascii="仿宋" w:hAnsi="仿宋" w:eastAsia="仿宋" w:cs="仿宋"/>
          <w:i/>
          <w:iCs/>
          <w:color w:val="0623BA"/>
          <w:sz w:val="24"/>
        </w:rPr>
      </w:pPr>
      <w:r>
        <w:rPr>
          <w:rFonts w:hint="eastAsia" w:ascii="仿宋" w:hAnsi="仿宋" w:eastAsia="仿宋" w:cs="仿宋"/>
          <w:i/>
          <w:iCs/>
          <w:color w:val="0623BA"/>
          <w:sz w:val="24"/>
          <w:lang w:val="en-US" w:eastAsia="zh-CN"/>
        </w:rPr>
        <w:t>2</w:t>
      </w:r>
      <w:r>
        <w:rPr>
          <w:rFonts w:hint="eastAsia" w:ascii="仿宋" w:hAnsi="仿宋" w:eastAsia="仿宋" w:cs="仿宋"/>
          <w:i/>
          <w:iCs/>
          <w:color w:val="0623BA"/>
          <w:sz w:val="24"/>
        </w:rPr>
        <w:t>建筑光伏系统宜每年对外观、一致性、接地性能、电流</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电压特性、组件内部缺陷进行检测。应定期检查光伏组件间连线，连线连接应可靠、牢固、无接地并绝缘良好；</w:t>
      </w:r>
    </w:p>
    <w:p w14:paraId="5E5F0144">
      <w:pPr>
        <w:snapToGrid w:val="0"/>
        <w:spacing w:line="300" w:lineRule="auto"/>
        <w:ind w:firstLine="480" w:firstLineChars="200"/>
        <w:jc w:val="left"/>
        <w:rPr>
          <w:rFonts w:hint="eastAsia" w:ascii="仿宋" w:hAnsi="仿宋" w:eastAsia="仿宋" w:cs="仿宋"/>
          <w:b w:val="0"/>
          <w:bCs w:val="0"/>
          <w:i/>
          <w:iCs/>
          <w:color w:val="0623BA"/>
          <w:sz w:val="24"/>
          <w:lang w:eastAsia="zh-CN"/>
        </w:rPr>
      </w:pPr>
      <w:r>
        <w:rPr>
          <w:rFonts w:hint="eastAsia" w:ascii="仿宋" w:hAnsi="仿宋" w:eastAsia="仿宋" w:cs="仿宋"/>
          <w:b w:val="0"/>
          <w:bCs w:val="0"/>
          <w:i/>
          <w:iCs/>
          <w:color w:val="0623BA"/>
          <w:sz w:val="24"/>
          <w:lang w:val="en-US" w:eastAsia="zh-CN"/>
        </w:rPr>
        <w:t xml:space="preserve">9 </w:t>
      </w:r>
      <w:r>
        <w:rPr>
          <w:rFonts w:hint="eastAsia" w:ascii="仿宋" w:hAnsi="仿宋" w:eastAsia="仿宋" w:cs="仿宋"/>
          <w:b w:val="0"/>
          <w:bCs w:val="0"/>
          <w:i/>
          <w:iCs/>
          <w:color w:val="0623BA"/>
          <w:sz w:val="24"/>
        </w:rPr>
        <w:t>光伏组件表面积灰会严重影响光伏系统的发电效率，因此光伏组件表面应保持清洁，定期对组件表面进行清洗。系统的日常维护宜选择在晚上或阴天进行，应避免光伏组件在被阳光晒热的情况下用冷水清洗，冷水可能会导致处于高温状态的组件遇冷破裂同时也不应在风力大于4级时清洗光伏组件。光伏组件一旦出现结露、进水、炸裂、脱膜、破损和开裂等现象，除了影响建筑美观外，还严重影响其安全、发电和隔热等功能，因此需要由专业人士进行定期检查，及时更换损坏的光伏构件</w:t>
      </w:r>
      <w:r>
        <w:rPr>
          <w:rFonts w:hint="eastAsia" w:ascii="仿宋" w:hAnsi="仿宋" w:eastAsia="仿宋" w:cs="仿宋"/>
          <w:b w:val="0"/>
          <w:bCs w:val="0"/>
          <w:i/>
          <w:iCs/>
          <w:color w:val="0623BA"/>
          <w:sz w:val="24"/>
          <w:lang w:eastAsia="zh-CN"/>
        </w:rPr>
        <w:t>；</w:t>
      </w:r>
    </w:p>
    <w:p w14:paraId="1EC6BF0D">
      <w:pPr>
        <w:snapToGrid w:val="0"/>
        <w:spacing w:line="300" w:lineRule="auto"/>
        <w:ind w:firstLine="480" w:firstLineChars="200"/>
        <w:jc w:val="left"/>
        <w:rPr>
          <w:rFonts w:hint="eastAsia" w:ascii="仿宋" w:hAnsi="仿宋" w:eastAsia="仿宋" w:cs="仿宋"/>
          <w:i/>
          <w:iCs/>
          <w:color w:val="0623BA"/>
          <w:sz w:val="24"/>
          <w:lang w:eastAsia="zh-CN"/>
        </w:rPr>
      </w:pPr>
      <w:r>
        <w:rPr>
          <w:rFonts w:hint="eastAsia" w:ascii="仿宋" w:hAnsi="仿宋" w:eastAsia="仿宋" w:cs="仿宋"/>
          <w:i/>
          <w:iCs/>
          <w:color w:val="0623BA"/>
          <w:sz w:val="24"/>
        </w:rPr>
        <w:t>12 光伏组件是整个系统的发电部件</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需要安全接地并有明显的警告标识</w:t>
      </w:r>
      <w:r>
        <w:rPr>
          <w:rFonts w:hint="eastAsia" w:ascii="仿宋" w:hAnsi="仿宋" w:eastAsia="仿宋" w:cs="仿宋"/>
          <w:i/>
          <w:iCs/>
          <w:color w:val="0623BA"/>
          <w:sz w:val="24"/>
          <w:lang w:eastAsia="zh-CN"/>
        </w:rPr>
        <w:t>；</w:t>
      </w:r>
    </w:p>
    <w:p w14:paraId="4465C51D">
      <w:pPr>
        <w:snapToGrid w:val="0"/>
        <w:spacing w:line="300" w:lineRule="auto"/>
        <w:ind w:firstLine="480" w:firstLineChars="200"/>
        <w:jc w:val="left"/>
        <w:rPr>
          <w:rFonts w:hint="eastAsia" w:ascii="仿宋" w:hAnsi="仿宋" w:eastAsia="仿宋" w:cs="仿宋"/>
          <w:i/>
          <w:iCs/>
          <w:color w:val="0623BA"/>
          <w:sz w:val="24"/>
        </w:rPr>
      </w:pPr>
      <w:r>
        <w:rPr>
          <w:rFonts w:hint="eastAsia" w:ascii="仿宋" w:hAnsi="仿宋" w:eastAsia="仿宋" w:cs="仿宋"/>
          <w:i/>
          <w:iCs/>
          <w:color w:val="0623BA"/>
          <w:sz w:val="24"/>
        </w:rPr>
        <w:t>13 在正常运行状态下</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同一光伏组件电池上方的表面温度差异在5℃</w:t>
      </w:r>
      <w:r>
        <w:rPr>
          <w:rFonts w:hint="default" w:ascii="Times New Roman" w:hAnsi="Times New Roman" w:eastAsia="仿宋" w:cs="Times New Roman"/>
          <w:i/>
          <w:iCs/>
          <w:color w:val="0623BA"/>
          <w:sz w:val="24"/>
          <w:lang w:val="en-US" w:eastAsia="zh-CN"/>
        </w:rPr>
        <w:t>~</w:t>
      </w:r>
      <w:r>
        <w:rPr>
          <w:rFonts w:hint="eastAsia" w:ascii="仿宋" w:hAnsi="仿宋" w:eastAsia="仿宋" w:cs="仿宋"/>
          <w:i/>
          <w:iCs/>
          <w:color w:val="0623BA"/>
          <w:sz w:val="24"/>
        </w:rPr>
        <w:t>10℃。因为系统安装的地理位置、辐照量等都会影响到温差并且检测方法不同</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温差也会有一定的不同</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考虑到恶劣的环境</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同一光伏组件电池上方的组件外表面温度差异需小于20℃</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如超过20℃会降低系统的发电效率</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还存在较大安全隐患。</w:t>
      </w:r>
    </w:p>
    <w:p w14:paraId="050F6165">
      <w:pPr>
        <w:snapToGrid w:val="0"/>
        <w:spacing w:line="300" w:lineRule="auto"/>
        <w:jc w:val="left"/>
        <w:rPr>
          <w:rFonts w:hint="default" w:eastAsia="宋体"/>
          <w:sz w:val="24"/>
          <w:lang w:val="en-US" w:eastAsia="zh-CN"/>
        </w:rPr>
      </w:pPr>
      <w:r>
        <w:rPr>
          <w:b/>
          <w:bCs/>
          <w:sz w:val="24"/>
        </w:rPr>
        <w:t>1</w:t>
      </w:r>
      <w:r>
        <w:rPr>
          <w:rFonts w:hint="eastAsia"/>
          <w:b/>
          <w:bCs/>
          <w:sz w:val="24"/>
          <w:lang w:val="en-US" w:eastAsia="zh-CN"/>
        </w:rPr>
        <w:t>4</w:t>
      </w:r>
      <w:r>
        <w:rPr>
          <w:b/>
          <w:bCs/>
          <w:sz w:val="24"/>
        </w:rPr>
        <w:t>.</w:t>
      </w:r>
      <w:r>
        <w:rPr>
          <w:rFonts w:hint="eastAsia"/>
          <w:b/>
          <w:bCs/>
          <w:sz w:val="24"/>
        </w:rPr>
        <w:t>3</w:t>
      </w:r>
      <w:r>
        <w:rPr>
          <w:b/>
          <w:bCs/>
          <w:sz w:val="24"/>
        </w:rPr>
        <w:t>.</w:t>
      </w:r>
      <w:r>
        <w:rPr>
          <w:rFonts w:hint="eastAsia"/>
          <w:b/>
          <w:bCs/>
          <w:sz w:val="24"/>
          <w:lang w:val="en-US" w:eastAsia="zh-CN"/>
        </w:rPr>
        <w:t>3</w:t>
      </w:r>
      <w:r>
        <w:rPr>
          <w:b/>
          <w:bCs/>
          <w:sz w:val="24"/>
        </w:rPr>
        <w:t xml:space="preserve"> </w:t>
      </w:r>
      <w:r>
        <w:rPr>
          <w:sz w:val="24"/>
        </w:rPr>
        <w:t>电缆</w:t>
      </w:r>
      <w:r>
        <w:rPr>
          <w:rFonts w:hint="eastAsia"/>
          <w:sz w:val="24"/>
          <w:lang w:val="en-US" w:eastAsia="zh-CN"/>
        </w:rPr>
        <w:t>运行与维护应符合下列规定：</w:t>
      </w:r>
    </w:p>
    <w:p w14:paraId="59C01E9F">
      <w:pPr>
        <w:snapToGrid w:val="0"/>
        <w:spacing w:line="300" w:lineRule="auto"/>
        <w:ind w:left="479" w:leftChars="228"/>
        <w:jc w:val="left"/>
        <w:rPr>
          <w:sz w:val="24"/>
        </w:rPr>
      </w:pPr>
      <w:r>
        <w:rPr>
          <w:rFonts w:hint="eastAsia"/>
          <w:b/>
          <w:bCs/>
          <w:sz w:val="24"/>
          <w:lang w:val="en-US" w:eastAsia="zh-CN"/>
        </w:rPr>
        <w:t>1</w:t>
      </w:r>
      <w:r>
        <w:rPr>
          <w:rFonts w:hint="eastAsia"/>
          <w:b/>
          <w:bCs/>
          <w:sz w:val="24"/>
        </w:rPr>
        <w:t xml:space="preserve"> </w:t>
      </w:r>
      <w:r>
        <w:rPr>
          <w:rFonts w:hint="eastAsia"/>
          <w:sz w:val="24"/>
        </w:rPr>
        <w:t>电缆不应在过负荷的状态下运行，电缆的铅包不应出现膨胀、龟裂现象；</w:t>
      </w:r>
    </w:p>
    <w:p w14:paraId="2F0DC2C4">
      <w:pPr>
        <w:snapToGrid w:val="0"/>
        <w:spacing w:line="300" w:lineRule="auto"/>
        <w:ind w:left="479" w:leftChars="228"/>
        <w:jc w:val="left"/>
        <w:rPr>
          <w:sz w:val="24"/>
        </w:rPr>
      </w:pPr>
      <w:r>
        <w:rPr>
          <w:rFonts w:hint="eastAsia"/>
          <w:b/>
          <w:bCs/>
          <w:sz w:val="24"/>
          <w:lang w:val="en-US" w:eastAsia="zh-CN"/>
        </w:rPr>
        <w:t>2</w:t>
      </w:r>
      <w:r>
        <w:rPr>
          <w:rFonts w:hint="eastAsia"/>
          <w:b/>
          <w:bCs/>
          <w:sz w:val="24"/>
        </w:rPr>
        <w:t xml:space="preserve"> </w:t>
      </w:r>
      <w:r>
        <w:rPr>
          <w:rFonts w:hint="eastAsia"/>
          <w:sz w:val="24"/>
        </w:rPr>
        <w:t>电缆在进出设备处的部位应封堵完好，不应存在直径大于10mm的孔洞；</w:t>
      </w:r>
    </w:p>
    <w:p w14:paraId="04559441">
      <w:pPr>
        <w:snapToGrid w:val="0"/>
        <w:spacing w:line="300" w:lineRule="auto"/>
        <w:ind w:firstLine="482" w:firstLineChars="200"/>
        <w:jc w:val="left"/>
        <w:rPr>
          <w:sz w:val="24"/>
        </w:rPr>
      </w:pPr>
      <w:r>
        <w:rPr>
          <w:rFonts w:hint="eastAsia"/>
          <w:b/>
          <w:bCs/>
          <w:sz w:val="24"/>
          <w:lang w:val="en-US" w:eastAsia="zh-CN"/>
        </w:rPr>
        <w:t>3</w:t>
      </w:r>
      <w:r>
        <w:rPr>
          <w:rFonts w:hint="eastAsia"/>
          <w:b/>
          <w:bCs/>
          <w:sz w:val="24"/>
        </w:rPr>
        <w:t xml:space="preserve"> </w:t>
      </w:r>
      <w:r>
        <w:rPr>
          <w:rFonts w:hint="eastAsia"/>
          <w:sz w:val="24"/>
        </w:rPr>
        <w:t>对于电缆对设备外壳造成过大压力、拉力的部位，电缆的支撑点应完好；</w:t>
      </w:r>
    </w:p>
    <w:p w14:paraId="7FD00822">
      <w:pPr>
        <w:snapToGrid w:val="0"/>
        <w:spacing w:line="300" w:lineRule="auto"/>
        <w:ind w:firstLine="482" w:firstLineChars="200"/>
        <w:jc w:val="left"/>
        <w:rPr>
          <w:sz w:val="24"/>
        </w:rPr>
      </w:pPr>
      <w:r>
        <w:rPr>
          <w:rFonts w:hint="eastAsia"/>
          <w:b/>
          <w:bCs/>
          <w:sz w:val="24"/>
          <w:lang w:val="en-US" w:eastAsia="zh-CN"/>
        </w:rPr>
        <w:t>4</w:t>
      </w:r>
      <w:r>
        <w:rPr>
          <w:rFonts w:hint="eastAsia"/>
          <w:b/>
          <w:bCs/>
          <w:sz w:val="24"/>
        </w:rPr>
        <w:t xml:space="preserve"> </w:t>
      </w:r>
      <w:r>
        <w:rPr>
          <w:rFonts w:hint="eastAsia"/>
          <w:sz w:val="24"/>
        </w:rPr>
        <w:t>电缆保护钢管口不应有穿孔、裂缝和显著的凹凸不平</w:t>
      </w:r>
      <w:r>
        <w:rPr>
          <w:rFonts w:hint="eastAsia"/>
          <w:sz w:val="24"/>
          <w:lang w:val="en-US" w:eastAsia="zh-CN"/>
        </w:rPr>
        <w:t>，</w:t>
      </w:r>
      <w:r>
        <w:rPr>
          <w:rFonts w:hint="eastAsia"/>
          <w:sz w:val="24"/>
        </w:rPr>
        <w:t>金属电缆管不应有严重锈蚀；</w:t>
      </w:r>
    </w:p>
    <w:p w14:paraId="1C5A9481">
      <w:pPr>
        <w:snapToGrid w:val="0"/>
        <w:spacing w:line="300" w:lineRule="auto"/>
        <w:ind w:left="479" w:leftChars="228"/>
        <w:jc w:val="left"/>
        <w:rPr>
          <w:sz w:val="24"/>
        </w:rPr>
      </w:pPr>
      <w:r>
        <w:rPr>
          <w:rFonts w:hint="eastAsia"/>
          <w:b/>
          <w:bCs/>
          <w:sz w:val="24"/>
          <w:lang w:val="en-US" w:eastAsia="zh-CN"/>
        </w:rPr>
        <w:t>5</w:t>
      </w:r>
      <w:r>
        <w:rPr>
          <w:rFonts w:hint="eastAsia"/>
          <w:b/>
          <w:bCs/>
          <w:sz w:val="24"/>
        </w:rPr>
        <w:t xml:space="preserve"> </w:t>
      </w:r>
      <w:r>
        <w:rPr>
          <w:rFonts w:hint="eastAsia"/>
          <w:sz w:val="24"/>
        </w:rPr>
        <w:t>室外电缆井内的堆积物、垃圾应及时清理；</w:t>
      </w:r>
    </w:p>
    <w:p w14:paraId="600D17FE">
      <w:pPr>
        <w:snapToGrid w:val="0"/>
        <w:spacing w:line="300" w:lineRule="auto"/>
        <w:ind w:firstLine="482" w:firstLineChars="200"/>
        <w:jc w:val="left"/>
        <w:rPr>
          <w:sz w:val="24"/>
        </w:rPr>
      </w:pPr>
      <w:r>
        <w:rPr>
          <w:rFonts w:hint="eastAsia"/>
          <w:b/>
          <w:bCs/>
          <w:sz w:val="24"/>
          <w:lang w:val="en-US" w:eastAsia="zh-CN"/>
        </w:rPr>
        <w:t>6</w:t>
      </w:r>
      <w:r>
        <w:rPr>
          <w:rFonts w:hint="eastAsia"/>
          <w:b/>
          <w:bCs/>
          <w:sz w:val="24"/>
        </w:rPr>
        <w:t xml:space="preserve"> </w:t>
      </w:r>
      <w:r>
        <w:rPr>
          <w:rFonts w:hint="eastAsia"/>
          <w:sz w:val="24"/>
        </w:rPr>
        <w:t>电缆沟或电缆井的盖板应完好无缺</w:t>
      </w:r>
      <w:r>
        <w:rPr>
          <w:rFonts w:hint="eastAsia"/>
          <w:sz w:val="24"/>
          <w:lang w:eastAsia="zh-CN"/>
        </w:rPr>
        <w:t>，</w:t>
      </w:r>
      <w:r>
        <w:rPr>
          <w:rFonts w:hint="eastAsia"/>
          <w:sz w:val="24"/>
        </w:rPr>
        <w:t>电缆头应无漏油、溢胶、发热、放电等现象；电缆沟内不应有积水或杂物</w:t>
      </w:r>
      <w:r>
        <w:rPr>
          <w:rFonts w:hint="eastAsia"/>
          <w:sz w:val="24"/>
          <w:lang w:eastAsia="zh-CN"/>
        </w:rPr>
        <w:t>，</w:t>
      </w:r>
      <w:r>
        <w:rPr>
          <w:rFonts w:hint="eastAsia"/>
          <w:sz w:val="24"/>
        </w:rPr>
        <w:t>电缆沟内支架应牢固，无锈蚀和松动现象；铠装电缆外皮及铠装不应有影响性能的锈蚀；</w:t>
      </w:r>
    </w:p>
    <w:p w14:paraId="77D4C5CA">
      <w:pPr>
        <w:snapToGrid w:val="0"/>
        <w:spacing w:line="300" w:lineRule="auto"/>
        <w:ind w:left="479" w:leftChars="228" w:firstLine="0" w:firstLineChars="0"/>
        <w:jc w:val="left"/>
        <w:rPr>
          <w:rFonts w:hint="eastAsia"/>
          <w:sz w:val="24"/>
        </w:rPr>
      </w:pPr>
      <w:r>
        <w:rPr>
          <w:rFonts w:hint="eastAsia"/>
          <w:b/>
          <w:bCs/>
          <w:sz w:val="24"/>
          <w:lang w:val="en-US" w:eastAsia="zh-CN"/>
        </w:rPr>
        <w:t>7</w:t>
      </w:r>
      <w:r>
        <w:rPr>
          <w:rFonts w:hint="eastAsia"/>
          <w:b/>
          <w:bCs/>
          <w:sz w:val="24"/>
        </w:rPr>
        <w:t xml:space="preserve"> </w:t>
      </w:r>
      <w:r>
        <w:rPr>
          <w:rFonts w:hint="eastAsia"/>
          <w:sz w:val="24"/>
        </w:rPr>
        <w:t>当光伏系统中使用双拼或多拼电缆时，应检查电流分配和电缆外皮的温度</w:t>
      </w:r>
      <w:r>
        <w:rPr>
          <w:rFonts w:hint="eastAsia"/>
          <w:sz w:val="24"/>
          <w:lang w:eastAsia="zh-CN"/>
        </w:rPr>
        <w:t>；</w:t>
      </w:r>
      <w:r>
        <w:rPr>
          <w:rFonts w:hint="eastAsia"/>
          <w:sz w:val="24"/>
        </w:rPr>
        <w:br w:type="textWrapping"/>
      </w:r>
      <w:r>
        <w:rPr>
          <w:rFonts w:hint="eastAsia"/>
          <w:b/>
          <w:bCs/>
          <w:sz w:val="24"/>
          <w:lang w:val="en-US" w:eastAsia="zh-CN"/>
        </w:rPr>
        <w:t>8</w:t>
      </w:r>
      <w:r>
        <w:rPr>
          <w:rFonts w:hint="eastAsia"/>
          <w:b/>
          <w:bCs/>
          <w:sz w:val="24"/>
        </w:rPr>
        <w:t xml:space="preserve"> </w:t>
      </w:r>
      <w:r>
        <w:rPr>
          <w:rFonts w:hint="eastAsia"/>
          <w:sz w:val="24"/>
        </w:rPr>
        <w:t>电缆终端头接地应良好</w:t>
      </w:r>
      <w:r>
        <w:rPr>
          <w:sz w:val="24"/>
        </w:rPr>
        <w:t>，</w:t>
      </w:r>
      <w:r>
        <w:rPr>
          <w:rFonts w:hint="eastAsia"/>
          <w:sz w:val="24"/>
        </w:rPr>
        <w:t>绝缘套管应完好、清洁</w:t>
      </w:r>
      <w:r>
        <w:rPr>
          <w:sz w:val="24"/>
        </w:rPr>
        <w:t>，</w:t>
      </w:r>
      <w:r>
        <w:rPr>
          <w:rFonts w:hint="eastAsia"/>
          <w:sz w:val="24"/>
        </w:rPr>
        <w:t>无闪络放电痕迹</w:t>
      </w:r>
      <w:r>
        <w:rPr>
          <w:rFonts w:hint="eastAsia"/>
          <w:sz w:val="24"/>
          <w:lang w:eastAsia="zh-CN"/>
        </w:rPr>
        <w:t>，</w:t>
      </w:r>
      <w:r>
        <w:rPr>
          <w:rFonts w:hint="eastAsia"/>
          <w:sz w:val="24"/>
        </w:rPr>
        <w:t>电缆</w:t>
      </w:r>
    </w:p>
    <w:p w14:paraId="33FB6154">
      <w:pPr>
        <w:snapToGrid w:val="0"/>
        <w:spacing w:line="300" w:lineRule="auto"/>
        <w:ind w:left="0" w:leftChars="0" w:firstLine="0" w:firstLineChars="0"/>
        <w:jc w:val="left"/>
        <w:rPr>
          <w:sz w:val="21"/>
        </w:rPr>
      </w:pPr>
      <w:r>
        <w:rPr>
          <w:rFonts w:hint="default"/>
          <w:sz w:val="24"/>
        </w:rPr>
        <w:t>相色应明显、准确；</w:t>
      </w:r>
    </w:p>
    <w:p w14:paraId="187EFB7E">
      <w:pPr>
        <w:snapToGrid w:val="0"/>
        <w:spacing w:line="300" w:lineRule="auto"/>
        <w:ind w:firstLine="482" w:firstLineChars="200"/>
        <w:jc w:val="left"/>
        <w:rPr>
          <w:sz w:val="24"/>
        </w:rPr>
      </w:pPr>
      <w:r>
        <w:rPr>
          <w:rFonts w:hint="eastAsia"/>
          <w:b/>
          <w:bCs/>
          <w:sz w:val="24"/>
          <w:lang w:val="en-US" w:eastAsia="zh-CN"/>
        </w:rPr>
        <w:t>9</w:t>
      </w:r>
      <w:r>
        <w:rPr>
          <w:rFonts w:hint="eastAsia"/>
          <w:b/>
          <w:bCs/>
          <w:sz w:val="24"/>
        </w:rPr>
        <w:t xml:space="preserve"> </w:t>
      </w:r>
      <w:r>
        <w:rPr>
          <w:rFonts w:hint="eastAsia"/>
          <w:sz w:val="24"/>
        </w:rPr>
        <w:t>金属电缆桥架及其支架和引入或引出的金属电缆导管应可靠接地</w:t>
      </w:r>
      <w:r>
        <w:rPr>
          <w:rFonts w:hint="eastAsia"/>
          <w:sz w:val="24"/>
          <w:lang w:eastAsia="zh-CN"/>
        </w:rPr>
        <w:t>，</w:t>
      </w:r>
      <w:r>
        <w:rPr>
          <w:rFonts w:hint="eastAsia"/>
          <w:sz w:val="24"/>
        </w:rPr>
        <w:t>金属电缆桥架间应可靠连接；</w:t>
      </w:r>
    </w:p>
    <w:p w14:paraId="298DEAC8">
      <w:pPr>
        <w:snapToGrid w:val="0"/>
        <w:spacing w:line="300" w:lineRule="auto"/>
        <w:ind w:firstLine="482" w:firstLineChars="200"/>
        <w:jc w:val="left"/>
        <w:rPr>
          <w:sz w:val="24"/>
        </w:rPr>
      </w:pPr>
      <w:r>
        <w:rPr>
          <w:rFonts w:hint="eastAsia"/>
          <w:b/>
          <w:bCs/>
          <w:sz w:val="24"/>
        </w:rPr>
        <w:t>1</w:t>
      </w:r>
      <w:r>
        <w:rPr>
          <w:rFonts w:hint="eastAsia"/>
          <w:b/>
          <w:bCs/>
          <w:sz w:val="24"/>
          <w:lang w:val="en-US" w:eastAsia="zh-CN"/>
        </w:rPr>
        <w:t>0</w:t>
      </w:r>
      <w:r>
        <w:rPr>
          <w:b/>
          <w:bCs/>
          <w:sz w:val="24"/>
        </w:rPr>
        <w:t xml:space="preserve"> </w:t>
      </w:r>
      <w:r>
        <w:rPr>
          <w:sz w:val="24"/>
        </w:rPr>
        <w:t>桥架穿墙处防火封堵应严密、无脱落</w:t>
      </w:r>
      <w:r>
        <w:rPr>
          <w:rFonts w:hint="eastAsia"/>
          <w:sz w:val="24"/>
        </w:rPr>
        <w:t>；</w:t>
      </w:r>
    </w:p>
    <w:p w14:paraId="398B08FF">
      <w:pPr>
        <w:snapToGrid w:val="0"/>
        <w:spacing w:line="300" w:lineRule="auto"/>
        <w:ind w:firstLine="482" w:firstLineChars="200"/>
        <w:jc w:val="left"/>
        <w:rPr>
          <w:sz w:val="24"/>
        </w:rPr>
      </w:pPr>
      <w:r>
        <w:rPr>
          <w:b/>
          <w:bCs/>
          <w:sz w:val="24"/>
        </w:rPr>
        <w:t>1</w:t>
      </w:r>
      <w:r>
        <w:rPr>
          <w:rFonts w:hint="eastAsia"/>
          <w:b/>
          <w:bCs/>
          <w:sz w:val="24"/>
          <w:lang w:val="en-US" w:eastAsia="zh-CN"/>
        </w:rPr>
        <w:t>1</w:t>
      </w:r>
      <w:r>
        <w:rPr>
          <w:rFonts w:hint="eastAsia"/>
          <w:b/>
          <w:bCs/>
          <w:sz w:val="24"/>
        </w:rPr>
        <w:t xml:space="preserve"> </w:t>
      </w:r>
      <w:r>
        <w:rPr>
          <w:sz w:val="24"/>
        </w:rPr>
        <w:t>建筑光伏系统中电缆进出电气设备、电缆沟槽管及墙体处的封堵状态应定期检查，发现封堵材料脱落应及时修补；</w:t>
      </w:r>
    </w:p>
    <w:p w14:paraId="616DCD80">
      <w:pPr>
        <w:snapToGrid w:val="0"/>
        <w:spacing w:line="300" w:lineRule="auto"/>
        <w:ind w:firstLine="482" w:firstLineChars="200"/>
        <w:jc w:val="left"/>
        <w:rPr>
          <w:sz w:val="24"/>
        </w:rPr>
      </w:pPr>
      <w:r>
        <w:rPr>
          <w:rFonts w:hint="eastAsia"/>
          <w:b/>
          <w:bCs/>
          <w:sz w:val="24"/>
        </w:rPr>
        <w:t>1</w:t>
      </w:r>
      <w:r>
        <w:rPr>
          <w:rFonts w:hint="eastAsia"/>
          <w:b/>
          <w:bCs/>
          <w:sz w:val="24"/>
          <w:lang w:val="en-US" w:eastAsia="zh-CN"/>
        </w:rPr>
        <w:t>2</w:t>
      </w:r>
      <w:r>
        <w:rPr>
          <w:b/>
          <w:bCs/>
          <w:sz w:val="24"/>
        </w:rPr>
        <w:t xml:space="preserve"> </w:t>
      </w:r>
      <w:r>
        <w:rPr>
          <w:sz w:val="24"/>
        </w:rPr>
        <w:t>户外线缆的敷设和保护措施的完整性应定期检查，出现损坏应及时维修</w:t>
      </w:r>
      <w:r>
        <w:rPr>
          <w:rFonts w:hint="eastAsia"/>
          <w:sz w:val="24"/>
          <w:lang w:eastAsia="zh-CN"/>
        </w:rPr>
        <w:t>，</w:t>
      </w:r>
      <w:r>
        <w:rPr>
          <w:sz w:val="24"/>
        </w:rPr>
        <w:t>电缆支架结构松动、腐蚀时应及时维修；</w:t>
      </w:r>
    </w:p>
    <w:p w14:paraId="610285E8">
      <w:pPr>
        <w:snapToGrid w:val="0"/>
        <w:spacing w:line="300" w:lineRule="auto"/>
        <w:ind w:firstLine="482" w:firstLineChars="200"/>
        <w:jc w:val="left"/>
        <w:rPr>
          <w:sz w:val="24"/>
        </w:rPr>
      </w:pPr>
      <w:r>
        <w:rPr>
          <w:rFonts w:hint="eastAsia"/>
          <w:b/>
          <w:bCs/>
          <w:sz w:val="24"/>
        </w:rPr>
        <w:t>1</w:t>
      </w:r>
      <w:r>
        <w:rPr>
          <w:rFonts w:hint="eastAsia"/>
          <w:b/>
          <w:bCs/>
          <w:sz w:val="24"/>
          <w:lang w:val="en-US" w:eastAsia="zh-CN"/>
        </w:rPr>
        <w:t>3</w:t>
      </w:r>
      <w:r>
        <w:rPr>
          <w:b/>
          <w:bCs/>
          <w:sz w:val="24"/>
        </w:rPr>
        <w:t xml:space="preserve"> </w:t>
      </w:r>
      <w:r>
        <w:rPr>
          <w:sz w:val="24"/>
        </w:rPr>
        <w:t>电缆沟、井、管、槽、架内的杂物应定期清理并应及时清理架空线路上的抛挂物；</w:t>
      </w:r>
    </w:p>
    <w:p w14:paraId="3363F18A">
      <w:pPr>
        <w:snapToGrid w:val="0"/>
        <w:spacing w:line="300" w:lineRule="auto"/>
        <w:ind w:firstLine="482" w:firstLineChars="200"/>
        <w:jc w:val="left"/>
        <w:rPr>
          <w:sz w:val="24"/>
        </w:rPr>
      </w:pPr>
      <w:r>
        <w:rPr>
          <w:rFonts w:hint="eastAsia"/>
          <w:b/>
          <w:bCs/>
          <w:sz w:val="24"/>
        </w:rPr>
        <w:t>1</w:t>
      </w:r>
      <w:r>
        <w:rPr>
          <w:rFonts w:hint="eastAsia"/>
          <w:b/>
          <w:bCs/>
          <w:sz w:val="24"/>
          <w:lang w:val="en-US" w:eastAsia="zh-CN"/>
        </w:rPr>
        <w:t>4</w:t>
      </w:r>
      <w:r>
        <w:rPr>
          <w:b/>
          <w:bCs/>
          <w:sz w:val="24"/>
        </w:rPr>
        <w:t xml:space="preserve"> </w:t>
      </w:r>
      <w:r>
        <w:rPr>
          <w:sz w:val="24"/>
        </w:rPr>
        <w:t>户外电缆的连接情况应定期检查，出现脱落及松动时应及时维护；</w:t>
      </w:r>
    </w:p>
    <w:p w14:paraId="2F04D374">
      <w:pPr>
        <w:snapToGrid w:val="0"/>
        <w:spacing w:line="300" w:lineRule="auto"/>
        <w:ind w:firstLine="482" w:firstLineChars="200"/>
        <w:jc w:val="left"/>
        <w:rPr>
          <w:rFonts w:hint="eastAsia" w:eastAsia="宋体"/>
          <w:sz w:val="24"/>
          <w:lang w:eastAsia="zh-CN"/>
        </w:rPr>
      </w:pPr>
      <w:r>
        <w:rPr>
          <w:rFonts w:hint="eastAsia"/>
          <w:b/>
          <w:bCs/>
          <w:sz w:val="24"/>
        </w:rPr>
        <w:t>1</w:t>
      </w:r>
      <w:r>
        <w:rPr>
          <w:rFonts w:hint="eastAsia"/>
          <w:b/>
          <w:bCs/>
          <w:sz w:val="24"/>
          <w:lang w:val="en-US" w:eastAsia="zh-CN"/>
        </w:rPr>
        <w:t>5</w:t>
      </w:r>
      <w:r>
        <w:rPr>
          <w:b/>
          <w:bCs/>
          <w:sz w:val="24"/>
        </w:rPr>
        <w:t xml:space="preserve"> </w:t>
      </w:r>
      <w:r>
        <w:rPr>
          <w:sz w:val="24"/>
        </w:rPr>
        <w:t>电力线路的标牌应定期检查，丢失应及时补充，出现无法辨识时应及时更换</w:t>
      </w:r>
      <w:r>
        <w:rPr>
          <w:rFonts w:hint="eastAsia"/>
          <w:sz w:val="24"/>
          <w:lang w:eastAsia="zh-CN"/>
        </w:rPr>
        <w:t>；</w:t>
      </w:r>
    </w:p>
    <w:p w14:paraId="5F2AA021">
      <w:pPr>
        <w:snapToGrid w:val="0"/>
        <w:spacing w:line="300" w:lineRule="auto"/>
        <w:ind w:firstLine="482" w:firstLineChars="200"/>
        <w:jc w:val="left"/>
        <w:rPr>
          <w:sz w:val="24"/>
        </w:rPr>
      </w:pPr>
      <w:r>
        <w:rPr>
          <w:rFonts w:hint="eastAsia"/>
          <w:b/>
          <w:bCs/>
          <w:sz w:val="24"/>
        </w:rPr>
        <w:t>1</w:t>
      </w:r>
      <w:r>
        <w:rPr>
          <w:rFonts w:hint="eastAsia"/>
          <w:b/>
          <w:bCs/>
          <w:sz w:val="24"/>
          <w:lang w:val="en-US" w:eastAsia="zh-CN"/>
        </w:rPr>
        <w:t>6</w:t>
      </w:r>
      <w:r>
        <w:rPr>
          <w:rFonts w:hint="eastAsia"/>
          <w:b/>
          <w:bCs/>
          <w:sz w:val="24"/>
        </w:rPr>
        <w:t xml:space="preserve"> </w:t>
      </w:r>
      <w:r>
        <w:rPr>
          <w:rFonts w:hint="eastAsia"/>
          <w:sz w:val="24"/>
        </w:rPr>
        <w:t>电缆保护层应无损坏、腐蚀、鼓包、龟裂、漏油等现象；</w:t>
      </w:r>
    </w:p>
    <w:p w14:paraId="640B710C">
      <w:pPr>
        <w:snapToGrid w:val="0"/>
        <w:spacing w:line="300" w:lineRule="auto"/>
        <w:ind w:firstLine="482" w:firstLineChars="200"/>
        <w:jc w:val="left"/>
        <w:rPr>
          <w:sz w:val="24"/>
        </w:rPr>
      </w:pPr>
      <w:r>
        <w:rPr>
          <w:rFonts w:hint="eastAsia"/>
          <w:b/>
          <w:bCs/>
          <w:sz w:val="24"/>
        </w:rPr>
        <w:t>1</w:t>
      </w:r>
      <w:r>
        <w:rPr>
          <w:rFonts w:hint="eastAsia"/>
          <w:b/>
          <w:bCs/>
          <w:sz w:val="24"/>
          <w:lang w:val="en-US" w:eastAsia="zh-CN"/>
        </w:rPr>
        <w:t>7</w:t>
      </w:r>
      <w:r>
        <w:rPr>
          <w:rFonts w:hint="eastAsia"/>
          <w:b/>
          <w:bCs/>
          <w:sz w:val="24"/>
        </w:rPr>
        <w:t xml:space="preserve"> </w:t>
      </w:r>
      <w:r>
        <w:rPr>
          <w:rFonts w:hint="eastAsia"/>
          <w:sz w:val="24"/>
        </w:rPr>
        <w:t>按照电缆防火措施要求，检查防火措施是否完整；</w:t>
      </w:r>
    </w:p>
    <w:p w14:paraId="6B496596">
      <w:pPr>
        <w:snapToGrid w:val="0"/>
        <w:spacing w:line="300" w:lineRule="auto"/>
        <w:ind w:firstLine="482" w:firstLineChars="200"/>
        <w:jc w:val="left"/>
        <w:rPr>
          <w:sz w:val="24"/>
        </w:rPr>
      </w:pPr>
      <w:r>
        <w:rPr>
          <w:rFonts w:hint="eastAsia"/>
          <w:b/>
          <w:bCs/>
          <w:sz w:val="24"/>
        </w:rPr>
        <w:t>1</w:t>
      </w:r>
      <w:r>
        <w:rPr>
          <w:rFonts w:hint="eastAsia"/>
          <w:b/>
          <w:bCs/>
          <w:sz w:val="24"/>
          <w:lang w:val="en-US" w:eastAsia="zh-CN"/>
        </w:rPr>
        <w:t>8</w:t>
      </w:r>
      <w:r>
        <w:rPr>
          <w:rFonts w:hint="eastAsia"/>
          <w:b/>
          <w:bCs/>
          <w:sz w:val="24"/>
        </w:rPr>
        <w:t xml:space="preserve"> </w:t>
      </w:r>
      <w:r>
        <w:rPr>
          <w:rFonts w:hint="eastAsia"/>
          <w:sz w:val="24"/>
        </w:rPr>
        <w:t>当发生外皮鼓包或接地线脱落时应及时处理。</w:t>
      </w:r>
    </w:p>
    <w:p w14:paraId="41535CA1">
      <w:pPr>
        <w:snapToGrid w:val="0"/>
        <w:spacing w:line="300" w:lineRule="auto"/>
        <w:jc w:val="left"/>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37DAA97B">
      <w:pPr>
        <w:snapToGrid w:val="0"/>
        <w:spacing w:line="300" w:lineRule="auto"/>
        <w:ind w:firstLine="0" w:firstLineChars="0"/>
        <w:jc w:val="left"/>
        <w:rPr>
          <w:rFonts w:hint="eastAsia" w:ascii="仿宋" w:hAnsi="仿宋" w:eastAsia="仿宋" w:cs="仿宋"/>
          <w:i/>
          <w:iCs/>
          <w:color w:val="0623BA"/>
          <w:sz w:val="24"/>
          <w:lang w:val="en-US" w:eastAsia="zh-CN"/>
        </w:rPr>
      </w:pPr>
      <w:r>
        <w:rPr>
          <w:rFonts w:hint="eastAsia" w:ascii="仿宋" w:hAnsi="仿宋" w:eastAsia="仿宋" w:cs="仿宋"/>
          <w:i/>
          <w:iCs/>
          <w:color w:val="0623BA"/>
          <w:sz w:val="24"/>
          <w:lang w:val="en-US" w:eastAsia="zh-CN"/>
        </w:rPr>
        <w:t>14.3.3本条为电缆运行与维护应遵守的规定：</w:t>
      </w:r>
    </w:p>
    <w:p w14:paraId="50603629">
      <w:pPr>
        <w:snapToGrid w:val="0"/>
        <w:spacing w:line="300" w:lineRule="auto"/>
        <w:ind w:firstLine="480" w:firstLineChars="200"/>
        <w:jc w:val="left"/>
        <w:rPr>
          <w:rFonts w:hint="eastAsia" w:ascii="仿宋" w:hAnsi="仿宋" w:eastAsia="仿宋" w:cs="仿宋"/>
          <w:i/>
          <w:iCs/>
          <w:color w:val="0623BA"/>
          <w:sz w:val="24"/>
        </w:rPr>
      </w:pPr>
      <w:r>
        <w:rPr>
          <w:rFonts w:hint="eastAsia" w:ascii="仿宋" w:hAnsi="仿宋" w:eastAsia="仿宋" w:cs="仿宋"/>
          <w:i/>
          <w:iCs/>
          <w:color w:val="0623BA"/>
          <w:sz w:val="24"/>
          <w:lang w:val="en-US" w:eastAsia="zh-CN"/>
        </w:rPr>
        <w:t>6</w:t>
      </w:r>
      <w:r>
        <w:rPr>
          <w:rFonts w:hint="eastAsia" w:ascii="仿宋" w:hAnsi="仿宋" w:eastAsia="仿宋" w:cs="仿宋"/>
          <w:i/>
          <w:iCs/>
          <w:color w:val="0623BA"/>
          <w:sz w:val="24"/>
        </w:rPr>
        <w:t xml:space="preserve"> 电缆井内堆积物、垃圾如不能及时清理,将会影响电缆的检修、维护甚至造成电缆的损坏。</w:t>
      </w:r>
    </w:p>
    <w:p w14:paraId="667688D7">
      <w:pPr>
        <w:snapToGrid w:val="0"/>
        <w:spacing w:line="300" w:lineRule="auto"/>
        <w:ind w:firstLine="480" w:firstLineChars="200"/>
        <w:jc w:val="left"/>
        <w:rPr>
          <w:rFonts w:hint="eastAsia" w:ascii="仿宋" w:hAnsi="仿宋" w:eastAsia="仿宋" w:cs="仿宋"/>
          <w:i/>
          <w:iCs/>
          <w:color w:val="0623BA"/>
          <w:sz w:val="24"/>
        </w:rPr>
      </w:pPr>
      <w:r>
        <w:rPr>
          <w:rFonts w:hint="eastAsia" w:ascii="仿宋" w:hAnsi="仿宋" w:eastAsia="仿宋" w:cs="仿宋"/>
          <w:i/>
          <w:iCs/>
          <w:color w:val="0623BA"/>
          <w:sz w:val="24"/>
          <w:lang w:val="en-US" w:eastAsia="zh-CN"/>
        </w:rPr>
        <w:t>10</w:t>
      </w:r>
      <w:r>
        <w:rPr>
          <w:rFonts w:hint="eastAsia" w:ascii="仿宋" w:hAnsi="仿宋" w:eastAsia="仿宋" w:cs="仿宋"/>
          <w:i/>
          <w:iCs/>
          <w:color w:val="0623BA"/>
          <w:sz w:val="24"/>
        </w:rPr>
        <w:t xml:space="preserve"> 桥架与支架间螺栓、桥架连接板螺栓固定完好,以达到可靠连接的目的。</w:t>
      </w:r>
    </w:p>
    <w:p w14:paraId="2C433341">
      <w:pPr>
        <w:snapToGrid w:val="0"/>
        <w:spacing w:line="300" w:lineRule="auto"/>
        <w:jc w:val="left"/>
        <w:rPr>
          <w:rFonts w:hint="default" w:eastAsia="宋体"/>
          <w:sz w:val="24"/>
          <w:lang w:val="en-US" w:eastAsia="zh-CN"/>
        </w:rPr>
      </w:pPr>
      <w:r>
        <w:rPr>
          <w:b/>
          <w:bCs/>
          <w:sz w:val="24"/>
        </w:rPr>
        <w:t>1</w:t>
      </w:r>
      <w:r>
        <w:rPr>
          <w:rFonts w:hint="eastAsia"/>
          <w:b/>
          <w:bCs/>
          <w:sz w:val="24"/>
          <w:lang w:val="en-US" w:eastAsia="zh-CN"/>
        </w:rPr>
        <w:t>4</w:t>
      </w:r>
      <w:r>
        <w:rPr>
          <w:b/>
          <w:bCs/>
          <w:sz w:val="24"/>
        </w:rPr>
        <w:t>.</w:t>
      </w:r>
      <w:r>
        <w:rPr>
          <w:rFonts w:hint="eastAsia"/>
          <w:b/>
          <w:bCs/>
          <w:sz w:val="24"/>
        </w:rPr>
        <w:t>3</w:t>
      </w:r>
      <w:r>
        <w:rPr>
          <w:b/>
          <w:bCs/>
          <w:sz w:val="24"/>
        </w:rPr>
        <w:t>.</w:t>
      </w:r>
      <w:r>
        <w:rPr>
          <w:rFonts w:hint="eastAsia"/>
          <w:b/>
          <w:bCs/>
          <w:sz w:val="24"/>
          <w:lang w:val="en-US" w:eastAsia="zh-CN"/>
        </w:rPr>
        <w:t>4</w:t>
      </w:r>
      <w:r>
        <w:rPr>
          <w:b/>
          <w:bCs/>
          <w:sz w:val="24"/>
        </w:rPr>
        <w:t xml:space="preserve"> </w:t>
      </w:r>
      <w:r>
        <w:rPr>
          <w:sz w:val="24"/>
        </w:rPr>
        <w:t>储能系统</w:t>
      </w:r>
      <w:r>
        <w:rPr>
          <w:rFonts w:hint="eastAsia"/>
          <w:sz w:val="24"/>
          <w:lang w:val="en-US" w:eastAsia="zh-CN"/>
        </w:rPr>
        <w:t>运行和维护应符合</w:t>
      </w:r>
      <w:r>
        <w:rPr>
          <w:rFonts w:hint="eastAsia"/>
          <w:sz w:val="24"/>
          <w:highlight w:val="none"/>
        </w:rPr>
        <w:t>建筑光伏系统应用技术标准</w:t>
      </w:r>
      <w:r>
        <w:rPr>
          <w:sz w:val="24"/>
          <w:highlight w:val="none"/>
        </w:rPr>
        <w:t>GB/T51368</w:t>
      </w:r>
      <w:r>
        <w:rPr>
          <w:rFonts w:hint="eastAsia"/>
          <w:sz w:val="24"/>
          <w:highlight w:val="none"/>
          <w:lang w:val="en-US" w:eastAsia="zh-CN"/>
        </w:rPr>
        <w:t>规定外，还应符合下列要求：</w:t>
      </w:r>
    </w:p>
    <w:p w14:paraId="480158D0">
      <w:pPr>
        <w:snapToGrid w:val="0"/>
        <w:spacing w:line="300" w:lineRule="auto"/>
        <w:ind w:firstLine="482" w:firstLineChars="200"/>
        <w:jc w:val="left"/>
        <w:rPr>
          <w:rFonts w:hint="eastAsia" w:eastAsia="宋体"/>
          <w:sz w:val="24"/>
          <w:lang w:eastAsia="zh-CN"/>
        </w:rPr>
      </w:pPr>
      <w:r>
        <w:rPr>
          <w:rFonts w:hint="eastAsia"/>
          <w:b/>
          <w:bCs/>
          <w:sz w:val="24"/>
          <w:lang w:val="en-US" w:eastAsia="zh-CN"/>
        </w:rPr>
        <w:t xml:space="preserve">1 </w:t>
      </w:r>
      <w:r>
        <w:rPr>
          <w:rFonts w:hint="eastAsia"/>
          <w:sz w:val="24"/>
        </w:rPr>
        <w:t>定期对储能单元进行满充满放并测试可用容量和充放电时间</w:t>
      </w:r>
      <w:r>
        <w:rPr>
          <w:rFonts w:hint="eastAsia"/>
          <w:sz w:val="24"/>
          <w:lang w:eastAsia="zh-CN"/>
        </w:rPr>
        <w:t>；</w:t>
      </w:r>
    </w:p>
    <w:p w14:paraId="6710F0C7">
      <w:pPr>
        <w:snapToGrid w:val="0"/>
        <w:spacing w:line="300" w:lineRule="auto"/>
        <w:ind w:firstLine="482" w:firstLineChars="200"/>
        <w:jc w:val="left"/>
        <w:rPr>
          <w:rFonts w:hint="eastAsia" w:eastAsia="宋体"/>
          <w:sz w:val="24"/>
          <w:lang w:eastAsia="zh-CN"/>
        </w:rPr>
      </w:pPr>
      <w:r>
        <w:rPr>
          <w:rFonts w:hint="eastAsia"/>
          <w:b/>
          <w:bCs/>
          <w:sz w:val="24"/>
          <w:lang w:val="en-US" w:eastAsia="zh-CN"/>
        </w:rPr>
        <w:t xml:space="preserve">2 </w:t>
      </w:r>
      <w:r>
        <w:rPr>
          <w:rFonts w:hint="eastAsia"/>
          <w:sz w:val="24"/>
        </w:rPr>
        <w:t>定期维护检查电池组承载结构</w:t>
      </w:r>
      <w:r>
        <w:rPr>
          <w:rFonts w:hint="eastAsia"/>
          <w:sz w:val="24"/>
          <w:lang w:eastAsia="zh-CN"/>
        </w:rPr>
        <w:t>；</w:t>
      </w:r>
    </w:p>
    <w:p w14:paraId="4F81BA7D">
      <w:pPr>
        <w:snapToGrid w:val="0"/>
        <w:spacing w:line="300" w:lineRule="auto"/>
        <w:ind w:firstLine="482" w:firstLineChars="200"/>
        <w:jc w:val="left"/>
        <w:rPr>
          <w:rFonts w:hint="eastAsia" w:eastAsia="宋体"/>
          <w:sz w:val="24"/>
          <w:lang w:eastAsia="zh-CN"/>
        </w:rPr>
      </w:pPr>
      <w:r>
        <w:rPr>
          <w:rFonts w:hint="eastAsia"/>
          <w:b/>
          <w:bCs/>
          <w:sz w:val="24"/>
        </w:rPr>
        <w:t xml:space="preserve">3 </w:t>
      </w:r>
      <w:r>
        <w:rPr>
          <w:rFonts w:hint="eastAsia"/>
          <w:sz w:val="24"/>
        </w:rPr>
        <w:t>电压或容量异常的电池组应及时更换且宜采用同品牌、同型号的产品</w:t>
      </w:r>
      <w:r>
        <w:rPr>
          <w:rFonts w:hint="eastAsia"/>
          <w:sz w:val="24"/>
          <w:lang w:eastAsia="zh-CN"/>
        </w:rPr>
        <w:t>；</w:t>
      </w:r>
    </w:p>
    <w:p w14:paraId="2A19D0E7">
      <w:pPr>
        <w:snapToGrid w:val="0"/>
        <w:spacing w:line="300" w:lineRule="auto"/>
        <w:ind w:firstLine="482" w:firstLineChars="200"/>
        <w:jc w:val="left"/>
        <w:rPr>
          <w:rFonts w:hint="eastAsia" w:eastAsia="宋体"/>
          <w:sz w:val="24"/>
          <w:lang w:eastAsia="zh-CN"/>
        </w:rPr>
      </w:pPr>
      <w:r>
        <w:rPr>
          <w:rFonts w:hint="eastAsia"/>
          <w:b/>
          <w:bCs/>
          <w:sz w:val="24"/>
          <w:lang w:val="en-US" w:eastAsia="zh-CN"/>
        </w:rPr>
        <w:t xml:space="preserve">4 </w:t>
      </w:r>
      <w:r>
        <w:rPr>
          <w:rFonts w:hint="eastAsia"/>
          <w:sz w:val="24"/>
        </w:rPr>
        <w:t>应对电池管理系统电池荷电状态(SOC)等状态参数进行校验</w:t>
      </w:r>
      <w:r>
        <w:rPr>
          <w:rFonts w:hint="eastAsia"/>
          <w:sz w:val="24"/>
          <w:lang w:eastAsia="zh-CN"/>
        </w:rPr>
        <w:t>；</w:t>
      </w:r>
    </w:p>
    <w:p w14:paraId="7ED705DA">
      <w:pPr>
        <w:snapToGrid w:val="0"/>
        <w:spacing w:line="300" w:lineRule="auto"/>
        <w:ind w:firstLine="482" w:firstLineChars="200"/>
        <w:jc w:val="left"/>
        <w:rPr>
          <w:rFonts w:hint="eastAsia"/>
          <w:sz w:val="24"/>
        </w:rPr>
      </w:pPr>
      <w:r>
        <w:rPr>
          <w:rFonts w:hint="eastAsia"/>
          <w:b/>
          <w:bCs/>
          <w:sz w:val="24"/>
          <w:lang w:val="en-US" w:eastAsia="zh-CN"/>
        </w:rPr>
        <w:t xml:space="preserve">5 </w:t>
      </w:r>
      <w:r>
        <w:rPr>
          <w:rFonts w:hint="eastAsia"/>
          <w:sz w:val="24"/>
        </w:rPr>
        <w:t>应对电池模块、电池簇均衡维护处理。</w:t>
      </w:r>
    </w:p>
    <w:p w14:paraId="1D7A2DEB">
      <w:pPr>
        <w:snapToGrid w:val="0"/>
        <w:spacing w:line="300" w:lineRule="auto"/>
        <w:jc w:val="left"/>
        <w:rPr>
          <w:sz w:val="24"/>
        </w:rPr>
      </w:pPr>
      <w:r>
        <w:rPr>
          <w:rFonts w:hint="eastAsia"/>
          <w:b/>
          <w:bCs/>
          <w:sz w:val="24"/>
        </w:rPr>
        <w:t>1</w:t>
      </w:r>
      <w:r>
        <w:rPr>
          <w:rFonts w:hint="eastAsia"/>
          <w:b/>
          <w:bCs/>
          <w:sz w:val="24"/>
          <w:lang w:val="en-US" w:eastAsia="zh-CN"/>
        </w:rPr>
        <w:t>4</w:t>
      </w:r>
      <w:r>
        <w:rPr>
          <w:rFonts w:hint="eastAsia"/>
          <w:b/>
          <w:bCs/>
          <w:sz w:val="24"/>
        </w:rPr>
        <w:t>.3.</w:t>
      </w:r>
      <w:r>
        <w:rPr>
          <w:rFonts w:hint="eastAsia"/>
          <w:b/>
          <w:bCs/>
          <w:sz w:val="24"/>
          <w:lang w:val="en-US" w:eastAsia="zh-CN"/>
        </w:rPr>
        <w:t>5</w:t>
      </w:r>
      <w:r>
        <w:rPr>
          <w:rFonts w:hint="eastAsia"/>
          <w:b/>
          <w:bCs/>
          <w:sz w:val="24"/>
        </w:rPr>
        <w:t xml:space="preserve"> </w:t>
      </w:r>
      <w:r>
        <w:rPr>
          <w:rFonts w:hint="eastAsia"/>
          <w:sz w:val="24"/>
        </w:rPr>
        <w:t>直流汇流箱及直流配电柜的运行与维护应符合下列</w:t>
      </w:r>
      <w:r>
        <w:rPr>
          <w:rFonts w:hint="eastAsia"/>
          <w:sz w:val="24"/>
          <w:lang w:val="en-US" w:eastAsia="zh-CN"/>
        </w:rPr>
        <w:t>规定</w:t>
      </w:r>
      <w:r>
        <w:rPr>
          <w:rFonts w:hint="eastAsia"/>
          <w:sz w:val="24"/>
        </w:rPr>
        <w:t>：</w:t>
      </w:r>
    </w:p>
    <w:p w14:paraId="3803C33B">
      <w:pPr>
        <w:snapToGrid w:val="0"/>
        <w:spacing w:line="300" w:lineRule="auto"/>
        <w:ind w:firstLine="482" w:firstLineChars="200"/>
        <w:jc w:val="left"/>
        <w:rPr>
          <w:sz w:val="24"/>
        </w:rPr>
      </w:pPr>
      <w:r>
        <w:rPr>
          <w:rFonts w:hint="eastAsia"/>
          <w:b/>
          <w:bCs/>
          <w:sz w:val="24"/>
        </w:rPr>
        <w:t xml:space="preserve">1 </w:t>
      </w:r>
      <w:r>
        <w:rPr>
          <w:rFonts w:hint="eastAsia"/>
          <w:sz w:val="24"/>
        </w:rPr>
        <w:t>户外使用的汇流箱密封结构应完好，箱体不应存在变形、腐蚀等现象；</w:t>
      </w:r>
    </w:p>
    <w:p w14:paraId="00D0453A">
      <w:pPr>
        <w:snapToGrid w:val="0"/>
        <w:spacing w:line="300" w:lineRule="auto"/>
        <w:ind w:firstLine="482" w:firstLineChars="200"/>
        <w:jc w:val="left"/>
        <w:rPr>
          <w:sz w:val="24"/>
        </w:rPr>
      </w:pPr>
      <w:r>
        <w:rPr>
          <w:rFonts w:hint="eastAsia"/>
          <w:b/>
          <w:bCs/>
          <w:sz w:val="24"/>
        </w:rPr>
        <w:t xml:space="preserve">2 </w:t>
      </w:r>
      <w:r>
        <w:rPr>
          <w:rFonts w:hint="eastAsia"/>
          <w:sz w:val="24"/>
        </w:rPr>
        <w:t>采用金属箱体的汇流箱应可靠接地，汇流箱内防雷器应有效；</w:t>
      </w:r>
    </w:p>
    <w:p w14:paraId="5CA4423C">
      <w:pPr>
        <w:snapToGrid w:val="0"/>
        <w:spacing w:line="300" w:lineRule="auto"/>
        <w:ind w:firstLine="482" w:firstLineChars="200"/>
        <w:jc w:val="left"/>
        <w:rPr>
          <w:sz w:val="24"/>
        </w:rPr>
      </w:pPr>
      <w:r>
        <w:rPr>
          <w:rFonts w:hint="eastAsia"/>
          <w:b/>
          <w:bCs/>
          <w:sz w:val="24"/>
        </w:rPr>
        <w:t xml:space="preserve">3 </w:t>
      </w:r>
      <w:r>
        <w:rPr>
          <w:rFonts w:hint="eastAsia"/>
          <w:sz w:val="24"/>
        </w:rPr>
        <w:t>汇流箱内各接线端子应连接牢固，不应出现松动、锈蚀等现象；</w:t>
      </w:r>
    </w:p>
    <w:p w14:paraId="6C2F63D1">
      <w:pPr>
        <w:snapToGrid w:val="0"/>
        <w:spacing w:line="300" w:lineRule="auto"/>
        <w:ind w:firstLine="482" w:firstLineChars="200"/>
        <w:jc w:val="left"/>
        <w:rPr>
          <w:sz w:val="24"/>
        </w:rPr>
      </w:pPr>
      <w:r>
        <w:rPr>
          <w:rFonts w:hint="eastAsia"/>
          <w:b/>
          <w:bCs/>
          <w:sz w:val="24"/>
        </w:rPr>
        <w:t xml:space="preserve">4 </w:t>
      </w:r>
      <w:r>
        <w:rPr>
          <w:rFonts w:hint="eastAsia"/>
          <w:sz w:val="24"/>
        </w:rPr>
        <w:t>各光伏支路进线端及子方阵出线端，以及接线端子与汇流箱接地端绝缘电阻应大于0.5M（DC500V）；</w:t>
      </w:r>
    </w:p>
    <w:p w14:paraId="00D2012B">
      <w:pPr>
        <w:snapToGrid w:val="0"/>
        <w:spacing w:line="300" w:lineRule="auto"/>
        <w:ind w:firstLine="482" w:firstLineChars="200"/>
        <w:jc w:val="left"/>
        <w:rPr>
          <w:sz w:val="24"/>
        </w:rPr>
      </w:pPr>
      <w:r>
        <w:rPr>
          <w:rFonts w:hint="eastAsia"/>
          <w:b/>
          <w:bCs/>
          <w:sz w:val="24"/>
          <w:lang w:val="en-US" w:eastAsia="zh-CN"/>
        </w:rPr>
        <w:t>5</w:t>
      </w:r>
      <w:r>
        <w:rPr>
          <w:rFonts w:hint="eastAsia"/>
          <w:sz w:val="24"/>
        </w:rPr>
        <w:t xml:space="preserve"> 直流汇流箱和直流配电柜配置的浪涌保护器应有效；</w:t>
      </w:r>
    </w:p>
    <w:p w14:paraId="121B07FE">
      <w:pPr>
        <w:snapToGrid w:val="0"/>
        <w:spacing w:line="300" w:lineRule="auto"/>
        <w:ind w:firstLine="482" w:firstLineChars="200"/>
        <w:jc w:val="left"/>
        <w:rPr>
          <w:sz w:val="24"/>
        </w:rPr>
      </w:pPr>
      <w:r>
        <w:rPr>
          <w:rFonts w:hint="eastAsia"/>
          <w:b/>
          <w:bCs/>
          <w:sz w:val="24"/>
          <w:lang w:val="en-US" w:eastAsia="zh-CN"/>
        </w:rPr>
        <w:t>6</w:t>
      </w:r>
      <w:r>
        <w:rPr>
          <w:rFonts w:hint="eastAsia"/>
          <w:b/>
          <w:bCs/>
          <w:sz w:val="24"/>
        </w:rPr>
        <w:t xml:space="preserve"> </w:t>
      </w:r>
      <w:r>
        <w:rPr>
          <w:rFonts w:hint="eastAsia"/>
          <w:sz w:val="24"/>
        </w:rPr>
        <w:t>直流汇流箱内直流熔丝的规格应符合设计要求；</w:t>
      </w:r>
    </w:p>
    <w:p w14:paraId="01071E6E">
      <w:pPr>
        <w:snapToGrid w:val="0"/>
        <w:spacing w:line="300" w:lineRule="auto"/>
        <w:ind w:firstLine="482" w:firstLineChars="200"/>
        <w:jc w:val="left"/>
        <w:rPr>
          <w:sz w:val="24"/>
        </w:rPr>
      </w:pPr>
      <w:r>
        <w:rPr>
          <w:rFonts w:hint="eastAsia"/>
          <w:b/>
          <w:bCs/>
          <w:sz w:val="24"/>
          <w:lang w:val="en-US" w:eastAsia="zh-CN"/>
        </w:rPr>
        <w:t>7</w:t>
      </w:r>
      <w:r>
        <w:rPr>
          <w:rFonts w:hint="eastAsia"/>
          <w:b/>
          <w:bCs/>
          <w:sz w:val="24"/>
        </w:rPr>
        <w:t xml:space="preserve"> </w:t>
      </w:r>
      <w:r>
        <w:rPr>
          <w:rFonts w:hint="eastAsia"/>
          <w:sz w:val="24"/>
        </w:rPr>
        <w:t>直流配电柜的直流输</w:t>
      </w:r>
      <w:r>
        <w:rPr>
          <w:rFonts w:hint="eastAsia"/>
          <w:sz w:val="24"/>
          <w:lang w:val="en-US" w:eastAsia="zh-CN"/>
        </w:rPr>
        <w:t>入</w:t>
      </w:r>
      <w:r>
        <w:rPr>
          <w:rFonts w:hint="eastAsia"/>
          <w:sz w:val="24"/>
        </w:rPr>
        <w:t>接口与直流汇流箱的连接，直流配电柜的直流输出与并网主机直流输</w:t>
      </w:r>
      <w:r>
        <w:rPr>
          <w:rFonts w:hint="eastAsia"/>
          <w:sz w:val="24"/>
          <w:lang w:val="en-US" w:eastAsia="zh-CN"/>
        </w:rPr>
        <w:t>入</w:t>
      </w:r>
      <w:r>
        <w:rPr>
          <w:rFonts w:hint="eastAsia"/>
          <w:sz w:val="24"/>
        </w:rPr>
        <w:t>处的连接应稳定。</w:t>
      </w:r>
    </w:p>
    <w:p w14:paraId="03F221FA">
      <w:pPr>
        <w:snapToGrid w:val="0"/>
        <w:spacing w:line="300" w:lineRule="auto"/>
        <w:jc w:val="left"/>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7A72FE8E">
      <w:pPr>
        <w:snapToGrid w:val="0"/>
        <w:spacing w:line="300" w:lineRule="auto"/>
        <w:ind w:firstLine="0" w:firstLineChars="0"/>
        <w:jc w:val="left"/>
        <w:rPr>
          <w:rFonts w:hint="eastAsia" w:ascii="仿宋" w:hAnsi="仿宋" w:eastAsia="仿宋" w:cs="仿宋"/>
          <w:i/>
          <w:iCs/>
          <w:color w:val="0623BA"/>
          <w:sz w:val="24"/>
          <w:lang w:val="en-US" w:eastAsia="zh-CN"/>
        </w:rPr>
      </w:pPr>
      <w:r>
        <w:rPr>
          <w:rFonts w:hint="eastAsia" w:ascii="仿宋" w:hAnsi="仿宋" w:eastAsia="仿宋" w:cs="仿宋"/>
          <w:i/>
          <w:iCs/>
          <w:color w:val="0623BA"/>
          <w:sz w:val="24"/>
          <w:lang w:val="en-US" w:eastAsia="zh-CN"/>
        </w:rPr>
        <w:t>14.3.5 本条为</w:t>
      </w:r>
      <w:r>
        <w:rPr>
          <w:rFonts w:hint="eastAsia" w:ascii="仿宋" w:hAnsi="仿宋" w:eastAsia="仿宋" w:cs="仿宋"/>
          <w:i/>
          <w:iCs/>
          <w:color w:val="0623BA"/>
          <w:sz w:val="24"/>
        </w:rPr>
        <w:t>直流汇流箱及直流配电柜的运行与维护应</w:t>
      </w:r>
      <w:r>
        <w:rPr>
          <w:rFonts w:hint="eastAsia" w:ascii="仿宋" w:hAnsi="仿宋" w:eastAsia="仿宋" w:cs="仿宋"/>
          <w:i/>
          <w:iCs/>
          <w:color w:val="0623BA"/>
          <w:sz w:val="24"/>
          <w:lang w:val="en-US" w:eastAsia="zh-CN"/>
        </w:rPr>
        <w:t>遵守的</w:t>
      </w:r>
      <w:r>
        <w:rPr>
          <w:rFonts w:hint="eastAsia" w:ascii="仿宋" w:hAnsi="仿宋" w:eastAsia="仿宋" w:cs="仿宋"/>
          <w:i/>
          <w:iCs/>
          <w:color w:val="0623BA"/>
          <w:sz w:val="24"/>
          <w:lang w:eastAsia="zh-CN"/>
        </w:rPr>
        <w:t>要求：</w:t>
      </w:r>
    </w:p>
    <w:p w14:paraId="241A2F20">
      <w:pPr>
        <w:snapToGrid w:val="0"/>
        <w:spacing w:line="300" w:lineRule="auto"/>
        <w:ind w:firstLine="480" w:firstLineChars="200"/>
        <w:jc w:val="left"/>
        <w:rPr>
          <w:rFonts w:hint="eastAsia" w:ascii="仿宋" w:hAnsi="仿宋" w:eastAsia="仿宋" w:cs="仿宋"/>
          <w:i/>
          <w:iCs/>
          <w:color w:val="0623BA"/>
          <w:sz w:val="24"/>
          <w:lang w:eastAsia="zh-CN"/>
        </w:rPr>
      </w:pPr>
      <w:r>
        <w:rPr>
          <w:rFonts w:hint="eastAsia" w:ascii="仿宋" w:hAnsi="仿宋" w:eastAsia="仿宋" w:cs="仿宋"/>
          <w:i/>
          <w:iCs/>
          <w:color w:val="0623BA"/>
          <w:sz w:val="24"/>
          <w:lang w:val="en-US" w:eastAsia="zh-CN"/>
        </w:rPr>
        <w:t xml:space="preserve">1 </w:t>
      </w:r>
      <w:r>
        <w:rPr>
          <w:rFonts w:hint="eastAsia" w:ascii="仿宋" w:hAnsi="仿宋" w:eastAsia="仿宋" w:cs="仿宋"/>
          <w:i/>
          <w:iCs/>
          <w:color w:val="0623BA"/>
          <w:sz w:val="24"/>
        </w:rPr>
        <w:t>直流汇流箱和直流配电柜是否完好、接线端子接触是否良好会直接影响光伏发电系统的电性能安全</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如存在问题</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可能会导致打火漏电等安</w:t>
      </w:r>
      <w:r>
        <w:rPr>
          <w:rFonts w:hint="eastAsia" w:ascii="仿宋" w:hAnsi="仿宋" w:eastAsia="仿宋" w:cs="仿宋"/>
          <w:i/>
          <w:iCs/>
          <w:color w:val="0623BA"/>
          <w:sz w:val="24"/>
          <w:lang w:val="en-US" w:eastAsia="zh-CN"/>
        </w:rPr>
        <w:t>全</w:t>
      </w:r>
      <w:r>
        <w:rPr>
          <w:rFonts w:hint="eastAsia" w:ascii="仿宋" w:hAnsi="仿宋" w:eastAsia="仿宋" w:cs="仿宋"/>
          <w:i/>
          <w:iCs/>
          <w:color w:val="0623BA"/>
          <w:sz w:val="24"/>
        </w:rPr>
        <w:t>隐患</w:t>
      </w:r>
      <w:r>
        <w:rPr>
          <w:rFonts w:hint="eastAsia" w:ascii="仿宋" w:hAnsi="仿宋" w:eastAsia="仿宋" w:cs="仿宋"/>
          <w:i/>
          <w:iCs/>
          <w:color w:val="0623BA"/>
          <w:sz w:val="24"/>
          <w:lang w:eastAsia="zh-CN"/>
        </w:rPr>
        <w:t>；</w:t>
      </w:r>
    </w:p>
    <w:p w14:paraId="48F96A86">
      <w:pPr>
        <w:snapToGrid w:val="0"/>
        <w:spacing w:line="300" w:lineRule="auto"/>
        <w:ind w:firstLine="480" w:firstLineChars="200"/>
        <w:jc w:val="left"/>
        <w:rPr>
          <w:rFonts w:hint="eastAsia" w:ascii="仿宋" w:hAnsi="仿宋" w:eastAsia="仿宋" w:cs="仿宋"/>
          <w:i/>
          <w:iCs/>
          <w:color w:val="0623BA"/>
          <w:sz w:val="24"/>
        </w:rPr>
      </w:pPr>
      <w:r>
        <w:rPr>
          <w:rFonts w:hint="eastAsia" w:ascii="仿宋" w:hAnsi="仿宋" w:eastAsia="仿宋" w:cs="仿宋"/>
          <w:i/>
          <w:iCs/>
          <w:color w:val="0623BA"/>
          <w:sz w:val="24"/>
          <w:lang w:val="en-US" w:eastAsia="zh-CN"/>
        </w:rPr>
        <w:t xml:space="preserve">8 </w:t>
      </w:r>
      <w:r>
        <w:rPr>
          <w:rFonts w:hint="eastAsia" w:ascii="仿宋" w:hAnsi="仿宋" w:eastAsia="仿宋" w:cs="仿宋"/>
          <w:i/>
          <w:iCs/>
          <w:color w:val="0623BA"/>
          <w:sz w:val="24"/>
        </w:rPr>
        <w:t>直流配电柜的直流输出与并网主机直流输</w:t>
      </w:r>
      <w:r>
        <w:rPr>
          <w:rFonts w:hint="eastAsia" w:ascii="仿宋" w:hAnsi="仿宋" w:eastAsia="仿宋" w:cs="仿宋"/>
          <w:i/>
          <w:iCs/>
          <w:color w:val="0623BA"/>
          <w:sz w:val="24"/>
          <w:lang w:val="en-US" w:eastAsia="zh-CN"/>
        </w:rPr>
        <w:t>入</w:t>
      </w:r>
      <w:r>
        <w:rPr>
          <w:rFonts w:hint="eastAsia" w:ascii="仿宋" w:hAnsi="仿宋" w:eastAsia="仿宋" w:cs="仿宋"/>
          <w:i/>
          <w:iCs/>
          <w:color w:val="0623BA"/>
          <w:sz w:val="24"/>
        </w:rPr>
        <w:t>处的连接情况,直接影响发电系统的稳定性和可靠性。</w:t>
      </w:r>
    </w:p>
    <w:p w14:paraId="5BB598D1">
      <w:pPr>
        <w:snapToGrid w:val="0"/>
        <w:spacing w:line="300" w:lineRule="auto"/>
        <w:jc w:val="left"/>
        <w:rPr>
          <w:sz w:val="24"/>
        </w:rPr>
      </w:pPr>
      <w:r>
        <w:rPr>
          <w:rFonts w:hint="eastAsia"/>
          <w:b/>
          <w:bCs/>
          <w:sz w:val="24"/>
        </w:rPr>
        <w:t>1</w:t>
      </w:r>
      <w:r>
        <w:rPr>
          <w:rFonts w:hint="eastAsia"/>
          <w:b/>
          <w:bCs/>
          <w:sz w:val="24"/>
          <w:lang w:val="en-US" w:eastAsia="zh-CN"/>
        </w:rPr>
        <w:t>4</w:t>
      </w:r>
      <w:r>
        <w:rPr>
          <w:rFonts w:hint="eastAsia"/>
          <w:b/>
          <w:bCs/>
          <w:sz w:val="24"/>
        </w:rPr>
        <w:t>.3.</w:t>
      </w:r>
      <w:r>
        <w:rPr>
          <w:rFonts w:hint="eastAsia"/>
          <w:b/>
          <w:bCs/>
          <w:sz w:val="24"/>
          <w:lang w:val="en-US" w:eastAsia="zh-CN"/>
        </w:rPr>
        <w:t>6</w:t>
      </w:r>
      <w:r>
        <w:rPr>
          <w:rFonts w:hint="eastAsia"/>
          <w:b/>
          <w:bCs/>
          <w:sz w:val="24"/>
        </w:rPr>
        <w:t xml:space="preserve"> </w:t>
      </w:r>
      <w:r>
        <w:rPr>
          <w:rFonts w:hint="eastAsia"/>
          <w:sz w:val="24"/>
        </w:rPr>
        <w:t>交流配电柜运行与维护应符合下列</w:t>
      </w:r>
      <w:r>
        <w:rPr>
          <w:rFonts w:hint="eastAsia"/>
          <w:sz w:val="24"/>
          <w:lang w:val="en-US" w:eastAsia="zh-CN"/>
        </w:rPr>
        <w:t>规定</w:t>
      </w:r>
      <w:r>
        <w:rPr>
          <w:rFonts w:hint="eastAsia"/>
          <w:sz w:val="24"/>
        </w:rPr>
        <w:t>：</w:t>
      </w:r>
    </w:p>
    <w:p w14:paraId="18FA49A2">
      <w:pPr>
        <w:snapToGrid w:val="0"/>
        <w:spacing w:line="300" w:lineRule="auto"/>
        <w:ind w:firstLine="482" w:firstLineChars="200"/>
        <w:jc w:val="left"/>
        <w:rPr>
          <w:rFonts w:hint="eastAsia" w:eastAsia="宋体"/>
          <w:sz w:val="24"/>
          <w:lang w:eastAsia="zh-CN"/>
        </w:rPr>
      </w:pPr>
      <w:r>
        <w:rPr>
          <w:rFonts w:hint="eastAsia"/>
          <w:b/>
          <w:bCs/>
          <w:sz w:val="24"/>
        </w:rPr>
        <w:t xml:space="preserve">1 </w:t>
      </w:r>
      <w:r>
        <w:rPr>
          <w:rFonts w:hint="eastAsia"/>
          <w:sz w:val="24"/>
        </w:rPr>
        <w:t>交流配电柜维护前应提前通知停电起止时间，应将维护所需工具准</w:t>
      </w:r>
      <w:r>
        <w:rPr>
          <w:rFonts w:hint="eastAsia"/>
          <w:sz w:val="24"/>
          <w:lang w:val="en-US" w:eastAsia="zh-CN"/>
        </w:rPr>
        <w:t>备</w:t>
      </w:r>
      <w:r>
        <w:rPr>
          <w:rFonts w:hint="eastAsia"/>
          <w:sz w:val="24"/>
        </w:rPr>
        <w:t>齐全</w:t>
      </w:r>
      <w:r>
        <w:rPr>
          <w:rFonts w:hint="eastAsia"/>
          <w:sz w:val="24"/>
          <w:lang w:eastAsia="zh-CN"/>
        </w:rPr>
        <w:t>；</w:t>
      </w:r>
    </w:p>
    <w:p w14:paraId="36446C61">
      <w:pPr>
        <w:snapToGrid w:val="0"/>
        <w:spacing w:line="300" w:lineRule="auto"/>
        <w:ind w:firstLine="482" w:firstLineChars="200"/>
        <w:jc w:val="left"/>
        <w:rPr>
          <w:rFonts w:hint="eastAsia" w:eastAsia="宋体"/>
          <w:sz w:val="24"/>
          <w:lang w:eastAsia="zh-CN"/>
        </w:rPr>
      </w:pPr>
      <w:r>
        <w:rPr>
          <w:rFonts w:hint="eastAsia"/>
          <w:b/>
          <w:bCs/>
          <w:sz w:val="24"/>
        </w:rPr>
        <w:t xml:space="preserve">2 </w:t>
      </w:r>
      <w:r>
        <w:rPr>
          <w:rFonts w:hint="eastAsia"/>
          <w:sz w:val="24"/>
        </w:rPr>
        <w:t>配电柜的金属底座与基础型钢的镀锌螺栓应可靠连接，防松零件应齐全</w:t>
      </w:r>
      <w:r>
        <w:rPr>
          <w:rFonts w:hint="eastAsia"/>
          <w:sz w:val="24"/>
          <w:lang w:eastAsia="zh-CN"/>
        </w:rPr>
        <w:t>；</w:t>
      </w:r>
    </w:p>
    <w:p w14:paraId="21B43F6C">
      <w:pPr>
        <w:snapToGrid w:val="0"/>
        <w:spacing w:line="300" w:lineRule="auto"/>
        <w:ind w:firstLine="482" w:firstLineChars="200"/>
        <w:jc w:val="left"/>
        <w:rPr>
          <w:sz w:val="24"/>
        </w:rPr>
      </w:pPr>
      <w:r>
        <w:rPr>
          <w:rFonts w:hint="eastAsia"/>
          <w:b/>
          <w:bCs/>
          <w:sz w:val="24"/>
        </w:rPr>
        <w:t xml:space="preserve">3 </w:t>
      </w:r>
      <w:r>
        <w:rPr>
          <w:rFonts w:hint="eastAsia"/>
          <w:sz w:val="24"/>
        </w:rPr>
        <w:t>配电柜标明被控设备编号、名称或操作位置的标识器件应完整</w:t>
      </w:r>
      <w:r>
        <w:rPr>
          <w:rFonts w:hint="eastAsia"/>
          <w:sz w:val="24"/>
          <w:lang w:eastAsia="zh-CN"/>
        </w:rPr>
        <w:t>，</w:t>
      </w:r>
      <w:r>
        <w:rPr>
          <w:rFonts w:hint="eastAsia"/>
          <w:sz w:val="24"/>
        </w:rPr>
        <w:t>编号应清晰、工整；</w:t>
      </w:r>
    </w:p>
    <w:p w14:paraId="2E80DD3F">
      <w:pPr>
        <w:snapToGrid w:val="0"/>
        <w:spacing w:line="300" w:lineRule="auto"/>
        <w:ind w:firstLine="482" w:firstLineChars="200"/>
        <w:jc w:val="left"/>
        <w:rPr>
          <w:sz w:val="24"/>
        </w:rPr>
      </w:pPr>
      <w:r>
        <w:rPr>
          <w:rFonts w:hint="eastAsia"/>
          <w:b/>
          <w:bCs/>
          <w:sz w:val="24"/>
        </w:rPr>
        <w:t xml:space="preserve">4 </w:t>
      </w:r>
      <w:r>
        <w:rPr>
          <w:rFonts w:hint="eastAsia"/>
          <w:sz w:val="24"/>
        </w:rPr>
        <w:t>手车、抽出式成套配电柜推拉应灵活，无卡阻碰撞现象；动触头与静触头的中心线应一致且触头应接触紧密；</w:t>
      </w:r>
    </w:p>
    <w:p w14:paraId="63093746">
      <w:pPr>
        <w:snapToGrid w:val="0"/>
        <w:spacing w:line="300" w:lineRule="auto"/>
        <w:ind w:firstLine="482" w:firstLineChars="200"/>
        <w:jc w:val="left"/>
        <w:rPr>
          <w:rFonts w:hint="eastAsia" w:eastAsia="宋体"/>
          <w:sz w:val="24"/>
          <w:lang w:eastAsia="zh-CN"/>
        </w:rPr>
      </w:pPr>
      <w:r>
        <w:rPr>
          <w:rFonts w:hint="eastAsia"/>
          <w:b/>
          <w:bCs/>
          <w:sz w:val="24"/>
        </w:rPr>
        <w:t xml:space="preserve">5 </w:t>
      </w:r>
      <w:r>
        <w:rPr>
          <w:rFonts w:hint="eastAsia"/>
          <w:sz w:val="24"/>
        </w:rPr>
        <w:t>配电柜中开关的主触点不应有烧熔痕迹,灭弧罩不应烧黑和损坏</w:t>
      </w:r>
      <w:r>
        <w:rPr>
          <w:rFonts w:hint="eastAsia"/>
          <w:sz w:val="24"/>
          <w:lang w:eastAsia="zh-CN"/>
        </w:rPr>
        <w:t>，</w:t>
      </w:r>
      <w:r>
        <w:rPr>
          <w:rFonts w:hint="eastAsia"/>
          <w:sz w:val="24"/>
        </w:rPr>
        <w:t>各接线螺栓应紧固，配电柜内应保持清洁</w:t>
      </w:r>
      <w:r>
        <w:rPr>
          <w:rFonts w:hint="eastAsia"/>
          <w:sz w:val="24"/>
          <w:lang w:eastAsia="zh-CN"/>
        </w:rPr>
        <w:t>；</w:t>
      </w:r>
    </w:p>
    <w:p w14:paraId="67FDB2EA">
      <w:pPr>
        <w:snapToGrid w:val="0"/>
        <w:spacing w:line="300" w:lineRule="auto"/>
        <w:ind w:firstLine="482" w:firstLineChars="200"/>
        <w:jc w:val="left"/>
        <w:rPr>
          <w:sz w:val="24"/>
        </w:rPr>
      </w:pPr>
      <w:r>
        <w:rPr>
          <w:rFonts w:hint="eastAsia"/>
          <w:b/>
          <w:bCs/>
          <w:sz w:val="24"/>
        </w:rPr>
        <w:t xml:space="preserve">6 </w:t>
      </w:r>
      <w:r>
        <w:rPr>
          <w:rFonts w:hint="eastAsia"/>
          <w:sz w:val="24"/>
        </w:rPr>
        <w:t>操作时应按下列步骤进行：逐个断开低压侧的负荷，断开高压侧的断路器，合上接地开关，锁好高压开关柜，在开关把手上挂上“禁止合闸，有人工作”的标识牌，连上另一路供电联络柜；</w:t>
      </w:r>
    </w:p>
    <w:p w14:paraId="0F49C8EF">
      <w:pPr>
        <w:snapToGrid w:val="0"/>
        <w:spacing w:line="300" w:lineRule="auto"/>
        <w:ind w:firstLine="482" w:firstLineChars="200"/>
        <w:jc w:val="left"/>
        <w:rPr>
          <w:sz w:val="24"/>
        </w:rPr>
      </w:pPr>
      <w:r>
        <w:rPr>
          <w:rFonts w:hint="eastAsia"/>
          <w:b/>
          <w:bCs/>
          <w:sz w:val="24"/>
        </w:rPr>
        <w:t xml:space="preserve">7 </w:t>
      </w:r>
      <w:r>
        <w:rPr>
          <w:rFonts w:hint="eastAsia"/>
          <w:sz w:val="24"/>
        </w:rPr>
        <w:t>在母排接触处应重新擦净，涂上电力复合脂，用新弹垫片螺丝加以紧固，检查母排间的绝缘子，间距、连接处有无异常，检查电流、电压、互感器的二次绕组接线端子连接的可靠性；</w:t>
      </w:r>
    </w:p>
    <w:p w14:paraId="51C1007C">
      <w:pPr>
        <w:snapToGrid w:val="0"/>
        <w:spacing w:line="300" w:lineRule="auto"/>
        <w:ind w:firstLine="482" w:firstLineChars="200"/>
        <w:jc w:val="left"/>
        <w:rPr>
          <w:sz w:val="24"/>
        </w:rPr>
      </w:pPr>
      <w:r>
        <w:rPr>
          <w:rFonts w:hint="eastAsia"/>
          <w:b/>
          <w:bCs/>
          <w:sz w:val="24"/>
        </w:rPr>
        <w:t xml:space="preserve">8 </w:t>
      </w:r>
      <w:r>
        <w:rPr>
          <w:rFonts w:hint="eastAsia"/>
          <w:sz w:val="24"/>
        </w:rPr>
        <w:t>维护时应从变压器低压侧开始，配电柜断电后，清洁柜中灰尘，检查母线及引下线连接是否良好，接头点有无发热变色，检查电缆头，接线桩头是否牢固可靠，检查接地线有无锈蚀，接线桩头是否紧固，所有二次回路接线连接可靠，绝缘符合要求；</w:t>
      </w:r>
    </w:p>
    <w:p w14:paraId="4CFD15D7">
      <w:pPr>
        <w:snapToGrid w:val="0"/>
        <w:spacing w:line="300" w:lineRule="auto"/>
        <w:ind w:firstLine="482" w:firstLineChars="200"/>
        <w:jc w:val="left"/>
        <w:rPr>
          <w:sz w:val="24"/>
        </w:rPr>
      </w:pPr>
      <w:r>
        <w:rPr>
          <w:rFonts w:hint="eastAsia"/>
          <w:b/>
          <w:bCs/>
          <w:sz w:val="24"/>
        </w:rPr>
        <w:t xml:space="preserve">9 </w:t>
      </w:r>
      <w:r>
        <w:rPr>
          <w:rFonts w:hint="eastAsia"/>
          <w:sz w:val="24"/>
        </w:rPr>
        <w:t>检查抽柜式开关时，</w:t>
      </w:r>
      <w:r>
        <w:rPr>
          <w:rFonts w:hint="eastAsia"/>
          <w:sz w:val="24"/>
          <w:lang w:val="en-US" w:eastAsia="zh-CN"/>
        </w:rPr>
        <w:t>抽屉</w:t>
      </w:r>
      <w:r>
        <w:rPr>
          <w:rFonts w:hint="eastAsia"/>
          <w:sz w:val="24"/>
        </w:rPr>
        <w:t>式开关柜在推入或拉出时应灵活，机械、闭锁可靠；检查抽</w:t>
      </w:r>
      <w:r>
        <w:rPr>
          <w:rFonts w:hint="eastAsia"/>
          <w:sz w:val="24"/>
          <w:lang w:val="en-US" w:eastAsia="zh-CN"/>
        </w:rPr>
        <w:t>屉</w:t>
      </w:r>
      <w:r>
        <w:rPr>
          <w:rFonts w:hint="eastAsia"/>
          <w:sz w:val="24"/>
        </w:rPr>
        <w:t>柜上的自动空气开关操作机构是否到位，接线螺丝是否紧固，清除接触器触头表面及四周的污物；检查接触器触头接触是否完好，如触头接触不良，必要时可稍微修</w:t>
      </w:r>
      <w:r>
        <w:rPr>
          <w:rFonts w:hint="eastAsia"/>
          <w:sz w:val="24"/>
          <w:lang w:val="en-US" w:eastAsia="zh-CN"/>
        </w:rPr>
        <w:t>整</w:t>
      </w:r>
      <w:r>
        <w:rPr>
          <w:rFonts w:hint="eastAsia"/>
          <w:sz w:val="24"/>
        </w:rPr>
        <w:t>触头表面，电源指示仪表、指示灯应完好；</w:t>
      </w:r>
    </w:p>
    <w:p w14:paraId="2816A0D4">
      <w:pPr>
        <w:snapToGrid w:val="0"/>
        <w:spacing w:line="300" w:lineRule="auto"/>
        <w:ind w:firstLine="482" w:firstLineChars="200"/>
        <w:jc w:val="left"/>
        <w:rPr>
          <w:sz w:val="24"/>
        </w:rPr>
      </w:pPr>
      <w:r>
        <w:rPr>
          <w:rFonts w:hint="eastAsia"/>
          <w:b/>
          <w:bCs/>
          <w:sz w:val="24"/>
        </w:rPr>
        <w:t xml:space="preserve">10 </w:t>
      </w:r>
      <w:r>
        <w:rPr>
          <w:rFonts w:hint="eastAsia"/>
          <w:sz w:val="24"/>
        </w:rPr>
        <w:t>检查电容柜时，应先断开电容柜总开关，用10mm以上的一根导线逐个把电容器对地进行放电后，外观检查壳体应良好，无渗漏现象；</w:t>
      </w:r>
    </w:p>
    <w:p w14:paraId="0CBE882F">
      <w:pPr>
        <w:snapToGrid w:val="0"/>
        <w:spacing w:line="300" w:lineRule="auto"/>
        <w:ind w:firstLine="482" w:firstLineChars="200"/>
        <w:jc w:val="left"/>
        <w:rPr>
          <w:rFonts w:hint="eastAsia" w:eastAsia="宋体"/>
          <w:sz w:val="24"/>
          <w:lang w:eastAsia="zh-CN"/>
        </w:rPr>
      </w:pPr>
      <w:r>
        <w:rPr>
          <w:rFonts w:hint="eastAsia"/>
          <w:b/>
          <w:bCs/>
          <w:sz w:val="24"/>
        </w:rPr>
        <w:t xml:space="preserve">11 </w:t>
      </w:r>
      <w:r>
        <w:rPr>
          <w:rFonts w:hint="eastAsia"/>
          <w:sz w:val="24"/>
        </w:rPr>
        <w:t>检验柜、屏、台、箱、盘间线路的线间和线对地间绝缘电阻值，馈电线路应大于0.5M</w:t>
      </w:r>
      <w:r>
        <w:rPr>
          <w:rFonts w:hint="default" w:ascii="Times New Roman" w:hAnsi="Times New Roman" w:cs="Times New Roman"/>
          <w:sz w:val="24"/>
        </w:rPr>
        <w:t>Ω</w:t>
      </w:r>
      <w:r>
        <w:rPr>
          <w:rFonts w:hint="eastAsia"/>
          <w:sz w:val="24"/>
        </w:rPr>
        <w:t>，二次回路应大于1M</w:t>
      </w:r>
      <w:r>
        <w:rPr>
          <w:rFonts w:hint="default" w:ascii="Times New Roman" w:hAnsi="Times New Roman" w:cs="Times New Roman"/>
          <w:sz w:val="24"/>
        </w:rPr>
        <w:t>Ω</w:t>
      </w:r>
      <w:r>
        <w:rPr>
          <w:rFonts w:hint="eastAsia"/>
          <w:sz w:val="24"/>
          <w:lang w:eastAsia="zh-CN"/>
        </w:rPr>
        <w:t>；</w:t>
      </w:r>
    </w:p>
    <w:p w14:paraId="0F3BF57E">
      <w:pPr>
        <w:snapToGrid w:val="0"/>
        <w:spacing w:line="300" w:lineRule="auto"/>
        <w:ind w:firstLine="482" w:firstLineChars="200"/>
        <w:jc w:val="left"/>
        <w:rPr>
          <w:rFonts w:hint="eastAsia" w:eastAsia="宋体"/>
          <w:sz w:val="24"/>
          <w:lang w:eastAsia="zh-CN"/>
        </w:rPr>
      </w:pPr>
      <w:r>
        <w:rPr>
          <w:rFonts w:hint="eastAsia"/>
          <w:b/>
          <w:bCs/>
          <w:sz w:val="24"/>
        </w:rPr>
        <w:t>12</w:t>
      </w:r>
      <w:r>
        <w:rPr>
          <w:rFonts w:hint="eastAsia"/>
          <w:b/>
          <w:bCs/>
          <w:color w:val="000000"/>
          <w:sz w:val="24"/>
        </w:rPr>
        <w:t xml:space="preserve"> </w:t>
      </w:r>
      <w:r>
        <w:rPr>
          <w:rFonts w:hint="eastAsia"/>
          <w:color w:val="000000"/>
          <w:sz w:val="24"/>
        </w:rPr>
        <w:t>应把各分开关单元从抽屉柜中取出</w:t>
      </w:r>
      <w:r>
        <w:rPr>
          <w:rFonts w:hint="eastAsia"/>
          <w:sz w:val="24"/>
        </w:rPr>
        <w:t>，</w:t>
      </w:r>
      <w:r>
        <w:rPr>
          <w:rFonts w:hint="eastAsia"/>
          <w:color w:val="000000"/>
          <w:sz w:val="24"/>
        </w:rPr>
        <w:t>紧固各接线端子</w:t>
      </w:r>
      <w:r>
        <w:rPr>
          <w:rFonts w:hint="eastAsia"/>
          <w:sz w:val="24"/>
        </w:rPr>
        <w:t>；</w:t>
      </w:r>
      <w:r>
        <w:rPr>
          <w:rFonts w:hint="eastAsia"/>
          <w:color w:val="000000"/>
          <w:sz w:val="24"/>
        </w:rPr>
        <w:t>应检查电流互感器、电流表、电度表的安装和接线</w:t>
      </w:r>
      <w:r>
        <w:rPr>
          <w:rFonts w:hint="eastAsia"/>
          <w:sz w:val="24"/>
        </w:rPr>
        <w:t>，</w:t>
      </w:r>
      <w:r>
        <w:rPr>
          <w:rFonts w:hint="eastAsia"/>
          <w:color w:val="000000"/>
          <w:sz w:val="24"/>
        </w:rPr>
        <w:t>紧固断路器进出线</w:t>
      </w:r>
      <w:r>
        <w:rPr>
          <w:rFonts w:hint="eastAsia"/>
          <w:sz w:val="24"/>
        </w:rPr>
        <w:t>，</w:t>
      </w:r>
      <w:r>
        <w:rPr>
          <w:rFonts w:hint="eastAsia"/>
          <w:color w:val="000000"/>
          <w:sz w:val="24"/>
        </w:rPr>
        <w:t>清洁开关柜内和配电柜后面引出线处的灰尘</w:t>
      </w:r>
      <w:r>
        <w:rPr>
          <w:rFonts w:hint="eastAsia"/>
          <w:sz w:val="24"/>
        </w:rPr>
        <w:t>；</w:t>
      </w:r>
      <w:r>
        <w:rPr>
          <w:rFonts w:hint="eastAsia"/>
          <w:color w:val="000000"/>
          <w:sz w:val="24"/>
        </w:rPr>
        <w:t>手柄操作机构应灵活可靠</w:t>
      </w:r>
      <w:r>
        <w:rPr>
          <w:rFonts w:hint="eastAsia"/>
          <w:color w:val="000000"/>
          <w:sz w:val="24"/>
          <w:lang w:eastAsia="zh-CN"/>
        </w:rPr>
        <w:t>；</w:t>
      </w:r>
    </w:p>
    <w:p w14:paraId="321C5681">
      <w:pPr>
        <w:snapToGrid w:val="0"/>
        <w:spacing w:line="300" w:lineRule="auto"/>
        <w:ind w:firstLine="482" w:firstLineChars="200"/>
        <w:jc w:val="left"/>
        <w:rPr>
          <w:sz w:val="24"/>
        </w:rPr>
      </w:pPr>
      <w:r>
        <w:rPr>
          <w:rFonts w:hint="eastAsia"/>
          <w:b/>
          <w:bCs/>
          <w:sz w:val="24"/>
        </w:rPr>
        <w:t>13</w:t>
      </w:r>
      <w:r>
        <w:rPr>
          <w:rFonts w:hint="eastAsia"/>
          <w:b/>
          <w:bCs/>
          <w:color w:val="000000"/>
          <w:sz w:val="24"/>
        </w:rPr>
        <w:t xml:space="preserve"> </w:t>
      </w:r>
      <w:r>
        <w:rPr>
          <w:rFonts w:hint="eastAsia"/>
          <w:color w:val="000000"/>
          <w:sz w:val="24"/>
        </w:rPr>
        <w:t>低压电器发热物件散热应良好</w:t>
      </w:r>
      <w:r>
        <w:rPr>
          <w:rFonts w:hint="eastAsia"/>
          <w:sz w:val="24"/>
        </w:rPr>
        <w:t>，</w:t>
      </w:r>
      <w:r>
        <w:rPr>
          <w:rFonts w:hint="eastAsia"/>
          <w:color w:val="000000"/>
          <w:sz w:val="24"/>
        </w:rPr>
        <w:t>切换压板应接触良好</w:t>
      </w:r>
      <w:r>
        <w:rPr>
          <w:rFonts w:hint="eastAsia"/>
          <w:sz w:val="24"/>
        </w:rPr>
        <w:t>，</w:t>
      </w:r>
      <w:r>
        <w:rPr>
          <w:rFonts w:hint="eastAsia"/>
          <w:color w:val="000000"/>
          <w:sz w:val="24"/>
        </w:rPr>
        <w:t>信号回路的信号灯、按钮、光字牌、事故报警等动作和信号显示应准确</w:t>
      </w:r>
      <w:r>
        <w:rPr>
          <w:rFonts w:hint="eastAsia"/>
          <w:sz w:val="24"/>
        </w:rPr>
        <w:t>。</w:t>
      </w:r>
    </w:p>
    <w:p w14:paraId="5C9EA72D">
      <w:pPr>
        <w:snapToGrid w:val="0"/>
        <w:spacing w:line="300" w:lineRule="auto"/>
        <w:jc w:val="left"/>
        <w:rPr>
          <w:rFonts w:hint="eastAsia" w:ascii="仿宋" w:hAnsi="仿宋" w:eastAsia="仿宋" w:cs="仿宋"/>
          <w:b/>
          <w:bCs/>
          <w:i/>
          <w:iCs/>
          <w:color w:val="0623BA"/>
          <w:sz w:val="24"/>
        </w:rPr>
      </w:pPr>
      <w:r>
        <w:rPr>
          <w:rFonts w:hint="eastAsia" w:ascii="仿宋" w:hAnsi="仿宋" w:eastAsia="仿宋" w:cs="仿宋"/>
          <w:b/>
          <w:bCs/>
          <w:i/>
          <w:iCs/>
          <w:color w:val="0623BA"/>
          <w:sz w:val="24"/>
        </w:rPr>
        <w:t>【条文说明】</w:t>
      </w:r>
    </w:p>
    <w:p w14:paraId="16D12CE3">
      <w:pPr>
        <w:snapToGrid w:val="0"/>
        <w:spacing w:line="300" w:lineRule="auto"/>
        <w:ind w:firstLine="0" w:firstLineChars="0"/>
        <w:jc w:val="left"/>
        <w:rPr>
          <w:rFonts w:hint="eastAsia" w:ascii="仿宋" w:hAnsi="仿宋" w:eastAsia="仿宋" w:cs="仿宋"/>
          <w:i/>
          <w:iCs/>
          <w:color w:val="0623BA"/>
          <w:sz w:val="24"/>
        </w:rPr>
      </w:pPr>
      <w:r>
        <w:rPr>
          <w:rFonts w:hint="eastAsia" w:ascii="仿宋" w:hAnsi="仿宋" w:eastAsia="仿宋" w:cs="仿宋"/>
          <w:b w:val="0"/>
          <w:bCs w:val="0"/>
          <w:i/>
          <w:iCs/>
          <w:color w:val="0623BA"/>
          <w:sz w:val="24"/>
        </w:rPr>
        <w:t>1</w:t>
      </w:r>
      <w:r>
        <w:rPr>
          <w:rFonts w:hint="eastAsia" w:ascii="仿宋" w:hAnsi="仿宋" w:eastAsia="仿宋" w:cs="仿宋"/>
          <w:b w:val="0"/>
          <w:bCs w:val="0"/>
          <w:i/>
          <w:iCs/>
          <w:color w:val="0623BA"/>
          <w:sz w:val="24"/>
          <w:lang w:val="en-US" w:eastAsia="zh-CN"/>
        </w:rPr>
        <w:t>4</w:t>
      </w:r>
      <w:r>
        <w:rPr>
          <w:rFonts w:hint="eastAsia" w:ascii="仿宋" w:hAnsi="仿宋" w:eastAsia="仿宋" w:cs="仿宋"/>
          <w:b w:val="0"/>
          <w:bCs w:val="0"/>
          <w:i/>
          <w:iCs/>
          <w:color w:val="0623BA"/>
          <w:sz w:val="24"/>
        </w:rPr>
        <w:t>.3.</w:t>
      </w:r>
      <w:r>
        <w:rPr>
          <w:rFonts w:hint="eastAsia" w:ascii="仿宋" w:hAnsi="仿宋" w:eastAsia="仿宋" w:cs="仿宋"/>
          <w:b w:val="0"/>
          <w:bCs w:val="0"/>
          <w:i/>
          <w:iCs/>
          <w:color w:val="0623BA"/>
          <w:sz w:val="24"/>
          <w:lang w:val="en-US" w:eastAsia="zh-CN"/>
        </w:rPr>
        <w:t>6</w:t>
      </w:r>
      <w:r>
        <w:rPr>
          <w:rFonts w:hint="eastAsia" w:ascii="仿宋" w:hAnsi="仿宋" w:eastAsia="仿宋" w:cs="仿宋"/>
          <w:b w:val="0"/>
          <w:bCs w:val="0"/>
          <w:i/>
          <w:iCs/>
          <w:color w:val="0623BA"/>
          <w:sz w:val="24"/>
        </w:rPr>
        <w:t xml:space="preserve"> </w:t>
      </w:r>
      <w:r>
        <w:rPr>
          <w:rFonts w:hint="eastAsia" w:ascii="仿宋" w:hAnsi="仿宋" w:eastAsia="仿宋" w:cs="仿宋"/>
          <w:b w:val="0"/>
          <w:bCs w:val="0"/>
          <w:i/>
          <w:iCs/>
          <w:color w:val="0623BA"/>
          <w:sz w:val="24"/>
          <w:lang w:val="en-US" w:eastAsia="zh-CN"/>
        </w:rPr>
        <w:t>本条为</w:t>
      </w:r>
      <w:r>
        <w:rPr>
          <w:rFonts w:hint="eastAsia" w:ascii="仿宋" w:hAnsi="仿宋" w:eastAsia="仿宋" w:cs="仿宋"/>
          <w:i/>
          <w:iCs/>
          <w:color w:val="0623BA"/>
          <w:sz w:val="24"/>
        </w:rPr>
        <w:t>交流配电柜运行与维护应符合</w:t>
      </w:r>
      <w:r>
        <w:rPr>
          <w:rFonts w:hint="eastAsia" w:ascii="仿宋" w:hAnsi="仿宋" w:eastAsia="仿宋" w:cs="仿宋"/>
          <w:i/>
          <w:iCs/>
          <w:color w:val="0623BA"/>
          <w:sz w:val="24"/>
          <w:lang w:val="en-US" w:eastAsia="zh-CN"/>
        </w:rPr>
        <w:t>的</w:t>
      </w:r>
      <w:r>
        <w:rPr>
          <w:rFonts w:hint="eastAsia" w:ascii="仿宋" w:hAnsi="仿宋" w:eastAsia="仿宋" w:cs="仿宋"/>
          <w:i/>
          <w:iCs/>
          <w:color w:val="0623BA"/>
          <w:sz w:val="24"/>
          <w:lang w:eastAsia="zh-CN"/>
        </w:rPr>
        <w:t>要求</w:t>
      </w:r>
      <w:r>
        <w:rPr>
          <w:rFonts w:hint="eastAsia" w:ascii="仿宋" w:hAnsi="仿宋" w:eastAsia="仿宋" w:cs="仿宋"/>
          <w:i/>
          <w:iCs/>
          <w:color w:val="0623BA"/>
          <w:sz w:val="24"/>
        </w:rPr>
        <w:t>：</w:t>
      </w:r>
    </w:p>
    <w:p w14:paraId="10B948E9">
      <w:pPr>
        <w:snapToGrid w:val="0"/>
        <w:spacing w:line="300" w:lineRule="auto"/>
        <w:ind w:firstLine="480" w:firstLineChars="200"/>
        <w:jc w:val="left"/>
        <w:rPr>
          <w:rFonts w:hint="eastAsia" w:ascii="仿宋" w:hAnsi="仿宋" w:eastAsia="仿宋" w:cs="仿宋"/>
          <w:i/>
          <w:iCs/>
          <w:color w:val="0623BA"/>
          <w:sz w:val="24"/>
        </w:rPr>
      </w:pPr>
      <w:r>
        <w:rPr>
          <w:rFonts w:hint="eastAsia" w:ascii="仿宋" w:hAnsi="仿宋" w:eastAsia="仿宋" w:cs="仿宋"/>
          <w:i/>
          <w:iCs/>
          <w:color w:val="0623BA"/>
          <w:sz w:val="24"/>
          <w:lang w:val="en-US" w:eastAsia="zh-CN"/>
        </w:rPr>
        <w:t xml:space="preserve">5 </w:t>
      </w:r>
      <w:r>
        <w:rPr>
          <w:rFonts w:hint="eastAsia" w:ascii="仿宋" w:hAnsi="仿宋" w:eastAsia="仿宋" w:cs="仿宋"/>
          <w:i/>
          <w:iCs/>
          <w:color w:val="0623BA"/>
          <w:sz w:val="24"/>
        </w:rPr>
        <w:t>是参考现行国家标准《建筑电气工程施工质量验收规范》GB50303关于成套配电柜、控制柜</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屏、台</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和动力、照明配电箱</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盘</w:t>
      </w:r>
      <w:r>
        <w:rPr>
          <w:rFonts w:hint="eastAsia" w:ascii="仿宋" w:hAnsi="仿宋" w:eastAsia="仿宋" w:cs="仿宋"/>
          <w:i/>
          <w:iCs/>
          <w:color w:val="0623BA"/>
          <w:sz w:val="24"/>
          <w:lang w:eastAsia="zh-CN"/>
        </w:rPr>
        <w:t>）</w:t>
      </w:r>
      <w:r>
        <w:rPr>
          <w:rFonts w:hint="eastAsia" w:ascii="仿宋" w:hAnsi="仿宋" w:eastAsia="仿宋" w:cs="仿宋"/>
          <w:i/>
          <w:iCs/>
          <w:color w:val="0623BA"/>
          <w:sz w:val="24"/>
        </w:rPr>
        <w:t>安装中相关内容而确定的。</w:t>
      </w:r>
    </w:p>
    <w:p w14:paraId="536463E6">
      <w:pPr>
        <w:snapToGrid w:val="0"/>
        <w:spacing w:line="300" w:lineRule="auto"/>
        <w:jc w:val="left"/>
        <w:rPr>
          <w:sz w:val="24"/>
        </w:rPr>
      </w:pPr>
      <w:r>
        <w:rPr>
          <w:rFonts w:hint="eastAsia"/>
          <w:b/>
          <w:bCs/>
          <w:sz w:val="24"/>
        </w:rPr>
        <w:t>1</w:t>
      </w:r>
      <w:r>
        <w:rPr>
          <w:rFonts w:hint="eastAsia"/>
          <w:b/>
          <w:bCs/>
          <w:sz w:val="24"/>
          <w:lang w:val="en-US" w:eastAsia="zh-CN"/>
        </w:rPr>
        <w:t>4</w:t>
      </w:r>
      <w:r>
        <w:rPr>
          <w:rFonts w:hint="eastAsia"/>
          <w:b/>
          <w:bCs/>
          <w:sz w:val="24"/>
        </w:rPr>
        <w:t>.3.</w:t>
      </w:r>
      <w:r>
        <w:rPr>
          <w:rFonts w:hint="eastAsia"/>
          <w:b/>
          <w:bCs/>
          <w:sz w:val="24"/>
          <w:lang w:val="en-US" w:eastAsia="zh-CN"/>
        </w:rPr>
        <w:t>7</w:t>
      </w:r>
      <w:r>
        <w:rPr>
          <w:rFonts w:hint="eastAsia"/>
          <w:b/>
          <w:bCs/>
          <w:sz w:val="24"/>
        </w:rPr>
        <w:t xml:space="preserve"> </w:t>
      </w:r>
      <w:r>
        <w:rPr>
          <w:rFonts w:hint="eastAsia"/>
          <w:sz w:val="24"/>
        </w:rPr>
        <w:t>监控通信系统的运行与维护应符合下列</w:t>
      </w:r>
      <w:r>
        <w:rPr>
          <w:rFonts w:hint="eastAsia"/>
          <w:sz w:val="24"/>
          <w:lang w:val="en-US" w:eastAsia="zh-CN"/>
        </w:rPr>
        <w:t>规定</w:t>
      </w:r>
      <w:r>
        <w:rPr>
          <w:rFonts w:hint="eastAsia"/>
          <w:sz w:val="24"/>
        </w:rPr>
        <w:t>：</w:t>
      </w:r>
    </w:p>
    <w:p w14:paraId="323DB369">
      <w:pPr>
        <w:snapToGrid w:val="0"/>
        <w:spacing w:line="300" w:lineRule="auto"/>
        <w:ind w:firstLine="482" w:firstLineChars="200"/>
        <w:jc w:val="left"/>
        <w:rPr>
          <w:sz w:val="24"/>
        </w:rPr>
      </w:pPr>
      <w:r>
        <w:rPr>
          <w:rFonts w:hint="eastAsia"/>
          <w:b/>
          <w:bCs/>
          <w:sz w:val="24"/>
        </w:rPr>
        <w:t xml:space="preserve">1 </w:t>
      </w:r>
      <w:r>
        <w:rPr>
          <w:rFonts w:hint="eastAsia"/>
          <w:sz w:val="24"/>
        </w:rPr>
        <w:t>监控及数据传输系统的设备应保持外观完好，螺栓和密封件应齐全，操作键应接触良好，显示数字应清晰；</w:t>
      </w:r>
    </w:p>
    <w:p w14:paraId="588BEFC0">
      <w:pPr>
        <w:snapToGrid w:val="0"/>
        <w:spacing w:line="300" w:lineRule="auto"/>
        <w:ind w:firstLine="482" w:firstLineChars="200"/>
        <w:jc w:val="left"/>
        <w:rPr>
          <w:sz w:val="24"/>
        </w:rPr>
      </w:pPr>
      <w:r>
        <w:rPr>
          <w:rFonts w:hint="eastAsia"/>
          <w:b/>
          <w:bCs/>
          <w:sz w:val="24"/>
        </w:rPr>
        <w:t xml:space="preserve">2 </w:t>
      </w:r>
      <w:r>
        <w:rPr>
          <w:rFonts w:hint="eastAsia"/>
          <w:sz w:val="24"/>
        </w:rPr>
        <w:t>对于无人值守的数据传输系统，系统的终端显示器，每天应至少检查1次有无故障报警，当有故障报警时，应及时维修；</w:t>
      </w:r>
    </w:p>
    <w:p w14:paraId="6B7AF083">
      <w:pPr>
        <w:snapToGrid w:val="0"/>
        <w:spacing w:line="300" w:lineRule="auto"/>
        <w:ind w:firstLine="482" w:firstLineChars="200"/>
        <w:jc w:val="left"/>
        <w:rPr>
          <w:sz w:val="24"/>
        </w:rPr>
      </w:pPr>
      <w:r>
        <w:rPr>
          <w:rFonts w:hint="eastAsia"/>
          <w:b/>
          <w:bCs/>
          <w:sz w:val="24"/>
        </w:rPr>
        <w:t xml:space="preserve">3 </w:t>
      </w:r>
      <w:r>
        <w:rPr>
          <w:rFonts w:hint="eastAsia"/>
          <w:sz w:val="24"/>
        </w:rPr>
        <w:t>每年应至少对数据传输系统中输入数据的传感器灵敏度进行一次校验</w:t>
      </w:r>
      <w:r>
        <w:rPr>
          <w:rFonts w:hint="eastAsia"/>
          <w:sz w:val="24"/>
          <w:lang w:val="en-US" w:eastAsia="zh-CN"/>
        </w:rPr>
        <w:t>且</w:t>
      </w:r>
      <w:r>
        <w:rPr>
          <w:rFonts w:hint="eastAsia"/>
          <w:sz w:val="24"/>
        </w:rPr>
        <w:t>应对系统的模拟/数字</w:t>
      </w:r>
      <w:r>
        <w:rPr>
          <w:rFonts w:hint="eastAsia"/>
          <w:sz w:val="24"/>
          <w:lang w:eastAsia="zh-CN"/>
        </w:rPr>
        <w:t>（</w:t>
      </w:r>
      <w:r>
        <w:rPr>
          <w:rFonts w:hint="eastAsia"/>
          <w:sz w:val="24"/>
        </w:rPr>
        <w:t>A/D</w:t>
      </w:r>
      <w:r>
        <w:rPr>
          <w:rFonts w:hint="eastAsia"/>
          <w:sz w:val="24"/>
          <w:lang w:eastAsia="zh-CN"/>
        </w:rPr>
        <w:t>）</w:t>
      </w:r>
      <w:r>
        <w:rPr>
          <w:rFonts w:hint="eastAsia"/>
          <w:sz w:val="24"/>
        </w:rPr>
        <w:t>变换器的精度进行检验；</w:t>
      </w:r>
    </w:p>
    <w:p w14:paraId="2E455B97">
      <w:pPr>
        <w:snapToGrid w:val="0"/>
        <w:spacing w:line="300" w:lineRule="auto"/>
        <w:ind w:firstLine="482" w:firstLineChars="200"/>
        <w:jc w:val="left"/>
        <w:rPr>
          <w:rFonts w:hint="eastAsia" w:eastAsia="宋体"/>
          <w:sz w:val="24"/>
          <w:lang w:eastAsia="zh-CN"/>
        </w:rPr>
      </w:pPr>
      <w:r>
        <w:rPr>
          <w:rFonts w:hint="eastAsia"/>
          <w:b/>
          <w:bCs/>
          <w:sz w:val="24"/>
        </w:rPr>
        <w:t xml:space="preserve">4 </w:t>
      </w:r>
      <w:r>
        <w:rPr>
          <w:rFonts w:hint="eastAsia"/>
          <w:sz w:val="24"/>
        </w:rPr>
        <w:t>超过使用年限的数据传输系统中的主要部件，应及时更换</w:t>
      </w:r>
      <w:r>
        <w:rPr>
          <w:rFonts w:hint="eastAsia"/>
          <w:sz w:val="24"/>
          <w:lang w:eastAsia="zh-CN"/>
        </w:rPr>
        <w:t>；</w:t>
      </w:r>
    </w:p>
    <w:p w14:paraId="24560CF3">
      <w:pPr>
        <w:snapToGrid w:val="0"/>
        <w:spacing w:line="300" w:lineRule="auto"/>
        <w:ind w:firstLine="482" w:firstLineChars="200"/>
        <w:jc w:val="left"/>
        <w:rPr>
          <w:sz w:val="24"/>
        </w:rPr>
      </w:pPr>
      <w:r>
        <w:rPr>
          <w:rFonts w:hint="eastAsia"/>
          <w:b/>
          <w:bCs/>
          <w:sz w:val="24"/>
        </w:rPr>
        <w:t xml:space="preserve">5 </w:t>
      </w:r>
      <w:r>
        <w:rPr>
          <w:rFonts w:hint="eastAsia"/>
          <w:sz w:val="24"/>
        </w:rPr>
        <w:t>监控系统设备因故停运或出现严重缺陷时，应立即报告；</w:t>
      </w:r>
    </w:p>
    <w:p w14:paraId="2076FBAA">
      <w:pPr>
        <w:snapToGrid w:val="0"/>
        <w:spacing w:line="300" w:lineRule="auto"/>
        <w:ind w:firstLine="482" w:firstLineChars="200"/>
        <w:jc w:val="left"/>
        <w:rPr>
          <w:sz w:val="24"/>
        </w:rPr>
      </w:pPr>
      <w:r>
        <w:rPr>
          <w:rFonts w:hint="eastAsia"/>
          <w:b/>
          <w:bCs/>
          <w:sz w:val="24"/>
        </w:rPr>
        <w:t xml:space="preserve">6 </w:t>
      </w:r>
      <w:r>
        <w:rPr>
          <w:rFonts w:hint="eastAsia"/>
          <w:sz w:val="24"/>
        </w:rPr>
        <w:t>发生监控系统拒绝执行操作命令时，应立即停止操作，检查自身操作步骤是否正确，如确认无误，方可进行手动操作；</w:t>
      </w:r>
    </w:p>
    <w:p w14:paraId="7178C4B8">
      <w:pPr>
        <w:snapToGrid w:val="0"/>
        <w:spacing w:line="300" w:lineRule="auto"/>
        <w:ind w:firstLine="482" w:firstLineChars="200"/>
        <w:jc w:val="left"/>
        <w:rPr>
          <w:rFonts w:hint="eastAsia"/>
          <w:sz w:val="24"/>
        </w:rPr>
      </w:pPr>
      <w:r>
        <w:rPr>
          <w:rFonts w:hint="eastAsia"/>
          <w:b/>
          <w:bCs/>
          <w:sz w:val="24"/>
        </w:rPr>
        <w:t xml:space="preserve">7 </w:t>
      </w:r>
      <w:r>
        <w:rPr>
          <w:rFonts w:hint="eastAsia"/>
          <w:sz w:val="24"/>
        </w:rPr>
        <w:t>发生监控系统误动作时，应立即停止一切与微机监控系统有关的操作并立即报告；</w:t>
      </w:r>
    </w:p>
    <w:p w14:paraId="4FF43C8A">
      <w:pPr>
        <w:snapToGrid w:val="0"/>
        <w:spacing w:line="300" w:lineRule="auto"/>
        <w:ind w:firstLine="482" w:firstLineChars="200"/>
        <w:jc w:val="left"/>
        <w:rPr>
          <w:sz w:val="24"/>
        </w:rPr>
      </w:pPr>
      <w:r>
        <w:rPr>
          <w:rFonts w:hint="eastAsia"/>
          <w:b/>
          <w:bCs/>
          <w:sz w:val="24"/>
        </w:rPr>
        <w:t xml:space="preserve">8 </w:t>
      </w:r>
      <w:r>
        <w:rPr>
          <w:rFonts w:hint="eastAsia"/>
          <w:sz w:val="24"/>
        </w:rPr>
        <w:t>数据传输系统中的主要部件，凡是超过使用年限的，均应该及时更换。</w:t>
      </w:r>
    </w:p>
    <w:p w14:paraId="4D94F27C">
      <w:pPr>
        <w:snapToGrid w:val="0"/>
        <w:spacing w:line="300" w:lineRule="auto"/>
        <w:jc w:val="center"/>
        <w:rPr>
          <w:sz w:val="24"/>
        </w:rPr>
      </w:pPr>
    </w:p>
    <w:p w14:paraId="77358027">
      <w:pPr>
        <w:spacing w:line="300" w:lineRule="auto"/>
      </w:pPr>
    </w:p>
    <w:p w14:paraId="04A52F37">
      <w:pPr>
        <w:pStyle w:val="5"/>
        <w:snapToGrid w:val="0"/>
        <w:spacing w:before="72" w:beforeLines="30" w:after="72" w:afterLines="30" w:line="300" w:lineRule="auto"/>
        <w:jc w:val="center"/>
        <w:rPr>
          <w:rFonts w:hint="default" w:ascii="Times New Roman" w:hAnsi="Times New Roman" w:eastAsia="黑体" w:cs="Times New Roman"/>
          <w:sz w:val="28"/>
          <w:szCs w:val="28"/>
        </w:rPr>
      </w:pPr>
      <w:bookmarkStart w:id="499" w:name="_Toc29404"/>
      <w:bookmarkStart w:id="500" w:name="_Toc29457"/>
      <w:bookmarkStart w:id="501" w:name="_Toc31460"/>
      <w:bookmarkStart w:id="502" w:name="_Toc14669"/>
      <w:bookmarkStart w:id="503" w:name="_Toc21920"/>
      <w:bookmarkStart w:id="504" w:name="_Toc28470"/>
      <w:bookmarkStart w:id="505" w:name="_Toc28231"/>
      <w:bookmarkStart w:id="506" w:name="_Toc26501"/>
      <w:r>
        <w:rPr>
          <w:rFonts w:ascii="Times New Roman" w:hAnsi="Times New Roman" w:eastAsia="黑体" w:cs="Times New Roman"/>
          <w:sz w:val="28"/>
          <w:szCs w:val="28"/>
        </w:rPr>
        <w:t>附录</w:t>
      </w:r>
      <w:r>
        <w:rPr>
          <w:rFonts w:hint="eastAsia" w:ascii="Times New Roman" w:hAnsi="Times New Roman" w:eastAsia="黑体" w:cs="Times New Roman"/>
          <w:sz w:val="28"/>
          <w:szCs w:val="28"/>
          <w:lang w:val="en-US" w:eastAsia="zh-CN"/>
        </w:rPr>
        <w:t>A</w:t>
      </w:r>
      <w:r>
        <w:rPr>
          <w:rFonts w:ascii="Times New Roman" w:hAnsi="Times New Roman" w:eastAsia="黑体" w:cs="Times New Roman"/>
          <w:sz w:val="28"/>
          <w:szCs w:val="28"/>
        </w:rPr>
        <w:t xml:space="preserve"> </w:t>
      </w:r>
      <w:r>
        <w:rPr>
          <w:rFonts w:hint="default" w:ascii="Times New Roman" w:hAnsi="Times New Roman" w:eastAsia="黑体" w:cs="Times New Roman"/>
          <w:sz w:val="28"/>
          <w:szCs w:val="28"/>
        </w:rPr>
        <w:t>广东</w:t>
      </w:r>
      <w:r>
        <w:rPr>
          <w:rFonts w:hint="eastAsia" w:ascii="Times New Roman" w:hAnsi="Times New Roman" w:eastAsia="黑体" w:cs="Times New Roman"/>
          <w:sz w:val="28"/>
          <w:szCs w:val="28"/>
          <w:lang w:val="en-US" w:eastAsia="zh-CN"/>
        </w:rPr>
        <w:t>省</w:t>
      </w:r>
      <w:r>
        <w:rPr>
          <w:rFonts w:hint="default" w:ascii="Times New Roman" w:hAnsi="Times New Roman" w:eastAsia="黑体" w:cs="Times New Roman"/>
          <w:sz w:val="28"/>
          <w:szCs w:val="28"/>
        </w:rPr>
        <w:t>太阳能资源</w:t>
      </w:r>
      <w:bookmarkEnd w:id="499"/>
      <w:bookmarkEnd w:id="500"/>
      <w:bookmarkEnd w:id="501"/>
      <w:bookmarkEnd w:id="502"/>
      <w:bookmarkEnd w:id="503"/>
      <w:bookmarkEnd w:id="504"/>
      <w:bookmarkEnd w:id="505"/>
      <w:bookmarkEnd w:id="506"/>
    </w:p>
    <w:p w14:paraId="2F04F430">
      <w:pPr>
        <w:pStyle w:val="5"/>
        <w:snapToGrid w:val="0"/>
        <w:spacing w:before="72" w:beforeLines="30" w:after="72" w:afterLines="30" w:line="300" w:lineRule="auto"/>
        <w:jc w:val="both"/>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A.0.1　广东省各地太阳能总辐照量及日辐照量可参照表A.0.1选用。</w:t>
      </w:r>
    </w:p>
    <w:p w14:paraId="3428265E">
      <w:pPr>
        <w:snapToGrid w:val="0"/>
        <w:spacing w:before="72" w:beforeLines="30" w:after="72" w:afterLines="30" w:line="300" w:lineRule="auto"/>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表</w:t>
      </w:r>
      <w:r>
        <w:rPr>
          <w:rFonts w:hint="eastAsia" w:ascii="宋体" w:hAnsi="宋体" w:eastAsia="宋体" w:cs="宋体"/>
          <w:b/>
          <w:bCs/>
          <w:sz w:val="24"/>
          <w:szCs w:val="24"/>
          <w:lang w:val="en-US" w:eastAsia="zh-CN"/>
        </w:rPr>
        <w:t>A.0.1　广东省太阳能资源</w:t>
      </w:r>
    </w:p>
    <w:tbl>
      <w:tblPr>
        <w:tblStyle w:val="15"/>
        <w:tblW w:w="5033" w:type="pct"/>
        <w:tblInd w:w="0" w:type="dxa"/>
        <w:tblLayout w:type="autofit"/>
        <w:tblCellMar>
          <w:top w:w="0" w:type="dxa"/>
          <w:left w:w="108" w:type="dxa"/>
          <w:bottom w:w="0" w:type="dxa"/>
          <w:right w:w="108" w:type="dxa"/>
        </w:tblCellMar>
      </w:tblPr>
      <w:tblGrid>
        <w:gridCol w:w="1047"/>
        <w:gridCol w:w="3628"/>
        <w:gridCol w:w="3903"/>
      </w:tblGrid>
      <w:tr w14:paraId="59FDB8EF">
        <w:tblPrEx>
          <w:tblCellMar>
            <w:top w:w="0" w:type="dxa"/>
            <w:left w:w="108" w:type="dxa"/>
            <w:bottom w:w="0" w:type="dxa"/>
            <w:right w:w="108" w:type="dxa"/>
          </w:tblCellMar>
        </w:tblPrEx>
        <w:trPr>
          <w:trHeight w:val="400" w:hRule="atLeast"/>
        </w:trPr>
        <w:tc>
          <w:tcPr>
            <w:tcW w:w="610" w:type="pct"/>
            <w:tcBorders>
              <w:top w:val="single" w:color="auto" w:sz="4" w:space="0"/>
              <w:left w:val="single" w:color="auto" w:sz="4" w:space="0"/>
              <w:bottom w:val="single" w:color="auto" w:sz="4" w:space="0"/>
              <w:right w:val="single" w:color="auto" w:sz="4" w:space="0"/>
            </w:tcBorders>
            <w:shd w:val="clear" w:color="auto" w:fill="auto"/>
            <w:noWrap/>
            <w:vAlign w:val="bottom"/>
          </w:tcPr>
          <w:p w14:paraId="6D8978A2">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地点</w:t>
            </w:r>
          </w:p>
        </w:tc>
        <w:tc>
          <w:tcPr>
            <w:tcW w:w="2114" w:type="pct"/>
            <w:tcBorders>
              <w:top w:val="single" w:color="auto" w:sz="4" w:space="0"/>
              <w:left w:val="single" w:color="auto" w:sz="4" w:space="0"/>
              <w:bottom w:val="single" w:color="auto" w:sz="4" w:space="0"/>
              <w:right w:val="single" w:color="auto" w:sz="4" w:space="0"/>
            </w:tcBorders>
            <w:shd w:val="clear" w:color="auto" w:fill="auto"/>
            <w:noWrap/>
            <w:vAlign w:val="bottom"/>
          </w:tcPr>
          <w:p w14:paraId="670BFB79">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总辐照量（kWh/㎡·a)</w:t>
            </w:r>
          </w:p>
        </w:tc>
        <w:tc>
          <w:tcPr>
            <w:tcW w:w="2274" w:type="pct"/>
            <w:tcBorders>
              <w:top w:val="single" w:color="auto" w:sz="4" w:space="0"/>
              <w:left w:val="single" w:color="auto" w:sz="4" w:space="0"/>
              <w:bottom w:val="single" w:color="auto" w:sz="4" w:space="0"/>
              <w:right w:val="single" w:color="auto" w:sz="4" w:space="0"/>
            </w:tcBorders>
            <w:shd w:val="clear" w:color="auto" w:fill="auto"/>
            <w:noWrap/>
            <w:vAlign w:val="bottom"/>
          </w:tcPr>
          <w:p w14:paraId="4A6D68D4">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日辐照量（kWh/㎡·d）</w:t>
            </w:r>
          </w:p>
        </w:tc>
      </w:tr>
      <w:tr w14:paraId="07432C56">
        <w:tblPrEx>
          <w:tblCellMar>
            <w:top w:w="0" w:type="dxa"/>
            <w:left w:w="108" w:type="dxa"/>
            <w:bottom w:w="0" w:type="dxa"/>
            <w:right w:w="108" w:type="dxa"/>
          </w:tblCellMar>
        </w:tblPrEx>
        <w:trPr>
          <w:trHeight w:val="400" w:hRule="atLeast"/>
        </w:trPr>
        <w:tc>
          <w:tcPr>
            <w:tcW w:w="610" w:type="pct"/>
            <w:tcBorders>
              <w:top w:val="single" w:color="auto" w:sz="4" w:space="0"/>
              <w:left w:val="single" w:color="auto" w:sz="4" w:space="0"/>
              <w:bottom w:val="single" w:color="auto" w:sz="4" w:space="0"/>
              <w:right w:val="single" w:color="auto" w:sz="4" w:space="0"/>
            </w:tcBorders>
            <w:shd w:val="clear" w:color="auto" w:fill="auto"/>
            <w:noWrap/>
            <w:vAlign w:val="bottom"/>
          </w:tcPr>
          <w:p w14:paraId="5692F0E3">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广州</w:t>
            </w:r>
          </w:p>
        </w:tc>
        <w:tc>
          <w:tcPr>
            <w:tcW w:w="2114" w:type="pct"/>
            <w:tcBorders>
              <w:top w:val="single" w:color="auto" w:sz="4" w:space="0"/>
              <w:left w:val="single" w:color="auto" w:sz="4" w:space="0"/>
              <w:bottom w:val="single" w:color="auto" w:sz="4" w:space="0"/>
              <w:right w:val="single" w:color="auto" w:sz="4" w:space="0"/>
            </w:tcBorders>
            <w:shd w:val="clear" w:color="auto" w:fill="auto"/>
            <w:noWrap/>
            <w:vAlign w:val="bottom"/>
          </w:tcPr>
          <w:p w14:paraId="0CA7AFB7">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1113</w:t>
            </w:r>
          </w:p>
        </w:tc>
        <w:tc>
          <w:tcPr>
            <w:tcW w:w="2274" w:type="pct"/>
            <w:tcBorders>
              <w:top w:val="single" w:color="auto" w:sz="4" w:space="0"/>
              <w:left w:val="single" w:color="auto" w:sz="4" w:space="0"/>
              <w:bottom w:val="single" w:color="auto" w:sz="4" w:space="0"/>
              <w:right w:val="single" w:color="auto" w:sz="4" w:space="0"/>
            </w:tcBorders>
            <w:shd w:val="clear" w:color="auto" w:fill="auto"/>
            <w:noWrap/>
            <w:vAlign w:val="bottom"/>
          </w:tcPr>
          <w:p w14:paraId="440892BF">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3.0</w:t>
            </w:r>
          </w:p>
        </w:tc>
      </w:tr>
      <w:tr w14:paraId="0A4363BA">
        <w:tblPrEx>
          <w:tblCellMar>
            <w:top w:w="0" w:type="dxa"/>
            <w:left w:w="108" w:type="dxa"/>
            <w:bottom w:w="0" w:type="dxa"/>
            <w:right w:w="108" w:type="dxa"/>
          </w:tblCellMar>
        </w:tblPrEx>
        <w:trPr>
          <w:trHeight w:val="400" w:hRule="atLeast"/>
        </w:trPr>
        <w:tc>
          <w:tcPr>
            <w:tcW w:w="610" w:type="pct"/>
            <w:tcBorders>
              <w:top w:val="single" w:color="auto" w:sz="4" w:space="0"/>
              <w:left w:val="single" w:color="auto" w:sz="4" w:space="0"/>
              <w:bottom w:val="single" w:color="auto" w:sz="4" w:space="0"/>
              <w:right w:val="single" w:color="auto" w:sz="4" w:space="0"/>
            </w:tcBorders>
            <w:shd w:val="clear" w:color="auto" w:fill="auto"/>
            <w:noWrap/>
            <w:vAlign w:val="bottom"/>
          </w:tcPr>
          <w:p w14:paraId="1E5E9680">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汕尾</w:t>
            </w:r>
          </w:p>
        </w:tc>
        <w:tc>
          <w:tcPr>
            <w:tcW w:w="2114" w:type="pct"/>
            <w:tcBorders>
              <w:top w:val="single" w:color="auto" w:sz="4" w:space="0"/>
              <w:left w:val="single" w:color="auto" w:sz="4" w:space="0"/>
              <w:bottom w:val="single" w:color="auto" w:sz="4" w:space="0"/>
              <w:right w:val="single" w:color="auto" w:sz="4" w:space="0"/>
            </w:tcBorders>
            <w:shd w:val="clear" w:color="auto" w:fill="auto"/>
            <w:noWrap/>
            <w:vAlign w:val="bottom"/>
          </w:tcPr>
          <w:p w14:paraId="3A26BFBF">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1309</w:t>
            </w:r>
          </w:p>
        </w:tc>
        <w:tc>
          <w:tcPr>
            <w:tcW w:w="2274" w:type="pct"/>
            <w:tcBorders>
              <w:top w:val="single" w:color="auto" w:sz="4" w:space="0"/>
              <w:left w:val="single" w:color="auto" w:sz="4" w:space="0"/>
              <w:bottom w:val="single" w:color="auto" w:sz="4" w:space="0"/>
              <w:right w:val="single" w:color="auto" w:sz="4" w:space="0"/>
            </w:tcBorders>
            <w:shd w:val="clear" w:color="auto" w:fill="auto"/>
            <w:noWrap/>
            <w:vAlign w:val="bottom"/>
          </w:tcPr>
          <w:p w14:paraId="6D3107F8">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3.6</w:t>
            </w:r>
          </w:p>
        </w:tc>
      </w:tr>
      <w:tr w14:paraId="225F0B89">
        <w:tblPrEx>
          <w:tblCellMar>
            <w:top w:w="0" w:type="dxa"/>
            <w:left w:w="108" w:type="dxa"/>
            <w:bottom w:w="0" w:type="dxa"/>
            <w:right w:w="108" w:type="dxa"/>
          </w:tblCellMar>
        </w:tblPrEx>
        <w:trPr>
          <w:trHeight w:val="400" w:hRule="atLeast"/>
        </w:trPr>
        <w:tc>
          <w:tcPr>
            <w:tcW w:w="610" w:type="pct"/>
            <w:tcBorders>
              <w:top w:val="single" w:color="auto" w:sz="4" w:space="0"/>
              <w:left w:val="single" w:color="auto" w:sz="4" w:space="0"/>
              <w:bottom w:val="single" w:color="auto" w:sz="4" w:space="0"/>
              <w:right w:val="single" w:color="auto" w:sz="4" w:space="0"/>
            </w:tcBorders>
            <w:shd w:val="clear" w:color="auto" w:fill="auto"/>
            <w:noWrap/>
            <w:vAlign w:val="bottom"/>
          </w:tcPr>
          <w:p w14:paraId="0F5E4475">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潮阳</w:t>
            </w:r>
          </w:p>
        </w:tc>
        <w:tc>
          <w:tcPr>
            <w:tcW w:w="2114" w:type="pct"/>
            <w:tcBorders>
              <w:top w:val="single" w:color="auto" w:sz="4" w:space="0"/>
              <w:left w:val="single" w:color="auto" w:sz="4" w:space="0"/>
              <w:bottom w:val="single" w:color="auto" w:sz="4" w:space="0"/>
              <w:right w:val="single" w:color="auto" w:sz="4" w:space="0"/>
            </w:tcBorders>
            <w:shd w:val="clear" w:color="auto" w:fill="auto"/>
            <w:noWrap/>
            <w:vAlign w:val="bottom"/>
          </w:tcPr>
          <w:p w14:paraId="2A6CB87D">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1289</w:t>
            </w:r>
          </w:p>
        </w:tc>
        <w:tc>
          <w:tcPr>
            <w:tcW w:w="2274" w:type="pct"/>
            <w:tcBorders>
              <w:top w:val="single" w:color="auto" w:sz="4" w:space="0"/>
              <w:left w:val="single" w:color="auto" w:sz="4" w:space="0"/>
              <w:bottom w:val="single" w:color="auto" w:sz="4" w:space="0"/>
              <w:right w:val="single" w:color="auto" w:sz="4" w:space="0"/>
            </w:tcBorders>
            <w:shd w:val="clear" w:color="auto" w:fill="auto"/>
            <w:noWrap/>
            <w:vAlign w:val="bottom"/>
          </w:tcPr>
          <w:p w14:paraId="4AC8DB0B">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3.5</w:t>
            </w:r>
          </w:p>
        </w:tc>
      </w:tr>
      <w:tr w14:paraId="04A27EDF">
        <w:tblPrEx>
          <w:tblCellMar>
            <w:top w:w="0" w:type="dxa"/>
            <w:left w:w="108" w:type="dxa"/>
            <w:bottom w:w="0" w:type="dxa"/>
            <w:right w:w="108" w:type="dxa"/>
          </w:tblCellMar>
        </w:tblPrEx>
        <w:trPr>
          <w:trHeight w:val="400" w:hRule="atLeast"/>
        </w:trPr>
        <w:tc>
          <w:tcPr>
            <w:tcW w:w="610" w:type="pct"/>
            <w:tcBorders>
              <w:top w:val="single" w:color="auto" w:sz="4" w:space="0"/>
              <w:left w:val="single" w:color="auto" w:sz="4" w:space="0"/>
              <w:bottom w:val="single" w:color="auto" w:sz="4" w:space="0"/>
              <w:right w:val="single" w:color="auto" w:sz="4" w:space="0"/>
            </w:tcBorders>
            <w:shd w:val="clear" w:color="auto" w:fill="auto"/>
            <w:noWrap/>
            <w:vAlign w:val="bottom"/>
          </w:tcPr>
          <w:p w14:paraId="40B0B80F">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阳江</w:t>
            </w:r>
          </w:p>
        </w:tc>
        <w:tc>
          <w:tcPr>
            <w:tcW w:w="2114" w:type="pct"/>
            <w:tcBorders>
              <w:top w:val="single" w:color="auto" w:sz="4" w:space="0"/>
              <w:left w:val="single" w:color="auto" w:sz="4" w:space="0"/>
              <w:bottom w:val="single" w:color="auto" w:sz="4" w:space="0"/>
              <w:right w:val="single" w:color="auto" w:sz="4" w:space="0"/>
            </w:tcBorders>
            <w:shd w:val="clear" w:color="auto" w:fill="auto"/>
            <w:noWrap/>
            <w:vAlign w:val="bottom"/>
          </w:tcPr>
          <w:p w14:paraId="6EEF3D7E">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1215</w:t>
            </w:r>
          </w:p>
        </w:tc>
        <w:tc>
          <w:tcPr>
            <w:tcW w:w="2274" w:type="pct"/>
            <w:tcBorders>
              <w:top w:val="single" w:color="auto" w:sz="4" w:space="0"/>
              <w:left w:val="single" w:color="auto" w:sz="4" w:space="0"/>
              <w:bottom w:val="single" w:color="auto" w:sz="4" w:space="0"/>
              <w:right w:val="single" w:color="auto" w:sz="4" w:space="0"/>
            </w:tcBorders>
            <w:shd w:val="clear" w:color="auto" w:fill="auto"/>
            <w:noWrap/>
            <w:vAlign w:val="bottom"/>
          </w:tcPr>
          <w:p w14:paraId="75CCD575">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3.3</w:t>
            </w:r>
          </w:p>
        </w:tc>
      </w:tr>
      <w:tr w14:paraId="4884DCE7">
        <w:tblPrEx>
          <w:tblCellMar>
            <w:top w:w="0" w:type="dxa"/>
            <w:left w:w="108" w:type="dxa"/>
            <w:bottom w:w="0" w:type="dxa"/>
            <w:right w:w="108" w:type="dxa"/>
          </w:tblCellMar>
        </w:tblPrEx>
        <w:trPr>
          <w:trHeight w:val="400" w:hRule="atLeast"/>
        </w:trPr>
        <w:tc>
          <w:tcPr>
            <w:tcW w:w="610" w:type="pct"/>
            <w:tcBorders>
              <w:top w:val="single" w:color="auto" w:sz="4" w:space="0"/>
              <w:left w:val="single" w:color="auto" w:sz="4" w:space="0"/>
              <w:bottom w:val="single" w:color="auto" w:sz="4" w:space="0"/>
              <w:right w:val="single" w:color="auto" w:sz="4" w:space="0"/>
            </w:tcBorders>
            <w:shd w:val="clear" w:color="auto" w:fill="auto"/>
            <w:noWrap/>
            <w:vAlign w:val="bottom"/>
          </w:tcPr>
          <w:p w14:paraId="20D12ECC">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揭阳</w:t>
            </w:r>
          </w:p>
        </w:tc>
        <w:tc>
          <w:tcPr>
            <w:tcW w:w="2114" w:type="pct"/>
            <w:tcBorders>
              <w:top w:val="single" w:color="auto" w:sz="4" w:space="0"/>
              <w:left w:val="single" w:color="auto" w:sz="4" w:space="0"/>
              <w:bottom w:val="single" w:color="auto" w:sz="4" w:space="0"/>
              <w:right w:val="single" w:color="auto" w:sz="4" w:space="0"/>
            </w:tcBorders>
            <w:shd w:val="clear" w:color="auto" w:fill="auto"/>
            <w:noWrap/>
            <w:vAlign w:val="bottom"/>
          </w:tcPr>
          <w:p w14:paraId="39670F14">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1294</w:t>
            </w:r>
          </w:p>
        </w:tc>
        <w:tc>
          <w:tcPr>
            <w:tcW w:w="2274" w:type="pct"/>
            <w:tcBorders>
              <w:top w:val="single" w:color="auto" w:sz="4" w:space="0"/>
              <w:left w:val="single" w:color="auto" w:sz="4" w:space="0"/>
              <w:bottom w:val="single" w:color="auto" w:sz="4" w:space="0"/>
              <w:right w:val="single" w:color="auto" w:sz="4" w:space="0"/>
            </w:tcBorders>
            <w:shd w:val="clear" w:color="auto" w:fill="auto"/>
            <w:noWrap/>
            <w:vAlign w:val="bottom"/>
          </w:tcPr>
          <w:p w14:paraId="352EC365">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3.5</w:t>
            </w:r>
          </w:p>
        </w:tc>
      </w:tr>
      <w:tr w14:paraId="0609E1A8">
        <w:tblPrEx>
          <w:tblCellMar>
            <w:top w:w="0" w:type="dxa"/>
            <w:left w:w="108" w:type="dxa"/>
            <w:bottom w:w="0" w:type="dxa"/>
            <w:right w:w="108" w:type="dxa"/>
          </w:tblCellMar>
        </w:tblPrEx>
        <w:trPr>
          <w:trHeight w:val="400" w:hRule="atLeast"/>
        </w:trPr>
        <w:tc>
          <w:tcPr>
            <w:tcW w:w="610" w:type="pct"/>
            <w:tcBorders>
              <w:top w:val="single" w:color="auto" w:sz="4" w:space="0"/>
              <w:left w:val="single" w:color="auto" w:sz="4" w:space="0"/>
              <w:bottom w:val="single" w:color="auto" w:sz="4" w:space="0"/>
              <w:right w:val="single" w:color="auto" w:sz="4" w:space="0"/>
            </w:tcBorders>
            <w:shd w:val="clear" w:color="auto" w:fill="auto"/>
            <w:noWrap/>
            <w:vAlign w:val="bottom"/>
          </w:tcPr>
          <w:p w14:paraId="5783BC46">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韶关</w:t>
            </w:r>
          </w:p>
        </w:tc>
        <w:tc>
          <w:tcPr>
            <w:tcW w:w="2114" w:type="pct"/>
            <w:tcBorders>
              <w:top w:val="single" w:color="auto" w:sz="4" w:space="0"/>
              <w:left w:val="single" w:color="auto" w:sz="4" w:space="0"/>
              <w:bottom w:val="single" w:color="auto" w:sz="4" w:space="0"/>
              <w:right w:val="single" w:color="auto" w:sz="4" w:space="0"/>
            </w:tcBorders>
            <w:shd w:val="clear" w:color="auto" w:fill="auto"/>
            <w:noWrap/>
            <w:vAlign w:val="bottom"/>
          </w:tcPr>
          <w:p w14:paraId="0261B7C8">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1156</w:t>
            </w:r>
          </w:p>
        </w:tc>
        <w:tc>
          <w:tcPr>
            <w:tcW w:w="2274" w:type="pct"/>
            <w:tcBorders>
              <w:top w:val="single" w:color="auto" w:sz="4" w:space="0"/>
              <w:left w:val="single" w:color="auto" w:sz="4" w:space="0"/>
              <w:bottom w:val="single" w:color="auto" w:sz="4" w:space="0"/>
              <w:right w:val="single" w:color="auto" w:sz="4" w:space="0"/>
            </w:tcBorders>
            <w:shd w:val="clear" w:color="auto" w:fill="auto"/>
            <w:noWrap/>
            <w:vAlign w:val="bottom"/>
          </w:tcPr>
          <w:p w14:paraId="77D5909A">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3.2</w:t>
            </w:r>
          </w:p>
        </w:tc>
      </w:tr>
      <w:tr w14:paraId="1B7830E3">
        <w:tblPrEx>
          <w:tblCellMar>
            <w:top w:w="0" w:type="dxa"/>
            <w:left w:w="108" w:type="dxa"/>
            <w:bottom w:w="0" w:type="dxa"/>
            <w:right w:w="108" w:type="dxa"/>
          </w:tblCellMar>
        </w:tblPrEx>
        <w:trPr>
          <w:trHeight w:val="400" w:hRule="atLeast"/>
        </w:trPr>
        <w:tc>
          <w:tcPr>
            <w:tcW w:w="610" w:type="pct"/>
            <w:tcBorders>
              <w:top w:val="single" w:color="auto" w:sz="4" w:space="0"/>
              <w:left w:val="single" w:color="auto" w:sz="4" w:space="0"/>
              <w:bottom w:val="single" w:color="auto" w:sz="4" w:space="0"/>
              <w:right w:val="single" w:color="auto" w:sz="4" w:space="0"/>
            </w:tcBorders>
            <w:shd w:val="clear" w:color="auto" w:fill="auto"/>
            <w:noWrap/>
            <w:vAlign w:val="bottom"/>
          </w:tcPr>
          <w:p w14:paraId="5D36BEDF">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惠州</w:t>
            </w:r>
          </w:p>
        </w:tc>
        <w:tc>
          <w:tcPr>
            <w:tcW w:w="2114" w:type="pct"/>
            <w:tcBorders>
              <w:top w:val="single" w:color="auto" w:sz="4" w:space="0"/>
              <w:left w:val="single" w:color="auto" w:sz="4" w:space="0"/>
              <w:bottom w:val="single" w:color="auto" w:sz="4" w:space="0"/>
              <w:right w:val="single" w:color="auto" w:sz="4" w:space="0"/>
            </w:tcBorders>
            <w:shd w:val="clear" w:color="auto" w:fill="auto"/>
            <w:noWrap/>
            <w:vAlign w:val="bottom"/>
          </w:tcPr>
          <w:p w14:paraId="0833D01C">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1151</w:t>
            </w:r>
          </w:p>
        </w:tc>
        <w:tc>
          <w:tcPr>
            <w:tcW w:w="2274" w:type="pct"/>
            <w:tcBorders>
              <w:top w:val="single" w:color="auto" w:sz="4" w:space="0"/>
              <w:left w:val="single" w:color="auto" w:sz="4" w:space="0"/>
              <w:bottom w:val="single" w:color="auto" w:sz="4" w:space="0"/>
              <w:right w:val="single" w:color="auto" w:sz="4" w:space="0"/>
            </w:tcBorders>
            <w:shd w:val="clear" w:color="auto" w:fill="auto"/>
            <w:noWrap/>
            <w:vAlign w:val="bottom"/>
          </w:tcPr>
          <w:p w14:paraId="084CDFF7">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3.2</w:t>
            </w:r>
          </w:p>
        </w:tc>
      </w:tr>
      <w:tr w14:paraId="0D2EE7EA">
        <w:tblPrEx>
          <w:tblCellMar>
            <w:top w:w="0" w:type="dxa"/>
            <w:left w:w="108" w:type="dxa"/>
            <w:bottom w:w="0" w:type="dxa"/>
            <w:right w:w="108" w:type="dxa"/>
          </w:tblCellMar>
        </w:tblPrEx>
        <w:trPr>
          <w:trHeight w:val="400" w:hRule="atLeast"/>
        </w:trPr>
        <w:tc>
          <w:tcPr>
            <w:tcW w:w="610" w:type="pct"/>
            <w:tcBorders>
              <w:top w:val="single" w:color="auto" w:sz="4" w:space="0"/>
              <w:left w:val="single" w:color="auto" w:sz="4" w:space="0"/>
              <w:bottom w:val="single" w:color="auto" w:sz="4" w:space="0"/>
              <w:right w:val="single" w:color="auto" w:sz="4" w:space="0"/>
            </w:tcBorders>
            <w:shd w:val="clear" w:color="auto" w:fill="auto"/>
            <w:noWrap/>
            <w:vAlign w:val="bottom"/>
          </w:tcPr>
          <w:p w14:paraId="7C05ACEA">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梅州</w:t>
            </w:r>
          </w:p>
        </w:tc>
        <w:tc>
          <w:tcPr>
            <w:tcW w:w="2114" w:type="pct"/>
            <w:tcBorders>
              <w:top w:val="single" w:color="auto" w:sz="4" w:space="0"/>
              <w:left w:val="single" w:color="auto" w:sz="4" w:space="0"/>
              <w:bottom w:val="single" w:color="auto" w:sz="4" w:space="0"/>
              <w:right w:val="single" w:color="auto" w:sz="4" w:space="0"/>
            </w:tcBorders>
            <w:shd w:val="clear" w:color="auto" w:fill="auto"/>
            <w:noWrap/>
            <w:vAlign w:val="bottom"/>
          </w:tcPr>
          <w:p w14:paraId="743AAD98">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1182</w:t>
            </w:r>
          </w:p>
        </w:tc>
        <w:tc>
          <w:tcPr>
            <w:tcW w:w="2274" w:type="pct"/>
            <w:tcBorders>
              <w:top w:val="single" w:color="auto" w:sz="4" w:space="0"/>
              <w:left w:val="single" w:color="auto" w:sz="4" w:space="0"/>
              <w:bottom w:val="single" w:color="auto" w:sz="4" w:space="0"/>
              <w:right w:val="single" w:color="auto" w:sz="4" w:space="0"/>
            </w:tcBorders>
            <w:shd w:val="clear" w:color="auto" w:fill="auto"/>
            <w:noWrap/>
            <w:vAlign w:val="bottom"/>
          </w:tcPr>
          <w:p w14:paraId="0B08EC85">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3.2</w:t>
            </w:r>
          </w:p>
        </w:tc>
      </w:tr>
      <w:tr w14:paraId="12927827">
        <w:tblPrEx>
          <w:tblCellMar>
            <w:top w:w="0" w:type="dxa"/>
            <w:left w:w="108" w:type="dxa"/>
            <w:bottom w:w="0" w:type="dxa"/>
            <w:right w:w="108" w:type="dxa"/>
          </w:tblCellMar>
        </w:tblPrEx>
        <w:trPr>
          <w:trHeight w:val="400" w:hRule="atLeast"/>
        </w:trPr>
        <w:tc>
          <w:tcPr>
            <w:tcW w:w="610" w:type="pct"/>
            <w:tcBorders>
              <w:top w:val="single" w:color="auto" w:sz="4" w:space="0"/>
              <w:left w:val="single" w:color="auto" w:sz="4" w:space="0"/>
              <w:bottom w:val="single" w:color="auto" w:sz="4" w:space="0"/>
              <w:right w:val="single" w:color="auto" w:sz="4" w:space="0"/>
            </w:tcBorders>
            <w:shd w:val="clear" w:color="auto" w:fill="auto"/>
            <w:noWrap/>
            <w:vAlign w:val="bottom"/>
          </w:tcPr>
          <w:p w14:paraId="1C19FFD7">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汕头</w:t>
            </w:r>
          </w:p>
        </w:tc>
        <w:tc>
          <w:tcPr>
            <w:tcW w:w="2114" w:type="pct"/>
            <w:tcBorders>
              <w:top w:val="single" w:color="auto" w:sz="4" w:space="0"/>
              <w:left w:val="single" w:color="auto" w:sz="4" w:space="0"/>
              <w:bottom w:val="single" w:color="auto" w:sz="4" w:space="0"/>
              <w:right w:val="single" w:color="auto" w:sz="4" w:space="0"/>
            </w:tcBorders>
            <w:shd w:val="clear" w:color="auto" w:fill="auto"/>
            <w:noWrap/>
            <w:vAlign w:val="bottom"/>
          </w:tcPr>
          <w:p w14:paraId="1BA97352">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1288</w:t>
            </w:r>
          </w:p>
        </w:tc>
        <w:tc>
          <w:tcPr>
            <w:tcW w:w="2274" w:type="pct"/>
            <w:tcBorders>
              <w:top w:val="single" w:color="auto" w:sz="4" w:space="0"/>
              <w:left w:val="single" w:color="auto" w:sz="4" w:space="0"/>
              <w:bottom w:val="single" w:color="auto" w:sz="4" w:space="0"/>
              <w:right w:val="single" w:color="auto" w:sz="4" w:space="0"/>
            </w:tcBorders>
            <w:shd w:val="clear" w:color="auto" w:fill="auto"/>
            <w:noWrap/>
            <w:vAlign w:val="bottom"/>
          </w:tcPr>
          <w:p w14:paraId="0D05C856">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3.5</w:t>
            </w:r>
          </w:p>
        </w:tc>
      </w:tr>
      <w:tr w14:paraId="0C568E8C">
        <w:tblPrEx>
          <w:tblCellMar>
            <w:top w:w="0" w:type="dxa"/>
            <w:left w:w="108" w:type="dxa"/>
            <w:bottom w:w="0" w:type="dxa"/>
            <w:right w:w="108" w:type="dxa"/>
          </w:tblCellMar>
        </w:tblPrEx>
        <w:trPr>
          <w:trHeight w:val="400" w:hRule="atLeast"/>
        </w:trPr>
        <w:tc>
          <w:tcPr>
            <w:tcW w:w="610" w:type="pct"/>
            <w:tcBorders>
              <w:top w:val="single" w:color="auto" w:sz="4" w:space="0"/>
              <w:left w:val="single" w:color="auto" w:sz="4" w:space="0"/>
              <w:bottom w:val="single" w:color="auto" w:sz="4" w:space="0"/>
              <w:right w:val="single" w:color="auto" w:sz="4" w:space="0"/>
            </w:tcBorders>
            <w:shd w:val="clear" w:color="auto" w:fill="auto"/>
            <w:noWrap/>
            <w:vAlign w:val="bottom"/>
          </w:tcPr>
          <w:p w14:paraId="51C5C32F">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深圳</w:t>
            </w:r>
          </w:p>
        </w:tc>
        <w:tc>
          <w:tcPr>
            <w:tcW w:w="2114" w:type="pct"/>
            <w:tcBorders>
              <w:top w:val="single" w:color="auto" w:sz="4" w:space="0"/>
              <w:left w:val="single" w:color="auto" w:sz="4" w:space="0"/>
              <w:bottom w:val="single" w:color="auto" w:sz="4" w:space="0"/>
              <w:right w:val="single" w:color="auto" w:sz="4" w:space="0"/>
            </w:tcBorders>
            <w:shd w:val="clear" w:color="auto" w:fill="auto"/>
            <w:noWrap/>
            <w:vAlign w:val="bottom"/>
          </w:tcPr>
          <w:p w14:paraId="539B463D">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1153</w:t>
            </w:r>
          </w:p>
        </w:tc>
        <w:tc>
          <w:tcPr>
            <w:tcW w:w="2274" w:type="pct"/>
            <w:tcBorders>
              <w:top w:val="single" w:color="auto" w:sz="4" w:space="0"/>
              <w:left w:val="single" w:color="auto" w:sz="4" w:space="0"/>
              <w:bottom w:val="single" w:color="auto" w:sz="4" w:space="0"/>
              <w:right w:val="single" w:color="auto" w:sz="4" w:space="0"/>
            </w:tcBorders>
            <w:shd w:val="clear" w:color="auto" w:fill="auto"/>
            <w:noWrap/>
            <w:vAlign w:val="bottom"/>
          </w:tcPr>
          <w:p w14:paraId="71924BF5">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3.2</w:t>
            </w:r>
          </w:p>
        </w:tc>
      </w:tr>
      <w:tr w14:paraId="7BC57055">
        <w:tblPrEx>
          <w:tblCellMar>
            <w:top w:w="0" w:type="dxa"/>
            <w:left w:w="108" w:type="dxa"/>
            <w:bottom w:w="0" w:type="dxa"/>
            <w:right w:w="108" w:type="dxa"/>
          </w:tblCellMar>
        </w:tblPrEx>
        <w:trPr>
          <w:trHeight w:val="400" w:hRule="atLeast"/>
        </w:trPr>
        <w:tc>
          <w:tcPr>
            <w:tcW w:w="610" w:type="pct"/>
            <w:tcBorders>
              <w:top w:val="single" w:color="auto" w:sz="4" w:space="0"/>
              <w:left w:val="single" w:color="auto" w:sz="4" w:space="0"/>
              <w:bottom w:val="single" w:color="auto" w:sz="4" w:space="0"/>
              <w:right w:val="single" w:color="auto" w:sz="4" w:space="0"/>
            </w:tcBorders>
            <w:shd w:val="clear" w:color="auto" w:fill="auto"/>
            <w:noWrap/>
            <w:vAlign w:val="bottom"/>
          </w:tcPr>
          <w:p w14:paraId="1C782E80">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珠海</w:t>
            </w:r>
          </w:p>
        </w:tc>
        <w:tc>
          <w:tcPr>
            <w:tcW w:w="2114" w:type="pct"/>
            <w:tcBorders>
              <w:top w:val="single" w:color="auto" w:sz="4" w:space="0"/>
              <w:left w:val="single" w:color="auto" w:sz="4" w:space="0"/>
              <w:bottom w:val="single" w:color="auto" w:sz="4" w:space="0"/>
              <w:right w:val="single" w:color="auto" w:sz="4" w:space="0"/>
            </w:tcBorders>
            <w:shd w:val="clear" w:color="auto" w:fill="auto"/>
            <w:noWrap/>
            <w:vAlign w:val="bottom"/>
          </w:tcPr>
          <w:p w14:paraId="26849E5B">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1115</w:t>
            </w:r>
          </w:p>
        </w:tc>
        <w:tc>
          <w:tcPr>
            <w:tcW w:w="2274" w:type="pct"/>
            <w:tcBorders>
              <w:top w:val="single" w:color="auto" w:sz="4" w:space="0"/>
              <w:left w:val="single" w:color="auto" w:sz="4" w:space="0"/>
              <w:bottom w:val="single" w:color="auto" w:sz="4" w:space="0"/>
              <w:right w:val="single" w:color="auto" w:sz="4" w:space="0"/>
            </w:tcBorders>
            <w:shd w:val="clear" w:color="auto" w:fill="auto"/>
            <w:noWrap/>
            <w:vAlign w:val="bottom"/>
          </w:tcPr>
          <w:p w14:paraId="618FF985">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3.1</w:t>
            </w:r>
          </w:p>
        </w:tc>
      </w:tr>
      <w:tr w14:paraId="5712592E">
        <w:tblPrEx>
          <w:tblCellMar>
            <w:top w:w="0" w:type="dxa"/>
            <w:left w:w="108" w:type="dxa"/>
            <w:bottom w:w="0" w:type="dxa"/>
            <w:right w:w="108" w:type="dxa"/>
          </w:tblCellMar>
        </w:tblPrEx>
        <w:trPr>
          <w:trHeight w:val="400" w:hRule="atLeast"/>
        </w:trPr>
        <w:tc>
          <w:tcPr>
            <w:tcW w:w="610" w:type="pct"/>
            <w:tcBorders>
              <w:top w:val="single" w:color="auto" w:sz="4" w:space="0"/>
              <w:left w:val="single" w:color="auto" w:sz="4" w:space="0"/>
              <w:bottom w:val="single" w:color="auto" w:sz="4" w:space="0"/>
              <w:right w:val="single" w:color="auto" w:sz="4" w:space="0"/>
            </w:tcBorders>
            <w:shd w:val="clear" w:color="auto" w:fill="auto"/>
            <w:noWrap/>
            <w:vAlign w:val="bottom"/>
          </w:tcPr>
          <w:p w14:paraId="4250224F">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佛山</w:t>
            </w:r>
          </w:p>
        </w:tc>
        <w:tc>
          <w:tcPr>
            <w:tcW w:w="2114" w:type="pct"/>
            <w:tcBorders>
              <w:top w:val="single" w:color="auto" w:sz="4" w:space="0"/>
              <w:left w:val="single" w:color="auto" w:sz="4" w:space="0"/>
              <w:bottom w:val="single" w:color="auto" w:sz="4" w:space="0"/>
              <w:right w:val="single" w:color="auto" w:sz="4" w:space="0"/>
            </w:tcBorders>
            <w:shd w:val="clear" w:color="auto" w:fill="auto"/>
            <w:noWrap/>
            <w:vAlign w:val="bottom"/>
          </w:tcPr>
          <w:p w14:paraId="672B922D">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1114</w:t>
            </w:r>
          </w:p>
        </w:tc>
        <w:tc>
          <w:tcPr>
            <w:tcW w:w="2274" w:type="pct"/>
            <w:tcBorders>
              <w:top w:val="single" w:color="auto" w:sz="4" w:space="0"/>
              <w:left w:val="single" w:color="auto" w:sz="4" w:space="0"/>
              <w:bottom w:val="single" w:color="auto" w:sz="4" w:space="0"/>
              <w:right w:val="single" w:color="auto" w:sz="4" w:space="0"/>
            </w:tcBorders>
            <w:shd w:val="clear" w:color="auto" w:fill="auto"/>
            <w:noWrap/>
            <w:vAlign w:val="bottom"/>
          </w:tcPr>
          <w:p w14:paraId="3DB62A5A">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3.1</w:t>
            </w:r>
          </w:p>
        </w:tc>
      </w:tr>
      <w:tr w14:paraId="0DF9AC70">
        <w:tblPrEx>
          <w:tblCellMar>
            <w:top w:w="0" w:type="dxa"/>
            <w:left w:w="108" w:type="dxa"/>
            <w:bottom w:w="0" w:type="dxa"/>
            <w:right w:w="108" w:type="dxa"/>
          </w:tblCellMar>
        </w:tblPrEx>
        <w:trPr>
          <w:trHeight w:val="400" w:hRule="atLeast"/>
        </w:trPr>
        <w:tc>
          <w:tcPr>
            <w:tcW w:w="610" w:type="pct"/>
            <w:tcBorders>
              <w:top w:val="single" w:color="auto" w:sz="4" w:space="0"/>
              <w:left w:val="single" w:color="auto" w:sz="4" w:space="0"/>
              <w:bottom w:val="single" w:color="auto" w:sz="4" w:space="0"/>
              <w:right w:val="single" w:color="auto" w:sz="4" w:space="0"/>
            </w:tcBorders>
            <w:shd w:val="clear" w:color="auto" w:fill="auto"/>
            <w:noWrap/>
            <w:vAlign w:val="bottom"/>
          </w:tcPr>
          <w:p w14:paraId="7823A0A2">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肇庆</w:t>
            </w:r>
          </w:p>
        </w:tc>
        <w:tc>
          <w:tcPr>
            <w:tcW w:w="2114" w:type="pct"/>
            <w:tcBorders>
              <w:top w:val="single" w:color="auto" w:sz="4" w:space="0"/>
              <w:left w:val="single" w:color="auto" w:sz="4" w:space="0"/>
              <w:bottom w:val="single" w:color="auto" w:sz="4" w:space="0"/>
              <w:right w:val="single" w:color="auto" w:sz="4" w:space="0"/>
            </w:tcBorders>
            <w:shd w:val="clear" w:color="auto" w:fill="auto"/>
            <w:noWrap/>
            <w:vAlign w:val="bottom"/>
          </w:tcPr>
          <w:p w14:paraId="5A6841CB">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1115</w:t>
            </w:r>
          </w:p>
        </w:tc>
        <w:tc>
          <w:tcPr>
            <w:tcW w:w="2274" w:type="pct"/>
            <w:tcBorders>
              <w:top w:val="single" w:color="auto" w:sz="4" w:space="0"/>
              <w:left w:val="single" w:color="auto" w:sz="4" w:space="0"/>
              <w:bottom w:val="single" w:color="auto" w:sz="4" w:space="0"/>
              <w:right w:val="single" w:color="auto" w:sz="4" w:space="0"/>
            </w:tcBorders>
            <w:shd w:val="clear" w:color="auto" w:fill="auto"/>
            <w:noWrap/>
            <w:vAlign w:val="bottom"/>
          </w:tcPr>
          <w:p w14:paraId="050CB5DA">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3.1</w:t>
            </w:r>
          </w:p>
        </w:tc>
      </w:tr>
      <w:tr w14:paraId="37546F3D">
        <w:tblPrEx>
          <w:tblCellMar>
            <w:top w:w="0" w:type="dxa"/>
            <w:left w:w="108" w:type="dxa"/>
            <w:bottom w:w="0" w:type="dxa"/>
            <w:right w:w="108" w:type="dxa"/>
          </w:tblCellMar>
        </w:tblPrEx>
        <w:trPr>
          <w:trHeight w:val="400" w:hRule="atLeast"/>
        </w:trPr>
        <w:tc>
          <w:tcPr>
            <w:tcW w:w="610" w:type="pct"/>
            <w:tcBorders>
              <w:top w:val="single" w:color="auto" w:sz="4" w:space="0"/>
              <w:left w:val="single" w:color="auto" w:sz="4" w:space="0"/>
              <w:bottom w:val="single" w:color="auto" w:sz="4" w:space="0"/>
              <w:right w:val="single" w:color="auto" w:sz="4" w:space="0"/>
            </w:tcBorders>
            <w:shd w:val="clear" w:color="auto" w:fill="auto"/>
            <w:noWrap/>
            <w:vAlign w:val="bottom"/>
          </w:tcPr>
          <w:p w14:paraId="4C198837">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湛江</w:t>
            </w:r>
          </w:p>
        </w:tc>
        <w:tc>
          <w:tcPr>
            <w:tcW w:w="2114" w:type="pct"/>
            <w:tcBorders>
              <w:top w:val="single" w:color="auto" w:sz="4" w:space="0"/>
              <w:left w:val="single" w:color="auto" w:sz="4" w:space="0"/>
              <w:bottom w:val="single" w:color="auto" w:sz="4" w:space="0"/>
              <w:right w:val="single" w:color="auto" w:sz="4" w:space="0"/>
            </w:tcBorders>
            <w:shd w:val="clear" w:color="auto" w:fill="auto"/>
            <w:noWrap/>
            <w:vAlign w:val="bottom"/>
          </w:tcPr>
          <w:p w14:paraId="632BC31F">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1267</w:t>
            </w:r>
          </w:p>
        </w:tc>
        <w:tc>
          <w:tcPr>
            <w:tcW w:w="2274" w:type="pct"/>
            <w:tcBorders>
              <w:top w:val="single" w:color="auto" w:sz="4" w:space="0"/>
              <w:left w:val="single" w:color="auto" w:sz="4" w:space="0"/>
              <w:bottom w:val="single" w:color="auto" w:sz="4" w:space="0"/>
              <w:right w:val="single" w:color="auto" w:sz="4" w:space="0"/>
            </w:tcBorders>
            <w:shd w:val="clear" w:color="auto" w:fill="auto"/>
            <w:noWrap/>
            <w:vAlign w:val="bottom"/>
          </w:tcPr>
          <w:p w14:paraId="0182DDA2">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3.5</w:t>
            </w:r>
          </w:p>
        </w:tc>
      </w:tr>
      <w:tr w14:paraId="416E7A72">
        <w:tblPrEx>
          <w:tblCellMar>
            <w:top w:w="0" w:type="dxa"/>
            <w:left w:w="108" w:type="dxa"/>
            <w:bottom w:w="0" w:type="dxa"/>
            <w:right w:w="108" w:type="dxa"/>
          </w:tblCellMar>
        </w:tblPrEx>
        <w:trPr>
          <w:trHeight w:val="400" w:hRule="atLeast"/>
        </w:trPr>
        <w:tc>
          <w:tcPr>
            <w:tcW w:w="610" w:type="pct"/>
            <w:tcBorders>
              <w:top w:val="single" w:color="auto" w:sz="4" w:space="0"/>
              <w:left w:val="single" w:color="auto" w:sz="4" w:space="0"/>
              <w:bottom w:val="single" w:color="auto" w:sz="4" w:space="0"/>
              <w:right w:val="single" w:color="auto" w:sz="4" w:space="0"/>
            </w:tcBorders>
            <w:shd w:val="clear" w:color="auto" w:fill="auto"/>
            <w:noWrap/>
            <w:vAlign w:val="bottom"/>
          </w:tcPr>
          <w:p w14:paraId="3739EE43">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中山</w:t>
            </w:r>
          </w:p>
        </w:tc>
        <w:tc>
          <w:tcPr>
            <w:tcW w:w="2114" w:type="pct"/>
            <w:tcBorders>
              <w:top w:val="single" w:color="auto" w:sz="4" w:space="0"/>
              <w:left w:val="single" w:color="auto" w:sz="4" w:space="0"/>
              <w:bottom w:val="single" w:color="auto" w:sz="4" w:space="0"/>
              <w:right w:val="single" w:color="auto" w:sz="4" w:space="0"/>
            </w:tcBorders>
            <w:shd w:val="clear" w:color="auto" w:fill="auto"/>
            <w:noWrap/>
            <w:vAlign w:val="bottom"/>
          </w:tcPr>
          <w:p w14:paraId="48532729">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1115</w:t>
            </w:r>
          </w:p>
        </w:tc>
        <w:tc>
          <w:tcPr>
            <w:tcW w:w="2274" w:type="pct"/>
            <w:tcBorders>
              <w:top w:val="single" w:color="auto" w:sz="4" w:space="0"/>
              <w:left w:val="single" w:color="auto" w:sz="4" w:space="0"/>
              <w:bottom w:val="single" w:color="auto" w:sz="4" w:space="0"/>
              <w:right w:val="single" w:color="auto" w:sz="4" w:space="0"/>
            </w:tcBorders>
            <w:shd w:val="clear" w:color="auto" w:fill="auto"/>
            <w:noWrap/>
            <w:vAlign w:val="bottom"/>
          </w:tcPr>
          <w:p w14:paraId="66F37230">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3.1</w:t>
            </w:r>
          </w:p>
        </w:tc>
      </w:tr>
      <w:tr w14:paraId="24457812">
        <w:tblPrEx>
          <w:tblCellMar>
            <w:top w:w="0" w:type="dxa"/>
            <w:left w:w="108" w:type="dxa"/>
            <w:bottom w:w="0" w:type="dxa"/>
            <w:right w:w="108" w:type="dxa"/>
          </w:tblCellMar>
        </w:tblPrEx>
        <w:trPr>
          <w:trHeight w:val="400" w:hRule="atLeast"/>
        </w:trPr>
        <w:tc>
          <w:tcPr>
            <w:tcW w:w="610" w:type="pct"/>
            <w:tcBorders>
              <w:top w:val="single" w:color="auto" w:sz="4" w:space="0"/>
              <w:left w:val="single" w:color="auto" w:sz="4" w:space="0"/>
              <w:bottom w:val="single" w:color="auto" w:sz="4" w:space="0"/>
              <w:right w:val="single" w:color="auto" w:sz="4" w:space="0"/>
            </w:tcBorders>
            <w:shd w:val="clear" w:color="auto" w:fill="auto"/>
            <w:noWrap/>
            <w:vAlign w:val="bottom"/>
          </w:tcPr>
          <w:p w14:paraId="224E33FD">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河源</w:t>
            </w:r>
          </w:p>
        </w:tc>
        <w:tc>
          <w:tcPr>
            <w:tcW w:w="2114" w:type="pct"/>
            <w:tcBorders>
              <w:top w:val="single" w:color="auto" w:sz="4" w:space="0"/>
              <w:left w:val="single" w:color="auto" w:sz="4" w:space="0"/>
              <w:bottom w:val="single" w:color="auto" w:sz="4" w:space="0"/>
              <w:right w:val="single" w:color="auto" w:sz="4" w:space="0"/>
            </w:tcBorders>
            <w:shd w:val="clear" w:color="auto" w:fill="auto"/>
            <w:noWrap/>
            <w:vAlign w:val="bottom"/>
          </w:tcPr>
          <w:p w14:paraId="3E862A09">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1159</w:t>
            </w:r>
          </w:p>
        </w:tc>
        <w:tc>
          <w:tcPr>
            <w:tcW w:w="2274" w:type="pct"/>
            <w:tcBorders>
              <w:top w:val="single" w:color="auto" w:sz="4" w:space="0"/>
              <w:left w:val="single" w:color="auto" w:sz="4" w:space="0"/>
              <w:bottom w:val="single" w:color="auto" w:sz="4" w:space="0"/>
              <w:right w:val="single" w:color="auto" w:sz="4" w:space="0"/>
            </w:tcBorders>
            <w:shd w:val="clear" w:color="auto" w:fill="auto"/>
            <w:noWrap/>
            <w:vAlign w:val="bottom"/>
          </w:tcPr>
          <w:p w14:paraId="42B2938E">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3.2</w:t>
            </w:r>
          </w:p>
        </w:tc>
      </w:tr>
      <w:tr w14:paraId="1BF684EA">
        <w:tblPrEx>
          <w:tblCellMar>
            <w:top w:w="0" w:type="dxa"/>
            <w:left w:w="108" w:type="dxa"/>
            <w:bottom w:w="0" w:type="dxa"/>
            <w:right w:w="108" w:type="dxa"/>
          </w:tblCellMar>
        </w:tblPrEx>
        <w:trPr>
          <w:trHeight w:val="400" w:hRule="atLeast"/>
        </w:trPr>
        <w:tc>
          <w:tcPr>
            <w:tcW w:w="610" w:type="pct"/>
            <w:tcBorders>
              <w:top w:val="single" w:color="auto" w:sz="4" w:space="0"/>
              <w:left w:val="single" w:color="auto" w:sz="4" w:space="0"/>
              <w:bottom w:val="single" w:color="auto" w:sz="4" w:space="0"/>
              <w:right w:val="single" w:color="auto" w:sz="4" w:space="0"/>
            </w:tcBorders>
            <w:shd w:val="clear" w:color="auto" w:fill="auto"/>
            <w:noWrap/>
            <w:vAlign w:val="bottom"/>
          </w:tcPr>
          <w:p w14:paraId="25275FB7">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清远</w:t>
            </w:r>
          </w:p>
        </w:tc>
        <w:tc>
          <w:tcPr>
            <w:tcW w:w="2114" w:type="pct"/>
            <w:tcBorders>
              <w:top w:val="single" w:color="auto" w:sz="4" w:space="0"/>
              <w:left w:val="single" w:color="auto" w:sz="4" w:space="0"/>
              <w:bottom w:val="single" w:color="auto" w:sz="4" w:space="0"/>
              <w:right w:val="single" w:color="auto" w:sz="4" w:space="0"/>
            </w:tcBorders>
            <w:shd w:val="clear" w:color="auto" w:fill="auto"/>
            <w:noWrap/>
            <w:vAlign w:val="bottom"/>
          </w:tcPr>
          <w:p w14:paraId="6D2A59B3">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1112</w:t>
            </w:r>
          </w:p>
        </w:tc>
        <w:tc>
          <w:tcPr>
            <w:tcW w:w="2274" w:type="pct"/>
            <w:tcBorders>
              <w:top w:val="single" w:color="auto" w:sz="4" w:space="0"/>
              <w:left w:val="single" w:color="auto" w:sz="4" w:space="0"/>
              <w:bottom w:val="single" w:color="auto" w:sz="4" w:space="0"/>
              <w:right w:val="single" w:color="auto" w:sz="4" w:space="0"/>
            </w:tcBorders>
            <w:shd w:val="clear" w:color="auto" w:fill="auto"/>
            <w:noWrap/>
            <w:vAlign w:val="bottom"/>
          </w:tcPr>
          <w:p w14:paraId="2E5BF878">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3.0</w:t>
            </w:r>
          </w:p>
        </w:tc>
      </w:tr>
      <w:tr w14:paraId="2361B0B1">
        <w:tblPrEx>
          <w:tblCellMar>
            <w:top w:w="0" w:type="dxa"/>
            <w:left w:w="108" w:type="dxa"/>
            <w:bottom w:w="0" w:type="dxa"/>
            <w:right w:w="108" w:type="dxa"/>
          </w:tblCellMar>
        </w:tblPrEx>
        <w:trPr>
          <w:trHeight w:val="400" w:hRule="atLeast"/>
        </w:trPr>
        <w:tc>
          <w:tcPr>
            <w:tcW w:w="610" w:type="pct"/>
            <w:tcBorders>
              <w:top w:val="single" w:color="auto" w:sz="4" w:space="0"/>
              <w:left w:val="single" w:color="auto" w:sz="4" w:space="0"/>
              <w:bottom w:val="single" w:color="auto" w:sz="4" w:space="0"/>
              <w:right w:val="single" w:color="auto" w:sz="4" w:space="0"/>
            </w:tcBorders>
            <w:shd w:val="clear" w:color="auto" w:fill="auto"/>
            <w:noWrap/>
            <w:vAlign w:val="bottom"/>
          </w:tcPr>
          <w:p w14:paraId="1652F87E">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顺德</w:t>
            </w:r>
          </w:p>
        </w:tc>
        <w:tc>
          <w:tcPr>
            <w:tcW w:w="2114" w:type="pct"/>
            <w:tcBorders>
              <w:top w:val="single" w:color="auto" w:sz="4" w:space="0"/>
              <w:left w:val="single" w:color="auto" w:sz="4" w:space="0"/>
              <w:bottom w:val="single" w:color="auto" w:sz="4" w:space="0"/>
              <w:right w:val="single" w:color="auto" w:sz="4" w:space="0"/>
            </w:tcBorders>
            <w:shd w:val="clear" w:color="auto" w:fill="auto"/>
            <w:noWrap/>
            <w:vAlign w:val="bottom"/>
          </w:tcPr>
          <w:p w14:paraId="6617E874">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1114</w:t>
            </w:r>
          </w:p>
        </w:tc>
        <w:tc>
          <w:tcPr>
            <w:tcW w:w="2274" w:type="pct"/>
            <w:tcBorders>
              <w:top w:val="single" w:color="auto" w:sz="4" w:space="0"/>
              <w:left w:val="single" w:color="auto" w:sz="4" w:space="0"/>
              <w:bottom w:val="single" w:color="auto" w:sz="4" w:space="0"/>
              <w:right w:val="single" w:color="auto" w:sz="4" w:space="0"/>
            </w:tcBorders>
            <w:shd w:val="clear" w:color="auto" w:fill="auto"/>
            <w:noWrap/>
            <w:vAlign w:val="bottom"/>
          </w:tcPr>
          <w:p w14:paraId="3499E7AD">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3.1</w:t>
            </w:r>
          </w:p>
        </w:tc>
      </w:tr>
      <w:tr w14:paraId="698242EB">
        <w:tblPrEx>
          <w:tblCellMar>
            <w:top w:w="0" w:type="dxa"/>
            <w:left w:w="108" w:type="dxa"/>
            <w:bottom w:w="0" w:type="dxa"/>
            <w:right w:w="108" w:type="dxa"/>
          </w:tblCellMar>
        </w:tblPrEx>
        <w:trPr>
          <w:trHeight w:val="400" w:hRule="atLeast"/>
        </w:trPr>
        <w:tc>
          <w:tcPr>
            <w:tcW w:w="610" w:type="pct"/>
            <w:tcBorders>
              <w:top w:val="single" w:color="auto" w:sz="4" w:space="0"/>
              <w:left w:val="single" w:color="auto" w:sz="4" w:space="0"/>
              <w:bottom w:val="single" w:color="auto" w:sz="4" w:space="0"/>
              <w:right w:val="single" w:color="auto" w:sz="4" w:space="0"/>
            </w:tcBorders>
            <w:shd w:val="clear" w:color="auto" w:fill="auto"/>
            <w:noWrap/>
            <w:vAlign w:val="bottom"/>
          </w:tcPr>
          <w:p w14:paraId="1C5DBFE7">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云浮</w:t>
            </w:r>
          </w:p>
        </w:tc>
        <w:tc>
          <w:tcPr>
            <w:tcW w:w="2114" w:type="pct"/>
            <w:tcBorders>
              <w:top w:val="single" w:color="auto" w:sz="4" w:space="0"/>
              <w:left w:val="single" w:color="auto" w:sz="4" w:space="0"/>
              <w:bottom w:val="single" w:color="auto" w:sz="4" w:space="0"/>
              <w:right w:val="single" w:color="auto" w:sz="4" w:space="0"/>
            </w:tcBorders>
            <w:shd w:val="clear" w:color="auto" w:fill="auto"/>
            <w:noWrap/>
            <w:vAlign w:val="bottom"/>
          </w:tcPr>
          <w:p w14:paraId="4E8C3B78">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1119</w:t>
            </w:r>
          </w:p>
        </w:tc>
        <w:tc>
          <w:tcPr>
            <w:tcW w:w="2274" w:type="pct"/>
            <w:tcBorders>
              <w:top w:val="single" w:color="auto" w:sz="4" w:space="0"/>
              <w:left w:val="single" w:color="auto" w:sz="4" w:space="0"/>
              <w:bottom w:val="single" w:color="auto" w:sz="4" w:space="0"/>
              <w:right w:val="single" w:color="auto" w:sz="4" w:space="0"/>
            </w:tcBorders>
            <w:shd w:val="clear" w:color="auto" w:fill="auto"/>
            <w:noWrap/>
            <w:vAlign w:val="bottom"/>
          </w:tcPr>
          <w:p w14:paraId="56D72A63">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3.1</w:t>
            </w:r>
          </w:p>
        </w:tc>
      </w:tr>
      <w:tr w14:paraId="50F5386B">
        <w:tblPrEx>
          <w:tblCellMar>
            <w:top w:w="0" w:type="dxa"/>
            <w:left w:w="108" w:type="dxa"/>
            <w:bottom w:w="0" w:type="dxa"/>
            <w:right w:w="108" w:type="dxa"/>
          </w:tblCellMar>
        </w:tblPrEx>
        <w:trPr>
          <w:trHeight w:val="400" w:hRule="atLeast"/>
        </w:trPr>
        <w:tc>
          <w:tcPr>
            <w:tcW w:w="610" w:type="pct"/>
            <w:tcBorders>
              <w:top w:val="single" w:color="auto" w:sz="4" w:space="0"/>
              <w:left w:val="single" w:color="auto" w:sz="4" w:space="0"/>
              <w:bottom w:val="single" w:color="auto" w:sz="4" w:space="0"/>
              <w:right w:val="single" w:color="auto" w:sz="4" w:space="0"/>
            </w:tcBorders>
            <w:shd w:val="clear" w:color="auto" w:fill="auto"/>
            <w:noWrap/>
            <w:vAlign w:val="bottom"/>
          </w:tcPr>
          <w:p w14:paraId="397ED80B">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潮州</w:t>
            </w:r>
          </w:p>
        </w:tc>
        <w:tc>
          <w:tcPr>
            <w:tcW w:w="2114" w:type="pct"/>
            <w:tcBorders>
              <w:top w:val="single" w:color="auto" w:sz="4" w:space="0"/>
              <w:left w:val="single" w:color="auto" w:sz="4" w:space="0"/>
              <w:bottom w:val="single" w:color="auto" w:sz="4" w:space="0"/>
              <w:right w:val="single" w:color="auto" w:sz="4" w:space="0"/>
            </w:tcBorders>
            <w:shd w:val="clear" w:color="auto" w:fill="auto"/>
            <w:noWrap/>
            <w:vAlign w:val="bottom"/>
          </w:tcPr>
          <w:p w14:paraId="46E0A501">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1288</w:t>
            </w:r>
          </w:p>
        </w:tc>
        <w:tc>
          <w:tcPr>
            <w:tcW w:w="2274" w:type="pct"/>
            <w:tcBorders>
              <w:top w:val="single" w:color="auto" w:sz="4" w:space="0"/>
              <w:left w:val="single" w:color="auto" w:sz="4" w:space="0"/>
              <w:bottom w:val="single" w:color="auto" w:sz="4" w:space="0"/>
              <w:right w:val="single" w:color="auto" w:sz="4" w:space="0"/>
            </w:tcBorders>
            <w:shd w:val="clear" w:color="auto" w:fill="auto"/>
            <w:noWrap/>
            <w:vAlign w:val="bottom"/>
          </w:tcPr>
          <w:p w14:paraId="78FB8ED5">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3.5</w:t>
            </w:r>
          </w:p>
        </w:tc>
      </w:tr>
      <w:tr w14:paraId="4671BED0">
        <w:tblPrEx>
          <w:tblCellMar>
            <w:top w:w="0" w:type="dxa"/>
            <w:left w:w="108" w:type="dxa"/>
            <w:bottom w:w="0" w:type="dxa"/>
            <w:right w:w="108" w:type="dxa"/>
          </w:tblCellMar>
        </w:tblPrEx>
        <w:trPr>
          <w:trHeight w:val="412" w:hRule="atLeast"/>
        </w:trPr>
        <w:tc>
          <w:tcPr>
            <w:tcW w:w="610" w:type="pct"/>
            <w:tcBorders>
              <w:top w:val="single" w:color="auto" w:sz="4" w:space="0"/>
              <w:left w:val="single" w:color="auto" w:sz="4" w:space="0"/>
              <w:bottom w:val="single" w:color="auto" w:sz="4" w:space="0"/>
              <w:right w:val="single" w:color="auto" w:sz="4" w:space="0"/>
            </w:tcBorders>
            <w:shd w:val="clear" w:color="auto" w:fill="auto"/>
            <w:noWrap/>
            <w:vAlign w:val="bottom"/>
          </w:tcPr>
          <w:p w14:paraId="4AC246E9">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东莞</w:t>
            </w:r>
          </w:p>
        </w:tc>
        <w:tc>
          <w:tcPr>
            <w:tcW w:w="2114" w:type="pct"/>
            <w:tcBorders>
              <w:top w:val="single" w:color="auto" w:sz="4" w:space="0"/>
              <w:left w:val="single" w:color="auto" w:sz="4" w:space="0"/>
              <w:bottom w:val="single" w:color="auto" w:sz="4" w:space="0"/>
              <w:right w:val="single" w:color="auto" w:sz="4" w:space="0"/>
            </w:tcBorders>
            <w:shd w:val="clear" w:color="auto" w:fill="auto"/>
            <w:noWrap/>
            <w:vAlign w:val="bottom"/>
          </w:tcPr>
          <w:p w14:paraId="4FCA1D66">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1153</w:t>
            </w:r>
          </w:p>
        </w:tc>
        <w:tc>
          <w:tcPr>
            <w:tcW w:w="2274" w:type="pct"/>
            <w:tcBorders>
              <w:top w:val="single" w:color="auto" w:sz="4" w:space="0"/>
              <w:left w:val="single" w:color="auto" w:sz="4" w:space="0"/>
              <w:bottom w:val="single" w:color="auto" w:sz="4" w:space="0"/>
              <w:right w:val="single" w:color="auto" w:sz="4" w:space="0"/>
            </w:tcBorders>
            <w:shd w:val="clear" w:color="auto" w:fill="auto"/>
            <w:noWrap/>
            <w:vAlign w:val="bottom"/>
          </w:tcPr>
          <w:p w14:paraId="6ACCE941">
            <w:pPr>
              <w:widowControl/>
              <w:spacing w:line="300" w:lineRule="auto"/>
              <w:jc w:val="center"/>
              <w:textAlignment w:val="bottom"/>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kern w:val="0"/>
                <w:sz w:val="18"/>
                <w:szCs w:val="18"/>
                <w:lang w:bidi="ar"/>
              </w:rPr>
              <w:t>3.2</w:t>
            </w:r>
          </w:p>
        </w:tc>
      </w:tr>
    </w:tbl>
    <w:p w14:paraId="2A2759B6">
      <w:pPr>
        <w:spacing w:line="300" w:lineRule="auto"/>
      </w:pPr>
    </w:p>
    <w:p w14:paraId="5CE5DC90">
      <w:pPr>
        <w:spacing w:line="300" w:lineRule="auto"/>
      </w:pPr>
    </w:p>
    <w:p w14:paraId="35DD07E7">
      <w:pPr>
        <w:pStyle w:val="2"/>
        <w:spacing w:line="300" w:lineRule="auto"/>
      </w:pPr>
    </w:p>
    <w:p w14:paraId="29D2ACD5">
      <w:pPr>
        <w:spacing w:line="300" w:lineRule="auto"/>
      </w:pPr>
    </w:p>
    <w:p w14:paraId="54E1A9E9">
      <w:pPr>
        <w:spacing w:line="300" w:lineRule="auto"/>
        <w:sectPr>
          <w:pgSz w:w="11906" w:h="16838"/>
          <w:pgMar w:top="1440" w:right="1800" w:bottom="1440" w:left="1800" w:header="851" w:footer="992" w:gutter="0"/>
          <w:pgNumType w:fmt="decimal"/>
          <w:cols w:space="425" w:num="1"/>
          <w:docGrid w:type="lines" w:linePitch="312" w:charSpace="0"/>
        </w:sectPr>
      </w:pPr>
    </w:p>
    <w:p w14:paraId="5D75301F">
      <w:pPr>
        <w:pStyle w:val="5"/>
        <w:snapToGrid w:val="0"/>
        <w:spacing w:before="72" w:beforeLines="30" w:after="72" w:afterLines="30" w:line="300" w:lineRule="auto"/>
        <w:jc w:val="center"/>
        <w:rPr>
          <w:rFonts w:ascii="Times New Roman" w:hAnsi="Times New Roman" w:eastAsia="黑体" w:cs="Times New Roman"/>
          <w:sz w:val="28"/>
          <w:szCs w:val="28"/>
        </w:rPr>
      </w:pPr>
      <w:bookmarkStart w:id="507" w:name="_Toc23649"/>
      <w:bookmarkStart w:id="508" w:name="_Toc31372"/>
      <w:bookmarkStart w:id="509" w:name="_Toc11660"/>
      <w:bookmarkStart w:id="510" w:name="_Toc6642"/>
      <w:bookmarkStart w:id="511" w:name="_Toc23375"/>
      <w:bookmarkStart w:id="512" w:name="_Toc115"/>
      <w:bookmarkStart w:id="513" w:name="_Toc27632"/>
      <w:bookmarkStart w:id="514" w:name="_Toc8188"/>
      <w:r>
        <w:rPr>
          <w:rFonts w:ascii="Times New Roman" w:hAnsi="Times New Roman" w:eastAsia="黑体" w:cs="Times New Roman"/>
          <w:sz w:val="28"/>
          <w:szCs w:val="28"/>
        </w:rPr>
        <w:t>附录</w:t>
      </w:r>
      <w:r>
        <w:rPr>
          <w:rFonts w:hint="eastAsia" w:ascii="Times New Roman" w:hAnsi="Times New Roman" w:eastAsia="黑体" w:cs="Times New Roman"/>
          <w:sz w:val="28"/>
          <w:szCs w:val="28"/>
          <w:lang w:val="en-US" w:eastAsia="zh-CN"/>
        </w:rPr>
        <w:t>B</w:t>
      </w:r>
      <w:r>
        <w:rPr>
          <w:rFonts w:ascii="Times New Roman" w:hAnsi="Times New Roman" w:eastAsia="黑体" w:cs="Times New Roman"/>
          <w:sz w:val="28"/>
          <w:szCs w:val="28"/>
        </w:rPr>
        <w:t>光伏组件/方阵检查测试项目</w:t>
      </w:r>
      <w:bookmarkEnd w:id="507"/>
      <w:bookmarkEnd w:id="508"/>
      <w:bookmarkEnd w:id="509"/>
      <w:bookmarkEnd w:id="510"/>
      <w:bookmarkEnd w:id="511"/>
      <w:bookmarkEnd w:id="512"/>
      <w:bookmarkEnd w:id="513"/>
      <w:bookmarkEnd w:id="514"/>
    </w:p>
    <w:p w14:paraId="1FA18D0B">
      <w:pPr>
        <w:snapToGrid w:val="0"/>
        <w:spacing w:line="300" w:lineRule="auto"/>
        <w:rPr>
          <w:rFonts w:hint="eastAsia" w:ascii="宋体" w:hAnsi="宋体" w:eastAsia="宋体" w:cs="宋体"/>
          <w:sz w:val="24"/>
        </w:rPr>
      </w:pPr>
      <w:r>
        <w:rPr>
          <w:rFonts w:hint="eastAsia" w:ascii="宋体" w:hAnsi="宋体" w:cs="宋体"/>
          <w:sz w:val="24"/>
          <w:lang w:val="en-US" w:eastAsia="zh-CN"/>
        </w:rPr>
        <w:t>B</w:t>
      </w:r>
      <w:r>
        <w:rPr>
          <w:rFonts w:hint="eastAsia" w:ascii="宋体" w:hAnsi="宋体" w:eastAsia="宋体" w:cs="宋体"/>
          <w:sz w:val="24"/>
        </w:rPr>
        <w:t>.0.1光伏组件/方阵检查测试项目应按表</w:t>
      </w:r>
      <w:r>
        <w:rPr>
          <w:rFonts w:hint="eastAsia" w:ascii="宋体" w:hAnsi="宋体" w:cs="宋体"/>
          <w:sz w:val="24"/>
          <w:lang w:val="en-US" w:eastAsia="zh-CN"/>
        </w:rPr>
        <w:t>B</w:t>
      </w:r>
      <w:r>
        <w:rPr>
          <w:rFonts w:hint="eastAsia" w:ascii="宋体" w:hAnsi="宋体" w:eastAsia="宋体" w:cs="宋体"/>
          <w:sz w:val="24"/>
        </w:rPr>
        <w:t>.0.1的格式填写。</w:t>
      </w:r>
    </w:p>
    <w:p w14:paraId="53BDBD3A">
      <w:pPr>
        <w:snapToGrid w:val="0"/>
        <w:spacing w:line="300" w:lineRule="auto"/>
        <w:jc w:val="center"/>
        <w:rPr>
          <w:rFonts w:hint="eastAsia" w:ascii="宋体" w:hAnsi="宋体" w:eastAsia="宋体" w:cs="宋体"/>
          <w:b/>
          <w:bCs/>
          <w:sz w:val="24"/>
        </w:rPr>
      </w:pPr>
      <w:r>
        <w:rPr>
          <w:rFonts w:hint="eastAsia" w:ascii="宋体" w:hAnsi="宋体" w:eastAsia="宋体" w:cs="宋体"/>
          <w:b/>
          <w:bCs/>
          <w:sz w:val="24"/>
        </w:rPr>
        <w:t>表</w:t>
      </w:r>
      <w:r>
        <w:rPr>
          <w:rFonts w:hint="eastAsia" w:ascii="宋体" w:hAnsi="宋体" w:cs="宋体"/>
          <w:b/>
          <w:bCs/>
          <w:sz w:val="24"/>
          <w:lang w:val="en-US" w:eastAsia="zh-CN"/>
        </w:rPr>
        <w:t>B</w:t>
      </w:r>
      <w:r>
        <w:rPr>
          <w:rFonts w:hint="eastAsia" w:ascii="宋体" w:hAnsi="宋体" w:eastAsia="宋体" w:cs="宋体"/>
          <w:b/>
          <w:bCs/>
          <w:sz w:val="24"/>
        </w:rPr>
        <w:t>.0.1光伏组件/方阵检查测试项目</w:t>
      </w:r>
    </w:p>
    <w:tbl>
      <w:tblPr>
        <w:tblStyle w:val="16"/>
        <w:tblpPr w:leftFromText="180" w:rightFromText="180" w:vertAnchor="text" w:horzAnchor="page" w:tblpX="1397" w:tblpY="63"/>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870"/>
        <w:gridCol w:w="918"/>
        <w:gridCol w:w="1171"/>
        <w:gridCol w:w="1182"/>
        <w:gridCol w:w="913"/>
        <w:gridCol w:w="315"/>
        <w:gridCol w:w="1233"/>
        <w:gridCol w:w="862"/>
        <w:gridCol w:w="845"/>
        <w:gridCol w:w="850"/>
        <w:gridCol w:w="743"/>
        <w:gridCol w:w="1548"/>
        <w:gridCol w:w="862"/>
        <w:gridCol w:w="992"/>
      </w:tblGrid>
      <w:tr w14:paraId="78E66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5"/>
            <w:vAlign w:val="center"/>
          </w:tcPr>
          <w:p w14:paraId="5AED1F49">
            <w:pPr>
              <w:pStyle w:val="2"/>
              <w:adjustRightInd w:val="0"/>
              <w:snapToGrid w:val="0"/>
              <w:spacing w:line="300" w:lineRule="auto"/>
              <w:jc w:val="center"/>
              <w:rPr>
                <w:sz w:val="18"/>
                <w:szCs w:val="18"/>
              </w:rPr>
            </w:pPr>
            <w:r>
              <w:rPr>
                <w:rFonts w:hint="eastAsia"/>
                <w:sz w:val="18"/>
                <w:szCs w:val="18"/>
              </w:rPr>
              <w:t>检查项目</w:t>
            </w:r>
          </w:p>
        </w:tc>
      </w:tr>
      <w:tr w14:paraId="675D2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307" w:type="pct"/>
            <w:vMerge w:val="restart"/>
            <w:vAlign w:val="center"/>
          </w:tcPr>
          <w:p w14:paraId="55EBC728">
            <w:pPr>
              <w:pStyle w:val="2"/>
              <w:adjustRightInd w:val="0"/>
              <w:snapToGrid w:val="0"/>
              <w:spacing w:line="300" w:lineRule="auto"/>
              <w:jc w:val="center"/>
              <w:rPr>
                <w:sz w:val="18"/>
                <w:szCs w:val="18"/>
              </w:rPr>
            </w:pPr>
            <w:r>
              <w:rPr>
                <w:rFonts w:hint="eastAsia"/>
                <w:sz w:val="18"/>
                <w:szCs w:val="18"/>
              </w:rPr>
              <w:t>序号</w:t>
            </w:r>
          </w:p>
        </w:tc>
        <w:tc>
          <w:tcPr>
            <w:tcW w:w="631" w:type="pct"/>
            <w:gridSpan w:val="2"/>
            <w:vAlign w:val="center"/>
          </w:tcPr>
          <w:p w14:paraId="7A3C476A">
            <w:pPr>
              <w:pStyle w:val="2"/>
              <w:adjustRightInd w:val="0"/>
              <w:snapToGrid w:val="0"/>
              <w:spacing w:line="300" w:lineRule="auto"/>
              <w:jc w:val="center"/>
              <w:rPr>
                <w:sz w:val="18"/>
                <w:szCs w:val="18"/>
              </w:rPr>
            </w:pPr>
            <w:r>
              <w:rPr>
                <w:rFonts w:hint="eastAsia"/>
                <w:sz w:val="18"/>
                <w:szCs w:val="18"/>
              </w:rPr>
              <w:t>组件串</w:t>
            </w:r>
          </w:p>
        </w:tc>
        <w:tc>
          <w:tcPr>
            <w:tcW w:w="830" w:type="pct"/>
            <w:gridSpan w:val="2"/>
            <w:vAlign w:val="center"/>
          </w:tcPr>
          <w:p w14:paraId="4A555928">
            <w:pPr>
              <w:pStyle w:val="2"/>
              <w:adjustRightInd w:val="0"/>
              <w:snapToGrid w:val="0"/>
              <w:spacing w:line="300" w:lineRule="auto"/>
              <w:jc w:val="center"/>
              <w:rPr>
                <w:sz w:val="18"/>
                <w:szCs w:val="18"/>
              </w:rPr>
            </w:pPr>
            <w:r>
              <w:rPr>
                <w:rFonts w:hint="eastAsia"/>
                <w:sz w:val="18"/>
                <w:szCs w:val="18"/>
              </w:rPr>
              <w:t>方阵组串过电流保护</w:t>
            </w:r>
          </w:p>
        </w:tc>
        <w:tc>
          <w:tcPr>
            <w:tcW w:w="868" w:type="pct"/>
            <w:gridSpan w:val="3"/>
            <w:vAlign w:val="center"/>
          </w:tcPr>
          <w:p w14:paraId="5F3D8EFB">
            <w:pPr>
              <w:pStyle w:val="2"/>
              <w:adjustRightInd w:val="0"/>
              <w:snapToGrid w:val="0"/>
              <w:spacing w:line="300" w:lineRule="auto"/>
              <w:jc w:val="center"/>
              <w:rPr>
                <w:sz w:val="18"/>
                <w:szCs w:val="18"/>
              </w:rPr>
            </w:pPr>
            <w:r>
              <w:rPr>
                <w:rFonts w:hint="eastAsia"/>
                <w:sz w:val="18"/>
                <w:szCs w:val="18"/>
              </w:rPr>
              <w:t>直流电缆1(汇流箱出线)</w:t>
            </w:r>
          </w:p>
        </w:tc>
        <w:tc>
          <w:tcPr>
            <w:tcW w:w="902" w:type="pct"/>
            <w:gridSpan w:val="3"/>
            <w:vAlign w:val="center"/>
          </w:tcPr>
          <w:p w14:paraId="293B0A94">
            <w:pPr>
              <w:pStyle w:val="2"/>
              <w:adjustRightInd w:val="0"/>
              <w:snapToGrid w:val="0"/>
              <w:spacing w:line="300" w:lineRule="auto"/>
              <w:jc w:val="center"/>
              <w:rPr>
                <w:sz w:val="18"/>
                <w:szCs w:val="18"/>
              </w:rPr>
            </w:pPr>
            <w:r>
              <w:rPr>
                <w:rFonts w:hint="eastAsia"/>
                <w:sz w:val="18"/>
                <w:szCs w:val="18"/>
              </w:rPr>
              <w:t>直流电缆 2(直流柜出线)</w:t>
            </w:r>
          </w:p>
        </w:tc>
        <w:tc>
          <w:tcPr>
            <w:tcW w:w="808" w:type="pct"/>
            <w:gridSpan w:val="2"/>
            <w:vAlign w:val="center"/>
          </w:tcPr>
          <w:p w14:paraId="7D21254F">
            <w:pPr>
              <w:pStyle w:val="2"/>
              <w:adjustRightInd w:val="0"/>
              <w:snapToGrid w:val="0"/>
              <w:spacing w:line="300" w:lineRule="auto"/>
              <w:jc w:val="center"/>
              <w:rPr>
                <w:sz w:val="18"/>
                <w:szCs w:val="18"/>
              </w:rPr>
            </w:pPr>
            <w:r>
              <w:rPr>
                <w:rFonts w:hint="eastAsia"/>
                <w:sz w:val="18"/>
                <w:szCs w:val="18"/>
              </w:rPr>
              <w:t>交流电缆(逆变器出线)</w:t>
            </w:r>
          </w:p>
        </w:tc>
        <w:tc>
          <w:tcPr>
            <w:tcW w:w="652" w:type="pct"/>
            <w:gridSpan w:val="2"/>
            <w:vAlign w:val="center"/>
          </w:tcPr>
          <w:p w14:paraId="35492285">
            <w:pPr>
              <w:pStyle w:val="2"/>
              <w:adjustRightInd w:val="0"/>
              <w:snapToGrid w:val="0"/>
              <w:spacing w:line="300" w:lineRule="auto"/>
              <w:jc w:val="center"/>
              <w:rPr>
                <w:sz w:val="18"/>
                <w:szCs w:val="18"/>
              </w:rPr>
            </w:pPr>
            <w:r>
              <w:rPr>
                <w:rFonts w:hint="eastAsia"/>
                <w:sz w:val="18"/>
                <w:szCs w:val="18"/>
              </w:rPr>
              <w:t>逆变器</w:t>
            </w:r>
          </w:p>
        </w:tc>
      </w:tr>
      <w:tr w14:paraId="40B9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307" w:type="pct"/>
            <w:vMerge w:val="continue"/>
            <w:vAlign w:val="center"/>
          </w:tcPr>
          <w:p w14:paraId="095BF724">
            <w:pPr>
              <w:pStyle w:val="2"/>
              <w:adjustRightInd w:val="0"/>
              <w:snapToGrid w:val="0"/>
              <w:spacing w:line="300" w:lineRule="auto"/>
              <w:jc w:val="center"/>
              <w:rPr>
                <w:sz w:val="18"/>
                <w:szCs w:val="18"/>
              </w:rPr>
            </w:pPr>
          </w:p>
        </w:tc>
        <w:tc>
          <w:tcPr>
            <w:tcW w:w="307" w:type="pct"/>
            <w:vAlign w:val="center"/>
          </w:tcPr>
          <w:p w14:paraId="2D4848C8">
            <w:pPr>
              <w:pStyle w:val="2"/>
              <w:adjustRightInd w:val="0"/>
              <w:snapToGrid w:val="0"/>
              <w:spacing w:line="300" w:lineRule="auto"/>
              <w:jc w:val="center"/>
              <w:rPr>
                <w:sz w:val="18"/>
                <w:szCs w:val="18"/>
              </w:rPr>
            </w:pPr>
            <w:r>
              <w:rPr>
                <w:rFonts w:hint="eastAsia"/>
                <w:sz w:val="18"/>
                <w:szCs w:val="18"/>
              </w:rPr>
              <w:t>组件型号</w:t>
            </w:r>
          </w:p>
        </w:tc>
        <w:tc>
          <w:tcPr>
            <w:tcW w:w="323" w:type="pct"/>
            <w:vAlign w:val="center"/>
          </w:tcPr>
          <w:p w14:paraId="3EE2164C">
            <w:pPr>
              <w:pStyle w:val="2"/>
              <w:adjustRightInd w:val="0"/>
              <w:snapToGrid w:val="0"/>
              <w:spacing w:line="300" w:lineRule="auto"/>
              <w:jc w:val="center"/>
              <w:rPr>
                <w:sz w:val="18"/>
                <w:szCs w:val="18"/>
              </w:rPr>
            </w:pPr>
            <w:r>
              <w:rPr>
                <w:rFonts w:hint="eastAsia"/>
                <w:sz w:val="18"/>
                <w:szCs w:val="18"/>
              </w:rPr>
              <w:t>组件数量</w:t>
            </w:r>
          </w:p>
        </w:tc>
        <w:tc>
          <w:tcPr>
            <w:tcW w:w="413" w:type="pct"/>
            <w:vAlign w:val="center"/>
          </w:tcPr>
          <w:p w14:paraId="5C3C2532">
            <w:pPr>
              <w:pStyle w:val="2"/>
              <w:adjustRightInd w:val="0"/>
              <w:snapToGrid w:val="0"/>
              <w:spacing w:line="300" w:lineRule="auto"/>
              <w:jc w:val="center"/>
              <w:rPr>
                <w:sz w:val="18"/>
                <w:szCs w:val="18"/>
              </w:rPr>
            </w:pPr>
            <w:r>
              <w:rPr>
                <w:rFonts w:hint="eastAsia"/>
                <w:sz w:val="18"/>
                <w:szCs w:val="18"/>
              </w:rPr>
              <w:t>额定值（A）</w:t>
            </w:r>
          </w:p>
        </w:tc>
        <w:tc>
          <w:tcPr>
            <w:tcW w:w="416" w:type="pct"/>
            <w:vAlign w:val="center"/>
          </w:tcPr>
          <w:p w14:paraId="7A7CE2C7">
            <w:pPr>
              <w:pStyle w:val="2"/>
              <w:adjustRightInd w:val="0"/>
              <w:snapToGrid w:val="0"/>
              <w:spacing w:line="300" w:lineRule="auto"/>
              <w:jc w:val="center"/>
              <w:rPr>
                <w:sz w:val="18"/>
                <w:szCs w:val="18"/>
              </w:rPr>
            </w:pPr>
            <w:r>
              <w:rPr>
                <w:rFonts w:hint="eastAsia"/>
                <w:sz w:val="18"/>
                <w:szCs w:val="18"/>
              </w:rPr>
              <w:t>额定值（V）</w:t>
            </w:r>
          </w:p>
        </w:tc>
        <w:tc>
          <w:tcPr>
            <w:tcW w:w="322" w:type="pct"/>
            <w:vAlign w:val="center"/>
          </w:tcPr>
          <w:p w14:paraId="29B1CC61">
            <w:pPr>
              <w:pStyle w:val="2"/>
              <w:adjustRightInd w:val="0"/>
              <w:snapToGrid w:val="0"/>
              <w:spacing w:line="300" w:lineRule="auto"/>
              <w:jc w:val="center"/>
              <w:rPr>
                <w:sz w:val="18"/>
                <w:szCs w:val="18"/>
              </w:rPr>
            </w:pPr>
            <w:r>
              <w:rPr>
                <w:rFonts w:hint="eastAsia"/>
                <w:sz w:val="18"/>
                <w:szCs w:val="18"/>
              </w:rPr>
              <w:t>类型</w:t>
            </w:r>
          </w:p>
        </w:tc>
        <w:tc>
          <w:tcPr>
            <w:tcW w:w="546" w:type="pct"/>
            <w:gridSpan w:val="2"/>
            <w:vAlign w:val="center"/>
          </w:tcPr>
          <w:p w14:paraId="0D33C81E">
            <w:pPr>
              <w:pStyle w:val="2"/>
              <w:adjustRightInd w:val="0"/>
              <w:snapToGrid w:val="0"/>
              <w:spacing w:line="300" w:lineRule="auto"/>
              <w:jc w:val="center"/>
              <w:rPr>
                <w:sz w:val="18"/>
                <w:szCs w:val="18"/>
              </w:rPr>
            </w:pPr>
            <w:r>
              <w:rPr>
                <w:rFonts w:hint="eastAsia"/>
                <w:sz w:val="18"/>
                <w:szCs w:val="18"/>
              </w:rPr>
              <w:t>截面积（mm</w:t>
            </w:r>
            <w:r>
              <w:rPr>
                <w:rFonts w:hint="eastAsia"/>
                <w:sz w:val="18"/>
                <w:szCs w:val="18"/>
                <w:vertAlign w:val="superscript"/>
              </w:rPr>
              <w:t>2</w:t>
            </w:r>
            <w:r>
              <w:rPr>
                <w:rFonts w:hint="eastAsia"/>
                <w:sz w:val="18"/>
                <w:szCs w:val="18"/>
              </w:rPr>
              <w:t>）</w:t>
            </w:r>
          </w:p>
        </w:tc>
        <w:tc>
          <w:tcPr>
            <w:tcW w:w="304" w:type="pct"/>
            <w:vAlign w:val="center"/>
          </w:tcPr>
          <w:p w14:paraId="60B92F9C">
            <w:pPr>
              <w:pStyle w:val="2"/>
              <w:adjustRightInd w:val="0"/>
              <w:snapToGrid w:val="0"/>
              <w:spacing w:line="300" w:lineRule="auto"/>
              <w:jc w:val="center"/>
              <w:rPr>
                <w:sz w:val="18"/>
                <w:szCs w:val="18"/>
              </w:rPr>
            </w:pPr>
            <w:r>
              <w:rPr>
                <w:rFonts w:hint="eastAsia"/>
                <w:sz w:val="18"/>
                <w:szCs w:val="18"/>
              </w:rPr>
              <w:t>类型</w:t>
            </w:r>
          </w:p>
        </w:tc>
        <w:tc>
          <w:tcPr>
            <w:tcW w:w="597" w:type="pct"/>
            <w:gridSpan w:val="2"/>
            <w:vAlign w:val="center"/>
          </w:tcPr>
          <w:p w14:paraId="45F256AA">
            <w:pPr>
              <w:pStyle w:val="2"/>
              <w:adjustRightInd w:val="0"/>
              <w:snapToGrid w:val="0"/>
              <w:spacing w:line="300" w:lineRule="auto"/>
              <w:jc w:val="center"/>
              <w:rPr>
                <w:sz w:val="18"/>
                <w:szCs w:val="18"/>
              </w:rPr>
            </w:pPr>
            <w:r>
              <w:rPr>
                <w:rFonts w:hint="eastAsia"/>
                <w:sz w:val="18"/>
                <w:szCs w:val="18"/>
              </w:rPr>
              <w:t>截面积（mm</w:t>
            </w:r>
            <w:r>
              <w:rPr>
                <w:rFonts w:hint="eastAsia"/>
                <w:sz w:val="18"/>
                <w:szCs w:val="18"/>
                <w:vertAlign w:val="superscript"/>
              </w:rPr>
              <w:t>2</w:t>
            </w:r>
            <w:r>
              <w:rPr>
                <w:rFonts w:hint="eastAsia"/>
                <w:sz w:val="18"/>
                <w:szCs w:val="18"/>
              </w:rPr>
              <w:t>）</w:t>
            </w:r>
          </w:p>
        </w:tc>
        <w:tc>
          <w:tcPr>
            <w:tcW w:w="262" w:type="pct"/>
            <w:vAlign w:val="center"/>
          </w:tcPr>
          <w:p w14:paraId="0EE76866">
            <w:pPr>
              <w:pStyle w:val="2"/>
              <w:adjustRightInd w:val="0"/>
              <w:snapToGrid w:val="0"/>
              <w:spacing w:line="300" w:lineRule="auto"/>
              <w:jc w:val="center"/>
              <w:rPr>
                <w:sz w:val="18"/>
                <w:szCs w:val="18"/>
              </w:rPr>
            </w:pPr>
            <w:r>
              <w:rPr>
                <w:rFonts w:hint="eastAsia"/>
                <w:sz w:val="18"/>
                <w:szCs w:val="18"/>
              </w:rPr>
              <w:t>类型</w:t>
            </w:r>
          </w:p>
        </w:tc>
        <w:tc>
          <w:tcPr>
            <w:tcW w:w="546" w:type="pct"/>
            <w:vAlign w:val="center"/>
          </w:tcPr>
          <w:p w14:paraId="73FAFC06">
            <w:pPr>
              <w:pStyle w:val="2"/>
              <w:adjustRightInd w:val="0"/>
              <w:snapToGrid w:val="0"/>
              <w:spacing w:line="300" w:lineRule="auto"/>
              <w:jc w:val="center"/>
              <w:rPr>
                <w:sz w:val="18"/>
                <w:szCs w:val="18"/>
              </w:rPr>
            </w:pPr>
            <w:r>
              <w:rPr>
                <w:rFonts w:hint="eastAsia"/>
                <w:sz w:val="18"/>
                <w:szCs w:val="18"/>
              </w:rPr>
              <w:t>截面积（mm</w:t>
            </w:r>
            <w:r>
              <w:rPr>
                <w:rFonts w:hint="eastAsia"/>
                <w:sz w:val="18"/>
                <w:szCs w:val="18"/>
                <w:vertAlign w:val="superscript"/>
              </w:rPr>
              <w:t>2</w:t>
            </w:r>
            <w:r>
              <w:rPr>
                <w:rFonts w:hint="eastAsia"/>
                <w:sz w:val="18"/>
                <w:szCs w:val="18"/>
              </w:rPr>
              <w:t>）</w:t>
            </w:r>
          </w:p>
        </w:tc>
        <w:tc>
          <w:tcPr>
            <w:tcW w:w="304" w:type="pct"/>
            <w:vAlign w:val="center"/>
          </w:tcPr>
          <w:p w14:paraId="0A89DF2F">
            <w:pPr>
              <w:pStyle w:val="2"/>
              <w:adjustRightInd w:val="0"/>
              <w:snapToGrid w:val="0"/>
              <w:spacing w:line="300" w:lineRule="auto"/>
              <w:jc w:val="center"/>
              <w:rPr>
                <w:sz w:val="18"/>
                <w:szCs w:val="18"/>
              </w:rPr>
            </w:pPr>
            <w:r>
              <w:rPr>
                <w:rFonts w:hint="eastAsia"/>
                <w:sz w:val="18"/>
                <w:szCs w:val="18"/>
              </w:rPr>
              <w:t>序号</w:t>
            </w:r>
          </w:p>
        </w:tc>
        <w:tc>
          <w:tcPr>
            <w:tcW w:w="348" w:type="pct"/>
            <w:vAlign w:val="center"/>
          </w:tcPr>
          <w:p w14:paraId="35406047">
            <w:pPr>
              <w:pStyle w:val="2"/>
              <w:adjustRightInd w:val="0"/>
              <w:snapToGrid w:val="0"/>
              <w:spacing w:line="300" w:lineRule="auto"/>
              <w:jc w:val="center"/>
              <w:rPr>
                <w:sz w:val="18"/>
                <w:szCs w:val="18"/>
              </w:rPr>
            </w:pPr>
            <w:r>
              <w:rPr>
                <w:rFonts w:hint="eastAsia"/>
                <w:sz w:val="18"/>
                <w:szCs w:val="18"/>
              </w:rPr>
              <w:t>型号</w:t>
            </w:r>
          </w:p>
        </w:tc>
      </w:tr>
      <w:tr w14:paraId="555BF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 w:type="pct"/>
            <w:vAlign w:val="center"/>
          </w:tcPr>
          <w:p w14:paraId="3990CC3A">
            <w:pPr>
              <w:pStyle w:val="2"/>
              <w:adjustRightInd w:val="0"/>
              <w:snapToGrid w:val="0"/>
              <w:spacing w:line="300" w:lineRule="auto"/>
              <w:jc w:val="center"/>
              <w:rPr>
                <w:sz w:val="18"/>
                <w:szCs w:val="18"/>
              </w:rPr>
            </w:pPr>
            <w:r>
              <w:rPr>
                <w:rFonts w:hint="eastAsia"/>
                <w:sz w:val="18"/>
                <w:szCs w:val="18"/>
              </w:rPr>
              <w:t>1</w:t>
            </w:r>
          </w:p>
        </w:tc>
        <w:tc>
          <w:tcPr>
            <w:tcW w:w="307" w:type="pct"/>
            <w:vAlign w:val="center"/>
          </w:tcPr>
          <w:p w14:paraId="2DF1203F">
            <w:pPr>
              <w:pStyle w:val="2"/>
              <w:adjustRightInd w:val="0"/>
              <w:snapToGrid w:val="0"/>
              <w:spacing w:line="300" w:lineRule="auto"/>
              <w:jc w:val="center"/>
              <w:rPr>
                <w:sz w:val="18"/>
                <w:szCs w:val="18"/>
              </w:rPr>
            </w:pPr>
          </w:p>
        </w:tc>
        <w:tc>
          <w:tcPr>
            <w:tcW w:w="323" w:type="pct"/>
            <w:vAlign w:val="center"/>
          </w:tcPr>
          <w:p w14:paraId="2529AA17">
            <w:pPr>
              <w:pStyle w:val="2"/>
              <w:adjustRightInd w:val="0"/>
              <w:snapToGrid w:val="0"/>
              <w:spacing w:line="300" w:lineRule="auto"/>
              <w:jc w:val="center"/>
              <w:rPr>
                <w:sz w:val="18"/>
                <w:szCs w:val="18"/>
              </w:rPr>
            </w:pPr>
          </w:p>
        </w:tc>
        <w:tc>
          <w:tcPr>
            <w:tcW w:w="413" w:type="pct"/>
            <w:vAlign w:val="center"/>
          </w:tcPr>
          <w:p w14:paraId="676336AA">
            <w:pPr>
              <w:pStyle w:val="2"/>
              <w:adjustRightInd w:val="0"/>
              <w:snapToGrid w:val="0"/>
              <w:spacing w:line="300" w:lineRule="auto"/>
              <w:jc w:val="center"/>
              <w:rPr>
                <w:sz w:val="18"/>
                <w:szCs w:val="18"/>
              </w:rPr>
            </w:pPr>
          </w:p>
        </w:tc>
        <w:tc>
          <w:tcPr>
            <w:tcW w:w="416" w:type="pct"/>
            <w:vAlign w:val="center"/>
          </w:tcPr>
          <w:p w14:paraId="055BE3B2">
            <w:pPr>
              <w:pStyle w:val="2"/>
              <w:adjustRightInd w:val="0"/>
              <w:snapToGrid w:val="0"/>
              <w:spacing w:line="300" w:lineRule="auto"/>
              <w:jc w:val="center"/>
              <w:rPr>
                <w:sz w:val="18"/>
                <w:szCs w:val="18"/>
              </w:rPr>
            </w:pPr>
          </w:p>
        </w:tc>
        <w:tc>
          <w:tcPr>
            <w:tcW w:w="322" w:type="pct"/>
            <w:vAlign w:val="center"/>
          </w:tcPr>
          <w:p w14:paraId="4607B00A">
            <w:pPr>
              <w:pStyle w:val="2"/>
              <w:adjustRightInd w:val="0"/>
              <w:snapToGrid w:val="0"/>
              <w:spacing w:line="300" w:lineRule="auto"/>
              <w:jc w:val="center"/>
              <w:rPr>
                <w:sz w:val="18"/>
                <w:szCs w:val="18"/>
              </w:rPr>
            </w:pPr>
          </w:p>
        </w:tc>
        <w:tc>
          <w:tcPr>
            <w:tcW w:w="546" w:type="pct"/>
            <w:gridSpan w:val="2"/>
            <w:vAlign w:val="center"/>
          </w:tcPr>
          <w:p w14:paraId="59B2CEB7">
            <w:pPr>
              <w:pStyle w:val="2"/>
              <w:adjustRightInd w:val="0"/>
              <w:snapToGrid w:val="0"/>
              <w:spacing w:line="300" w:lineRule="auto"/>
              <w:jc w:val="center"/>
              <w:rPr>
                <w:sz w:val="18"/>
                <w:szCs w:val="18"/>
              </w:rPr>
            </w:pPr>
          </w:p>
        </w:tc>
        <w:tc>
          <w:tcPr>
            <w:tcW w:w="304" w:type="pct"/>
            <w:vAlign w:val="center"/>
          </w:tcPr>
          <w:p w14:paraId="4B809387">
            <w:pPr>
              <w:pStyle w:val="2"/>
              <w:adjustRightInd w:val="0"/>
              <w:snapToGrid w:val="0"/>
              <w:spacing w:line="300" w:lineRule="auto"/>
              <w:jc w:val="center"/>
              <w:rPr>
                <w:sz w:val="18"/>
                <w:szCs w:val="18"/>
              </w:rPr>
            </w:pPr>
          </w:p>
        </w:tc>
        <w:tc>
          <w:tcPr>
            <w:tcW w:w="597" w:type="pct"/>
            <w:gridSpan w:val="2"/>
            <w:vAlign w:val="center"/>
          </w:tcPr>
          <w:p w14:paraId="41BF2777">
            <w:pPr>
              <w:pStyle w:val="2"/>
              <w:adjustRightInd w:val="0"/>
              <w:snapToGrid w:val="0"/>
              <w:spacing w:line="300" w:lineRule="auto"/>
              <w:jc w:val="center"/>
              <w:rPr>
                <w:sz w:val="18"/>
                <w:szCs w:val="18"/>
              </w:rPr>
            </w:pPr>
          </w:p>
        </w:tc>
        <w:tc>
          <w:tcPr>
            <w:tcW w:w="262" w:type="pct"/>
            <w:vAlign w:val="center"/>
          </w:tcPr>
          <w:p w14:paraId="0332B481">
            <w:pPr>
              <w:pStyle w:val="2"/>
              <w:adjustRightInd w:val="0"/>
              <w:snapToGrid w:val="0"/>
              <w:spacing w:line="300" w:lineRule="auto"/>
              <w:jc w:val="center"/>
              <w:rPr>
                <w:sz w:val="18"/>
                <w:szCs w:val="18"/>
              </w:rPr>
            </w:pPr>
          </w:p>
        </w:tc>
        <w:tc>
          <w:tcPr>
            <w:tcW w:w="546" w:type="pct"/>
            <w:vAlign w:val="center"/>
          </w:tcPr>
          <w:p w14:paraId="5AC073D5">
            <w:pPr>
              <w:pStyle w:val="2"/>
              <w:adjustRightInd w:val="0"/>
              <w:snapToGrid w:val="0"/>
              <w:spacing w:line="300" w:lineRule="auto"/>
              <w:jc w:val="center"/>
              <w:rPr>
                <w:sz w:val="18"/>
                <w:szCs w:val="18"/>
              </w:rPr>
            </w:pPr>
          </w:p>
        </w:tc>
        <w:tc>
          <w:tcPr>
            <w:tcW w:w="304" w:type="pct"/>
            <w:vAlign w:val="center"/>
          </w:tcPr>
          <w:p w14:paraId="76B8C288">
            <w:pPr>
              <w:pStyle w:val="2"/>
              <w:adjustRightInd w:val="0"/>
              <w:snapToGrid w:val="0"/>
              <w:spacing w:line="300" w:lineRule="auto"/>
              <w:jc w:val="center"/>
              <w:rPr>
                <w:sz w:val="18"/>
                <w:szCs w:val="18"/>
              </w:rPr>
            </w:pPr>
          </w:p>
        </w:tc>
        <w:tc>
          <w:tcPr>
            <w:tcW w:w="348" w:type="pct"/>
            <w:vAlign w:val="center"/>
          </w:tcPr>
          <w:p w14:paraId="5102BDF1">
            <w:pPr>
              <w:pStyle w:val="2"/>
              <w:adjustRightInd w:val="0"/>
              <w:snapToGrid w:val="0"/>
              <w:spacing w:line="300" w:lineRule="auto"/>
              <w:jc w:val="center"/>
              <w:rPr>
                <w:sz w:val="18"/>
                <w:szCs w:val="18"/>
              </w:rPr>
            </w:pPr>
          </w:p>
        </w:tc>
      </w:tr>
      <w:tr w14:paraId="55AC5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07" w:type="pct"/>
            <w:vAlign w:val="center"/>
          </w:tcPr>
          <w:p w14:paraId="04A71CEB">
            <w:pPr>
              <w:pStyle w:val="2"/>
              <w:adjustRightInd w:val="0"/>
              <w:snapToGrid w:val="0"/>
              <w:spacing w:line="300" w:lineRule="auto"/>
              <w:jc w:val="center"/>
              <w:rPr>
                <w:sz w:val="18"/>
                <w:szCs w:val="18"/>
              </w:rPr>
            </w:pPr>
            <w:r>
              <w:rPr>
                <w:rFonts w:hint="eastAsia"/>
                <w:sz w:val="18"/>
                <w:szCs w:val="18"/>
              </w:rPr>
              <w:t>2</w:t>
            </w:r>
          </w:p>
        </w:tc>
        <w:tc>
          <w:tcPr>
            <w:tcW w:w="307" w:type="pct"/>
            <w:vAlign w:val="center"/>
          </w:tcPr>
          <w:p w14:paraId="156D4F21">
            <w:pPr>
              <w:pStyle w:val="2"/>
              <w:adjustRightInd w:val="0"/>
              <w:snapToGrid w:val="0"/>
              <w:spacing w:line="300" w:lineRule="auto"/>
              <w:jc w:val="center"/>
              <w:rPr>
                <w:sz w:val="18"/>
                <w:szCs w:val="18"/>
              </w:rPr>
            </w:pPr>
          </w:p>
        </w:tc>
        <w:tc>
          <w:tcPr>
            <w:tcW w:w="323" w:type="pct"/>
            <w:vAlign w:val="center"/>
          </w:tcPr>
          <w:p w14:paraId="74DFF0FE">
            <w:pPr>
              <w:pStyle w:val="2"/>
              <w:adjustRightInd w:val="0"/>
              <w:snapToGrid w:val="0"/>
              <w:spacing w:line="300" w:lineRule="auto"/>
              <w:jc w:val="center"/>
              <w:rPr>
                <w:sz w:val="18"/>
                <w:szCs w:val="18"/>
              </w:rPr>
            </w:pPr>
          </w:p>
        </w:tc>
        <w:tc>
          <w:tcPr>
            <w:tcW w:w="413" w:type="pct"/>
            <w:vAlign w:val="center"/>
          </w:tcPr>
          <w:p w14:paraId="3FC711E9">
            <w:pPr>
              <w:pStyle w:val="2"/>
              <w:adjustRightInd w:val="0"/>
              <w:snapToGrid w:val="0"/>
              <w:spacing w:line="300" w:lineRule="auto"/>
              <w:jc w:val="center"/>
              <w:rPr>
                <w:sz w:val="18"/>
                <w:szCs w:val="18"/>
              </w:rPr>
            </w:pPr>
          </w:p>
        </w:tc>
        <w:tc>
          <w:tcPr>
            <w:tcW w:w="416" w:type="pct"/>
            <w:vAlign w:val="center"/>
          </w:tcPr>
          <w:p w14:paraId="79BABDD2">
            <w:pPr>
              <w:pStyle w:val="2"/>
              <w:adjustRightInd w:val="0"/>
              <w:snapToGrid w:val="0"/>
              <w:spacing w:line="300" w:lineRule="auto"/>
              <w:jc w:val="center"/>
              <w:rPr>
                <w:sz w:val="18"/>
                <w:szCs w:val="18"/>
              </w:rPr>
            </w:pPr>
          </w:p>
        </w:tc>
        <w:tc>
          <w:tcPr>
            <w:tcW w:w="322" w:type="pct"/>
            <w:vAlign w:val="center"/>
          </w:tcPr>
          <w:p w14:paraId="2B6B4D78">
            <w:pPr>
              <w:pStyle w:val="2"/>
              <w:adjustRightInd w:val="0"/>
              <w:snapToGrid w:val="0"/>
              <w:spacing w:line="300" w:lineRule="auto"/>
              <w:jc w:val="center"/>
              <w:rPr>
                <w:sz w:val="18"/>
                <w:szCs w:val="18"/>
              </w:rPr>
            </w:pPr>
          </w:p>
        </w:tc>
        <w:tc>
          <w:tcPr>
            <w:tcW w:w="546" w:type="pct"/>
            <w:gridSpan w:val="2"/>
            <w:vAlign w:val="center"/>
          </w:tcPr>
          <w:p w14:paraId="602E6A8B">
            <w:pPr>
              <w:pStyle w:val="2"/>
              <w:adjustRightInd w:val="0"/>
              <w:snapToGrid w:val="0"/>
              <w:spacing w:line="300" w:lineRule="auto"/>
              <w:jc w:val="center"/>
              <w:rPr>
                <w:sz w:val="18"/>
                <w:szCs w:val="18"/>
              </w:rPr>
            </w:pPr>
          </w:p>
        </w:tc>
        <w:tc>
          <w:tcPr>
            <w:tcW w:w="304" w:type="pct"/>
            <w:vAlign w:val="center"/>
          </w:tcPr>
          <w:p w14:paraId="40BD5F6A">
            <w:pPr>
              <w:pStyle w:val="2"/>
              <w:adjustRightInd w:val="0"/>
              <w:snapToGrid w:val="0"/>
              <w:spacing w:line="300" w:lineRule="auto"/>
              <w:jc w:val="center"/>
              <w:rPr>
                <w:sz w:val="18"/>
                <w:szCs w:val="18"/>
              </w:rPr>
            </w:pPr>
          </w:p>
        </w:tc>
        <w:tc>
          <w:tcPr>
            <w:tcW w:w="597" w:type="pct"/>
            <w:gridSpan w:val="2"/>
            <w:vAlign w:val="center"/>
          </w:tcPr>
          <w:p w14:paraId="0C2A2C57">
            <w:pPr>
              <w:pStyle w:val="2"/>
              <w:adjustRightInd w:val="0"/>
              <w:snapToGrid w:val="0"/>
              <w:spacing w:line="300" w:lineRule="auto"/>
              <w:jc w:val="center"/>
              <w:rPr>
                <w:sz w:val="18"/>
                <w:szCs w:val="18"/>
              </w:rPr>
            </w:pPr>
          </w:p>
        </w:tc>
        <w:tc>
          <w:tcPr>
            <w:tcW w:w="262" w:type="pct"/>
            <w:vAlign w:val="center"/>
          </w:tcPr>
          <w:p w14:paraId="5AB69CC2">
            <w:pPr>
              <w:pStyle w:val="2"/>
              <w:adjustRightInd w:val="0"/>
              <w:snapToGrid w:val="0"/>
              <w:spacing w:line="300" w:lineRule="auto"/>
              <w:jc w:val="center"/>
              <w:rPr>
                <w:sz w:val="18"/>
                <w:szCs w:val="18"/>
              </w:rPr>
            </w:pPr>
          </w:p>
        </w:tc>
        <w:tc>
          <w:tcPr>
            <w:tcW w:w="546" w:type="pct"/>
            <w:vAlign w:val="center"/>
          </w:tcPr>
          <w:p w14:paraId="5B4502FC">
            <w:pPr>
              <w:pStyle w:val="2"/>
              <w:adjustRightInd w:val="0"/>
              <w:snapToGrid w:val="0"/>
              <w:spacing w:line="300" w:lineRule="auto"/>
              <w:jc w:val="center"/>
              <w:rPr>
                <w:sz w:val="18"/>
                <w:szCs w:val="18"/>
              </w:rPr>
            </w:pPr>
          </w:p>
        </w:tc>
        <w:tc>
          <w:tcPr>
            <w:tcW w:w="304" w:type="pct"/>
            <w:vAlign w:val="center"/>
          </w:tcPr>
          <w:p w14:paraId="677809A1">
            <w:pPr>
              <w:pStyle w:val="2"/>
              <w:adjustRightInd w:val="0"/>
              <w:snapToGrid w:val="0"/>
              <w:spacing w:line="300" w:lineRule="auto"/>
              <w:jc w:val="center"/>
              <w:rPr>
                <w:sz w:val="18"/>
                <w:szCs w:val="18"/>
              </w:rPr>
            </w:pPr>
          </w:p>
        </w:tc>
        <w:tc>
          <w:tcPr>
            <w:tcW w:w="348" w:type="pct"/>
            <w:vAlign w:val="center"/>
          </w:tcPr>
          <w:p w14:paraId="348CA168">
            <w:pPr>
              <w:pStyle w:val="2"/>
              <w:adjustRightInd w:val="0"/>
              <w:snapToGrid w:val="0"/>
              <w:spacing w:line="300" w:lineRule="auto"/>
              <w:jc w:val="center"/>
              <w:rPr>
                <w:sz w:val="18"/>
                <w:szCs w:val="18"/>
              </w:rPr>
            </w:pPr>
          </w:p>
        </w:tc>
      </w:tr>
      <w:tr w14:paraId="774A7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 w:type="pct"/>
            <w:vAlign w:val="center"/>
          </w:tcPr>
          <w:p w14:paraId="31383186">
            <w:pPr>
              <w:pStyle w:val="2"/>
              <w:adjustRightInd w:val="0"/>
              <w:snapToGrid w:val="0"/>
              <w:spacing w:line="300" w:lineRule="auto"/>
              <w:jc w:val="center"/>
              <w:rPr>
                <w:sz w:val="18"/>
                <w:szCs w:val="18"/>
              </w:rPr>
            </w:pPr>
            <w:r>
              <w:rPr>
                <w:rFonts w:hint="eastAsia"/>
                <w:sz w:val="18"/>
                <w:szCs w:val="18"/>
              </w:rPr>
              <w:t>...</w:t>
            </w:r>
          </w:p>
        </w:tc>
        <w:tc>
          <w:tcPr>
            <w:tcW w:w="307" w:type="pct"/>
            <w:vAlign w:val="center"/>
          </w:tcPr>
          <w:p w14:paraId="78DCEB74">
            <w:pPr>
              <w:pStyle w:val="2"/>
              <w:adjustRightInd w:val="0"/>
              <w:snapToGrid w:val="0"/>
              <w:spacing w:line="300" w:lineRule="auto"/>
              <w:jc w:val="center"/>
              <w:rPr>
                <w:sz w:val="18"/>
                <w:szCs w:val="18"/>
              </w:rPr>
            </w:pPr>
          </w:p>
        </w:tc>
        <w:tc>
          <w:tcPr>
            <w:tcW w:w="323" w:type="pct"/>
            <w:vAlign w:val="center"/>
          </w:tcPr>
          <w:p w14:paraId="4BABF159">
            <w:pPr>
              <w:pStyle w:val="2"/>
              <w:adjustRightInd w:val="0"/>
              <w:snapToGrid w:val="0"/>
              <w:spacing w:line="300" w:lineRule="auto"/>
              <w:jc w:val="center"/>
              <w:rPr>
                <w:sz w:val="18"/>
                <w:szCs w:val="18"/>
              </w:rPr>
            </w:pPr>
          </w:p>
        </w:tc>
        <w:tc>
          <w:tcPr>
            <w:tcW w:w="413" w:type="pct"/>
            <w:vAlign w:val="center"/>
          </w:tcPr>
          <w:p w14:paraId="55DC27C0">
            <w:pPr>
              <w:pStyle w:val="2"/>
              <w:adjustRightInd w:val="0"/>
              <w:snapToGrid w:val="0"/>
              <w:spacing w:line="300" w:lineRule="auto"/>
              <w:jc w:val="center"/>
              <w:rPr>
                <w:sz w:val="18"/>
                <w:szCs w:val="18"/>
              </w:rPr>
            </w:pPr>
          </w:p>
        </w:tc>
        <w:tc>
          <w:tcPr>
            <w:tcW w:w="416" w:type="pct"/>
            <w:vAlign w:val="center"/>
          </w:tcPr>
          <w:p w14:paraId="404BF63A">
            <w:pPr>
              <w:pStyle w:val="2"/>
              <w:adjustRightInd w:val="0"/>
              <w:snapToGrid w:val="0"/>
              <w:spacing w:line="300" w:lineRule="auto"/>
              <w:jc w:val="center"/>
              <w:rPr>
                <w:sz w:val="18"/>
                <w:szCs w:val="18"/>
              </w:rPr>
            </w:pPr>
          </w:p>
        </w:tc>
        <w:tc>
          <w:tcPr>
            <w:tcW w:w="322" w:type="pct"/>
            <w:vAlign w:val="center"/>
          </w:tcPr>
          <w:p w14:paraId="74B116B7">
            <w:pPr>
              <w:pStyle w:val="2"/>
              <w:adjustRightInd w:val="0"/>
              <w:snapToGrid w:val="0"/>
              <w:spacing w:line="300" w:lineRule="auto"/>
              <w:jc w:val="center"/>
              <w:rPr>
                <w:sz w:val="18"/>
                <w:szCs w:val="18"/>
              </w:rPr>
            </w:pPr>
          </w:p>
        </w:tc>
        <w:tc>
          <w:tcPr>
            <w:tcW w:w="546" w:type="pct"/>
            <w:gridSpan w:val="2"/>
            <w:vAlign w:val="center"/>
          </w:tcPr>
          <w:p w14:paraId="7B430413">
            <w:pPr>
              <w:pStyle w:val="2"/>
              <w:adjustRightInd w:val="0"/>
              <w:snapToGrid w:val="0"/>
              <w:spacing w:line="300" w:lineRule="auto"/>
              <w:jc w:val="center"/>
              <w:rPr>
                <w:sz w:val="18"/>
                <w:szCs w:val="18"/>
              </w:rPr>
            </w:pPr>
          </w:p>
        </w:tc>
        <w:tc>
          <w:tcPr>
            <w:tcW w:w="304" w:type="pct"/>
            <w:vAlign w:val="center"/>
          </w:tcPr>
          <w:p w14:paraId="4FB9BC1B">
            <w:pPr>
              <w:pStyle w:val="2"/>
              <w:adjustRightInd w:val="0"/>
              <w:snapToGrid w:val="0"/>
              <w:spacing w:line="300" w:lineRule="auto"/>
              <w:jc w:val="center"/>
              <w:rPr>
                <w:sz w:val="18"/>
                <w:szCs w:val="18"/>
              </w:rPr>
            </w:pPr>
          </w:p>
        </w:tc>
        <w:tc>
          <w:tcPr>
            <w:tcW w:w="597" w:type="pct"/>
            <w:gridSpan w:val="2"/>
            <w:vAlign w:val="center"/>
          </w:tcPr>
          <w:p w14:paraId="0873F90D">
            <w:pPr>
              <w:pStyle w:val="2"/>
              <w:adjustRightInd w:val="0"/>
              <w:snapToGrid w:val="0"/>
              <w:spacing w:line="300" w:lineRule="auto"/>
              <w:jc w:val="center"/>
              <w:rPr>
                <w:sz w:val="18"/>
                <w:szCs w:val="18"/>
              </w:rPr>
            </w:pPr>
          </w:p>
        </w:tc>
        <w:tc>
          <w:tcPr>
            <w:tcW w:w="262" w:type="pct"/>
            <w:vAlign w:val="center"/>
          </w:tcPr>
          <w:p w14:paraId="25EDE825">
            <w:pPr>
              <w:pStyle w:val="2"/>
              <w:adjustRightInd w:val="0"/>
              <w:snapToGrid w:val="0"/>
              <w:spacing w:line="300" w:lineRule="auto"/>
              <w:jc w:val="center"/>
              <w:rPr>
                <w:sz w:val="18"/>
                <w:szCs w:val="18"/>
              </w:rPr>
            </w:pPr>
          </w:p>
        </w:tc>
        <w:tc>
          <w:tcPr>
            <w:tcW w:w="546" w:type="pct"/>
            <w:vAlign w:val="center"/>
          </w:tcPr>
          <w:p w14:paraId="4D4604B3">
            <w:pPr>
              <w:pStyle w:val="2"/>
              <w:adjustRightInd w:val="0"/>
              <w:snapToGrid w:val="0"/>
              <w:spacing w:line="300" w:lineRule="auto"/>
              <w:jc w:val="center"/>
              <w:rPr>
                <w:sz w:val="18"/>
                <w:szCs w:val="18"/>
              </w:rPr>
            </w:pPr>
          </w:p>
        </w:tc>
        <w:tc>
          <w:tcPr>
            <w:tcW w:w="304" w:type="pct"/>
            <w:vAlign w:val="center"/>
          </w:tcPr>
          <w:p w14:paraId="698AE2D3">
            <w:pPr>
              <w:pStyle w:val="2"/>
              <w:adjustRightInd w:val="0"/>
              <w:snapToGrid w:val="0"/>
              <w:spacing w:line="300" w:lineRule="auto"/>
              <w:jc w:val="center"/>
              <w:rPr>
                <w:sz w:val="18"/>
                <w:szCs w:val="18"/>
              </w:rPr>
            </w:pPr>
          </w:p>
        </w:tc>
        <w:tc>
          <w:tcPr>
            <w:tcW w:w="348" w:type="pct"/>
            <w:vAlign w:val="center"/>
          </w:tcPr>
          <w:p w14:paraId="5B8B10EE">
            <w:pPr>
              <w:pStyle w:val="2"/>
              <w:adjustRightInd w:val="0"/>
              <w:snapToGrid w:val="0"/>
              <w:spacing w:line="300" w:lineRule="auto"/>
              <w:jc w:val="center"/>
              <w:rPr>
                <w:sz w:val="18"/>
                <w:szCs w:val="18"/>
              </w:rPr>
            </w:pPr>
          </w:p>
        </w:tc>
      </w:tr>
      <w:tr w14:paraId="55F68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 w:type="pct"/>
            <w:vAlign w:val="center"/>
          </w:tcPr>
          <w:p w14:paraId="4D6DFB09">
            <w:pPr>
              <w:pStyle w:val="2"/>
              <w:adjustRightInd w:val="0"/>
              <w:snapToGrid w:val="0"/>
              <w:spacing w:line="300" w:lineRule="auto"/>
              <w:jc w:val="center"/>
              <w:rPr>
                <w:sz w:val="18"/>
                <w:szCs w:val="18"/>
              </w:rPr>
            </w:pPr>
            <w:r>
              <w:rPr>
                <w:rFonts w:hint="eastAsia"/>
                <w:sz w:val="18"/>
                <w:szCs w:val="18"/>
              </w:rPr>
              <w:t>n</w:t>
            </w:r>
          </w:p>
        </w:tc>
        <w:tc>
          <w:tcPr>
            <w:tcW w:w="307" w:type="pct"/>
            <w:vAlign w:val="center"/>
          </w:tcPr>
          <w:p w14:paraId="220E806F">
            <w:pPr>
              <w:pStyle w:val="2"/>
              <w:adjustRightInd w:val="0"/>
              <w:snapToGrid w:val="0"/>
              <w:spacing w:line="300" w:lineRule="auto"/>
              <w:jc w:val="center"/>
              <w:rPr>
                <w:sz w:val="18"/>
                <w:szCs w:val="18"/>
              </w:rPr>
            </w:pPr>
          </w:p>
        </w:tc>
        <w:tc>
          <w:tcPr>
            <w:tcW w:w="323" w:type="pct"/>
            <w:vAlign w:val="center"/>
          </w:tcPr>
          <w:p w14:paraId="0BC64C8D">
            <w:pPr>
              <w:pStyle w:val="2"/>
              <w:adjustRightInd w:val="0"/>
              <w:snapToGrid w:val="0"/>
              <w:spacing w:line="300" w:lineRule="auto"/>
              <w:jc w:val="center"/>
              <w:rPr>
                <w:sz w:val="18"/>
                <w:szCs w:val="18"/>
              </w:rPr>
            </w:pPr>
          </w:p>
        </w:tc>
        <w:tc>
          <w:tcPr>
            <w:tcW w:w="413" w:type="pct"/>
            <w:vAlign w:val="center"/>
          </w:tcPr>
          <w:p w14:paraId="594EF525">
            <w:pPr>
              <w:pStyle w:val="2"/>
              <w:adjustRightInd w:val="0"/>
              <w:snapToGrid w:val="0"/>
              <w:spacing w:line="300" w:lineRule="auto"/>
              <w:jc w:val="center"/>
              <w:rPr>
                <w:sz w:val="18"/>
                <w:szCs w:val="18"/>
              </w:rPr>
            </w:pPr>
          </w:p>
        </w:tc>
        <w:tc>
          <w:tcPr>
            <w:tcW w:w="416" w:type="pct"/>
            <w:vAlign w:val="center"/>
          </w:tcPr>
          <w:p w14:paraId="1A2ECCC2">
            <w:pPr>
              <w:pStyle w:val="2"/>
              <w:adjustRightInd w:val="0"/>
              <w:snapToGrid w:val="0"/>
              <w:spacing w:line="300" w:lineRule="auto"/>
              <w:jc w:val="center"/>
              <w:rPr>
                <w:sz w:val="18"/>
                <w:szCs w:val="18"/>
              </w:rPr>
            </w:pPr>
          </w:p>
        </w:tc>
        <w:tc>
          <w:tcPr>
            <w:tcW w:w="322" w:type="pct"/>
            <w:vAlign w:val="center"/>
          </w:tcPr>
          <w:p w14:paraId="29E3FCDE">
            <w:pPr>
              <w:pStyle w:val="2"/>
              <w:adjustRightInd w:val="0"/>
              <w:snapToGrid w:val="0"/>
              <w:spacing w:line="300" w:lineRule="auto"/>
              <w:jc w:val="center"/>
              <w:rPr>
                <w:sz w:val="18"/>
                <w:szCs w:val="18"/>
              </w:rPr>
            </w:pPr>
          </w:p>
        </w:tc>
        <w:tc>
          <w:tcPr>
            <w:tcW w:w="546" w:type="pct"/>
            <w:gridSpan w:val="2"/>
            <w:vAlign w:val="center"/>
          </w:tcPr>
          <w:p w14:paraId="26CA3425">
            <w:pPr>
              <w:pStyle w:val="2"/>
              <w:adjustRightInd w:val="0"/>
              <w:snapToGrid w:val="0"/>
              <w:spacing w:line="300" w:lineRule="auto"/>
              <w:jc w:val="center"/>
              <w:rPr>
                <w:sz w:val="18"/>
                <w:szCs w:val="18"/>
              </w:rPr>
            </w:pPr>
          </w:p>
        </w:tc>
        <w:tc>
          <w:tcPr>
            <w:tcW w:w="304" w:type="pct"/>
            <w:vAlign w:val="center"/>
          </w:tcPr>
          <w:p w14:paraId="1C4BED64">
            <w:pPr>
              <w:pStyle w:val="2"/>
              <w:adjustRightInd w:val="0"/>
              <w:snapToGrid w:val="0"/>
              <w:spacing w:line="300" w:lineRule="auto"/>
              <w:jc w:val="center"/>
              <w:rPr>
                <w:sz w:val="18"/>
                <w:szCs w:val="18"/>
              </w:rPr>
            </w:pPr>
          </w:p>
        </w:tc>
        <w:tc>
          <w:tcPr>
            <w:tcW w:w="597" w:type="pct"/>
            <w:gridSpan w:val="2"/>
            <w:vAlign w:val="center"/>
          </w:tcPr>
          <w:p w14:paraId="77652F2F">
            <w:pPr>
              <w:pStyle w:val="2"/>
              <w:adjustRightInd w:val="0"/>
              <w:snapToGrid w:val="0"/>
              <w:spacing w:line="300" w:lineRule="auto"/>
              <w:jc w:val="center"/>
              <w:rPr>
                <w:sz w:val="18"/>
                <w:szCs w:val="18"/>
              </w:rPr>
            </w:pPr>
          </w:p>
        </w:tc>
        <w:tc>
          <w:tcPr>
            <w:tcW w:w="262" w:type="pct"/>
            <w:vAlign w:val="center"/>
          </w:tcPr>
          <w:p w14:paraId="1ADFDAEC">
            <w:pPr>
              <w:pStyle w:val="2"/>
              <w:adjustRightInd w:val="0"/>
              <w:snapToGrid w:val="0"/>
              <w:spacing w:line="300" w:lineRule="auto"/>
              <w:jc w:val="center"/>
              <w:rPr>
                <w:sz w:val="18"/>
                <w:szCs w:val="18"/>
              </w:rPr>
            </w:pPr>
          </w:p>
        </w:tc>
        <w:tc>
          <w:tcPr>
            <w:tcW w:w="546" w:type="pct"/>
            <w:vAlign w:val="center"/>
          </w:tcPr>
          <w:p w14:paraId="7F026363">
            <w:pPr>
              <w:pStyle w:val="2"/>
              <w:adjustRightInd w:val="0"/>
              <w:snapToGrid w:val="0"/>
              <w:spacing w:line="300" w:lineRule="auto"/>
              <w:jc w:val="center"/>
              <w:rPr>
                <w:sz w:val="18"/>
                <w:szCs w:val="18"/>
              </w:rPr>
            </w:pPr>
          </w:p>
        </w:tc>
        <w:tc>
          <w:tcPr>
            <w:tcW w:w="304" w:type="pct"/>
            <w:vAlign w:val="center"/>
          </w:tcPr>
          <w:p w14:paraId="2B4C178B">
            <w:pPr>
              <w:pStyle w:val="2"/>
              <w:adjustRightInd w:val="0"/>
              <w:snapToGrid w:val="0"/>
              <w:spacing w:line="300" w:lineRule="auto"/>
              <w:jc w:val="center"/>
              <w:rPr>
                <w:sz w:val="18"/>
                <w:szCs w:val="18"/>
              </w:rPr>
            </w:pPr>
          </w:p>
        </w:tc>
        <w:tc>
          <w:tcPr>
            <w:tcW w:w="348" w:type="pct"/>
            <w:vAlign w:val="center"/>
          </w:tcPr>
          <w:p w14:paraId="26096504">
            <w:pPr>
              <w:pStyle w:val="2"/>
              <w:adjustRightInd w:val="0"/>
              <w:snapToGrid w:val="0"/>
              <w:spacing w:line="300" w:lineRule="auto"/>
              <w:jc w:val="center"/>
              <w:rPr>
                <w:sz w:val="18"/>
                <w:szCs w:val="18"/>
              </w:rPr>
            </w:pPr>
          </w:p>
        </w:tc>
      </w:tr>
      <w:tr w14:paraId="76677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5"/>
            <w:vAlign w:val="center"/>
          </w:tcPr>
          <w:p w14:paraId="7905E025">
            <w:pPr>
              <w:pStyle w:val="2"/>
              <w:adjustRightInd w:val="0"/>
              <w:snapToGrid w:val="0"/>
              <w:spacing w:line="300" w:lineRule="auto"/>
              <w:jc w:val="center"/>
              <w:rPr>
                <w:sz w:val="18"/>
                <w:szCs w:val="18"/>
              </w:rPr>
            </w:pPr>
            <w:r>
              <w:rPr>
                <w:rFonts w:hint="eastAsia"/>
                <w:sz w:val="18"/>
                <w:szCs w:val="18"/>
              </w:rPr>
              <w:t>测试项目</w:t>
            </w:r>
          </w:p>
        </w:tc>
      </w:tr>
      <w:tr w14:paraId="01485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 w:type="pct"/>
            <w:vMerge w:val="restart"/>
            <w:vAlign w:val="center"/>
          </w:tcPr>
          <w:p w14:paraId="21B87DA2">
            <w:pPr>
              <w:pStyle w:val="2"/>
              <w:adjustRightInd w:val="0"/>
              <w:snapToGrid w:val="0"/>
              <w:spacing w:line="300" w:lineRule="auto"/>
              <w:jc w:val="center"/>
              <w:rPr>
                <w:sz w:val="18"/>
                <w:szCs w:val="18"/>
              </w:rPr>
            </w:pPr>
            <w:r>
              <w:rPr>
                <w:rFonts w:hint="eastAsia"/>
                <w:sz w:val="18"/>
                <w:szCs w:val="18"/>
              </w:rPr>
              <w:t>序号</w:t>
            </w:r>
          </w:p>
        </w:tc>
        <w:tc>
          <w:tcPr>
            <w:tcW w:w="1461" w:type="pct"/>
            <w:gridSpan w:val="4"/>
            <w:vAlign w:val="center"/>
          </w:tcPr>
          <w:p w14:paraId="1BD3BF5A">
            <w:pPr>
              <w:pStyle w:val="2"/>
              <w:adjustRightInd w:val="0"/>
              <w:snapToGrid w:val="0"/>
              <w:spacing w:line="300" w:lineRule="auto"/>
              <w:jc w:val="center"/>
              <w:rPr>
                <w:sz w:val="18"/>
                <w:szCs w:val="18"/>
              </w:rPr>
            </w:pPr>
            <w:r>
              <w:rPr>
                <w:rFonts w:hint="eastAsia"/>
                <w:sz w:val="18"/>
                <w:szCs w:val="18"/>
              </w:rPr>
              <w:t>现场组串测试</w:t>
            </w:r>
          </w:p>
        </w:tc>
        <w:tc>
          <w:tcPr>
            <w:tcW w:w="433" w:type="pct"/>
            <w:gridSpan w:val="2"/>
            <w:vMerge w:val="restart"/>
            <w:vAlign w:val="center"/>
          </w:tcPr>
          <w:p w14:paraId="3FDD459F">
            <w:pPr>
              <w:pStyle w:val="2"/>
              <w:adjustRightInd w:val="0"/>
              <w:snapToGrid w:val="0"/>
              <w:spacing w:line="300" w:lineRule="auto"/>
              <w:jc w:val="center"/>
              <w:rPr>
                <w:sz w:val="18"/>
                <w:szCs w:val="18"/>
              </w:rPr>
            </w:pPr>
            <w:r>
              <w:rPr>
                <w:rFonts w:hint="eastAsia"/>
                <w:sz w:val="18"/>
                <w:szCs w:val="18"/>
              </w:rPr>
              <w:t>极性检查</w:t>
            </w:r>
          </w:p>
        </w:tc>
        <w:tc>
          <w:tcPr>
            <w:tcW w:w="434" w:type="pct"/>
            <w:vAlign w:val="center"/>
          </w:tcPr>
          <w:p w14:paraId="77ABECC1">
            <w:pPr>
              <w:pStyle w:val="2"/>
              <w:adjustRightInd w:val="0"/>
              <w:snapToGrid w:val="0"/>
              <w:spacing w:line="300" w:lineRule="auto"/>
              <w:jc w:val="center"/>
              <w:rPr>
                <w:sz w:val="18"/>
                <w:szCs w:val="18"/>
              </w:rPr>
            </w:pPr>
          </w:p>
        </w:tc>
        <w:tc>
          <w:tcPr>
            <w:tcW w:w="1164" w:type="pct"/>
            <w:gridSpan w:val="4"/>
            <w:vAlign w:val="center"/>
          </w:tcPr>
          <w:p w14:paraId="46155125">
            <w:pPr>
              <w:pStyle w:val="2"/>
              <w:adjustRightInd w:val="0"/>
              <w:snapToGrid w:val="0"/>
              <w:spacing w:line="300" w:lineRule="auto"/>
              <w:jc w:val="center"/>
              <w:rPr>
                <w:sz w:val="18"/>
                <w:szCs w:val="18"/>
              </w:rPr>
            </w:pPr>
            <w:r>
              <w:rPr>
                <w:rFonts w:hint="eastAsia"/>
                <w:sz w:val="18"/>
                <w:szCs w:val="18"/>
              </w:rPr>
              <w:t>方阵绝缘电阻</w:t>
            </w:r>
          </w:p>
        </w:tc>
        <w:tc>
          <w:tcPr>
            <w:tcW w:w="546" w:type="pct"/>
            <w:vMerge w:val="restart"/>
            <w:vAlign w:val="center"/>
          </w:tcPr>
          <w:p w14:paraId="79BCB91F">
            <w:pPr>
              <w:pStyle w:val="2"/>
              <w:adjustRightInd w:val="0"/>
              <w:snapToGrid w:val="0"/>
              <w:spacing w:line="300" w:lineRule="auto"/>
              <w:jc w:val="center"/>
              <w:rPr>
                <w:sz w:val="18"/>
                <w:szCs w:val="18"/>
              </w:rPr>
            </w:pPr>
            <w:r>
              <w:rPr>
                <w:rFonts w:hint="eastAsia"/>
                <w:sz w:val="18"/>
                <w:szCs w:val="18"/>
              </w:rPr>
              <w:t>接地电阻测试</w:t>
            </w:r>
          </w:p>
        </w:tc>
        <w:tc>
          <w:tcPr>
            <w:tcW w:w="304" w:type="pct"/>
            <w:vMerge w:val="restart"/>
            <w:vAlign w:val="center"/>
          </w:tcPr>
          <w:p w14:paraId="3861557C">
            <w:pPr>
              <w:pStyle w:val="2"/>
              <w:adjustRightInd w:val="0"/>
              <w:snapToGrid w:val="0"/>
              <w:spacing w:line="300" w:lineRule="auto"/>
              <w:jc w:val="center"/>
              <w:rPr>
                <w:sz w:val="18"/>
                <w:szCs w:val="18"/>
              </w:rPr>
            </w:pPr>
            <w:r>
              <w:rPr>
                <w:rFonts w:hint="eastAsia"/>
                <w:sz w:val="18"/>
                <w:szCs w:val="18"/>
              </w:rPr>
              <w:t>开关装置正常运行</w:t>
            </w:r>
          </w:p>
        </w:tc>
        <w:tc>
          <w:tcPr>
            <w:tcW w:w="348" w:type="pct"/>
            <w:vMerge w:val="restart"/>
            <w:vAlign w:val="center"/>
          </w:tcPr>
          <w:p w14:paraId="20D71A3F">
            <w:pPr>
              <w:pStyle w:val="2"/>
              <w:adjustRightInd w:val="0"/>
              <w:snapToGrid w:val="0"/>
              <w:spacing w:line="300" w:lineRule="auto"/>
              <w:jc w:val="center"/>
              <w:rPr>
                <w:sz w:val="18"/>
                <w:szCs w:val="18"/>
              </w:rPr>
            </w:pPr>
            <w:r>
              <w:rPr>
                <w:rFonts w:hint="eastAsia"/>
                <w:sz w:val="18"/>
                <w:szCs w:val="18"/>
              </w:rPr>
              <w:t>逆变器</w:t>
            </w:r>
          </w:p>
          <w:p w14:paraId="3AA0884D">
            <w:pPr>
              <w:pStyle w:val="2"/>
              <w:adjustRightInd w:val="0"/>
              <w:snapToGrid w:val="0"/>
              <w:spacing w:line="300" w:lineRule="auto"/>
              <w:jc w:val="center"/>
              <w:rPr>
                <w:sz w:val="18"/>
                <w:szCs w:val="18"/>
              </w:rPr>
            </w:pPr>
            <w:r>
              <w:rPr>
                <w:rFonts w:hint="eastAsia"/>
                <w:sz w:val="18"/>
                <w:szCs w:val="18"/>
              </w:rPr>
              <w:t>正常运行</w:t>
            </w:r>
          </w:p>
        </w:tc>
      </w:tr>
      <w:tr w14:paraId="70002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307" w:type="pct"/>
            <w:vMerge w:val="continue"/>
            <w:vAlign w:val="center"/>
          </w:tcPr>
          <w:p w14:paraId="64BE3325">
            <w:pPr>
              <w:pStyle w:val="2"/>
              <w:adjustRightInd w:val="0"/>
              <w:snapToGrid w:val="0"/>
              <w:spacing w:line="300" w:lineRule="auto"/>
              <w:jc w:val="center"/>
              <w:rPr>
                <w:sz w:val="18"/>
                <w:szCs w:val="18"/>
              </w:rPr>
            </w:pPr>
          </w:p>
        </w:tc>
        <w:tc>
          <w:tcPr>
            <w:tcW w:w="307" w:type="pct"/>
            <w:vAlign w:val="center"/>
          </w:tcPr>
          <w:p w14:paraId="2C500912">
            <w:pPr>
              <w:pStyle w:val="2"/>
              <w:adjustRightInd w:val="0"/>
              <w:snapToGrid w:val="0"/>
              <w:spacing w:line="300" w:lineRule="auto"/>
              <w:jc w:val="center"/>
              <w:rPr>
                <w:sz w:val="18"/>
                <w:szCs w:val="18"/>
              </w:rPr>
            </w:pPr>
            <w:r>
              <w:rPr>
                <w:rFonts w:hint="eastAsia"/>
                <w:sz w:val="18"/>
                <w:szCs w:val="18"/>
              </w:rPr>
              <w:t>VOC</w:t>
            </w:r>
          </w:p>
          <w:p w14:paraId="49E5E748">
            <w:pPr>
              <w:pStyle w:val="3"/>
              <w:adjustRightInd w:val="0"/>
              <w:snapToGrid w:val="0"/>
              <w:spacing w:line="300" w:lineRule="auto"/>
              <w:rPr>
                <w:sz w:val="18"/>
                <w:szCs w:val="18"/>
              </w:rPr>
            </w:pPr>
            <w:bookmarkStart w:id="515" w:name="_Toc12174"/>
            <w:bookmarkStart w:id="516" w:name="_Toc270"/>
            <w:bookmarkStart w:id="517" w:name="_Toc26883"/>
            <w:bookmarkStart w:id="518" w:name="_Toc4461"/>
            <w:bookmarkStart w:id="519" w:name="_Toc3332"/>
            <w:bookmarkStart w:id="520" w:name="_Toc22582"/>
            <w:bookmarkStart w:id="521" w:name="_Toc8199"/>
            <w:bookmarkStart w:id="522" w:name="_Toc3846"/>
            <w:bookmarkStart w:id="523" w:name="_Toc14494"/>
            <w:bookmarkStart w:id="524" w:name="_Toc25041"/>
            <w:r>
              <w:rPr>
                <w:rFonts w:hint="eastAsia" w:ascii="Times New Roman" w:hAnsi="Times New Roman"/>
                <w:b w:val="0"/>
                <w:bCs w:val="0"/>
                <w:sz w:val="18"/>
                <w:szCs w:val="18"/>
              </w:rPr>
              <w:t>（V）</w:t>
            </w:r>
            <w:bookmarkEnd w:id="515"/>
            <w:bookmarkEnd w:id="516"/>
            <w:bookmarkEnd w:id="517"/>
            <w:bookmarkEnd w:id="518"/>
            <w:bookmarkEnd w:id="519"/>
            <w:bookmarkEnd w:id="520"/>
            <w:bookmarkEnd w:id="521"/>
            <w:bookmarkEnd w:id="522"/>
            <w:bookmarkEnd w:id="523"/>
            <w:bookmarkEnd w:id="524"/>
          </w:p>
        </w:tc>
        <w:tc>
          <w:tcPr>
            <w:tcW w:w="323" w:type="pct"/>
            <w:vAlign w:val="center"/>
          </w:tcPr>
          <w:p w14:paraId="270299A1">
            <w:pPr>
              <w:pStyle w:val="2"/>
              <w:adjustRightInd w:val="0"/>
              <w:snapToGrid w:val="0"/>
              <w:spacing w:line="300" w:lineRule="auto"/>
              <w:jc w:val="center"/>
              <w:rPr>
                <w:sz w:val="18"/>
                <w:szCs w:val="18"/>
              </w:rPr>
            </w:pPr>
            <w:r>
              <w:rPr>
                <w:rFonts w:hint="eastAsia"/>
                <w:sz w:val="18"/>
                <w:szCs w:val="18"/>
              </w:rPr>
              <w:t>Isc</w:t>
            </w:r>
          </w:p>
          <w:p w14:paraId="38C79FB9">
            <w:pPr>
              <w:pStyle w:val="3"/>
              <w:adjustRightInd w:val="0"/>
              <w:snapToGrid w:val="0"/>
              <w:spacing w:line="300" w:lineRule="auto"/>
              <w:rPr>
                <w:sz w:val="18"/>
                <w:szCs w:val="18"/>
              </w:rPr>
            </w:pPr>
            <w:bookmarkStart w:id="525" w:name="_Toc1629"/>
            <w:bookmarkStart w:id="526" w:name="_Toc7713"/>
            <w:bookmarkStart w:id="527" w:name="_Toc11102"/>
            <w:bookmarkStart w:id="528" w:name="_Toc28828"/>
            <w:bookmarkStart w:id="529" w:name="_Toc17918"/>
            <w:bookmarkStart w:id="530" w:name="_Toc17684"/>
            <w:bookmarkStart w:id="531" w:name="_Toc29499"/>
            <w:bookmarkStart w:id="532" w:name="_Toc28094"/>
            <w:bookmarkStart w:id="533" w:name="_Toc29558"/>
            <w:bookmarkStart w:id="534" w:name="_Toc7739"/>
            <w:r>
              <w:rPr>
                <w:rFonts w:hint="eastAsia" w:ascii="Times New Roman" w:hAnsi="Times New Roman"/>
                <w:b w:val="0"/>
                <w:bCs w:val="0"/>
                <w:sz w:val="18"/>
                <w:szCs w:val="18"/>
              </w:rPr>
              <w:t>(A)</w:t>
            </w:r>
            <w:bookmarkEnd w:id="525"/>
            <w:bookmarkEnd w:id="526"/>
            <w:bookmarkEnd w:id="527"/>
            <w:bookmarkEnd w:id="528"/>
            <w:bookmarkEnd w:id="529"/>
            <w:bookmarkEnd w:id="530"/>
            <w:bookmarkEnd w:id="531"/>
            <w:bookmarkEnd w:id="532"/>
            <w:bookmarkEnd w:id="533"/>
            <w:bookmarkEnd w:id="534"/>
          </w:p>
        </w:tc>
        <w:tc>
          <w:tcPr>
            <w:tcW w:w="413" w:type="pct"/>
            <w:vAlign w:val="center"/>
          </w:tcPr>
          <w:p w14:paraId="22B1D33D">
            <w:pPr>
              <w:pStyle w:val="2"/>
              <w:adjustRightInd w:val="0"/>
              <w:snapToGrid w:val="0"/>
              <w:spacing w:line="300" w:lineRule="auto"/>
              <w:jc w:val="center"/>
              <w:rPr>
                <w:sz w:val="18"/>
                <w:szCs w:val="18"/>
              </w:rPr>
            </w:pPr>
            <w:r>
              <w:rPr>
                <w:rFonts w:hint="eastAsia"/>
                <w:sz w:val="18"/>
                <w:szCs w:val="18"/>
              </w:rPr>
              <w:t>辐照度</w:t>
            </w:r>
          </w:p>
          <w:p w14:paraId="2F9C4632">
            <w:pPr>
              <w:pStyle w:val="3"/>
              <w:adjustRightInd w:val="0"/>
              <w:snapToGrid w:val="0"/>
              <w:spacing w:line="300" w:lineRule="auto"/>
              <w:rPr>
                <w:sz w:val="18"/>
                <w:szCs w:val="18"/>
              </w:rPr>
            </w:pPr>
            <w:bookmarkStart w:id="535" w:name="_Toc12487"/>
            <w:bookmarkStart w:id="536" w:name="_Toc25994"/>
            <w:bookmarkStart w:id="537" w:name="_Toc21533"/>
            <w:bookmarkStart w:id="538" w:name="_Toc27243"/>
            <w:bookmarkStart w:id="539" w:name="_Toc11762"/>
            <w:bookmarkStart w:id="540" w:name="_Toc1797"/>
            <w:bookmarkStart w:id="541" w:name="_Toc22852"/>
            <w:bookmarkStart w:id="542" w:name="_Toc1943"/>
            <w:bookmarkStart w:id="543" w:name="_Toc20314"/>
            <w:bookmarkStart w:id="544" w:name="_Toc22629"/>
            <w:r>
              <w:rPr>
                <w:rFonts w:hint="eastAsia" w:ascii="Times New Roman" w:hAnsi="Times New Roman"/>
                <w:b w:val="0"/>
                <w:bCs w:val="0"/>
                <w:sz w:val="18"/>
                <w:szCs w:val="18"/>
              </w:rPr>
              <w:t>（W/m</w:t>
            </w:r>
            <w:r>
              <w:rPr>
                <w:rFonts w:hint="eastAsia" w:ascii="Times New Roman" w:hAnsi="Times New Roman"/>
                <w:b w:val="0"/>
                <w:bCs w:val="0"/>
                <w:sz w:val="18"/>
                <w:szCs w:val="18"/>
                <w:vertAlign w:val="superscript"/>
              </w:rPr>
              <w:t>2</w:t>
            </w:r>
            <w:r>
              <w:rPr>
                <w:rFonts w:hint="eastAsia" w:ascii="Times New Roman" w:hAnsi="Times New Roman"/>
                <w:b w:val="0"/>
                <w:bCs w:val="0"/>
                <w:sz w:val="18"/>
                <w:szCs w:val="18"/>
              </w:rPr>
              <w:t>）</w:t>
            </w:r>
            <w:bookmarkEnd w:id="535"/>
            <w:bookmarkEnd w:id="536"/>
            <w:bookmarkEnd w:id="537"/>
            <w:bookmarkEnd w:id="538"/>
            <w:bookmarkEnd w:id="539"/>
            <w:bookmarkEnd w:id="540"/>
            <w:bookmarkEnd w:id="541"/>
            <w:bookmarkEnd w:id="542"/>
            <w:bookmarkEnd w:id="543"/>
            <w:bookmarkEnd w:id="544"/>
          </w:p>
        </w:tc>
        <w:tc>
          <w:tcPr>
            <w:tcW w:w="416" w:type="pct"/>
            <w:vAlign w:val="center"/>
          </w:tcPr>
          <w:p w14:paraId="442F4886">
            <w:pPr>
              <w:pStyle w:val="2"/>
              <w:adjustRightInd w:val="0"/>
              <w:snapToGrid w:val="0"/>
              <w:spacing w:line="300" w:lineRule="auto"/>
              <w:jc w:val="center"/>
              <w:rPr>
                <w:sz w:val="18"/>
                <w:szCs w:val="18"/>
              </w:rPr>
            </w:pPr>
            <w:r>
              <w:rPr>
                <w:rFonts w:hint="eastAsia"/>
                <w:sz w:val="18"/>
                <w:szCs w:val="18"/>
              </w:rPr>
              <w:t>温度</w:t>
            </w:r>
          </w:p>
          <w:p w14:paraId="494C4774">
            <w:pPr>
              <w:pStyle w:val="3"/>
              <w:adjustRightInd w:val="0"/>
              <w:snapToGrid w:val="0"/>
              <w:spacing w:line="300" w:lineRule="auto"/>
              <w:rPr>
                <w:sz w:val="18"/>
                <w:szCs w:val="18"/>
              </w:rPr>
            </w:pPr>
            <w:bookmarkStart w:id="545" w:name="_Toc20335"/>
            <w:bookmarkStart w:id="546" w:name="_Toc11842"/>
            <w:bookmarkStart w:id="547" w:name="_Toc9997"/>
            <w:bookmarkStart w:id="548" w:name="_Toc32261"/>
            <w:bookmarkStart w:id="549" w:name="_Toc12919"/>
            <w:bookmarkStart w:id="550" w:name="_Toc20647"/>
            <w:bookmarkStart w:id="551" w:name="_Toc30127"/>
            <w:bookmarkStart w:id="552" w:name="_Toc17490"/>
            <w:bookmarkStart w:id="553" w:name="_Toc15750"/>
            <w:bookmarkStart w:id="554" w:name="_Toc29910"/>
            <w:r>
              <w:rPr>
                <w:rFonts w:hint="eastAsia" w:ascii="Times New Roman" w:hAnsi="Times New Roman"/>
                <w:b w:val="0"/>
                <w:bCs w:val="0"/>
                <w:sz w:val="18"/>
                <w:szCs w:val="18"/>
              </w:rPr>
              <w:t>（℃）</w:t>
            </w:r>
            <w:bookmarkEnd w:id="545"/>
            <w:bookmarkEnd w:id="546"/>
            <w:bookmarkEnd w:id="547"/>
            <w:bookmarkEnd w:id="548"/>
            <w:bookmarkEnd w:id="549"/>
            <w:bookmarkEnd w:id="550"/>
            <w:bookmarkEnd w:id="551"/>
            <w:bookmarkEnd w:id="552"/>
            <w:bookmarkEnd w:id="553"/>
            <w:bookmarkEnd w:id="554"/>
          </w:p>
        </w:tc>
        <w:tc>
          <w:tcPr>
            <w:tcW w:w="433" w:type="pct"/>
            <w:gridSpan w:val="2"/>
            <w:vMerge w:val="continue"/>
            <w:vAlign w:val="center"/>
          </w:tcPr>
          <w:p w14:paraId="1CF63E47">
            <w:pPr>
              <w:pStyle w:val="2"/>
              <w:adjustRightInd w:val="0"/>
              <w:snapToGrid w:val="0"/>
              <w:spacing w:line="300" w:lineRule="auto"/>
              <w:jc w:val="center"/>
              <w:rPr>
                <w:sz w:val="18"/>
                <w:szCs w:val="18"/>
              </w:rPr>
            </w:pPr>
          </w:p>
        </w:tc>
        <w:tc>
          <w:tcPr>
            <w:tcW w:w="434" w:type="pct"/>
            <w:vAlign w:val="center"/>
          </w:tcPr>
          <w:p w14:paraId="7EB1118E">
            <w:pPr>
              <w:pStyle w:val="2"/>
              <w:adjustRightInd w:val="0"/>
              <w:snapToGrid w:val="0"/>
              <w:spacing w:line="300" w:lineRule="auto"/>
              <w:jc w:val="center"/>
              <w:rPr>
                <w:sz w:val="18"/>
                <w:szCs w:val="18"/>
              </w:rPr>
            </w:pPr>
            <w:r>
              <w:rPr>
                <w:rFonts w:hint="eastAsia"/>
                <w:sz w:val="18"/>
                <w:szCs w:val="18"/>
              </w:rPr>
              <w:t>测试电压（V）</w:t>
            </w:r>
          </w:p>
        </w:tc>
        <w:tc>
          <w:tcPr>
            <w:tcW w:w="602" w:type="pct"/>
            <w:gridSpan w:val="2"/>
            <w:vAlign w:val="center"/>
          </w:tcPr>
          <w:p w14:paraId="36DC9BCE">
            <w:pPr>
              <w:pStyle w:val="2"/>
              <w:adjustRightInd w:val="0"/>
              <w:snapToGrid w:val="0"/>
              <w:spacing w:line="300" w:lineRule="auto"/>
              <w:jc w:val="center"/>
              <w:rPr>
                <w:sz w:val="18"/>
                <w:szCs w:val="18"/>
              </w:rPr>
            </w:pPr>
            <w:r>
              <w:rPr>
                <w:rFonts w:hint="eastAsia"/>
                <w:sz w:val="18"/>
                <w:szCs w:val="18"/>
              </w:rPr>
              <w:t>正极时地绝缘电阻（M</w:t>
            </w:r>
            <w:r>
              <w:rPr>
                <w:rFonts w:hint="eastAsia"/>
                <w:sz w:val="18"/>
                <w:szCs w:val="18"/>
                <w:vertAlign w:val="subscript"/>
              </w:rPr>
              <w:t>0</w:t>
            </w:r>
            <w:r>
              <w:rPr>
                <w:rFonts w:hint="eastAsia"/>
                <w:sz w:val="18"/>
                <w:szCs w:val="18"/>
              </w:rPr>
              <w:t>）</w:t>
            </w:r>
          </w:p>
        </w:tc>
        <w:tc>
          <w:tcPr>
            <w:tcW w:w="561" w:type="pct"/>
            <w:gridSpan w:val="2"/>
            <w:vAlign w:val="center"/>
          </w:tcPr>
          <w:p w14:paraId="77A2E024">
            <w:pPr>
              <w:pStyle w:val="2"/>
              <w:adjustRightInd w:val="0"/>
              <w:snapToGrid w:val="0"/>
              <w:spacing w:line="300" w:lineRule="auto"/>
              <w:jc w:val="center"/>
              <w:rPr>
                <w:sz w:val="18"/>
                <w:szCs w:val="18"/>
              </w:rPr>
            </w:pPr>
            <w:r>
              <w:rPr>
                <w:rFonts w:hint="eastAsia"/>
                <w:sz w:val="18"/>
                <w:szCs w:val="18"/>
              </w:rPr>
              <w:t>负极时地绝缘电阻（M</w:t>
            </w:r>
            <w:r>
              <w:rPr>
                <w:rFonts w:hint="eastAsia"/>
                <w:sz w:val="18"/>
                <w:szCs w:val="18"/>
                <w:vertAlign w:val="subscript"/>
              </w:rPr>
              <w:t>0</w:t>
            </w:r>
            <w:r>
              <w:rPr>
                <w:rFonts w:hint="eastAsia"/>
                <w:sz w:val="18"/>
                <w:szCs w:val="18"/>
              </w:rPr>
              <w:t>）</w:t>
            </w:r>
          </w:p>
        </w:tc>
        <w:tc>
          <w:tcPr>
            <w:tcW w:w="546" w:type="pct"/>
            <w:vMerge w:val="continue"/>
            <w:vAlign w:val="center"/>
          </w:tcPr>
          <w:p w14:paraId="62F8B08F">
            <w:pPr>
              <w:pStyle w:val="2"/>
              <w:adjustRightInd w:val="0"/>
              <w:snapToGrid w:val="0"/>
              <w:spacing w:line="300" w:lineRule="auto"/>
              <w:jc w:val="center"/>
              <w:rPr>
                <w:sz w:val="18"/>
                <w:szCs w:val="18"/>
              </w:rPr>
            </w:pPr>
          </w:p>
        </w:tc>
        <w:tc>
          <w:tcPr>
            <w:tcW w:w="304" w:type="pct"/>
            <w:vMerge w:val="continue"/>
            <w:vAlign w:val="center"/>
          </w:tcPr>
          <w:p w14:paraId="6B672E5F">
            <w:pPr>
              <w:pStyle w:val="2"/>
              <w:adjustRightInd w:val="0"/>
              <w:snapToGrid w:val="0"/>
              <w:spacing w:line="300" w:lineRule="auto"/>
              <w:jc w:val="center"/>
              <w:rPr>
                <w:sz w:val="18"/>
                <w:szCs w:val="18"/>
              </w:rPr>
            </w:pPr>
          </w:p>
        </w:tc>
        <w:tc>
          <w:tcPr>
            <w:tcW w:w="348" w:type="pct"/>
            <w:vMerge w:val="continue"/>
            <w:vAlign w:val="center"/>
          </w:tcPr>
          <w:p w14:paraId="1F26D810">
            <w:pPr>
              <w:pStyle w:val="2"/>
              <w:adjustRightInd w:val="0"/>
              <w:snapToGrid w:val="0"/>
              <w:spacing w:line="300" w:lineRule="auto"/>
              <w:jc w:val="center"/>
              <w:rPr>
                <w:sz w:val="18"/>
                <w:szCs w:val="18"/>
              </w:rPr>
            </w:pPr>
          </w:p>
        </w:tc>
      </w:tr>
      <w:tr w14:paraId="5712C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 w:type="pct"/>
            <w:vAlign w:val="center"/>
          </w:tcPr>
          <w:p w14:paraId="76797397">
            <w:pPr>
              <w:pStyle w:val="2"/>
              <w:adjustRightInd w:val="0"/>
              <w:snapToGrid w:val="0"/>
              <w:spacing w:line="300" w:lineRule="auto"/>
              <w:jc w:val="center"/>
              <w:rPr>
                <w:sz w:val="18"/>
                <w:szCs w:val="18"/>
              </w:rPr>
            </w:pPr>
            <w:r>
              <w:rPr>
                <w:rFonts w:hint="eastAsia"/>
                <w:sz w:val="18"/>
                <w:szCs w:val="18"/>
              </w:rPr>
              <w:t>1</w:t>
            </w:r>
          </w:p>
        </w:tc>
        <w:tc>
          <w:tcPr>
            <w:tcW w:w="307" w:type="pct"/>
            <w:vAlign w:val="center"/>
          </w:tcPr>
          <w:p w14:paraId="2BAE32BF">
            <w:pPr>
              <w:pStyle w:val="2"/>
              <w:adjustRightInd w:val="0"/>
              <w:snapToGrid w:val="0"/>
              <w:spacing w:line="300" w:lineRule="auto"/>
              <w:jc w:val="center"/>
              <w:rPr>
                <w:sz w:val="18"/>
                <w:szCs w:val="18"/>
              </w:rPr>
            </w:pPr>
          </w:p>
        </w:tc>
        <w:tc>
          <w:tcPr>
            <w:tcW w:w="323" w:type="pct"/>
            <w:vAlign w:val="center"/>
          </w:tcPr>
          <w:p w14:paraId="5926A9EC">
            <w:pPr>
              <w:pStyle w:val="2"/>
              <w:adjustRightInd w:val="0"/>
              <w:snapToGrid w:val="0"/>
              <w:spacing w:line="300" w:lineRule="auto"/>
              <w:jc w:val="center"/>
              <w:rPr>
                <w:sz w:val="18"/>
                <w:szCs w:val="18"/>
              </w:rPr>
            </w:pPr>
          </w:p>
        </w:tc>
        <w:tc>
          <w:tcPr>
            <w:tcW w:w="413" w:type="pct"/>
            <w:vAlign w:val="center"/>
          </w:tcPr>
          <w:p w14:paraId="6DE13E1B">
            <w:pPr>
              <w:pStyle w:val="2"/>
              <w:adjustRightInd w:val="0"/>
              <w:snapToGrid w:val="0"/>
              <w:spacing w:line="300" w:lineRule="auto"/>
              <w:jc w:val="center"/>
              <w:rPr>
                <w:sz w:val="18"/>
                <w:szCs w:val="18"/>
              </w:rPr>
            </w:pPr>
          </w:p>
        </w:tc>
        <w:tc>
          <w:tcPr>
            <w:tcW w:w="416" w:type="pct"/>
            <w:vAlign w:val="center"/>
          </w:tcPr>
          <w:p w14:paraId="1C1AB954">
            <w:pPr>
              <w:pStyle w:val="2"/>
              <w:adjustRightInd w:val="0"/>
              <w:snapToGrid w:val="0"/>
              <w:spacing w:line="300" w:lineRule="auto"/>
              <w:jc w:val="center"/>
              <w:rPr>
                <w:sz w:val="18"/>
                <w:szCs w:val="18"/>
              </w:rPr>
            </w:pPr>
          </w:p>
        </w:tc>
        <w:tc>
          <w:tcPr>
            <w:tcW w:w="433" w:type="pct"/>
            <w:gridSpan w:val="2"/>
            <w:vAlign w:val="center"/>
          </w:tcPr>
          <w:p w14:paraId="7E4CBDB0">
            <w:pPr>
              <w:pStyle w:val="2"/>
              <w:adjustRightInd w:val="0"/>
              <w:snapToGrid w:val="0"/>
              <w:spacing w:line="300" w:lineRule="auto"/>
              <w:jc w:val="center"/>
              <w:rPr>
                <w:sz w:val="18"/>
                <w:szCs w:val="18"/>
              </w:rPr>
            </w:pPr>
          </w:p>
        </w:tc>
        <w:tc>
          <w:tcPr>
            <w:tcW w:w="434" w:type="pct"/>
            <w:vAlign w:val="center"/>
          </w:tcPr>
          <w:p w14:paraId="6A53A637">
            <w:pPr>
              <w:pStyle w:val="2"/>
              <w:adjustRightInd w:val="0"/>
              <w:snapToGrid w:val="0"/>
              <w:spacing w:line="300" w:lineRule="auto"/>
              <w:jc w:val="center"/>
              <w:rPr>
                <w:sz w:val="18"/>
                <w:szCs w:val="18"/>
              </w:rPr>
            </w:pPr>
          </w:p>
        </w:tc>
        <w:tc>
          <w:tcPr>
            <w:tcW w:w="602" w:type="pct"/>
            <w:gridSpan w:val="2"/>
            <w:vAlign w:val="center"/>
          </w:tcPr>
          <w:p w14:paraId="6B0A3687">
            <w:pPr>
              <w:pStyle w:val="2"/>
              <w:adjustRightInd w:val="0"/>
              <w:snapToGrid w:val="0"/>
              <w:spacing w:line="300" w:lineRule="auto"/>
              <w:jc w:val="center"/>
              <w:rPr>
                <w:sz w:val="18"/>
                <w:szCs w:val="18"/>
              </w:rPr>
            </w:pPr>
          </w:p>
        </w:tc>
        <w:tc>
          <w:tcPr>
            <w:tcW w:w="561" w:type="pct"/>
            <w:gridSpan w:val="2"/>
            <w:vAlign w:val="center"/>
          </w:tcPr>
          <w:p w14:paraId="3E6973BA">
            <w:pPr>
              <w:pStyle w:val="2"/>
              <w:adjustRightInd w:val="0"/>
              <w:snapToGrid w:val="0"/>
              <w:spacing w:line="300" w:lineRule="auto"/>
              <w:jc w:val="center"/>
              <w:rPr>
                <w:sz w:val="18"/>
                <w:szCs w:val="18"/>
              </w:rPr>
            </w:pPr>
          </w:p>
        </w:tc>
        <w:tc>
          <w:tcPr>
            <w:tcW w:w="546" w:type="pct"/>
            <w:vAlign w:val="center"/>
          </w:tcPr>
          <w:p w14:paraId="3B26D442">
            <w:pPr>
              <w:pStyle w:val="2"/>
              <w:adjustRightInd w:val="0"/>
              <w:snapToGrid w:val="0"/>
              <w:spacing w:line="300" w:lineRule="auto"/>
              <w:jc w:val="center"/>
              <w:rPr>
                <w:sz w:val="18"/>
                <w:szCs w:val="18"/>
              </w:rPr>
            </w:pPr>
          </w:p>
        </w:tc>
        <w:tc>
          <w:tcPr>
            <w:tcW w:w="304" w:type="pct"/>
            <w:vAlign w:val="center"/>
          </w:tcPr>
          <w:p w14:paraId="7D37828A">
            <w:pPr>
              <w:pStyle w:val="2"/>
              <w:adjustRightInd w:val="0"/>
              <w:snapToGrid w:val="0"/>
              <w:spacing w:line="300" w:lineRule="auto"/>
              <w:jc w:val="center"/>
              <w:rPr>
                <w:sz w:val="18"/>
                <w:szCs w:val="18"/>
              </w:rPr>
            </w:pPr>
          </w:p>
        </w:tc>
        <w:tc>
          <w:tcPr>
            <w:tcW w:w="348" w:type="pct"/>
            <w:vAlign w:val="center"/>
          </w:tcPr>
          <w:p w14:paraId="10033616">
            <w:pPr>
              <w:pStyle w:val="2"/>
              <w:adjustRightInd w:val="0"/>
              <w:snapToGrid w:val="0"/>
              <w:spacing w:line="300" w:lineRule="auto"/>
              <w:jc w:val="center"/>
              <w:rPr>
                <w:sz w:val="18"/>
                <w:szCs w:val="18"/>
              </w:rPr>
            </w:pPr>
          </w:p>
        </w:tc>
      </w:tr>
      <w:tr w14:paraId="62277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 w:type="pct"/>
            <w:vAlign w:val="center"/>
          </w:tcPr>
          <w:p w14:paraId="37804EC0">
            <w:pPr>
              <w:pStyle w:val="2"/>
              <w:adjustRightInd w:val="0"/>
              <w:snapToGrid w:val="0"/>
              <w:spacing w:line="300" w:lineRule="auto"/>
              <w:jc w:val="center"/>
              <w:rPr>
                <w:sz w:val="18"/>
                <w:szCs w:val="18"/>
              </w:rPr>
            </w:pPr>
            <w:r>
              <w:rPr>
                <w:rFonts w:hint="eastAsia"/>
                <w:sz w:val="18"/>
                <w:szCs w:val="18"/>
              </w:rPr>
              <w:t>2</w:t>
            </w:r>
          </w:p>
        </w:tc>
        <w:tc>
          <w:tcPr>
            <w:tcW w:w="307" w:type="pct"/>
            <w:vAlign w:val="center"/>
          </w:tcPr>
          <w:p w14:paraId="73B0AFEF">
            <w:pPr>
              <w:pStyle w:val="2"/>
              <w:adjustRightInd w:val="0"/>
              <w:snapToGrid w:val="0"/>
              <w:spacing w:line="300" w:lineRule="auto"/>
              <w:jc w:val="center"/>
              <w:rPr>
                <w:sz w:val="18"/>
                <w:szCs w:val="18"/>
              </w:rPr>
            </w:pPr>
          </w:p>
        </w:tc>
        <w:tc>
          <w:tcPr>
            <w:tcW w:w="323" w:type="pct"/>
            <w:vAlign w:val="center"/>
          </w:tcPr>
          <w:p w14:paraId="4C6798B2">
            <w:pPr>
              <w:pStyle w:val="2"/>
              <w:adjustRightInd w:val="0"/>
              <w:snapToGrid w:val="0"/>
              <w:spacing w:line="300" w:lineRule="auto"/>
              <w:jc w:val="center"/>
              <w:rPr>
                <w:sz w:val="18"/>
                <w:szCs w:val="18"/>
              </w:rPr>
            </w:pPr>
          </w:p>
        </w:tc>
        <w:tc>
          <w:tcPr>
            <w:tcW w:w="413" w:type="pct"/>
            <w:vAlign w:val="center"/>
          </w:tcPr>
          <w:p w14:paraId="7FB8B202">
            <w:pPr>
              <w:pStyle w:val="2"/>
              <w:adjustRightInd w:val="0"/>
              <w:snapToGrid w:val="0"/>
              <w:spacing w:line="300" w:lineRule="auto"/>
              <w:jc w:val="center"/>
              <w:rPr>
                <w:sz w:val="18"/>
                <w:szCs w:val="18"/>
              </w:rPr>
            </w:pPr>
          </w:p>
        </w:tc>
        <w:tc>
          <w:tcPr>
            <w:tcW w:w="416" w:type="pct"/>
            <w:vAlign w:val="center"/>
          </w:tcPr>
          <w:p w14:paraId="336A6B6E">
            <w:pPr>
              <w:pStyle w:val="2"/>
              <w:adjustRightInd w:val="0"/>
              <w:snapToGrid w:val="0"/>
              <w:spacing w:line="300" w:lineRule="auto"/>
              <w:jc w:val="center"/>
              <w:rPr>
                <w:sz w:val="18"/>
                <w:szCs w:val="18"/>
              </w:rPr>
            </w:pPr>
          </w:p>
        </w:tc>
        <w:tc>
          <w:tcPr>
            <w:tcW w:w="433" w:type="pct"/>
            <w:gridSpan w:val="2"/>
            <w:vAlign w:val="center"/>
          </w:tcPr>
          <w:p w14:paraId="64C949C5">
            <w:pPr>
              <w:pStyle w:val="2"/>
              <w:adjustRightInd w:val="0"/>
              <w:snapToGrid w:val="0"/>
              <w:spacing w:line="300" w:lineRule="auto"/>
              <w:jc w:val="center"/>
              <w:rPr>
                <w:sz w:val="18"/>
                <w:szCs w:val="18"/>
              </w:rPr>
            </w:pPr>
          </w:p>
        </w:tc>
        <w:tc>
          <w:tcPr>
            <w:tcW w:w="434" w:type="pct"/>
            <w:vAlign w:val="center"/>
          </w:tcPr>
          <w:p w14:paraId="74979605">
            <w:pPr>
              <w:pStyle w:val="2"/>
              <w:adjustRightInd w:val="0"/>
              <w:snapToGrid w:val="0"/>
              <w:spacing w:line="300" w:lineRule="auto"/>
              <w:jc w:val="center"/>
              <w:rPr>
                <w:sz w:val="18"/>
                <w:szCs w:val="18"/>
              </w:rPr>
            </w:pPr>
          </w:p>
        </w:tc>
        <w:tc>
          <w:tcPr>
            <w:tcW w:w="602" w:type="pct"/>
            <w:gridSpan w:val="2"/>
            <w:vAlign w:val="center"/>
          </w:tcPr>
          <w:p w14:paraId="05B2CB1F">
            <w:pPr>
              <w:pStyle w:val="2"/>
              <w:adjustRightInd w:val="0"/>
              <w:snapToGrid w:val="0"/>
              <w:spacing w:line="300" w:lineRule="auto"/>
              <w:jc w:val="center"/>
              <w:rPr>
                <w:sz w:val="18"/>
                <w:szCs w:val="18"/>
              </w:rPr>
            </w:pPr>
          </w:p>
        </w:tc>
        <w:tc>
          <w:tcPr>
            <w:tcW w:w="561" w:type="pct"/>
            <w:gridSpan w:val="2"/>
            <w:vAlign w:val="center"/>
          </w:tcPr>
          <w:p w14:paraId="38FA1AF5">
            <w:pPr>
              <w:pStyle w:val="2"/>
              <w:adjustRightInd w:val="0"/>
              <w:snapToGrid w:val="0"/>
              <w:spacing w:line="300" w:lineRule="auto"/>
              <w:jc w:val="center"/>
              <w:rPr>
                <w:sz w:val="18"/>
                <w:szCs w:val="18"/>
              </w:rPr>
            </w:pPr>
          </w:p>
        </w:tc>
        <w:tc>
          <w:tcPr>
            <w:tcW w:w="546" w:type="pct"/>
            <w:vAlign w:val="center"/>
          </w:tcPr>
          <w:p w14:paraId="598B7398">
            <w:pPr>
              <w:pStyle w:val="2"/>
              <w:adjustRightInd w:val="0"/>
              <w:snapToGrid w:val="0"/>
              <w:spacing w:line="300" w:lineRule="auto"/>
              <w:jc w:val="center"/>
              <w:rPr>
                <w:sz w:val="18"/>
                <w:szCs w:val="18"/>
              </w:rPr>
            </w:pPr>
          </w:p>
        </w:tc>
        <w:tc>
          <w:tcPr>
            <w:tcW w:w="304" w:type="pct"/>
            <w:vAlign w:val="center"/>
          </w:tcPr>
          <w:p w14:paraId="2A1C7186">
            <w:pPr>
              <w:pStyle w:val="2"/>
              <w:adjustRightInd w:val="0"/>
              <w:snapToGrid w:val="0"/>
              <w:spacing w:line="300" w:lineRule="auto"/>
              <w:jc w:val="center"/>
              <w:rPr>
                <w:sz w:val="18"/>
                <w:szCs w:val="18"/>
              </w:rPr>
            </w:pPr>
          </w:p>
        </w:tc>
        <w:tc>
          <w:tcPr>
            <w:tcW w:w="348" w:type="pct"/>
            <w:vAlign w:val="center"/>
          </w:tcPr>
          <w:p w14:paraId="38A6681D">
            <w:pPr>
              <w:pStyle w:val="2"/>
              <w:adjustRightInd w:val="0"/>
              <w:snapToGrid w:val="0"/>
              <w:spacing w:line="300" w:lineRule="auto"/>
              <w:jc w:val="center"/>
              <w:rPr>
                <w:sz w:val="18"/>
                <w:szCs w:val="18"/>
              </w:rPr>
            </w:pPr>
          </w:p>
        </w:tc>
      </w:tr>
    </w:tbl>
    <w:p w14:paraId="63CA9899">
      <w:pPr>
        <w:spacing w:line="300" w:lineRule="auto"/>
        <w:sectPr>
          <w:pgSz w:w="16838" w:h="11906" w:orient="landscape"/>
          <w:pgMar w:top="1800" w:right="1440" w:bottom="1800" w:left="1440" w:header="851" w:footer="992" w:gutter="0"/>
          <w:pgNumType w:fmt="decimal"/>
          <w:cols w:space="425" w:num="1"/>
          <w:docGrid w:type="lines" w:linePitch="312" w:charSpace="0"/>
        </w:sectPr>
      </w:pPr>
    </w:p>
    <w:p w14:paraId="6B573C0D">
      <w:pPr>
        <w:pStyle w:val="5"/>
        <w:spacing w:before="72" w:beforeLines="30" w:after="72" w:afterLines="30" w:line="300" w:lineRule="auto"/>
        <w:jc w:val="center"/>
        <w:rPr>
          <w:rFonts w:hint="default" w:ascii="Times New Roman" w:hAnsi="Times New Roman" w:eastAsia="黑体" w:cs="Times New Roman"/>
          <w:b/>
          <w:bCs/>
          <w:sz w:val="28"/>
          <w:szCs w:val="28"/>
        </w:rPr>
      </w:pPr>
      <w:bookmarkStart w:id="555" w:name="_Toc6170"/>
      <w:bookmarkStart w:id="556" w:name="_Toc10168"/>
      <w:bookmarkStart w:id="557" w:name="_Toc9740"/>
      <w:bookmarkStart w:id="558" w:name="_Toc30781"/>
      <w:bookmarkStart w:id="559" w:name="_Toc1678"/>
      <w:r>
        <w:rPr>
          <w:rFonts w:ascii="Times New Roman" w:hAnsi="Times New Roman" w:eastAsia="黑体" w:cs="Times New Roman"/>
          <w:sz w:val="28"/>
          <w:szCs w:val="28"/>
        </w:rPr>
        <w:t>附录</w:t>
      </w:r>
      <w:r>
        <w:rPr>
          <w:rFonts w:hint="eastAsia" w:ascii="Times New Roman" w:hAnsi="Times New Roman" w:eastAsia="黑体" w:cs="Times New Roman"/>
          <w:sz w:val="28"/>
          <w:szCs w:val="28"/>
          <w:lang w:val="en-US" w:eastAsia="zh-CN"/>
        </w:rPr>
        <w:t>C</w:t>
      </w:r>
      <w:r>
        <w:rPr>
          <w:rFonts w:hint="default" w:ascii="Times New Roman" w:hAnsi="Times New Roman" w:eastAsia="黑体" w:cs="Times New Roman"/>
          <w:sz w:val="28"/>
          <w:szCs w:val="28"/>
          <w:lang w:val="en-US" w:eastAsia="zh-CN"/>
        </w:rPr>
        <w:t xml:space="preserve"> </w:t>
      </w:r>
      <w:r>
        <w:rPr>
          <w:rFonts w:hint="default" w:ascii="Times New Roman" w:hAnsi="Times New Roman" w:eastAsia="黑体" w:cs="Times New Roman"/>
          <w:b/>
          <w:bCs/>
          <w:sz w:val="28"/>
          <w:szCs w:val="28"/>
        </w:rPr>
        <w:t>建筑光伏系统的故障处理表</w:t>
      </w:r>
      <w:bookmarkEnd w:id="555"/>
      <w:bookmarkEnd w:id="556"/>
      <w:bookmarkEnd w:id="557"/>
      <w:bookmarkEnd w:id="558"/>
      <w:bookmarkEnd w:id="559"/>
    </w:p>
    <w:p w14:paraId="688C9E63">
      <w:pPr>
        <w:snapToGrid w:val="0"/>
        <w:spacing w:line="30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C.0.1</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建筑光伏系统的故障处理</w:t>
      </w:r>
      <w:r>
        <w:rPr>
          <w:rFonts w:hint="eastAsia" w:ascii="宋体" w:hAnsi="宋体" w:cs="宋体"/>
          <w:b w:val="0"/>
          <w:bCs w:val="0"/>
          <w:sz w:val="24"/>
          <w:szCs w:val="24"/>
          <w:lang w:val="en-US" w:eastAsia="zh-CN"/>
        </w:rPr>
        <w:t>可参照</w:t>
      </w:r>
      <w:r>
        <w:rPr>
          <w:rFonts w:hint="eastAsia" w:ascii="宋体" w:hAnsi="宋体" w:eastAsia="宋体" w:cs="宋体"/>
          <w:sz w:val="24"/>
        </w:rPr>
        <w:t>表</w:t>
      </w:r>
      <w:r>
        <w:rPr>
          <w:rFonts w:hint="eastAsia" w:ascii="宋体" w:hAnsi="宋体" w:cs="宋体"/>
          <w:sz w:val="24"/>
          <w:lang w:val="en-US" w:eastAsia="zh-CN"/>
        </w:rPr>
        <w:t>C</w:t>
      </w:r>
      <w:r>
        <w:rPr>
          <w:rFonts w:hint="eastAsia" w:ascii="宋体" w:hAnsi="宋体" w:eastAsia="宋体" w:cs="宋体"/>
          <w:sz w:val="24"/>
        </w:rPr>
        <w:t>.0.1</w:t>
      </w:r>
      <w:r>
        <w:rPr>
          <w:rFonts w:hint="eastAsia" w:ascii="宋体" w:hAnsi="宋体" w:cs="宋体"/>
          <w:sz w:val="24"/>
          <w:lang w:val="en-US" w:eastAsia="zh-CN"/>
        </w:rPr>
        <w:t>的方式处理。</w:t>
      </w:r>
    </w:p>
    <w:p w14:paraId="3BC482D7">
      <w:pPr>
        <w:jc w:val="center"/>
        <w:rPr>
          <w:rFonts w:hint="eastAsia" w:ascii="宋体" w:hAnsi="宋体" w:eastAsia="宋体" w:cs="宋体"/>
          <w:b/>
          <w:bCs/>
          <w:sz w:val="24"/>
          <w:lang w:val="en-US" w:eastAsia="zh-CN"/>
        </w:rPr>
      </w:pPr>
      <w:r>
        <w:rPr>
          <w:rFonts w:hint="eastAsia" w:ascii="宋体" w:hAnsi="宋体" w:eastAsia="宋体" w:cs="宋体"/>
          <w:b/>
          <w:bCs/>
          <w:sz w:val="24"/>
          <w:szCs w:val="24"/>
          <w:lang w:val="en-US" w:eastAsia="zh-CN"/>
        </w:rPr>
        <w:t>表C.0.1　</w:t>
      </w:r>
      <w:r>
        <w:rPr>
          <w:rFonts w:hint="eastAsia" w:ascii="宋体" w:hAnsi="宋体" w:eastAsia="宋体" w:cs="宋体"/>
          <w:b/>
          <w:bCs/>
          <w:sz w:val="24"/>
          <w:szCs w:val="24"/>
        </w:rPr>
        <w:t>建筑光伏系统的故障处理表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2344"/>
        <w:gridCol w:w="2438"/>
        <w:gridCol w:w="2300"/>
      </w:tblGrid>
      <w:tr w14:paraId="20C92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7806B2FF">
            <w:pPr>
              <w:snapToGrid w:val="0"/>
              <w:spacing w:line="300" w:lineRule="auto"/>
              <w:jc w:val="center"/>
              <w:rPr>
                <w:rFonts w:hint="eastAsia" w:ascii="宋体" w:hAnsi="宋体" w:eastAsia="宋体" w:cs="宋体"/>
                <w:sz w:val="18"/>
                <w:szCs w:val="18"/>
              </w:rPr>
            </w:pPr>
            <w:r>
              <w:rPr>
                <w:rFonts w:hint="eastAsia" w:ascii="宋体" w:hAnsi="宋体" w:eastAsia="宋体" w:cs="宋体"/>
                <w:sz w:val="18"/>
                <w:szCs w:val="18"/>
              </w:rPr>
              <w:t>类别</w:t>
            </w:r>
          </w:p>
        </w:tc>
        <w:tc>
          <w:tcPr>
            <w:tcW w:w="2344" w:type="dxa"/>
            <w:vAlign w:val="center"/>
          </w:tcPr>
          <w:p w14:paraId="59BC3246">
            <w:pPr>
              <w:snapToGrid w:val="0"/>
              <w:spacing w:line="300" w:lineRule="auto"/>
              <w:jc w:val="center"/>
              <w:rPr>
                <w:rFonts w:hint="eastAsia" w:ascii="宋体" w:hAnsi="宋体" w:eastAsia="宋体" w:cs="宋体"/>
                <w:sz w:val="18"/>
                <w:szCs w:val="18"/>
              </w:rPr>
            </w:pPr>
            <w:r>
              <w:rPr>
                <w:rFonts w:hint="eastAsia" w:ascii="宋体" w:hAnsi="宋体" w:eastAsia="宋体" w:cs="宋体"/>
                <w:sz w:val="18"/>
                <w:szCs w:val="18"/>
              </w:rPr>
              <w:t>常见故障</w:t>
            </w:r>
          </w:p>
        </w:tc>
        <w:tc>
          <w:tcPr>
            <w:tcW w:w="2438" w:type="dxa"/>
            <w:vAlign w:val="center"/>
          </w:tcPr>
          <w:p w14:paraId="3E6638F5">
            <w:pPr>
              <w:snapToGrid w:val="0"/>
              <w:spacing w:line="300" w:lineRule="auto"/>
              <w:jc w:val="center"/>
              <w:rPr>
                <w:rFonts w:hint="eastAsia" w:ascii="宋体" w:hAnsi="宋体" w:eastAsia="宋体" w:cs="宋体"/>
                <w:sz w:val="18"/>
                <w:szCs w:val="18"/>
              </w:rPr>
            </w:pPr>
            <w:r>
              <w:rPr>
                <w:rFonts w:hint="eastAsia" w:ascii="宋体" w:hAnsi="宋体" w:eastAsia="宋体" w:cs="宋体"/>
                <w:sz w:val="18"/>
                <w:szCs w:val="18"/>
              </w:rPr>
              <w:t>原因分析</w:t>
            </w:r>
          </w:p>
        </w:tc>
        <w:tc>
          <w:tcPr>
            <w:tcW w:w="2300" w:type="dxa"/>
            <w:vAlign w:val="center"/>
          </w:tcPr>
          <w:p w14:paraId="5E1A3A96">
            <w:pPr>
              <w:snapToGrid w:val="0"/>
              <w:spacing w:line="300" w:lineRule="auto"/>
              <w:jc w:val="center"/>
              <w:rPr>
                <w:rFonts w:hint="eastAsia" w:ascii="宋体" w:hAnsi="宋体" w:eastAsia="宋体" w:cs="宋体"/>
                <w:sz w:val="18"/>
                <w:szCs w:val="18"/>
              </w:rPr>
            </w:pPr>
            <w:r>
              <w:rPr>
                <w:rFonts w:hint="eastAsia" w:ascii="宋体" w:hAnsi="宋体" w:eastAsia="宋体" w:cs="宋体"/>
                <w:sz w:val="18"/>
                <w:szCs w:val="18"/>
              </w:rPr>
              <w:t>处理措施</w:t>
            </w:r>
          </w:p>
        </w:tc>
      </w:tr>
      <w:tr w14:paraId="31087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094A4886">
            <w:pPr>
              <w:snapToGrid w:val="0"/>
              <w:spacing w:line="300" w:lineRule="auto"/>
              <w:jc w:val="center"/>
              <w:rPr>
                <w:rFonts w:hint="eastAsia" w:ascii="宋体" w:hAnsi="宋体" w:eastAsia="宋体" w:cs="宋体"/>
                <w:sz w:val="18"/>
                <w:szCs w:val="18"/>
              </w:rPr>
            </w:pPr>
            <w:r>
              <w:rPr>
                <w:rFonts w:hint="eastAsia" w:ascii="宋体" w:hAnsi="宋体" w:eastAsia="宋体" w:cs="宋体"/>
                <w:sz w:val="18"/>
                <w:szCs w:val="18"/>
              </w:rPr>
              <w:t>光伏组件</w:t>
            </w:r>
          </w:p>
        </w:tc>
        <w:tc>
          <w:tcPr>
            <w:tcW w:w="2344" w:type="dxa"/>
            <w:vAlign w:val="center"/>
          </w:tcPr>
          <w:p w14:paraId="7E77108C">
            <w:pPr>
              <w:snapToGrid w:val="0"/>
              <w:spacing w:line="300" w:lineRule="auto"/>
              <w:jc w:val="center"/>
              <w:rPr>
                <w:rFonts w:hint="eastAsia" w:ascii="宋体" w:hAnsi="宋体" w:eastAsia="宋体" w:cs="宋体"/>
                <w:sz w:val="18"/>
                <w:szCs w:val="18"/>
              </w:rPr>
            </w:pPr>
            <w:r>
              <w:rPr>
                <w:rFonts w:hint="eastAsia" w:ascii="宋体" w:hAnsi="宋体" w:eastAsia="宋体" w:cs="宋体"/>
                <w:sz w:val="18"/>
                <w:szCs w:val="18"/>
              </w:rPr>
              <w:t>外电极断路</w:t>
            </w:r>
          </w:p>
          <w:p w14:paraId="73E0BBB4">
            <w:pPr>
              <w:snapToGrid w:val="0"/>
              <w:spacing w:line="300" w:lineRule="auto"/>
              <w:jc w:val="center"/>
              <w:rPr>
                <w:rFonts w:hint="eastAsia" w:ascii="宋体" w:hAnsi="宋体" w:eastAsia="宋体" w:cs="宋体"/>
                <w:sz w:val="18"/>
                <w:szCs w:val="18"/>
              </w:rPr>
            </w:pPr>
            <w:r>
              <w:rPr>
                <w:rFonts w:hint="eastAsia" w:ascii="宋体" w:hAnsi="宋体" w:eastAsia="宋体" w:cs="宋体"/>
                <w:sz w:val="18"/>
                <w:szCs w:val="18"/>
              </w:rPr>
              <w:t>内部断路</w:t>
            </w:r>
          </w:p>
          <w:p w14:paraId="62A23DC8">
            <w:pPr>
              <w:snapToGrid w:val="0"/>
              <w:spacing w:line="300" w:lineRule="auto"/>
              <w:jc w:val="center"/>
              <w:rPr>
                <w:rFonts w:hint="eastAsia" w:ascii="宋体" w:hAnsi="宋体" w:eastAsia="宋体" w:cs="宋体"/>
                <w:sz w:val="18"/>
                <w:szCs w:val="18"/>
              </w:rPr>
            </w:pPr>
            <w:r>
              <w:rPr>
                <w:rFonts w:hint="eastAsia" w:ascii="宋体" w:hAnsi="宋体" w:eastAsia="宋体" w:cs="宋体"/>
                <w:sz w:val="18"/>
                <w:szCs w:val="18"/>
              </w:rPr>
              <w:t>旁路二极管短路</w:t>
            </w:r>
          </w:p>
          <w:p w14:paraId="68DEC2AA">
            <w:pPr>
              <w:snapToGrid w:val="0"/>
              <w:spacing w:line="300" w:lineRule="auto"/>
              <w:jc w:val="center"/>
              <w:rPr>
                <w:rFonts w:hint="eastAsia" w:ascii="宋体" w:hAnsi="宋体" w:eastAsia="宋体" w:cs="宋体"/>
                <w:sz w:val="18"/>
                <w:szCs w:val="18"/>
              </w:rPr>
            </w:pPr>
            <w:r>
              <w:rPr>
                <w:rFonts w:hint="eastAsia" w:ascii="宋体" w:hAnsi="宋体" w:eastAsia="宋体" w:cs="宋体"/>
                <w:sz w:val="18"/>
                <w:szCs w:val="18"/>
              </w:rPr>
              <w:t>导线短路</w:t>
            </w:r>
          </w:p>
        </w:tc>
        <w:tc>
          <w:tcPr>
            <w:tcW w:w="2438" w:type="dxa"/>
            <w:vAlign w:val="center"/>
          </w:tcPr>
          <w:p w14:paraId="523F514D">
            <w:pPr>
              <w:snapToGrid w:val="0"/>
              <w:spacing w:line="300" w:lineRule="auto"/>
              <w:jc w:val="center"/>
              <w:rPr>
                <w:rFonts w:hint="eastAsia" w:ascii="宋体" w:hAnsi="宋体" w:eastAsia="宋体" w:cs="宋体"/>
                <w:sz w:val="18"/>
                <w:szCs w:val="18"/>
              </w:rPr>
            </w:pPr>
            <w:r>
              <w:rPr>
                <w:rFonts w:hint="eastAsia" w:ascii="宋体" w:hAnsi="宋体" w:eastAsia="宋体" w:cs="宋体"/>
                <w:sz w:val="18"/>
                <w:szCs w:val="18"/>
              </w:rPr>
              <w:t>旁路二极管反接</w:t>
            </w:r>
          </w:p>
          <w:p w14:paraId="2DE248F6">
            <w:pPr>
              <w:snapToGrid w:val="0"/>
              <w:spacing w:line="300" w:lineRule="auto"/>
              <w:jc w:val="center"/>
              <w:rPr>
                <w:rFonts w:hint="eastAsia" w:ascii="宋体" w:hAnsi="宋体" w:eastAsia="宋体" w:cs="宋体"/>
                <w:sz w:val="18"/>
                <w:szCs w:val="18"/>
              </w:rPr>
            </w:pPr>
            <w:r>
              <w:rPr>
                <w:rFonts w:hint="eastAsia" w:ascii="宋体" w:hAnsi="宋体" w:eastAsia="宋体" w:cs="宋体"/>
                <w:sz w:val="18"/>
                <w:szCs w:val="18"/>
              </w:rPr>
              <w:t>热斑效应</w:t>
            </w:r>
          </w:p>
          <w:p w14:paraId="6C18DF5B">
            <w:pPr>
              <w:snapToGrid w:val="0"/>
              <w:spacing w:line="300" w:lineRule="auto"/>
              <w:jc w:val="center"/>
              <w:rPr>
                <w:rFonts w:hint="eastAsia" w:ascii="宋体" w:hAnsi="宋体" w:eastAsia="宋体" w:cs="宋体"/>
                <w:sz w:val="18"/>
                <w:szCs w:val="18"/>
              </w:rPr>
            </w:pPr>
            <w:r>
              <w:rPr>
                <w:rFonts w:hint="eastAsia" w:ascii="宋体" w:hAnsi="宋体" w:eastAsia="宋体" w:cs="宋体"/>
                <w:sz w:val="18"/>
                <w:szCs w:val="18"/>
              </w:rPr>
              <w:t>接线盒脱落</w:t>
            </w:r>
          </w:p>
          <w:p w14:paraId="321CC584">
            <w:pPr>
              <w:snapToGrid w:val="0"/>
              <w:spacing w:line="300" w:lineRule="auto"/>
              <w:jc w:val="center"/>
              <w:rPr>
                <w:rFonts w:hint="eastAsia" w:ascii="宋体" w:hAnsi="宋体" w:eastAsia="宋体" w:cs="宋体"/>
                <w:sz w:val="18"/>
                <w:szCs w:val="18"/>
              </w:rPr>
            </w:pPr>
            <w:r>
              <w:rPr>
                <w:rFonts w:hint="eastAsia" w:ascii="宋体" w:hAnsi="宋体" w:eastAsia="宋体" w:cs="宋体"/>
                <w:sz w:val="18"/>
                <w:szCs w:val="18"/>
              </w:rPr>
              <w:t>导线老化</w:t>
            </w:r>
          </w:p>
          <w:p w14:paraId="37B97C76">
            <w:pPr>
              <w:snapToGrid w:val="0"/>
              <w:spacing w:line="300" w:lineRule="auto"/>
              <w:jc w:val="center"/>
              <w:rPr>
                <w:rFonts w:hint="eastAsia" w:ascii="宋体" w:hAnsi="宋体" w:eastAsia="宋体" w:cs="宋体"/>
                <w:sz w:val="18"/>
                <w:szCs w:val="18"/>
              </w:rPr>
            </w:pPr>
            <w:r>
              <w:rPr>
                <w:rFonts w:hint="eastAsia" w:ascii="宋体" w:hAnsi="宋体" w:eastAsia="宋体" w:cs="宋体"/>
                <w:sz w:val="18"/>
                <w:szCs w:val="18"/>
              </w:rPr>
              <w:t>背膜开裂</w:t>
            </w:r>
          </w:p>
          <w:p w14:paraId="7CAC7EBF">
            <w:pPr>
              <w:snapToGrid w:val="0"/>
              <w:spacing w:line="300" w:lineRule="auto"/>
              <w:jc w:val="center"/>
              <w:rPr>
                <w:rFonts w:hint="eastAsia" w:ascii="宋体" w:hAnsi="宋体" w:eastAsia="宋体" w:cs="宋体"/>
                <w:sz w:val="18"/>
                <w:szCs w:val="18"/>
              </w:rPr>
            </w:pPr>
            <w:r>
              <w:rPr>
                <w:rFonts w:hint="eastAsia" w:ascii="宋体" w:hAnsi="宋体" w:eastAsia="宋体" w:cs="宋体"/>
                <w:sz w:val="18"/>
                <w:szCs w:val="18"/>
              </w:rPr>
              <w:t>边框开裂</w:t>
            </w:r>
          </w:p>
          <w:p w14:paraId="7D950224">
            <w:pPr>
              <w:snapToGrid w:val="0"/>
              <w:spacing w:line="300" w:lineRule="auto"/>
              <w:jc w:val="center"/>
              <w:rPr>
                <w:rFonts w:hint="eastAsia" w:ascii="宋体" w:hAnsi="宋体" w:eastAsia="宋体" w:cs="宋体"/>
                <w:sz w:val="18"/>
                <w:szCs w:val="18"/>
              </w:rPr>
            </w:pPr>
            <w:r>
              <w:rPr>
                <w:rFonts w:hint="eastAsia" w:ascii="宋体" w:hAnsi="宋体" w:eastAsia="宋体" w:cs="宋体"/>
                <w:sz w:val="18"/>
                <w:szCs w:val="18"/>
              </w:rPr>
              <w:t>玻璃破碎</w:t>
            </w:r>
          </w:p>
          <w:p w14:paraId="3FA98A72">
            <w:pPr>
              <w:snapToGrid w:val="0"/>
              <w:spacing w:line="300" w:lineRule="auto"/>
              <w:jc w:val="center"/>
              <w:rPr>
                <w:rFonts w:hint="eastAsia" w:ascii="宋体" w:hAnsi="宋体" w:eastAsia="宋体" w:cs="宋体"/>
                <w:sz w:val="18"/>
                <w:szCs w:val="18"/>
              </w:rPr>
            </w:pPr>
            <w:r>
              <w:rPr>
                <w:rFonts w:hint="eastAsia" w:ascii="宋体" w:hAnsi="宋体" w:eastAsia="宋体" w:cs="宋体"/>
                <w:sz w:val="18"/>
                <w:szCs w:val="18"/>
              </w:rPr>
              <w:t>电池片发黄</w:t>
            </w:r>
          </w:p>
          <w:p w14:paraId="0599BDE2">
            <w:pPr>
              <w:snapToGrid w:val="0"/>
              <w:spacing w:line="300" w:lineRule="auto"/>
              <w:jc w:val="center"/>
              <w:rPr>
                <w:rFonts w:hint="eastAsia" w:ascii="宋体" w:hAnsi="宋体" w:eastAsia="宋体" w:cs="宋体"/>
                <w:sz w:val="18"/>
                <w:szCs w:val="18"/>
              </w:rPr>
            </w:pPr>
            <w:r>
              <w:rPr>
                <w:rFonts w:hint="eastAsia" w:ascii="宋体" w:hAnsi="宋体" w:eastAsia="宋体" w:cs="宋体"/>
                <w:sz w:val="18"/>
                <w:szCs w:val="18"/>
              </w:rPr>
              <w:t>电池栅极断裂</w:t>
            </w:r>
          </w:p>
        </w:tc>
        <w:tc>
          <w:tcPr>
            <w:tcW w:w="2300" w:type="dxa"/>
            <w:vAlign w:val="center"/>
          </w:tcPr>
          <w:p w14:paraId="06EA4F3C">
            <w:pPr>
              <w:snapToGrid w:val="0"/>
              <w:spacing w:line="300" w:lineRule="auto"/>
              <w:jc w:val="center"/>
              <w:rPr>
                <w:rFonts w:hint="eastAsia" w:ascii="宋体" w:hAnsi="宋体" w:eastAsia="宋体" w:cs="宋体"/>
                <w:sz w:val="18"/>
                <w:szCs w:val="18"/>
              </w:rPr>
            </w:pPr>
            <w:r>
              <w:rPr>
                <w:rFonts w:hint="eastAsia" w:ascii="宋体" w:hAnsi="宋体" w:eastAsia="宋体" w:cs="宋体"/>
                <w:sz w:val="18"/>
                <w:szCs w:val="18"/>
              </w:rPr>
              <w:t>修理或更换</w:t>
            </w:r>
          </w:p>
        </w:tc>
      </w:tr>
      <w:tr w14:paraId="65161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440" w:type="dxa"/>
            <w:vAlign w:val="center"/>
          </w:tcPr>
          <w:p w14:paraId="58B0D56D">
            <w:pPr>
              <w:snapToGrid w:val="0"/>
              <w:spacing w:line="300" w:lineRule="auto"/>
              <w:jc w:val="center"/>
              <w:rPr>
                <w:rFonts w:hint="eastAsia" w:ascii="宋体" w:hAnsi="宋体" w:eastAsia="宋体" w:cs="宋体"/>
                <w:sz w:val="18"/>
                <w:szCs w:val="18"/>
              </w:rPr>
            </w:pPr>
            <w:r>
              <w:rPr>
                <w:rFonts w:hint="eastAsia" w:ascii="宋体" w:hAnsi="宋体" w:eastAsia="宋体" w:cs="宋体"/>
                <w:sz w:val="18"/>
                <w:szCs w:val="18"/>
              </w:rPr>
              <w:t>蓄电池</w:t>
            </w:r>
          </w:p>
        </w:tc>
        <w:tc>
          <w:tcPr>
            <w:tcW w:w="2344" w:type="dxa"/>
            <w:vAlign w:val="center"/>
          </w:tcPr>
          <w:p w14:paraId="5EFE5A43">
            <w:pPr>
              <w:snapToGrid w:val="0"/>
              <w:spacing w:line="300" w:lineRule="auto"/>
              <w:jc w:val="center"/>
              <w:rPr>
                <w:rFonts w:hint="eastAsia" w:ascii="宋体" w:hAnsi="宋体" w:eastAsia="宋体" w:cs="宋体"/>
                <w:sz w:val="18"/>
                <w:szCs w:val="18"/>
              </w:rPr>
            </w:pPr>
            <w:r>
              <w:rPr>
                <w:rFonts w:hint="eastAsia" w:ascii="宋体" w:hAnsi="宋体" w:eastAsia="宋体" w:cs="宋体"/>
                <w:sz w:val="18"/>
                <w:szCs w:val="18"/>
              </w:rPr>
              <w:t>温度升高</w:t>
            </w:r>
          </w:p>
          <w:p w14:paraId="61D2FB25">
            <w:pPr>
              <w:snapToGrid w:val="0"/>
              <w:spacing w:line="300" w:lineRule="auto"/>
              <w:jc w:val="center"/>
              <w:rPr>
                <w:rFonts w:hint="eastAsia" w:ascii="宋体" w:hAnsi="宋体" w:eastAsia="宋体" w:cs="宋体"/>
                <w:sz w:val="18"/>
                <w:szCs w:val="18"/>
              </w:rPr>
            </w:pPr>
            <w:r>
              <w:rPr>
                <w:rFonts w:hint="eastAsia" w:ascii="宋体" w:hAnsi="宋体" w:eastAsia="宋体" w:cs="宋体"/>
                <w:sz w:val="18"/>
                <w:szCs w:val="18"/>
              </w:rPr>
              <w:t>电解液比重上升或下降浮充电压、电流过大单格短路</w:t>
            </w:r>
          </w:p>
        </w:tc>
        <w:tc>
          <w:tcPr>
            <w:tcW w:w="2438" w:type="dxa"/>
            <w:vAlign w:val="center"/>
          </w:tcPr>
          <w:p w14:paraId="6E6F187B">
            <w:pPr>
              <w:snapToGrid w:val="0"/>
              <w:spacing w:line="300" w:lineRule="auto"/>
              <w:jc w:val="center"/>
              <w:rPr>
                <w:rFonts w:hint="eastAsia" w:ascii="宋体" w:hAnsi="宋体" w:eastAsia="宋体" w:cs="宋体"/>
                <w:sz w:val="18"/>
                <w:szCs w:val="18"/>
              </w:rPr>
            </w:pPr>
            <w:r>
              <w:rPr>
                <w:rFonts w:hint="eastAsia" w:ascii="宋体" w:hAnsi="宋体" w:eastAsia="宋体" w:cs="宋体"/>
                <w:sz w:val="18"/>
                <w:szCs w:val="18"/>
              </w:rPr>
              <w:t>通风不良</w:t>
            </w:r>
          </w:p>
          <w:p w14:paraId="02466262">
            <w:pPr>
              <w:snapToGrid w:val="0"/>
              <w:spacing w:line="300" w:lineRule="auto"/>
              <w:jc w:val="center"/>
              <w:rPr>
                <w:rFonts w:hint="eastAsia" w:ascii="宋体" w:hAnsi="宋体" w:eastAsia="宋体" w:cs="宋体"/>
                <w:sz w:val="18"/>
                <w:szCs w:val="18"/>
              </w:rPr>
            </w:pPr>
            <w:r>
              <w:rPr>
                <w:rFonts w:hint="eastAsia" w:ascii="宋体" w:hAnsi="宋体" w:eastAsia="宋体" w:cs="宋体"/>
                <w:sz w:val="18"/>
                <w:szCs w:val="18"/>
              </w:rPr>
              <w:t>极板硫酸化</w:t>
            </w:r>
          </w:p>
          <w:p w14:paraId="2BCE652D">
            <w:pPr>
              <w:snapToGrid w:val="0"/>
              <w:spacing w:line="300" w:lineRule="auto"/>
              <w:jc w:val="center"/>
              <w:rPr>
                <w:rFonts w:hint="eastAsia" w:ascii="宋体" w:hAnsi="宋体" w:eastAsia="宋体" w:cs="宋体"/>
                <w:sz w:val="18"/>
                <w:szCs w:val="18"/>
              </w:rPr>
            </w:pPr>
            <w:r>
              <w:rPr>
                <w:rFonts w:hint="eastAsia" w:ascii="宋体" w:hAnsi="宋体" w:eastAsia="宋体" w:cs="宋体"/>
                <w:sz w:val="18"/>
                <w:szCs w:val="18"/>
              </w:rPr>
              <w:t>极板铜板开裂</w:t>
            </w:r>
          </w:p>
          <w:p w14:paraId="4E971F62">
            <w:pPr>
              <w:snapToGrid w:val="0"/>
              <w:spacing w:line="300" w:lineRule="auto"/>
              <w:jc w:val="center"/>
              <w:rPr>
                <w:rFonts w:hint="eastAsia" w:ascii="宋体" w:hAnsi="宋体" w:eastAsia="宋体" w:cs="宋体"/>
                <w:sz w:val="18"/>
                <w:szCs w:val="18"/>
              </w:rPr>
            </w:pPr>
            <w:r>
              <w:rPr>
                <w:rFonts w:hint="eastAsia" w:ascii="宋体" w:hAnsi="宋体" w:eastAsia="宋体" w:cs="宋体"/>
                <w:sz w:val="18"/>
                <w:szCs w:val="18"/>
              </w:rPr>
              <w:t>控制器电路故障</w:t>
            </w:r>
          </w:p>
        </w:tc>
        <w:tc>
          <w:tcPr>
            <w:tcW w:w="2300" w:type="dxa"/>
            <w:vAlign w:val="center"/>
          </w:tcPr>
          <w:p w14:paraId="1BDA4A62">
            <w:pPr>
              <w:snapToGrid w:val="0"/>
              <w:spacing w:line="300" w:lineRule="auto"/>
              <w:jc w:val="center"/>
              <w:rPr>
                <w:rFonts w:hint="eastAsia" w:ascii="宋体" w:hAnsi="宋体" w:eastAsia="宋体" w:cs="宋体"/>
                <w:sz w:val="18"/>
                <w:szCs w:val="18"/>
              </w:rPr>
            </w:pPr>
            <w:r>
              <w:rPr>
                <w:rFonts w:hint="eastAsia" w:ascii="宋体" w:hAnsi="宋体" w:eastAsia="宋体" w:cs="宋体"/>
                <w:sz w:val="18"/>
                <w:szCs w:val="18"/>
              </w:rPr>
              <w:t>改善通风条件</w:t>
            </w:r>
          </w:p>
          <w:p w14:paraId="0BD31236">
            <w:pPr>
              <w:snapToGrid w:val="0"/>
              <w:spacing w:line="300" w:lineRule="auto"/>
              <w:jc w:val="center"/>
              <w:rPr>
                <w:rFonts w:hint="eastAsia" w:ascii="宋体" w:hAnsi="宋体" w:eastAsia="宋体" w:cs="宋体"/>
                <w:sz w:val="18"/>
                <w:szCs w:val="18"/>
              </w:rPr>
            </w:pPr>
            <w:r>
              <w:rPr>
                <w:rFonts w:hint="eastAsia" w:ascii="宋体" w:hAnsi="宋体" w:eastAsia="宋体" w:cs="宋体"/>
                <w:sz w:val="18"/>
                <w:szCs w:val="18"/>
              </w:rPr>
              <w:t>纠正充电系统</w:t>
            </w:r>
          </w:p>
          <w:p w14:paraId="1267A511">
            <w:pPr>
              <w:snapToGrid w:val="0"/>
              <w:spacing w:line="300" w:lineRule="auto"/>
              <w:jc w:val="center"/>
              <w:rPr>
                <w:rFonts w:hint="eastAsia" w:ascii="宋体" w:hAnsi="宋体" w:eastAsia="宋体" w:cs="宋体"/>
                <w:sz w:val="18"/>
                <w:szCs w:val="18"/>
              </w:rPr>
            </w:pPr>
            <w:r>
              <w:rPr>
                <w:rFonts w:hint="eastAsia" w:ascii="宋体" w:hAnsi="宋体" w:eastAsia="宋体" w:cs="宋体"/>
                <w:sz w:val="18"/>
                <w:szCs w:val="18"/>
              </w:rPr>
              <w:t>调整控制器输出</w:t>
            </w:r>
          </w:p>
          <w:p w14:paraId="5C2AA8BE">
            <w:pPr>
              <w:snapToGrid w:val="0"/>
              <w:spacing w:line="300" w:lineRule="auto"/>
              <w:jc w:val="center"/>
              <w:rPr>
                <w:rFonts w:hint="eastAsia" w:ascii="宋体" w:hAnsi="宋体" w:eastAsia="宋体" w:cs="宋体"/>
                <w:sz w:val="18"/>
                <w:szCs w:val="18"/>
              </w:rPr>
            </w:pPr>
            <w:r>
              <w:rPr>
                <w:rFonts w:hint="eastAsia" w:ascii="宋体" w:hAnsi="宋体" w:eastAsia="宋体" w:cs="宋体"/>
                <w:sz w:val="18"/>
                <w:szCs w:val="18"/>
              </w:rPr>
              <w:t>更换损坏的蓄电池</w:t>
            </w:r>
          </w:p>
        </w:tc>
      </w:tr>
      <w:tr w14:paraId="3723D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440" w:type="dxa"/>
            <w:vAlign w:val="center"/>
          </w:tcPr>
          <w:p w14:paraId="10AE7C43">
            <w:pPr>
              <w:snapToGrid w:val="0"/>
              <w:spacing w:line="30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晶硅电池</w:t>
            </w:r>
          </w:p>
        </w:tc>
        <w:tc>
          <w:tcPr>
            <w:tcW w:w="2344" w:type="dxa"/>
            <w:vAlign w:val="center"/>
          </w:tcPr>
          <w:p w14:paraId="4AF0675C">
            <w:pPr>
              <w:snapToGrid w:val="0"/>
              <w:spacing w:line="300" w:lineRule="auto"/>
              <w:ind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光衰</w:t>
            </w:r>
          </w:p>
          <w:p w14:paraId="3AF8F5B0">
            <w:pPr>
              <w:snapToGrid w:val="0"/>
              <w:spacing w:line="30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热斑</w:t>
            </w:r>
          </w:p>
          <w:p w14:paraId="17A5895D">
            <w:pPr>
              <w:snapToGrid w:val="0"/>
              <w:spacing w:line="30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效率下降</w:t>
            </w:r>
          </w:p>
        </w:tc>
        <w:tc>
          <w:tcPr>
            <w:tcW w:w="2438" w:type="dxa"/>
            <w:vAlign w:val="center"/>
          </w:tcPr>
          <w:p w14:paraId="0E081DE0">
            <w:pPr>
              <w:snapToGrid w:val="0"/>
              <w:spacing w:line="300" w:lineRule="auto"/>
              <w:jc w:val="center"/>
              <w:rPr>
                <w:rFonts w:hint="eastAsia" w:ascii="宋体" w:hAnsi="宋体" w:eastAsia="宋体" w:cs="宋体"/>
                <w:i w:val="0"/>
                <w:iCs w:val="0"/>
                <w:caps w:val="0"/>
                <w:spacing w:val="0"/>
                <w:sz w:val="18"/>
                <w:szCs w:val="18"/>
                <w:shd w:val="clear"/>
                <w:lang w:val="en-US" w:eastAsia="zh-CN"/>
              </w:rPr>
            </w:pPr>
            <w:r>
              <w:rPr>
                <w:rFonts w:hint="eastAsia" w:ascii="宋体" w:hAnsi="宋体" w:eastAsia="宋体" w:cs="宋体"/>
                <w:i w:val="0"/>
                <w:iCs w:val="0"/>
                <w:caps w:val="0"/>
                <w:spacing w:val="0"/>
                <w:sz w:val="18"/>
                <w:szCs w:val="18"/>
                <w:shd w:val="clear"/>
                <w:lang w:val="en-US" w:eastAsia="zh-CN"/>
              </w:rPr>
              <w:t>硼氧复合体光照退化局部温度过高</w:t>
            </w:r>
          </w:p>
        </w:tc>
        <w:tc>
          <w:tcPr>
            <w:tcW w:w="2300" w:type="dxa"/>
            <w:vAlign w:val="center"/>
          </w:tcPr>
          <w:p w14:paraId="7D2397C4">
            <w:pPr>
              <w:snapToGrid w:val="0"/>
              <w:spacing w:line="30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更换或翻新</w:t>
            </w:r>
          </w:p>
        </w:tc>
      </w:tr>
      <w:tr w14:paraId="20480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440" w:type="dxa"/>
            <w:vAlign w:val="center"/>
          </w:tcPr>
          <w:p w14:paraId="59B52F34">
            <w:pPr>
              <w:snapToGrid w:val="0"/>
              <w:spacing w:line="300" w:lineRule="auto"/>
              <w:jc w:val="center"/>
              <w:rPr>
                <w:rFonts w:hint="eastAsia" w:ascii="宋体" w:hAnsi="宋体" w:eastAsia="宋体" w:cs="宋体"/>
                <w:sz w:val="18"/>
                <w:szCs w:val="18"/>
              </w:rPr>
            </w:pPr>
            <w:r>
              <w:rPr>
                <w:rFonts w:hint="eastAsia" w:ascii="宋体" w:hAnsi="宋体" w:eastAsia="宋体" w:cs="宋体"/>
                <w:sz w:val="18"/>
                <w:szCs w:val="18"/>
              </w:rPr>
              <w:t>薄膜太阳电池</w:t>
            </w:r>
          </w:p>
        </w:tc>
        <w:tc>
          <w:tcPr>
            <w:tcW w:w="2344" w:type="dxa"/>
            <w:vAlign w:val="center"/>
          </w:tcPr>
          <w:p w14:paraId="4060491E">
            <w:pPr>
              <w:snapToGrid w:val="0"/>
              <w:spacing w:line="300" w:lineRule="auto"/>
              <w:jc w:val="center"/>
              <w:rPr>
                <w:rFonts w:hint="eastAsia" w:ascii="宋体" w:hAnsi="宋体" w:eastAsia="宋体" w:cs="宋体"/>
                <w:sz w:val="18"/>
                <w:szCs w:val="18"/>
              </w:rPr>
            </w:pPr>
            <w:r>
              <w:rPr>
                <w:rFonts w:hint="eastAsia" w:ascii="宋体" w:hAnsi="宋体" w:eastAsia="宋体" w:cs="宋体"/>
                <w:sz w:val="18"/>
                <w:szCs w:val="18"/>
              </w:rPr>
              <w:t>成膜缺陷</w:t>
            </w:r>
          </w:p>
          <w:p w14:paraId="7181497E">
            <w:pPr>
              <w:snapToGrid w:val="0"/>
              <w:spacing w:line="300" w:lineRule="auto"/>
              <w:jc w:val="center"/>
              <w:rPr>
                <w:rFonts w:hint="eastAsia" w:ascii="宋体" w:hAnsi="宋体" w:eastAsia="宋体" w:cs="宋体"/>
                <w:sz w:val="18"/>
                <w:szCs w:val="18"/>
              </w:rPr>
            </w:pPr>
            <w:r>
              <w:rPr>
                <w:rFonts w:hint="eastAsia" w:ascii="宋体" w:hAnsi="宋体" w:eastAsia="宋体" w:cs="宋体"/>
                <w:sz w:val="18"/>
                <w:szCs w:val="18"/>
              </w:rPr>
              <w:t>易潮解</w:t>
            </w:r>
          </w:p>
          <w:p w14:paraId="0437A323">
            <w:pPr>
              <w:snapToGrid w:val="0"/>
              <w:spacing w:line="300" w:lineRule="auto"/>
              <w:jc w:val="center"/>
              <w:rPr>
                <w:rFonts w:hint="eastAsia" w:ascii="宋体" w:hAnsi="宋体" w:eastAsia="宋体" w:cs="宋体"/>
                <w:sz w:val="18"/>
                <w:szCs w:val="18"/>
              </w:rPr>
            </w:pPr>
            <w:r>
              <w:rPr>
                <w:rFonts w:hint="eastAsia" w:ascii="宋体" w:hAnsi="宋体" w:eastAsia="宋体" w:cs="宋体"/>
                <w:i w:val="0"/>
                <w:iCs w:val="0"/>
                <w:caps w:val="0"/>
                <w:spacing w:val="0"/>
                <w:sz w:val="18"/>
                <w:szCs w:val="18"/>
              </w:rPr>
              <w:t>光衰</w:t>
            </w:r>
          </w:p>
        </w:tc>
        <w:tc>
          <w:tcPr>
            <w:tcW w:w="2438" w:type="dxa"/>
            <w:vAlign w:val="center"/>
          </w:tcPr>
          <w:p w14:paraId="61CE8674">
            <w:pPr>
              <w:snapToGrid w:val="0"/>
              <w:spacing w:line="300" w:lineRule="auto"/>
              <w:jc w:val="center"/>
              <w:rPr>
                <w:rFonts w:hint="eastAsia" w:ascii="宋体" w:hAnsi="宋体" w:eastAsia="宋体" w:cs="宋体"/>
                <w:sz w:val="18"/>
                <w:szCs w:val="18"/>
              </w:rPr>
            </w:pPr>
            <w:r>
              <w:rPr>
                <w:rFonts w:hint="eastAsia" w:ascii="宋体" w:hAnsi="宋体" w:eastAsia="宋体" w:cs="宋体"/>
                <w:sz w:val="18"/>
                <w:szCs w:val="18"/>
              </w:rPr>
              <w:t>针孔、裂纹、颗粒等</w:t>
            </w:r>
          </w:p>
          <w:p w14:paraId="432F82A4">
            <w:pPr>
              <w:snapToGrid w:val="0"/>
              <w:spacing w:line="300" w:lineRule="auto"/>
              <w:jc w:val="center"/>
              <w:rPr>
                <w:rFonts w:hint="eastAsia" w:ascii="宋体" w:hAnsi="宋体" w:eastAsia="宋体" w:cs="宋体"/>
                <w:sz w:val="18"/>
                <w:szCs w:val="18"/>
              </w:rPr>
            </w:pPr>
            <w:r>
              <w:rPr>
                <w:rFonts w:hint="eastAsia" w:ascii="宋体" w:hAnsi="宋体" w:eastAsia="宋体" w:cs="宋体"/>
                <w:sz w:val="18"/>
                <w:szCs w:val="18"/>
              </w:rPr>
              <w:t>薄膜太阳电池容易受潮</w:t>
            </w:r>
          </w:p>
          <w:p w14:paraId="43BF7AD8">
            <w:pPr>
              <w:snapToGrid w:val="0"/>
              <w:spacing w:line="300" w:lineRule="auto"/>
              <w:jc w:val="center"/>
              <w:rPr>
                <w:rFonts w:hint="eastAsia" w:ascii="宋体" w:hAnsi="宋体" w:eastAsia="宋体" w:cs="宋体"/>
                <w:sz w:val="18"/>
                <w:szCs w:val="18"/>
              </w:rPr>
            </w:pPr>
            <w:r>
              <w:rPr>
                <w:rFonts w:hint="eastAsia" w:ascii="宋体" w:hAnsi="宋体" w:eastAsia="宋体" w:cs="宋体"/>
                <w:i w:val="0"/>
                <w:iCs w:val="0"/>
                <w:caps w:val="0"/>
                <w:spacing w:val="0"/>
                <w:sz w:val="18"/>
                <w:szCs w:val="18"/>
                <w:shd w:val="clear"/>
              </w:rPr>
              <w:t>光照下会发生衰减</w:t>
            </w:r>
          </w:p>
        </w:tc>
        <w:tc>
          <w:tcPr>
            <w:tcW w:w="2300" w:type="dxa"/>
            <w:vAlign w:val="center"/>
          </w:tcPr>
          <w:p w14:paraId="679216A3">
            <w:pPr>
              <w:snapToGrid w:val="0"/>
              <w:spacing w:line="300" w:lineRule="auto"/>
              <w:jc w:val="center"/>
              <w:rPr>
                <w:rFonts w:hint="eastAsia" w:ascii="宋体" w:hAnsi="宋体" w:eastAsia="宋体" w:cs="宋体"/>
                <w:sz w:val="18"/>
                <w:szCs w:val="18"/>
              </w:rPr>
            </w:pPr>
            <w:r>
              <w:rPr>
                <w:rFonts w:hint="eastAsia" w:ascii="宋体" w:hAnsi="宋体" w:eastAsia="宋体" w:cs="宋体"/>
                <w:sz w:val="18"/>
                <w:szCs w:val="18"/>
              </w:rPr>
              <w:t>修复成膜缺陷</w:t>
            </w:r>
          </w:p>
          <w:p w14:paraId="06A591AA">
            <w:pPr>
              <w:snapToGrid w:val="0"/>
              <w:spacing w:line="300" w:lineRule="auto"/>
              <w:jc w:val="center"/>
              <w:rPr>
                <w:rFonts w:hint="eastAsia" w:ascii="宋体" w:hAnsi="宋体" w:eastAsia="宋体" w:cs="宋体"/>
                <w:sz w:val="18"/>
                <w:szCs w:val="18"/>
              </w:rPr>
            </w:pPr>
            <w:r>
              <w:rPr>
                <w:rFonts w:hint="eastAsia" w:ascii="宋体" w:hAnsi="宋体" w:eastAsia="宋体" w:cs="宋体"/>
                <w:sz w:val="18"/>
                <w:szCs w:val="18"/>
              </w:rPr>
              <w:t>防止潮解</w:t>
            </w:r>
          </w:p>
          <w:p w14:paraId="12DCD96D">
            <w:pPr>
              <w:snapToGrid w:val="0"/>
              <w:spacing w:line="300" w:lineRule="auto"/>
              <w:jc w:val="center"/>
              <w:rPr>
                <w:rFonts w:hint="eastAsia" w:ascii="宋体" w:hAnsi="宋体" w:eastAsia="宋体" w:cs="宋体"/>
                <w:sz w:val="18"/>
                <w:szCs w:val="18"/>
              </w:rPr>
            </w:pPr>
            <w:r>
              <w:rPr>
                <w:rFonts w:hint="eastAsia" w:ascii="宋体" w:hAnsi="宋体" w:eastAsia="宋体" w:cs="宋体"/>
                <w:i w:val="0"/>
                <w:iCs w:val="0"/>
                <w:caps w:val="0"/>
                <w:spacing w:val="0"/>
                <w:sz w:val="18"/>
                <w:szCs w:val="18"/>
              </w:rPr>
              <w:t>减少光致衰减</w:t>
            </w:r>
          </w:p>
        </w:tc>
      </w:tr>
      <w:tr w14:paraId="533C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14:paraId="11719134">
            <w:pPr>
              <w:snapToGrid w:val="0"/>
              <w:spacing w:line="300" w:lineRule="auto"/>
              <w:jc w:val="center"/>
              <w:rPr>
                <w:rFonts w:hint="eastAsia" w:ascii="宋体" w:hAnsi="宋体" w:eastAsia="宋体" w:cs="宋体"/>
                <w:sz w:val="18"/>
                <w:szCs w:val="18"/>
              </w:rPr>
            </w:pPr>
            <w:r>
              <w:rPr>
                <w:rFonts w:hint="eastAsia" w:ascii="宋体" w:hAnsi="宋体" w:eastAsia="宋体" w:cs="宋体"/>
                <w:sz w:val="18"/>
                <w:szCs w:val="18"/>
              </w:rPr>
              <w:t>逆变器</w:t>
            </w:r>
          </w:p>
        </w:tc>
        <w:tc>
          <w:tcPr>
            <w:tcW w:w="2344" w:type="dxa"/>
            <w:vAlign w:val="center"/>
          </w:tcPr>
          <w:p w14:paraId="69BA20A6">
            <w:pPr>
              <w:snapToGrid w:val="0"/>
              <w:spacing w:line="300" w:lineRule="auto"/>
              <w:jc w:val="center"/>
              <w:rPr>
                <w:rFonts w:hint="eastAsia" w:ascii="宋体" w:hAnsi="宋体" w:eastAsia="宋体" w:cs="宋体"/>
                <w:sz w:val="18"/>
                <w:szCs w:val="18"/>
              </w:rPr>
            </w:pPr>
            <w:r>
              <w:rPr>
                <w:rFonts w:hint="eastAsia" w:ascii="宋体" w:hAnsi="宋体" w:eastAsia="宋体" w:cs="宋体"/>
                <w:sz w:val="18"/>
                <w:szCs w:val="18"/>
              </w:rPr>
              <w:t>断路</w:t>
            </w:r>
          </w:p>
          <w:p w14:paraId="02D5FA1B">
            <w:pPr>
              <w:snapToGrid w:val="0"/>
              <w:spacing w:line="300" w:lineRule="auto"/>
              <w:jc w:val="center"/>
              <w:rPr>
                <w:rFonts w:hint="eastAsia" w:ascii="宋体" w:hAnsi="宋体" w:eastAsia="宋体" w:cs="宋体"/>
                <w:sz w:val="18"/>
                <w:szCs w:val="18"/>
              </w:rPr>
            </w:pPr>
            <w:r>
              <w:rPr>
                <w:rFonts w:hint="eastAsia" w:ascii="宋体" w:hAnsi="宋体" w:eastAsia="宋体" w:cs="宋体"/>
                <w:sz w:val="18"/>
                <w:szCs w:val="18"/>
              </w:rPr>
              <w:t>过电流</w:t>
            </w:r>
          </w:p>
          <w:p w14:paraId="5AD6428E">
            <w:pPr>
              <w:snapToGrid w:val="0"/>
              <w:spacing w:line="300" w:lineRule="auto"/>
              <w:jc w:val="center"/>
              <w:rPr>
                <w:rFonts w:hint="eastAsia" w:ascii="宋体" w:hAnsi="宋体" w:eastAsia="宋体" w:cs="宋体"/>
                <w:sz w:val="18"/>
                <w:szCs w:val="18"/>
              </w:rPr>
            </w:pPr>
            <w:r>
              <w:rPr>
                <w:rFonts w:hint="eastAsia" w:ascii="宋体" w:hAnsi="宋体" w:eastAsia="宋体" w:cs="宋体"/>
                <w:sz w:val="18"/>
                <w:szCs w:val="18"/>
              </w:rPr>
              <w:t>过电压</w:t>
            </w:r>
          </w:p>
          <w:p w14:paraId="1BC43F7D">
            <w:pPr>
              <w:snapToGrid w:val="0"/>
              <w:spacing w:line="300" w:lineRule="auto"/>
              <w:jc w:val="center"/>
              <w:rPr>
                <w:rFonts w:hint="eastAsia" w:ascii="宋体" w:hAnsi="宋体" w:eastAsia="宋体" w:cs="宋体"/>
                <w:sz w:val="18"/>
                <w:szCs w:val="18"/>
              </w:rPr>
            </w:pPr>
            <w:r>
              <w:rPr>
                <w:rFonts w:hint="eastAsia" w:ascii="宋体" w:hAnsi="宋体" w:eastAsia="宋体" w:cs="宋体"/>
                <w:sz w:val="18"/>
                <w:szCs w:val="18"/>
              </w:rPr>
              <w:t>过热</w:t>
            </w:r>
          </w:p>
        </w:tc>
        <w:tc>
          <w:tcPr>
            <w:tcW w:w="2438" w:type="dxa"/>
            <w:vAlign w:val="center"/>
          </w:tcPr>
          <w:p w14:paraId="0059869D">
            <w:pPr>
              <w:snapToGrid w:val="0"/>
              <w:spacing w:line="300" w:lineRule="auto"/>
              <w:jc w:val="center"/>
              <w:rPr>
                <w:rFonts w:hint="eastAsia" w:ascii="宋体" w:hAnsi="宋体" w:eastAsia="宋体" w:cs="宋体"/>
                <w:sz w:val="18"/>
                <w:szCs w:val="18"/>
              </w:rPr>
            </w:pPr>
            <w:r>
              <w:rPr>
                <w:rFonts w:hint="eastAsia" w:ascii="宋体" w:hAnsi="宋体" w:eastAsia="宋体" w:cs="宋体"/>
                <w:sz w:val="18"/>
                <w:szCs w:val="18"/>
              </w:rPr>
              <w:t>内部电源失效</w:t>
            </w:r>
          </w:p>
          <w:p w14:paraId="3E51AE08">
            <w:pPr>
              <w:snapToGrid w:val="0"/>
              <w:spacing w:line="300" w:lineRule="auto"/>
              <w:jc w:val="center"/>
              <w:rPr>
                <w:rFonts w:hint="eastAsia" w:ascii="宋体" w:hAnsi="宋体" w:eastAsia="宋体" w:cs="宋体"/>
                <w:sz w:val="18"/>
                <w:szCs w:val="18"/>
              </w:rPr>
            </w:pPr>
            <w:r>
              <w:rPr>
                <w:rFonts w:hint="eastAsia" w:ascii="宋体" w:hAnsi="宋体" w:eastAsia="宋体" w:cs="宋体"/>
                <w:sz w:val="18"/>
                <w:szCs w:val="18"/>
              </w:rPr>
              <w:t>输入电压不正常</w:t>
            </w:r>
          </w:p>
          <w:p w14:paraId="29691310">
            <w:pPr>
              <w:snapToGrid w:val="0"/>
              <w:spacing w:line="300" w:lineRule="auto"/>
              <w:jc w:val="center"/>
              <w:rPr>
                <w:rFonts w:hint="eastAsia" w:ascii="宋体" w:hAnsi="宋体" w:eastAsia="宋体" w:cs="宋体"/>
                <w:sz w:val="18"/>
                <w:szCs w:val="18"/>
              </w:rPr>
            </w:pPr>
            <w:r>
              <w:rPr>
                <w:rFonts w:hint="eastAsia" w:ascii="宋体" w:hAnsi="宋体" w:eastAsia="宋体" w:cs="宋体"/>
                <w:sz w:val="18"/>
                <w:szCs w:val="18"/>
              </w:rPr>
              <w:t>保险丝损坏</w:t>
            </w:r>
          </w:p>
          <w:p w14:paraId="32079588">
            <w:pPr>
              <w:snapToGrid w:val="0"/>
              <w:spacing w:line="300" w:lineRule="auto"/>
              <w:jc w:val="center"/>
              <w:rPr>
                <w:rFonts w:hint="eastAsia" w:ascii="宋体" w:hAnsi="宋体" w:eastAsia="宋体" w:cs="宋体"/>
                <w:sz w:val="18"/>
                <w:szCs w:val="18"/>
              </w:rPr>
            </w:pPr>
            <w:r>
              <w:rPr>
                <w:rFonts w:hint="eastAsia" w:ascii="宋体" w:hAnsi="宋体" w:eastAsia="宋体" w:cs="宋体"/>
                <w:sz w:val="18"/>
                <w:szCs w:val="18"/>
              </w:rPr>
              <w:t>功率开关器件损坏</w:t>
            </w:r>
          </w:p>
          <w:p w14:paraId="78B2B031">
            <w:pPr>
              <w:snapToGrid w:val="0"/>
              <w:spacing w:line="300" w:lineRule="auto"/>
              <w:jc w:val="center"/>
              <w:rPr>
                <w:rFonts w:hint="eastAsia" w:ascii="宋体" w:hAnsi="宋体" w:eastAsia="宋体" w:cs="宋体"/>
                <w:sz w:val="18"/>
                <w:szCs w:val="18"/>
              </w:rPr>
            </w:pPr>
            <w:r>
              <w:rPr>
                <w:rFonts w:hint="eastAsia" w:ascii="宋体" w:hAnsi="宋体" w:eastAsia="宋体" w:cs="宋体"/>
                <w:sz w:val="18"/>
                <w:szCs w:val="18"/>
              </w:rPr>
              <w:t>遭受雷击损坏</w:t>
            </w:r>
          </w:p>
        </w:tc>
        <w:tc>
          <w:tcPr>
            <w:tcW w:w="2300" w:type="dxa"/>
            <w:vAlign w:val="center"/>
          </w:tcPr>
          <w:p w14:paraId="1DCFB4D3">
            <w:pPr>
              <w:snapToGrid w:val="0"/>
              <w:spacing w:line="300" w:lineRule="auto"/>
              <w:jc w:val="center"/>
              <w:rPr>
                <w:rFonts w:hint="eastAsia" w:ascii="宋体" w:hAnsi="宋体" w:eastAsia="宋体" w:cs="宋体"/>
                <w:sz w:val="18"/>
                <w:szCs w:val="18"/>
              </w:rPr>
            </w:pPr>
            <w:r>
              <w:rPr>
                <w:rFonts w:hint="eastAsia" w:ascii="宋体" w:hAnsi="宋体" w:eastAsia="宋体" w:cs="宋体"/>
                <w:sz w:val="18"/>
                <w:szCs w:val="18"/>
              </w:rPr>
              <w:t>修理或更换</w:t>
            </w:r>
          </w:p>
        </w:tc>
      </w:tr>
    </w:tbl>
    <w:p w14:paraId="178EEA32">
      <w:pPr>
        <w:pStyle w:val="2"/>
        <w:spacing w:line="300" w:lineRule="auto"/>
        <w:sectPr>
          <w:pgSz w:w="11906" w:h="16838"/>
          <w:pgMar w:top="1440" w:right="1800" w:bottom="1440" w:left="1800" w:header="851" w:footer="992" w:gutter="0"/>
          <w:pgNumType w:fmt="decimal"/>
          <w:cols w:space="425" w:num="1"/>
          <w:docGrid w:type="lines" w:linePitch="312" w:charSpace="0"/>
        </w:sectPr>
      </w:pPr>
    </w:p>
    <w:p w14:paraId="5F6FB791">
      <w:pPr>
        <w:keepNext/>
        <w:keepLines/>
        <w:widowControl/>
        <w:adjustRightInd/>
        <w:snapToGrid w:val="0"/>
        <w:spacing w:before="93" w:beforeLines="30" w:after="93" w:afterLines="30" w:line="440" w:lineRule="exact"/>
        <w:jc w:val="center"/>
        <w:outlineLvl w:val="1"/>
        <w:rPr>
          <w:rFonts w:hint="default" w:ascii="Times New Roman" w:hAnsi="Times New Roman" w:eastAsia="黑体" w:cs="Times New Roman"/>
          <w:b w:val="0"/>
          <w:sz w:val="28"/>
          <w:szCs w:val="28"/>
        </w:rPr>
      </w:pPr>
      <w:bookmarkStart w:id="560" w:name="_Toc11887"/>
      <w:bookmarkStart w:id="561" w:name="_Toc22128"/>
      <w:bookmarkStart w:id="562" w:name="_Toc25096"/>
      <w:bookmarkStart w:id="563" w:name="_Toc23233"/>
      <w:bookmarkStart w:id="564" w:name="_Toc25088"/>
      <w:r>
        <w:rPr>
          <w:rFonts w:hint="default" w:ascii="Times New Roman" w:hAnsi="Times New Roman" w:eastAsia="黑体" w:cs="Times New Roman"/>
          <w:b w:val="0"/>
          <w:bCs w:val="0"/>
          <w:sz w:val="28"/>
          <w:szCs w:val="28"/>
        </w:rPr>
        <w:t>本标准用词说明</w:t>
      </w:r>
      <w:bookmarkEnd w:id="560"/>
      <w:bookmarkEnd w:id="561"/>
      <w:bookmarkEnd w:id="562"/>
      <w:bookmarkEnd w:id="563"/>
      <w:bookmarkEnd w:id="564"/>
    </w:p>
    <w:p w14:paraId="5872D170">
      <w:pPr>
        <w:pStyle w:val="10"/>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cs="宋体"/>
          <w:color w:val="000000"/>
          <w:sz w:val="24"/>
          <w:highlight w:val="none"/>
        </w:rPr>
      </w:pPr>
    </w:p>
    <w:p w14:paraId="310B7BC2">
      <w:pPr>
        <w:pStyle w:val="10"/>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rPr>
        <w:t>1 为便于在执行本标准时区别对待，对要求严格程度不同的用词说明如下：</w:t>
      </w:r>
    </w:p>
    <w:p w14:paraId="1538274B">
      <w:pPr>
        <w:pStyle w:val="10"/>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200" w:leftChars="0" w:firstLine="420" w:firstLineChars="200"/>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表示很严格，非这样做不可的：</w:t>
      </w:r>
    </w:p>
    <w:p w14:paraId="638EBB18">
      <w:pPr>
        <w:pStyle w:val="10"/>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rPr>
        <w:t>正面词采用“必须”，反面词采用“严禁”；</w:t>
      </w:r>
    </w:p>
    <w:p w14:paraId="78980BAB">
      <w:pPr>
        <w:pStyle w:val="10"/>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200" w:leftChars="0" w:firstLine="420" w:firstLineChars="200"/>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表示严格，在正常情况下均应这样做的：</w:t>
      </w:r>
    </w:p>
    <w:p w14:paraId="6CBEBF4C">
      <w:pPr>
        <w:pStyle w:val="10"/>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rPr>
        <w:t>正面词采用“应”，反面词采用“不应”或“不得”；</w:t>
      </w:r>
    </w:p>
    <w:p w14:paraId="5D0FA2A9">
      <w:pPr>
        <w:pStyle w:val="10"/>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200" w:leftChars="0" w:firstLine="420" w:firstLineChars="200"/>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表示允许有所选择，但在条件许可时，首先应当这样做的；</w:t>
      </w:r>
    </w:p>
    <w:p w14:paraId="3EA615F3">
      <w:pPr>
        <w:pStyle w:val="10"/>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rPr>
        <w:t>正面词采用“宜”，反面词采用“不宜”；</w:t>
      </w:r>
    </w:p>
    <w:p w14:paraId="59ED43F9">
      <w:pPr>
        <w:pStyle w:val="10"/>
        <w:keepNext w:val="0"/>
        <w:keepLines w:val="0"/>
        <w:pageBreakBefore w:val="0"/>
        <w:widowControl w:val="0"/>
        <w:kinsoku/>
        <w:wordWrap/>
        <w:overflowPunct/>
        <w:topLinePunct w:val="0"/>
        <w:autoSpaceDE/>
        <w:autoSpaceDN/>
        <w:bidi w:val="0"/>
        <w:adjustRightInd/>
        <w:snapToGrid w:val="0"/>
        <w:spacing w:line="360" w:lineRule="auto"/>
        <w:ind w:firstLine="630" w:firstLineChars="300"/>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表示在一定条件下，可以这样做的，采用“可”。</w:t>
      </w:r>
    </w:p>
    <w:p w14:paraId="5CF0C188">
      <w:pPr>
        <w:pStyle w:val="10"/>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sz w:val="28"/>
          <w:szCs w:val="28"/>
          <w:highlight w:val="none"/>
        </w:rPr>
      </w:pPr>
      <w:r>
        <w:rPr>
          <w:rFonts w:hint="eastAsia" w:ascii="宋体" w:hAnsi="宋体" w:cs="宋体"/>
          <w:color w:val="000000"/>
          <w:sz w:val="21"/>
          <w:szCs w:val="21"/>
          <w:highlight w:val="none"/>
        </w:rPr>
        <w:t xml:space="preserve">2 </w:t>
      </w:r>
      <w:r>
        <w:rPr>
          <w:rFonts w:hint="eastAsia" w:ascii="宋体" w:hAnsi="宋体" w:cs="宋体"/>
          <w:color w:val="000000"/>
          <w:sz w:val="21"/>
          <w:szCs w:val="21"/>
          <w:highlight w:val="none"/>
          <w:lang w:val="en-US" w:eastAsia="zh-CN"/>
        </w:rPr>
        <w:t>条文</w:t>
      </w:r>
      <w:r>
        <w:rPr>
          <w:rFonts w:hint="eastAsia" w:ascii="宋体" w:hAnsi="宋体" w:cs="宋体"/>
          <w:color w:val="000000"/>
          <w:sz w:val="21"/>
          <w:szCs w:val="21"/>
          <w:highlight w:val="none"/>
        </w:rPr>
        <w:t>中指明应按有关标准执行的写法为：“应符合……的规定”或“应满足……的要求”或“应按……执行”。</w:t>
      </w:r>
    </w:p>
    <w:p w14:paraId="3BC36890">
      <w:pPr>
        <w:keepNext w:val="0"/>
        <w:keepLines w:val="0"/>
        <w:pageBreakBefore w:val="0"/>
        <w:widowControl w:val="0"/>
        <w:kinsoku/>
        <w:wordWrap/>
        <w:overflowPunct/>
        <w:topLinePunct w:val="0"/>
        <w:bidi w:val="0"/>
        <w:adjustRightInd/>
        <w:snapToGrid/>
        <w:spacing w:line="360" w:lineRule="auto"/>
        <w:textAlignment w:val="auto"/>
        <w:outlineLvl w:val="9"/>
        <w:rPr>
          <w:rFonts w:hint="default" w:ascii="Times New Roman" w:hAnsi="Times New Roman" w:cs="Times New Roman"/>
          <w:color w:val="000000"/>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8D1FFDD">
      <w:pPr>
        <w:keepNext/>
        <w:keepLines/>
        <w:snapToGrid w:val="0"/>
        <w:spacing w:before="93" w:beforeLines="30" w:after="93" w:afterLines="30" w:line="440" w:lineRule="exact"/>
        <w:jc w:val="center"/>
        <w:outlineLvl w:val="1"/>
        <w:rPr>
          <w:rFonts w:ascii="Times New Roman" w:hAnsi="Times New Roman" w:eastAsia="黑体" w:cs="Times New Roman"/>
          <w:sz w:val="28"/>
          <w:szCs w:val="28"/>
        </w:rPr>
      </w:pPr>
      <w:bookmarkStart w:id="565" w:name="_Toc142638407"/>
      <w:bookmarkStart w:id="566" w:name="_Toc11205"/>
      <w:bookmarkStart w:id="567" w:name="_Toc20222"/>
      <w:bookmarkStart w:id="568" w:name="_Toc20508"/>
      <w:bookmarkStart w:id="569" w:name="_Toc149642053"/>
      <w:bookmarkStart w:id="570" w:name="_Toc149641905"/>
      <w:bookmarkStart w:id="571" w:name="_Toc10465"/>
      <w:bookmarkStart w:id="572" w:name="_Toc149642287"/>
      <w:bookmarkStart w:id="573" w:name="_Toc13579"/>
      <w:bookmarkStart w:id="574" w:name="_Toc149641232"/>
      <w:bookmarkStart w:id="575" w:name="_Toc13581"/>
      <w:bookmarkStart w:id="576" w:name="_Toc28866"/>
      <w:r>
        <w:rPr>
          <w:rFonts w:ascii="Times New Roman" w:hAnsi="Times New Roman" w:eastAsia="黑体" w:cs="Times New Roman"/>
          <w:sz w:val="28"/>
          <w:szCs w:val="28"/>
        </w:rPr>
        <w:t>引用标准名录</w:t>
      </w:r>
      <w:bookmarkEnd w:id="565"/>
      <w:bookmarkEnd w:id="566"/>
      <w:bookmarkEnd w:id="567"/>
      <w:bookmarkEnd w:id="568"/>
      <w:bookmarkEnd w:id="569"/>
      <w:bookmarkEnd w:id="570"/>
      <w:bookmarkEnd w:id="571"/>
      <w:bookmarkEnd w:id="572"/>
      <w:bookmarkEnd w:id="573"/>
      <w:bookmarkEnd w:id="574"/>
      <w:bookmarkEnd w:id="575"/>
      <w:bookmarkEnd w:id="576"/>
    </w:p>
    <w:p w14:paraId="7BDBCC69">
      <w:pPr>
        <w:pStyle w:val="2"/>
      </w:pPr>
    </w:p>
    <w:p w14:paraId="0C4ABD9F">
      <w:pPr>
        <w:widowControl/>
        <w:spacing w:line="440" w:lineRule="exact"/>
        <w:ind w:firstLine="420" w:firstLineChars="200"/>
        <w:jc w:val="left"/>
        <w:rPr>
          <w:rFonts w:hint="default" w:ascii="Times New Roman" w:hAnsi="Times New Roman" w:eastAsia="宋体" w:cs="Times New Roman"/>
          <w:sz w:val="21"/>
          <w:highlight w:val="none"/>
          <w:lang w:eastAsia="zh-CN"/>
        </w:rPr>
      </w:pPr>
      <w:r>
        <w:rPr>
          <w:rFonts w:hint="default" w:ascii="Times New Roman" w:hAnsi="Times New Roman" w:eastAsia="宋体" w:cs="Times New Roman"/>
          <w:sz w:val="21"/>
          <w:highlight w:val="none"/>
          <w:lang w:eastAsia="zh-CN"/>
        </w:rPr>
        <w:t>《建筑结构荷载规范》GB</w:t>
      </w:r>
      <w:r>
        <w:rPr>
          <w:rFonts w:hint="eastAsia" w:cs="Times New Roman"/>
          <w:sz w:val="21"/>
          <w:highlight w:val="none"/>
          <w:lang w:val="en-US" w:eastAsia="zh-CN"/>
        </w:rPr>
        <w:t xml:space="preserve"> </w:t>
      </w:r>
      <w:r>
        <w:rPr>
          <w:rFonts w:hint="default" w:ascii="Times New Roman" w:hAnsi="Times New Roman" w:eastAsia="宋体" w:cs="Times New Roman"/>
          <w:sz w:val="21"/>
          <w:highlight w:val="none"/>
          <w:lang w:eastAsia="zh-CN"/>
        </w:rPr>
        <w:t>50009</w:t>
      </w:r>
    </w:p>
    <w:p w14:paraId="089AB34C">
      <w:pPr>
        <w:spacing w:line="440" w:lineRule="exact"/>
        <w:ind w:firstLine="420" w:firstLineChars="200"/>
        <w:rPr>
          <w:rFonts w:hint="default" w:ascii="Times New Roman" w:hAnsi="Times New Roman" w:eastAsia="宋体" w:cs="Times New Roman"/>
          <w:sz w:val="21"/>
          <w:highlight w:val="none"/>
          <w:lang w:eastAsia="zh-CN"/>
        </w:rPr>
      </w:pPr>
      <w:r>
        <w:rPr>
          <w:rFonts w:hint="default" w:ascii="Times New Roman" w:hAnsi="Times New Roman" w:eastAsia="宋体" w:cs="Times New Roman"/>
          <w:sz w:val="21"/>
          <w:highlight w:val="none"/>
          <w:lang w:eastAsia="zh-CN"/>
        </w:rPr>
        <w:t>《建筑抗震设计规范》GB</w:t>
      </w:r>
      <w:r>
        <w:rPr>
          <w:rFonts w:hint="eastAsia" w:cs="Times New Roman"/>
          <w:sz w:val="21"/>
          <w:highlight w:val="none"/>
          <w:lang w:val="en-US" w:eastAsia="zh-CN"/>
        </w:rPr>
        <w:t xml:space="preserve"> </w:t>
      </w:r>
      <w:r>
        <w:rPr>
          <w:rFonts w:hint="default" w:ascii="Times New Roman" w:hAnsi="Times New Roman" w:eastAsia="宋体" w:cs="Times New Roman"/>
          <w:sz w:val="21"/>
          <w:highlight w:val="none"/>
          <w:lang w:eastAsia="zh-CN"/>
        </w:rPr>
        <w:t>50011</w:t>
      </w:r>
    </w:p>
    <w:p w14:paraId="2B2626E8">
      <w:pPr>
        <w:spacing w:line="440" w:lineRule="exact"/>
        <w:ind w:firstLine="420" w:firstLineChars="200"/>
        <w:rPr>
          <w:rStyle w:val="17"/>
          <w:rFonts w:ascii="Times New Roman" w:hAnsi="Times New Roman" w:eastAsia="宋体" w:cs="Times New Roman"/>
          <w:b w:val="0"/>
          <w:bCs w:val="0"/>
          <w:sz w:val="21"/>
          <w:highlight w:val="none"/>
        </w:rPr>
      </w:pPr>
      <w:r>
        <w:rPr>
          <w:rStyle w:val="17"/>
          <w:rFonts w:hint="default" w:ascii="Times New Roman" w:hAnsi="Times New Roman" w:eastAsia="宋体" w:cs="Times New Roman"/>
          <w:b w:val="0"/>
          <w:bCs w:val="0"/>
          <w:sz w:val="21"/>
          <w:highlight w:val="none"/>
          <w:lang w:eastAsia="zh-CN"/>
        </w:rPr>
        <w:t>《</w:t>
      </w:r>
      <w:r>
        <w:rPr>
          <w:rStyle w:val="17"/>
          <w:rFonts w:ascii="Times New Roman" w:hAnsi="Times New Roman" w:eastAsia="宋体" w:cs="Times New Roman"/>
          <w:b w:val="0"/>
          <w:bCs w:val="0"/>
          <w:sz w:val="21"/>
          <w:szCs w:val="24"/>
          <w:highlight w:val="none"/>
        </w:rPr>
        <w:t>民用建筑节水设计标准</w:t>
      </w:r>
      <w:r>
        <w:rPr>
          <w:rStyle w:val="17"/>
          <w:rFonts w:hint="default" w:ascii="Times New Roman" w:hAnsi="Times New Roman" w:eastAsia="宋体" w:cs="Times New Roman"/>
          <w:b w:val="0"/>
          <w:bCs w:val="0"/>
          <w:sz w:val="21"/>
          <w:szCs w:val="24"/>
          <w:highlight w:val="none"/>
          <w:lang w:eastAsia="zh-CN"/>
        </w:rPr>
        <w:t>》</w:t>
      </w:r>
      <w:r>
        <w:rPr>
          <w:rStyle w:val="17"/>
          <w:rFonts w:ascii="Times New Roman" w:hAnsi="Times New Roman" w:eastAsia="宋体" w:cs="Times New Roman"/>
          <w:b w:val="0"/>
          <w:bCs w:val="0"/>
          <w:sz w:val="21"/>
          <w:highlight w:val="none"/>
        </w:rPr>
        <w:t>GB 50555</w:t>
      </w:r>
    </w:p>
    <w:p w14:paraId="63CBD025">
      <w:pPr>
        <w:widowControl/>
        <w:spacing w:line="440" w:lineRule="exact"/>
        <w:ind w:firstLine="420" w:firstLineChars="200"/>
        <w:jc w:val="left"/>
        <w:rPr>
          <w:rFonts w:hint="default" w:ascii="Times New Roman" w:hAnsi="Times New Roman" w:eastAsia="宋体" w:cs="Times New Roman"/>
          <w:sz w:val="21"/>
          <w:highlight w:val="none"/>
        </w:rPr>
      </w:pPr>
      <w:r>
        <w:rPr>
          <w:rFonts w:hint="default" w:ascii="Times New Roman" w:hAnsi="Times New Roman" w:eastAsia="宋体" w:cs="Times New Roman"/>
          <w:sz w:val="21"/>
          <w:highlight w:val="none"/>
        </w:rPr>
        <w:t>《工程结构通用规范》GB 55001</w:t>
      </w:r>
    </w:p>
    <w:p w14:paraId="7F41F51A">
      <w:pPr>
        <w:spacing w:line="440" w:lineRule="exact"/>
        <w:ind w:firstLine="420" w:firstLineChars="200"/>
        <w:rPr>
          <w:rFonts w:hint="default" w:ascii="Times New Roman" w:hAnsi="Times New Roman" w:eastAsia="宋体" w:cs="Times New Roman"/>
          <w:sz w:val="21"/>
          <w:highlight w:val="none"/>
          <w:lang w:val="en-US" w:eastAsia="zh-CN"/>
        </w:rPr>
      </w:pPr>
      <w:r>
        <w:rPr>
          <w:rFonts w:hint="eastAsia" w:ascii="Times New Roman" w:hAnsi="Times New Roman" w:eastAsia="宋体" w:cs="Times New Roman"/>
          <w:sz w:val="21"/>
          <w:highlight w:val="none"/>
          <w:lang w:eastAsia="zh-CN"/>
        </w:rPr>
        <w:t>《</w:t>
      </w:r>
      <w:r>
        <w:rPr>
          <w:rFonts w:hint="default" w:ascii="Times New Roman" w:hAnsi="Times New Roman" w:eastAsia="宋体" w:cs="Times New Roman"/>
          <w:sz w:val="21"/>
          <w:highlight w:val="none"/>
        </w:rPr>
        <w:t>建筑节能与可再生能源利用通用规范</w:t>
      </w:r>
      <w:r>
        <w:rPr>
          <w:rFonts w:hint="eastAsia" w:ascii="Times New Roman" w:hAnsi="Times New Roman" w:eastAsia="宋体" w:cs="Times New Roman"/>
          <w:sz w:val="21"/>
          <w:highlight w:val="none"/>
          <w:lang w:eastAsia="zh-CN"/>
        </w:rPr>
        <w:t>》</w:t>
      </w:r>
      <w:r>
        <w:rPr>
          <w:rFonts w:ascii="Times New Roman" w:hAnsi="Times New Roman" w:eastAsia="宋体" w:cs="Times New Roman"/>
          <w:sz w:val="21"/>
          <w:highlight w:val="none"/>
        </w:rPr>
        <w:t>GB 55015</w:t>
      </w:r>
    </w:p>
    <w:p w14:paraId="4B6BFA67">
      <w:pPr>
        <w:spacing w:line="440" w:lineRule="exact"/>
        <w:ind w:firstLine="420" w:firstLineChars="200"/>
        <w:rPr>
          <w:rFonts w:hint="default" w:ascii="Times New Roman" w:hAnsi="Times New Roman" w:eastAsia="宋体" w:cs="Times New Roman"/>
          <w:highlight w:val="none"/>
        </w:rPr>
      </w:pPr>
      <w:r>
        <w:rPr>
          <w:rFonts w:ascii="Times New Roman" w:hAnsi="Times New Roman" w:eastAsia="宋体" w:cs="Times New Roman"/>
          <w:sz w:val="21"/>
          <w:szCs w:val="24"/>
          <w:highlight w:val="none"/>
        </w:rPr>
        <w:t>《既有建筑维护与改造通用规范》GB 55022</w:t>
      </w:r>
    </w:p>
    <w:p w14:paraId="1550E70E">
      <w:pPr>
        <w:widowControl/>
        <w:spacing w:line="440" w:lineRule="exact"/>
        <w:ind w:firstLine="420" w:firstLineChars="200"/>
        <w:jc w:val="left"/>
        <w:rPr>
          <w:rFonts w:hint="default" w:ascii="Times New Roman" w:hAnsi="Times New Roman" w:eastAsia="宋体" w:cs="Times New Roman"/>
          <w:sz w:val="21"/>
          <w:highlight w:val="none"/>
          <w:lang w:val="en-US" w:eastAsia="zh-CN"/>
        </w:rPr>
      </w:pPr>
      <w:r>
        <w:rPr>
          <w:rFonts w:hint="default" w:ascii="Times New Roman" w:hAnsi="Times New Roman" w:eastAsia="宋体" w:cs="Times New Roman"/>
          <w:sz w:val="21"/>
          <w:highlight w:val="none"/>
        </w:rPr>
        <w:t>《电化学储能电站用锂离子电池管理系统技术规范》</w:t>
      </w:r>
      <w:r>
        <w:rPr>
          <w:rFonts w:ascii="Times New Roman" w:hAnsi="Times New Roman" w:eastAsia="宋体" w:cs="Times New Roman"/>
          <w:sz w:val="21"/>
          <w:highlight w:val="none"/>
        </w:rPr>
        <w:t xml:space="preserve">GB/T </w:t>
      </w:r>
      <w:r>
        <w:rPr>
          <w:rFonts w:hint="default" w:ascii="Times New Roman" w:hAnsi="Times New Roman" w:eastAsia="宋体" w:cs="Times New Roman"/>
          <w:sz w:val="21"/>
          <w:highlight w:val="none"/>
          <w:lang w:val="en-US" w:eastAsia="zh-CN"/>
        </w:rPr>
        <w:t>34131</w:t>
      </w:r>
    </w:p>
    <w:p w14:paraId="34B356EA">
      <w:pPr>
        <w:spacing w:line="440" w:lineRule="exact"/>
        <w:ind w:firstLine="420" w:firstLineChars="200"/>
        <w:rPr>
          <w:rFonts w:ascii="Times New Roman" w:hAnsi="Times New Roman" w:eastAsia="宋体" w:cs="Times New Roman"/>
          <w:sz w:val="21"/>
          <w:highlight w:val="none"/>
        </w:rPr>
      </w:pPr>
      <w:r>
        <w:rPr>
          <w:rFonts w:ascii="Times New Roman" w:hAnsi="Times New Roman" w:eastAsia="宋体" w:cs="Times New Roman"/>
          <w:sz w:val="21"/>
          <w:highlight w:val="none"/>
        </w:rPr>
        <w:t>《分布式光伏发电系统远程监控技术规范》GB/T</w:t>
      </w:r>
      <w:r>
        <w:rPr>
          <w:rFonts w:hint="eastAsia" w:cs="Times New Roman"/>
          <w:sz w:val="21"/>
          <w:highlight w:val="none"/>
          <w:lang w:val="en-US" w:eastAsia="zh-CN"/>
        </w:rPr>
        <w:t xml:space="preserve"> </w:t>
      </w:r>
      <w:r>
        <w:rPr>
          <w:rFonts w:ascii="Times New Roman" w:hAnsi="Times New Roman" w:eastAsia="宋体" w:cs="Times New Roman"/>
          <w:sz w:val="21"/>
          <w:highlight w:val="none"/>
        </w:rPr>
        <w:t>34932</w:t>
      </w:r>
    </w:p>
    <w:p w14:paraId="0F1841ED">
      <w:pPr>
        <w:spacing w:line="440" w:lineRule="exact"/>
        <w:ind w:firstLine="420" w:firstLineChars="200"/>
        <w:rPr>
          <w:rFonts w:ascii="Times New Roman" w:hAnsi="Times New Roman" w:eastAsia="宋体" w:cs="Times New Roman"/>
          <w:sz w:val="21"/>
          <w:highlight w:val="none"/>
        </w:rPr>
      </w:pPr>
      <w:r>
        <w:rPr>
          <w:rFonts w:ascii="Times New Roman" w:hAnsi="Times New Roman" w:eastAsia="宋体" w:cs="Times New Roman"/>
          <w:sz w:val="21"/>
          <w:highlight w:val="none"/>
        </w:rPr>
        <w:t>《电力系统电化学储能系统通用技术条件》GB/T 36558</w:t>
      </w:r>
    </w:p>
    <w:p w14:paraId="2A6A2CD1">
      <w:pPr>
        <w:spacing w:line="440" w:lineRule="exact"/>
        <w:ind w:firstLine="420" w:firstLineChars="200"/>
        <w:rPr>
          <w:sz w:val="21"/>
          <w:highlight w:val="none"/>
        </w:rPr>
      </w:pPr>
      <w:r>
        <w:rPr>
          <w:sz w:val="21"/>
          <w:highlight w:val="none"/>
        </w:rPr>
        <w:t>《光伏发电接入配电网设计规范》GB/T</w:t>
      </w:r>
      <w:r>
        <w:rPr>
          <w:rFonts w:hint="eastAsia"/>
          <w:sz w:val="21"/>
          <w:highlight w:val="none"/>
          <w:lang w:val="en-US" w:eastAsia="zh-CN"/>
        </w:rPr>
        <w:t xml:space="preserve"> </w:t>
      </w:r>
      <w:r>
        <w:rPr>
          <w:sz w:val="21"/>
          <w:highlight w:val="none"/>
        </w:rPr>
        <w:t>50865</w:t>
      </w:r>
    </w:p>
    <w:p w14:paraId="299E395E">
      <w:pPr>
        <w:spacing w:line="440" w:lineRule="exact"/>
        <w:ind w:firstLine="420" w:firstLineChars="200"/>
        <w:rPr>
          <w:sz w:val="21"/>
          <w:highlight w:val="none"/>
        </w:rPr>
      </w:pPr>
      <w:r>
        <w:rPr>
          <w:sz w:val="21"/>
          <w:highlight w:val="none"/>
        </w:rPr>
        <w:t>《光伏发电站接入电力系统设计规范》GB/T</w:t>
      </w:r>
      <w:r>
        <w:rPr>
          <w:rFonts w:hint="eastAsia"/>
          <w:sz w:val="21"/>
          <w:highlight w:val="none"/>
          <w:lang w:val="en-US" w:eastAsia="zh-CN"/>
        </w:rPr>
        <w:t xml:space="preserve"> </w:t>
      </w:r>
      <w:r>
        <w:rPr>
          <w:sz w:val="21"/>
          <w:highlight w:val="none"/>
        </w:rPr>
        <w:t>50866</w:t>
      </w:r>
    </w:p>
    <w:p w14:paraId="04191DB6">
      <w:pPr>
        <w:spacing w:line="440" w:lineRule="exact"/>
        <w:ind w:firstLine="420" w:firstLineChars="200"/>
        <w:rPr>
          <w:rFonts w:hint="default" w:ascii="Times New Roman" w:hAnsi="Times New Roman" w:eastAsia="宋体" w:cs="Times New Roman"/>
          <w:sz w:val="21"/>
          <w:highlight w:val="none"/>
        </w:rPr>
      </w:pPr>
      <w:r>
        <w:rPr>
          <w:rFonts w:hint="default" w:ascii="Times New Roman" w:hAnsi="Times New Roman" w:eastAsia="宋体" w:cs="Times New Roman"/>
          <w:sz w:val="21"/>
          <w:highlight w:val="none"/>
          <w:lang w:eastAsia="zh-CN"/>
        </w:rPr>
        <w:t>《建筑光伏系统应用技术标准》</w:t>
      </w:r>
      <w:r>
        <w:rPr>
          <w:rFonts w:hint="default" w:ascii="Times New Roman" w:hAnsi="Times New Roman" w:eastAsia="宋体" w:cs="Times New Roman"/>
          <w:sz w:val="21"/>
          <w:highlight w:val="none"/>
        </w:rPr>
        <w:t>GB</w:t>
      </w:r>
      <w:r>
        <w:rPr>
          <w:rFonts w:hint="default" w:ascii="Times New Roman" w:hAnsi="Times New Roman" w:eastAsia="宋体" w:cs="Times New Roman"/>
          <w:sz w:val="21"/>
          <w:highlight w:val="none"/>
          <w:lang w:val="en-US" w:eastAsia="zh-CN"/>
        </w:rPr>
        <w:t>/</w:t>
      </w:r>
      <w:r>
        <w:rPr>
          <w:rFonts w:hint="default" w:ascii="Times New Roman" w:hAnsi="Times New Roman" w:eastAsia="宋体" w:cs="Times New Roman"/>
          <w:sz w:val="21"/>
          <w:highlight w:val="none"/>
        </w:rPr>
        <w:t>T</w:t>
      </w:r>
      <w:r>
        <w:rPr>
          <w:rFonts w:hint="eastAsia" w:cs="Times New Roman"/>
          <w:sz w:val="21"/>
          <w:highlight w:val="none"/>
          <w:lang w:val="en-US" w:eastAsia="zh-CN"/>
        </w:rPr>
        <w:t xml:space="preserve"> </w:t>
      </w:r>
      <w:r>
        <w:rPr>
          <w:rFonts w:hint="default" w:ascii="Times New Roman" w:hAnsi="Times New Roman" w:eastAsia="宋体" w:cs="Times New Roman"/>
          <w:sz w:val="21"/>
          <w:highlight w:val="none"/>
        </w:rPr>
        <w:t>51368</w:t>
      </w:r>
    </w:p>
    <w:p w14:paraId="6A162D3C">
      <w:pPr>
        <w:spacing w:line="440" w:lineRule="exact"/>
        <w:ind w:firstLine="420" w:firstLineChars="200"/>
        <w:rPr>
          <w:rFonts w:hint="default" w:ascii="Times New Roman" w:hAnsi="Times New Roman" w:eastAsia="宋体" w:cs="Times New Roman"/>
          <w:sz w:val="21"/>
          <w:highlight w:val="none"/>
        </w:rPr>
      </w:pPr>
      <w:r>
        <w:rPr>
          <w:rFonts w:hint="default" w:ascii="Times New Roman" w:hAnsi="Times New Roman" w:eastAsia="宋体" w:cs="Times New Roman"/>
          <w:sz w:val="21"/>
          <w:highlight w:val="none"/>
          <w:lang w:eastAsia="zh-CN"/>
        </w:rPr>
        <w:t>《</w:t>
      </w:r>
      <w:r>
        <w:rPr>
          <w:rFonts w:hint="default" w:ascii="Times New Roman" w:hAnsi="Times New Roman" w:eastAsia="宋体" w:cs="Times New Roman"/>
          <w:sz w:val="21"/>
          <w:highlight w:val="none"/>
        </w:rPr>
        <w:t>光伏建筑一体化系统运行与维护规范</w:t>
      </w:r>
      <w:r>
        <w:rPr>
          <w:rFonts w:hint="default" w:ascii="Times New Roman" w:hAnsi="Times New Roman" w:eastAsia="宋体" w:cs="Times New Roman"/>
          <w:sz w:val="21"/>
          <w:highlight w:val="none"/>
          <w:lang w:eastAsia="zh-CN"/>
        </w:rPr>
        <w:t>》</w:t>
      </w:r>
      <w:r>
        <w:rPr>
          <w:rFonts w:hint="default" w:ascii="Times New Roman" w:hAnsi="Times New Roman" w:eastAsia="宋体" w:cs="Times New Roman"/>
          <w:sz w:val="21"/>
          <w:highlight w:val="none"/>
        </w:rPr>
        <w:t>JGJ/T 264</w:t>
      </w:r>
    </w:p>
    <w:p w14:paraId="2CC22B7E">
      <w:pPr>
        <w:widowControl/>
        <w:spacing w:line="440" w:lineRule="exact"/>
        <w:ind w:firstLine="420" w:firstLineChars="200"/>
        <w:jc w:val="left"/>
        <w:rPr>
          <w:rFonts w:ascii="Times New Roman" w:hAnsi="Times New Roman" w:eastAsia="宋体" w:cs="Times New Roman"/>
          <w:sz w:val="21"/>
          <w:highlight w:val="none"/>
        </w:rPr>
      </w:pPr>
      <w:r>
        <w:rPr>
          <w:rFonts w:hint="default" w:ascii="Times New Roman" w:hAnsi="Times New Roman" w:eastAsia="宋体" w:cs="Times New Roman"/>
          <w:sz w:val="21"/>
          <w:highlight w:val="none"/>
        </w:rPr>
        <w:t>《太阳能光伏发电系统与建筑一体化技术规程》CECS 418</w:t>
      </w:r>
    </w:p>
    <w:p w14:paraId="107F1893">
      <w:pPr>
        <w:rPr>
          <w:rFonts w:hint="default" w:eastAsia="宋体"/>
          <w:lang w:val="en-US" w:eastAsia="zh-CN"/>
        </w:rPr>
      </w:pPr>
    </w:p>
    <w:p w14:paraId="0541CF39">
      <w:pPr>
        <w:pStyle w:val="2"/>
        <w:rPr>
          <w:rFonts w:hint="default"/>
          <w:lang w:val="en-US" w:eastAsia="zh-CN"/>
        </w:rPr>
        <w:sectPr>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3EE71F8A"/>
    <w:p w14:paraId="1B53D18D">
      <w:pPr>
        <w:pStyle w:val="2"/>
      </w:pPr>
    </w:p>
    <w:p w14:paraId="6B7AA58C">
      <w:pPr>
        <w:jc w:val="center"/>
        <w:rPr>
          <w:sz w:val="36"/>
          <w:szCs w:val="44"/>
        </w:rPr>
      </w:pPr>
      <w:r>
        <w:rPr>
          <w:rFonts w:hint="eastAsia"/>
          <w:sz w:val="36"/>
          <w:szCs w:val="44"/>
        </w:rPr>
        <w:t>广东省标准</w:t>
      </w:r>
    </w:p>
    <w:p w14:paraId="3D3BDEB2">
      <w:pPr>
        <w:rPr>
          <w:b/>
          <w:sz w:val="28"/>
          <w:szCs w:val="28"/>
        </w:rPr>
      </w:pPr>
    </w:p>
    <w:p w14:paraId="5B98A1C6">
      <w:pPr>
        <w:spacing w:line="240" w:lineRule="auto"/>
        <w:jc w:val="center"/>
        <w:outlineLvl w:val="9"/>
        <w:rPr>
          <w:rFonts w:hint="default" w:ascii="Times New Roman" w:hAnsi="Times New Roman"/>
          <w:b/>
          <w:bCs/>
          <w:sz w:val="48"/>
          <w:szCs w:val="48"/>
        </w:rPr>
      </w:pPr>
      <w:bookmarkStart w:id="577" w:name="_Toc9021"/>
      <w:bookmarkStart w:id="578" w:name="_Toc6171"/>
      <w:r>
        <w:rPr>
          <w:rFonts w:hint="default" w:ascii="Times New Roman" w:hAnsi="Times New Roman"/>
          <w:b/>
          <w:bCs/>
          <w:sz w:val="48"/>
          <w:szCs w:val="48"/>
        </w:rPr>
        <w:t>建筑太阳能光伏系统技术标准</w:t>
      </w:r>
      <w:bookmarkEnd w:id="577"/>
      <w:bookmarkEnd w:id="578"/>
    </w:p>
    <w:p w14:paraId="121C6EAE">
      <w:pPr>
        <w:jc w:val="center"/>
        <w:rPr>
          <w:sz w:val="32"/>
          <w:szCs w:val="32"/>
        </w:rPr>
      </w:pPr>
      <w:r>
        <w:rPr>
          <w:sz w:val="32"/>
          <w:szCs w:val="32"/>
        </w:rPr>
        <w:t xml:space="preserve">DBJ/T </w:t>
      </w:r>
      <w:r>
        <w:rPr>
          <w:sz w:val="30"/>
          <w:szCs w:val="30"/>
        </w:rPr>
        <w:t>XXX-XXXX</w:t>
      </w:r>
    </w:p>
    <w:p w14:paraId="68A8F145">
      <w:bookmarkStart w:id="579" w:name="_Toc295744075"/>
      <w:bookmarkStart w:id="580" w:name="_Toc295745298"/>
    </w:p>
    <w:p w14:paraId="405D0663">
      <w:pPr>
        <w:keepNext/>
        <w:keepLines/>
        <w:widowControl/>
        <w:snapToGrid w:val="0"/>
        <w:spacing w:before="93" w:beforeLines="30" w:after="93" w:afterLines="30" w:line="440" w:lineRule="exact"/>
        <w:jc w:val="center"/>
        <w:outlineLvl w:val="1"/>
        <w:rPr>
          <w:rFonts w:eastAsia="黑体"/>
          <w:b w:val="0"/>
          <w:bCs w:val="0"/>
          <w:sz w:val="28"/>
          <w:szCs w:val="28"/>
        </w:rPr>
      </w:pPr>
      <w:bookmarkStart w:id="581" w:name="_Toc29221"/>
      <w:bookmarkStart w:id="582" w:name="_Toc15374"/>
      <w:r>
        <w:rPr>
          <w:rFonts w:hint="default" w:eastAsia="黑体"/>
          <w:b w:val="0"/>
          <w:bCs w:val="0"/>
          <w:sz w:val="28"/>
          <w:szCs w:val="28"/>
        </w:rPr>
        <w:t>条文说明</w:t>
      </w:r>
      <w:bookmarkEnd w:id="579"/>
      <w:bookmarkEnd w:id="580"/>
      <w:bookmarkEnd w:id="581"/>
      <w:bookmarkEnd w:id="582"/>
    </w:p>
    <w:p w14:paraId="63C766BE">
      <w:pPr>
        <w:jc w:val="center"/>
        <w:rPr>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C9B82E0">
      <w:pPr>
        <w:shd w:val="clear"/>
        <w:adjustRightInd w:val="0"/>
        <w:snapToGrid w:val="0"/>
        <w:spacing w:before="93" w:beforeLines="30" w:after="93" w:afterLines="30" w:line="312" w:lineRule="auto"/>
        <w:jc w:val="center"/>
        <w:rPr>
          <w:sz w:val="24"/>
        </w:rPr>
      </w:pPr>
      <w:r>
        <w:rPr>
          <w:sz w:val="36"/>
        </w:rPr>
        <w:t>制定说明</w:t>
      </w:r>
    </w:p>
    <w:p w14:paraId="3D055183">
      <w:pPr>
        <w:shd w:val="clear"/>
        <w:adjustRightInd w:val="0"/>
        <w:snapToGrid w:val="0"/>
        <w:spacing w:before="93" w:beforeLines="30" w:after="93" w:afterLines="30" w:line="312" w:lineRule="auto"/>
        <w:ind w:firstLine="480" w:firstLineChars="200"/>
        <w:rPr>
          <w:sz w:val="24"/>
        </w:rPr>
      </w:pPr>
    </w:p>
    <w:p w14:paraId="50129264">
      <w:pPr>
        <w:shd w:val="clear"/>
        <w:adjustRightInd w:val="0"/>
        <w:snapToGrid w:val="0"/>
        <w:spacing w:before="93" w:beforeLines="30" w:after="93" w:afterLines="30" w:line="312" w:lineRule="auto"/>
        <w:ind w:firstLine="480" w:firstLineChars="200"/>
        <w:rPr>
          <w:sz w:val="24"/>
        </w:rPr>
      </w:pPr>
      <w:r>
        <w:rPr>
          <w:sz w:val="24"/>
        </w:rPr>
        <w:t>《</w:t>
      </w:r>
      <w:r>
        <w:rPr>
          <w:rFonts w:hint="eastAsia"/>
          <w:sz w:val="24"/>
        </w:rPr>
        <w:t>建筑太阳能光伏系统技术标准</w:t>
      </w:r>
      <w:r>
        <w:rPr>
          <w:sz w:val="24"/>
        </w:rPr>
        <w:t xml:space="preserve">》DBJ/T </w:t>
      </w:r>
      <w:r>
        <w:rPr>
          <w:rFonts w:hint="eastAsia"/>
          <w:sz w:val="24"/>
          <w:lang w:val="en-US" w:eastAsia="zh-CN"/>
        </w:rPr>
        <w:t>xx</w:t>
      </w:r>
      <w:r>
        <w:rPr>
          <w:sz w:val="24"/>
        </w:rPr>
        <w:t>-</w:t>
      </w:r>
      <w:r>
        <w:rPr>
          <w:rFonts w:hint="eastAsia"/>
          <w:sz w:val="24"/>
          <w:lang w:val="en-US" w:eastAsia="zh-CN"/>
        </w:rPr>
        <w:t>xxx</w:t>
      </w:r>
      <w:r>
        <w:rPr>
          <w:sz w:val="24"/>
        </w:rPr>
        <w:t>-</w:t>
      </w:r>
      <w:r>
        <w:rPr>
          <w:rFonts w:hint="eastAsia"/>
          <w:sz w:val="24"/>
          <w:lang w:val="en-US" w:eastAsia="zh-CN"/>
        </w:rPr>
        <w:t>xxxx</w:t>
      </w:r>
      <w:r>
        <w:rPr>
          <w:sz w:val="24"/>
        </w:rPr>
        <w:t>，经广东省住房和城乡建设厅20</w:t>
      </w:r>
      <w:r>
        <w:rPr>
          <w:rFonts w:hint="eastAsia"/>
          <w:sz w:val="24"/>
          <w:lang w:val="en-US" w:eastAsia="zh-CN"/>
        </w:rPr>
        <w:t>xx</w:t>
      </w:r>
      <w:r>
        <w:rPr>
          <w:sz w:val="24"/>
        </w:rPr>
        <w:t>年</w:t>
      </w:r>
      <w:r>
        <w:rPr>
          <w:rFonts w:hint="eastAsia"/>
          <w:sz w:val="24"/>
          <w:lang w:val="en-US" w:eastAsia="zh-CN"/>
        </w:rPr>
        <w:t>xx</w:t>
      </w:r>
      <w:r>
        <w:rPr>
          <w:sz w:val="24"/>
        </w:rPr>
        <w:t>月</w:t>
      </w:r>
      <w:r>
        <w:rPr>
          <w:rFonts w:hint="eastAsia"/>
          <w:sz w:val="24"/>
          <w:lang w:val="en-US" w:eastAsia="zh-CN"/>
        </w:rPr>
        <w:t>xx</w:t>
      </w:r>
      <w:r>
        <w:rPr>
          <w:sz w:val="24"/>
        </w:rPr>
        <w:t>日以粤建公告〔20</w:t>
      </w:r>
      <w:r>
        <w:rPr>
          <w:rFonts w:hint="eastAsia"/>
          <w:sz w:val="24"/>
          <w:lang w:val="en-US" w:eastAsia="zh-CN"/>
        </w:rPr>
        <w:t>xx</w:t>
      </w:r>
      <w:r>
        <w:rPr>
          <w:sz w:val="24"/>
        </w:rPr>
        <w:t>〕</w:t>
      </w:r>
      <w:r>
        <w:rPr>
          <w:rFonts w:hint="eastAsia"/>
          <w:sz w:val="24"/>
          <w:lang w:val="en-US" w:eastAsia="zh-CN"/>
        </w:rPr>
        <w:t>xx</w:t>
      </w:r>
      <w:r>
        <w:rPr>
          <w:sz w:val="24"/>
        </w:rPr>
        <w:t>号发布。</w:t>
      </w:r>
    </w:p>
    <w:p w14:paraId="3269705B">
      <w:pPr>
        <w:shd w:val="clear"/>
        <w:adjustRightInd w:val="0"/>
        <w:snapToGrid w:val="0"/>
        <w:spacing w:before="93" w:beforeLines="30" w:after="93" w:afterLines="30" w:line="312" w:lineRule="auto"/>
        <w:ind w:firstLine="480" w:firstLineChars="200"/>
        <w:rPr>
          <w:sz w:val="24"/>
        </w:rPr>
      </w:pPr>
      <w:r>
        <w:rPr>
          <w:rFonts w:hint="eastAsia"/>
          <w:sz w:val="24"/>
          <w:lang w:val="en-US" w:eastAsia="zh-CN"/>
        </w:rPr>
        <w:t>标准</w:t>
      </w:r>
      <w:r>
        <w:rPr>
          <w:sz w:val="24"/>
        </w:rPr>
        <w:t>编制组以国家标准</w:t>
      </w:r>
      <w:r>
        <w:rPr>
          <w:rFonts w:hint="eastAsia"/>
          <w:sz w:val="24"/>
        </w:rPr>
        <w:t>《建筑光伏系统应用技术标准》GB/T51368</w:t>
      </w:r>
      <w:r>
        <w:rPr>
          <w:sz w:val="24"/>
        </w:rPr>
        <w:t>为</w:t>
      </w:r>
      <w:r>
        <w:rPr>
          <w:rFonts w:hint="eastAsia"/>
          <w:sz w:val="24"/>
          <w:lang w:val="en-US" w:eastAsia="zh-CN"/>
        </w:rPr>
        <w:t>主要参考依据</w:t>
      </w:r>
      <w:r>
        <w:rPr>
          <w:sz w:val="24"/>
        </w:rPr>
        <w:t>，认真总结近年来广东省</w:t>
      </w:r>
      <w:r>
        <w:rPr>
          <w:rFonts w:hint="eastAsia"/>
          <w:sz w:val="24"/>
        </w:rPr>
        <w:t>建筑光伏系统应用</w:t>
      </w:r>
      <w:r>
        <w:rPr>
          <w:sz w:val="24"/>
        </w:rPr>
        <w:t>方面的实践和研究成果，借鉴国内、国际先进经验并在广泛征求意见的基础上对具体内容进行了反复讨论、协调和修改，最后经审查定稿。</w:t>
      </w:r>
    </w:p>
    <w:p w14:paraId="0967D960">
      <w:pPr>
        <w:shd w:val="clear"/>
        <w:adjustRightInd w:val="0"/>
        <w:snapToGrid w:val="0"/>
        <w:spacing w:before="93" w:beforeLines="30" w:after="93" w:afterLines="30" w:line="312" w:lineRule="auto"/>
        <w:ind w:firstLine="480" w:firstLineChars="200"/>
        <w:rPr>
          <w:sz w:val="24"/>
        </w:rPr>
      </w:pPr>
      <w:r>
        <w:rPr>
          <w:sz w:val="24"/>
        </w:rPr>
        <w:t>为便于广大设计、科研、学校等单位有关人员在使用本</w:t>
      </w:r>
      <w:r>
        <w:rPr>
          <w:rFonts w:hint="eastAsia"/>
          <w:sz w:val="24"/>
          <w:lang w:val="en-US" w:eastAsia="zh-CN"/>
        </w:rPr>
        <w:t>标准</w:t>
      </w:r>
      <w:r>
        <w:rPr>
          <w:sz w:val="24"/>
        </w:rPr>
        <w:t>时能正确理解和执行条文规定，</w:t>
      </w:r>
      <w:r>
        <w:rPr>
          <w:rFonts w:hint="eastAsia"/>
          <w:sz w:val="24"/>
          <w:lang w:val="en-US" w:eastAsia="zh-CN"/>
        </w:rPr>
        <w:t>标准</w:t>
      </w:r>
      <w:r>
        <w:rPr>
          <w:sz w:val="24"/>
        </w:rPr>
        <w:t>编制组按章、节、条顺序编制了本</w:t>
      </w:r>
      <w:r>
        <w:rPr>
          <w:rFonts w:hint="eastAsia"/>
          <w:sz w:val="24"/>
          <w:lang w:val="en-US" w:eastAsia="zh-CN"/>
        </w:rPr>
        <w:t>标准</w:t>
      </w:r>
      <w:r>
        <w:rPr>
          <w:sz w:val="24"/>
        </w:rPr>
        <w:t>的条文说明，对条文规定的目的、依据以及执行中需要注意的有关事项进行了说明。但是，本条文说明不具备与</w:t>
      </w:r>
      <w:r>
        <w:rPr>
          <w:rFonts w:hint="eastAsia"/>
          <w:sz w:val="24"/>
          <w:lang w:val="en-US" w:eastAsia="zh-CN"/>
        </w:rPr>
        <w:t>标准</w:t>
      </w:r>
      <w:r>
        <w:rPr>
          <w:sz w:val="24"/>
        </w:rPr>
        <w:t>正文同等的法律效力，仅供使用者作为理解和把握</w:t>
      </w:r>
      <w:r>
        <w:rPr>
          <w:rFonts w:hint="eastAsia"/>
          <w:sz w:val="24"/>
          <w:lang w:val="en-US" w:eastAsia="zh-CN"/>
        </w:rPr>
        <w:t>标准</w:t>
      </w:r>
      <w:r>
        <w:rPr>
          <w:sz w:val="24"/>
        </w:rPr>
        <w:t>规定的参考。</w:t>
      </w:r>
    </w:p>
    <w:p w14:paraId="7846DACB">
      <w:pPr>
        <w:shd w:val="clear"/>
        <w:rPr>
          <w:sz w:val="24"/>
        </w:rPr>
      </w:pPr>
      <w:r>
        <w:rPr>
          <w:sz w:val="24"/>
        </w:rPr>
        <w:br w:type="page"/>
      </w:r>
    </w:p>
    <w:p w14:paraId="6DAE4743">
      <w:pPr>
        <w:pStyle w:val="2"/>
        <w:snapToGrid w:val="0"/>
        <w:jc w:val="center"/>
        <w:rPr>
          <w:rFonts w:hint="eastAsia" w:ascii="Times New Roman" w:hAnsi="Times New Roman" w:eastAsia="宋体" w:cs="Times New Roman"/>
          <w:b/>
          <w:bCs/>
          <w:sz w:val="28"/>
          <w:szCs w:val="21"/>
          <w:lang w:val="zh-CN"/>
        </w:rPr>
      </w:pPr>
      <w:r>
        <w:rPr>
          <w:rFonts w:ascii="Times New Roman" w:hAnsi="Times New Roman" w:eastAsia="宋体" w:cs="Times New Roman"/>
          <w:b/>
          <w:bCs/>
          <w:sz w:val="28"/>
          <w:szCs w:val="21"/>
          <w:lang w:val="zh-CN"/>
        </w:rPr>
        <w:t>目</w:t>
      </w:r>
      <w:r>
        <w:rPr>
          <w:rFonts w:hint="eastAsia" w:ascii="Times New Roman" w:hAnsi="Times New Roman" w:eastAsia="宋体" w:cs="Times New Roman"/>
          <w:b/>
          <w:bCs/>
          <w:sz w:val="28"/>
          <w:szCs w:val="21"/>
          <w:lang w:val="en-US" w:eastAsia="zh-CN"/>
        </w:rPr>
        <w:t xml:space="preserve">  </w:t>
      </w:r>
      <w:r>
        <w:rPr>
          <w:rFonts w:hint="eastAsia" w:ascii="Times New Roman" w:hAnsi="Times New Roman" w:eastAsia="宋体" w:cs="Times New Roman"/>
          <w:b/>
          <w:bCs/>
          <w:sz w:val="28"/>
          <w:szCs w:val="21"/>
          <w:u w:val="dotted"/>
          <w:lang w:val="en-US" w:eastAsia="zh-CN"/>
        </w:rPr>
        <w:t>次</w:t>
      </w:r>
    </w:p>
    <w:p w14:paraId="42A7020A">
      <w:pPr>
        <w:pStyle w:val="14"/>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TOC \o "1-3" \h \z \u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_Toc18868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1 总则</w:t>
      </w:r>
      <w:r>
        <w:rPr>
          <w:rFonts w:hint="default" w:ascii="Times New Roman" w:hAnsi="Times New Roman" w:eastAsia="宋体" w:cs="Times New Roman"/>
          <w:sz w:val="24"/>
        </w:rPr>
        <w:tab/>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bCs/>
          <w:sz w:val="24"/>
          <w:lang w:val="zh-CN"/>
        </w:rPr>
        <w:fldChar w:fldCharType="end"/>
      </w:r>
    </w:p>
    <w:p w14:paraId="3D5AB35C">
      <w:pPr>
        <w:pStyle w:val="14"/>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_Toc4260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2 术语</w:t>
      </w:r>
      <w:r>
        <w:rPr>
          <w:rFonts w:hint="default" w:ascii="Times New Roman" w:hAnsi="Times New Roman" w:eastAsia="宋体" w:cs="Times New Roman"/>
          <w:sz w:val="24"/>
        </w:rPr>
        <w:tab/>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bCs/>
          <w:sz w:val="24"/>
          <w:lang w:val="zh-CN"/>
        </w:rPr>
        <w:fldChar w:fldCharType="end"/>
      </w:r>
    </w:p>
    <w:p w14:paraId="7DB42A50">
      <w:pPr>
        <w:pStyle w:val="14"/>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_Toc18584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3 基本规定</w:t>
      </w:r>
      <w:r>
        <w:rPr>
          <w:rFonts w:hint="default" w:ascii="Times New Roman" w:hAnsi="Times New Roman" w:eastAsia="宋体" w:cs="Times New Roman"/>
          <w:sz w:val="24"/>
        </w:rPr>
        <w:tab/>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bCs/>
          <w:sz w:val="24"/>
          <w:lang w:val="zh-CN"/>
        </w:rPr>
        <w:fldChar w:fldCharType="end"/>
      </w:r>
    </w:p>
    <w:p w14:paraId="4B4C0EB6">
      <w:pPr>
        <w:pStyle w:val="14"/>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_Toc5210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4 设备和材料</w:t>
      </w:r>
      <w:r>
        <w:rPr>
          <w:rFonts w:hint="default" w:ascii="Times New Roman" w:hAnsi="Times New Roman" w:eastAsia="宋体" w:cs="Times New Roman"/>
          <w:sz w:val="24"/>
        </w:rPr>
        <w:tab/>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bCs/>
          <w:sz w:val="24"/>
          <w:lang w:val="zh-CN"/>
        </w:rPr>
        <w:fldChar w:fldCharType="end"/>
      </w:r>
    </w:p>
    <w:p w14:paraId="091BD0E0">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_Toc17362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4.1一般规定</w:t>
      </w:r>
      <w:r>
        <w:rPr>
          <w:rFonts w:hint="default" w:ascii="Times New Roman" w:hAnsi="Times New Roman" w:eastAsia="宋体" w:cs="Times New Roman"/>
          <w:sz w:val="24"/>
        </w:rPr>
        <w:tab/>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bCs/>
          <w:sz w:val="24"/>
          <w:lang w:val="zh-CN"/>
        </w:rPr>
        <w:fldChar w:fldCharType="end"/>
      </w:r>
    </w:p>
    <w:p w14:paraId="23CAF029">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_Toc13924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4.2光伏组件</w:t>
      </w:r>
      <w:r>
        <w:rPr>
          <w:rFonts w:hint="default" w:ascii="Times New Roman" w:hAnsi="Times New Roman" w:eastAsia="宋体" w:cs="Times New Roman"/>
          <w:sz w:val="24"/>
        </w:rPr>
        <w:tab/>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bCs/>
          <w:sz w:val="24"/>
          <w:lang w:val="zh-CN"/>
        </w:rPr>
        <w:fldChar w:fldCharType="end"/>
      </w:r>
    </w:p>
    <w:p w14:paraId="04B1BDB5">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_Toc28717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4.3材料</w:t>
      </w:r>
      <w:r>
        <w:rPr>
          <w:rFonts w:hint="default" w:ascii="Times New Roman" w:hAnsi="Times New Roman" w:eastAsia="宋体" w:cs="Times New Roman"/>
          <w:sz w:val="24"/>
        </w:rPr>
        <w:tab/>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bCs/>
          <w:sz w:val="24"/>
          <w:lang w:val="zh-CN"/>
        </w:rPr>
        <w:fldChar w:fldCharType="end"/>
      </w:r>
    </w:p>
    <w:p w14:paraId="7A6959FD">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_Toc4352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逆变器</w:t>
      </w:r>
      <w:r>
        <w:rPr>
          <w:rFonts w:hint="default" w:ascii="Times New Roman" w:hAnsi="Times New Roman" w:eastAsia="宋体" w:cs="Times New Roman"/>
          <w:sz w:val="24"/>
        </w:rPr>
        <w:tab/>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bCs/>
          <w:sz w:val="24"/>
          <w:lang w:val="zh-CN"/>
        </w:rPr>
        <w:fldChar w:fldCharType="end"/>
      </w:r>
    </w:p>
    <w:p w14:paraId="230DE85E">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_Toc31728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储能系统</w:t>
      </w:r>
      <w:r>
        <w:rPr>
          <w:rFonts w:hint="default" w:ascii="Times New Roman" w:hAnsi="Times New Roman" w:eastAsia="宋体" w:cs="Times New Roman"/>
          <w:sz w:val="24"/>
        </w:rPr>
        <w:tab/>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bCs/>
          <w:sz w:val="24"/>
          <w:lang w:val="zh-CN"/>
        </w:rPr>
        <w:fldChar w:fldCharType="end"/>
      </w:r>
    </w:p>
    <w:p w14:paraId="08342A32">
      <w:pPr>
        <w:pStyle w:val="14"/>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_Toc1324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5 设计</w:t>
      </w:r>
      <w:r>
        <w:rPr>
          <w:rFonts w:hint="default" w:ascii="Times New Roman" w:hAnsi="Times New Roman" w:eastAsia="宋体" w:cs="Times New Roman"/>
          <w:sz w:val="24"/>
        </w:rPr>
        <w:tab/>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bCs/>
          <w:sz w:val="24"/>
          <w:lang w:val="zh-CN"/>
        </w:rPr>
        <w:fldChar w:fldCharType="end"/>
      </w:r>
    </w:p>
    <w:p w14:paraId="52C10DF5">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_Toc23037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5.1一般规定</w:t>
      </w:r>
      <w:r>
        <w:rPr>
          <w:rFonts w:hint="default" w:ascii="Times New Roman" w:hAnsi="Times New Roman" w:eastAsia="宋体" w:cs="Times New Roman"/>
          <w:sz w:val="24"/>
        </w:rPr>
        <w:tab/>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bCs/>
          <w:sz w:val="24"/>
          <w:lang w:val="zh-CN"/>
        </w:rPr>
        <w:fldChar w:fldCharType="end"/>
      </w:r>
    </w:p>
    <w:p w14:paraId="2F7A98DC">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_Toc9547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5.2规划</w:t>
      </w:r>
      <w:r>
        <w:rPr>
          <w:rFonts w:hint="default" w:ascii="Times New Roman" w:hAnsi="Times New Roman" w:eastAsia="宋体" w:cs="Times New Roman"/>
          <w:sz w:val="24"/>
          <w:szCs w:val="24"/>
          <w:lang w:val="en-US" w:eastAsia="zh-CN"/>
        </w:rPr>
        <w:t>和建筑</w:t>
      </w:r>
      <w:r>
        <w:rPr>
          <w:rFonts w:hint="default" w:ascii="Times New Roman" w:hAnsi="Times New Roman" w:eastAsia="宋体" w:cs="Times New Roman"/>
          <w:sz w:val="24"/>
        </w:rPr>
        <w:tab/>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bCs/>
          <w:sz w:val="24"/>
          <w:lang w:val="zh-CN"/>
        </w:rPr>
        <w:fldChar w:fldCharType="end"/>
      </w:r>
    </w:p>
    <w:p w14:paraId="554023AD">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_Toc3407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组件</w:t>
      </w:r>
      <w:r>
        <w:rPr>
          <w:rFonts w:hint="default" w:ascii="Times New Roman" w:hAnsi="Times New Roman" w:eastAsia="宋体" w:cs="Times New Roman"/>
          <w:sz w:val="24"/>
        </w:rPr>
        <w:tab/>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bCs/>
          <w:sz w:val="24"/>
          <w:lang w:val="zh-CN"/>
        </w:rPr>
        <w:fldChar w:fldCharType="end"/>
      </w:r>
    </w:p>
    <w:p w14:paraId="09AEC384">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_Toc16868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构造</w:t>
      </w:r>
      <w:r>
        <w:rPr>
          <w:rFonts w:hint="default" w:ascii="Times New Roman" w:hAnsi="Times New Roman" w:eastAsia="宋体" w:cs="Times New Roman"/>
          <w:sz w:val="24"/>
        </w:rPr>
        <w:tab/>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bCs/>
          <w:sz w:val="24"/>
          <w:lang w:val="zh-CN"/>
        </w:rPr>
        <w:fldChar w:fldCharType="end"/>
      </w:r>
    </w:p>
    <w:p w14:paraId="102C4A7E">
      <w:pPr>
        <w:pStyle w:val="14"/>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_Toc16117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6 结构设计</w:t>
      </w:r>
      <w:r>
        <w:rPr>
          <w:rFonts w:hint="default" w:ascii="Times New Roman" w:hAnsi="Times New Roman" w:eastAsia="宋体" w:cs="Times New Roman"/>
          <w:sz w:val="24"/>
        </w:rPr>
        <w:tab/>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bCs/>
          <w:sz w:val="24"/>
          <w:lang w:val="zh-CN"/>
        </w:rPr>
        <w:fldChar w:fldCharType="end"/>
      </w:r>
    </w:p>
    <w:p w14:paraId="163A8C2B">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_Toc5446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6.1一般规定</w:t>
      </w:r>
      <w:r>
        <w:rPr>
          <w:rFonts w:hint="default" w:ascii="Times New Roman" w:hAnsi="Times New Roman" w:eastAsia="宋体" w:cs="Times New Roman"/>
          <w:sz w:val="24"/>
        </w:rPr>
        <w:tab/>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bCs/>
          <w:sz w:val="24"/>
          <w:lang w:val="zh-CN"/>
        </w:rPr>
        <w:fldChar w:fldCharType="end"/>
      </w:r>
    </w:p>
    <w:p w14:paraId="51835F28">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_Toc13410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6.3荷载和作用</w:t>
      </w:r>
      <w:r>
        <w:rPr>
          <w:rFonts w:hint="default" w:ascii="Times New Roman" w:hAnsi="Times New Roman" w:eastAsia="宋体" w:cs="Times New Roman"/>
          <w:sz w:val="24"/>
        </w:rPr>
        <w:tab/>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bCs/>
          <w:sz w:val="24"/>
          <w:lang w:val="zh-CN"/>
        </w:rPr>
        <w:fldChar w:fldCharType="end"/>
      </w:r>
    </w:p>
    <w:p w14:paraId="571D9D9C">
      <w:pPr>
        <w:pStyle w:val="14"/>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_Toc28215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7 光伏发电系统设计</w:t>
      </w:r>
      <w:r>
        <w:rPr>
          <w:rFonts w:hint="default" w:ascii="Times New Roman" w:hAnsi="Times New Roman" w:eastAsia="宋体" w:cs="Times New Roman"/>
          <w:sz w:val="24"/>
        </w:rPr>
        <w:tab/>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bCs/>
          <w:sz w:val="24"/>
          <w:lang w:val="zh-CN"/>
        </w:rPr>
        <w:fldChar w:fldCharType="end"/>
      </w:r>
    </w:p>
    <w:p w14:paraId="65F94C25">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_Toc29930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7.1一般规定</w:t>
      </w:r>
      <w:r>
        <w:rPr>
          <w:rFonts w:hint="default" w:ascii="Times New Roman" w:hAnsi="Times New Roman" w:eastAsia="宋体" w:cs="Times New Roman"/>
          <w:sz w:val="24"/>
        </w:rPr>
        <w:tab/>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bCs/>
          <w:sz w:val="24"/>
          <w:lang w:val="zh-CN"/>
        </w:rPr>
        <w:fldChar w:fldCharType="end"/>
      </w:r>
    </w:p>
    <w:p w14:paraId="1EAA8734">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_Toc24955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7.4光伏发电系统发电量估算</w:t>
      </w:r>
      <w:r>
        <w:rPr>
          <w:rFonts w:hint="default" w:ascii="Times New Roman" w:hAnsi="Times New Roman" w:eastAsia="宋体" w:cs="Times New Roman"/>
          <w:sz w:val="24"/>
        </w:rPr>
        <w:tab/>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bCs/>
          <w:sz w:val="24"/>
          <w:lang w:val="zh-CN"/>
        </w:rPr>
        <w:fldChar w:fldCharType="end"/>
      </w:r>
    </w:p>
    <w:p w14:paraId="667BDA52">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_Toc14604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7.5防雷与接地</w:t>
      </w:r>
      <w:r>
        <w:rPr>
          <w:rFonts w:hint="default" w:ascii="Times New Roman" w:hAnsi="Times New Roman" w:eastAsia="宋体" w:cs="Times New Roman"/>
          <w:sz w:val="24"/>
        </w:rPr>
        <w:tab/>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bCs/>
          <w:sz w:val="24"/>
          <w:lang w:val="zh-CN"/>
        </w:rPr>
        <w:fldChar w:fldCharType="end"/>
      </w:r>
    </w:p>
    <w:p w14:paraId="183EE53F">
      <w:pPr>
        <w:pStyle w:val="14"/>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_Toc25902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8 光伏发电系统接入</w:t>
      </w:r>
      <w:r>
        <w:rPr>
          <w:rFonts w:hint="default" w:ascii="Times New Roman" w:hAnsi="Times New Roman" w:eastAsia="宋体" w:cs="Times New Roman"/>
          <w:sz w:val="24"/>
        </w:rPr>
        <w:tab/>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bCs/>
          <w:sz w:val="24"/>
          <w:lang w:val="zh-CN"/>
        </w:rPr>
        <w:fldChar w:fldCharType="end"/>
      </w:r>
    </w:p>
    <w:p w14:paraId="169CB09B">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_Toc32156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智能运行</w:t>
      </w:r>
      <w:r>
        <w:rPr>
          <w:rFonts w:hint="default" w:ascii="Times New Roman" w:hAnsi="Times New Roman" w:eastAsia="宋体" w:cs="Times New Roman"/>
          <w:sz w:val="24"/>
        </w:rPr>
        <w:tab/>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bCs/>
          <w:sz w:val="24"/>
          <w:lang w:val="zh-CN"/>
        </w:rPr>
        <w:fldChar w:fldCharType="end"/>
      </w:r>
    </w:p>
    <w:p w14:paraId="223CA2FC">
      <w:pPr>
        <w:pStyle w:val="14"/>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_Toc8725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rPr>
        <w:t xml:space="preserve"> 给排水设计</w:t>
      </w:r>
      <w:r>
        <w:rPr>
          <w:rFonts w:hint="default" w:ascii="Times New Roman" w:hAnsi="Times New Roman" w:eastAsia="宋体" w:cs="Times New Roman"/>
          <w:sz w:val="24"/>
        </w:rPr>
        <w:tab/>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bCs/>
          <w:sz w:val="24"/>
          <w:lang w:val="zh-CN"/>
        </w:rPr>
        <w:fldChar w:fldCharType="end"/>
      </w:r>
    </w:p>
    <w:p w14:paraId="5D33F72A">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_Toc27181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rPr>
        <w:t>.1一般规定</w:t>
      </w:r>
      <w:r>
        <w:rPr>
          <w:rFonts w:hint="default" w:ascii="Times New Roman" w:hAnsi="Times New Roman" w:eastAsia="宋体" w:cs="Times New Roman"/>
          <w:sz w:val="24"/>
        </w:rPr>
        <w:tab/>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bCs/>
          <w:sz w:val="24"/>
          <w:lang w:val="zh-CN"/>
        </w:rPr>
        <w:fldChar w:fldCharType="end"/>
      </w:r>
    </w:p>
    <w:p w14:paraId="59FFDC7A">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_Toc20049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rPr>
        <w:t>.2屋面排水</w:t>
      </w:r>
      <w:r>
        <w:rPr>
          <w:rFonts w:hint="default" w:ascii="Times New Roman" w:hAnsi="Times New Roman" w:eastAsia="宋体" w:cs="Times New Roman"/>
          <w:sz w:val="24"/>
        </w:rPr>
        <w:tab/>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bCs/>
          <w:sz w:val="24"/>
          <w:lang w:val="zh-CN"/>
        </w:rPr>
        <w:fldChar w:fldCharType="end"/>
      </w:r>
    </w:p>
    <w:p w14:paraId="390B9BBF">
      <w:pPr>
        <w:pStyle w:val="14"/>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_Toc5396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 xml:space="preserve"> 工程施工</w:t>
      </w:r>
      <w:r>
        <w:rPr>
          <w:rFonts w:hint="default" w:ascii="Times New Roman" w:hAnsi="Times New Roman" w:eastAsia="宋体" w:cs="Times New Roman"/>
          <w:sz w:val="24"/>
        </w:rPr>
        <w:tab/>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bCs/>
          <w:sz w:val="24"/>
          <w:lang w:val="zh-CN"/>
        </w:rPr>
        <w:fldChar w:fldCharType="end"/>
      </w:r>
    </w:p>
    <w:p w14:paraId="32E0D476">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_Toc28584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.1一般规定</w:t>
      </w:r>
      <w:r>
        <w:rPr>
          <w:rFonts w:hint="default" w:ascii="Times New Roman" w:hAnsi="Times New Roman" w:eastAsia="宋体" w:cs="Times New Roman"/>
          <w:sz w:val="24"/>
        </w:rPr>
        <w:tab/>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bCs/>
          <w:sz w:val="24"/>
          <w:lang w:val="zh-CN"/>
        </w:rPr>
        <w:fldChar w:fldCharType="end"/>
      </w:r>
    </w:p>
    <w:p w14:paraId="37906E4E">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_Toc2529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.2土建工程</w:t>
      </w:r>
      <w:r>
        <w:rPr>
          <w:rFonts w:hint="default" w:ascii="Times New Roman" w:hAnsi="Times New Roman" w:eastAsia="宋体" w:cs="Times New Roman"/>
          <w:sz w:val="24"/>
        </w:rPr>
        <w:tab/>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bCs/>
          <w:sz w:val="24"/>
          <w:lang w:val="zh-CN"/>
        </w:rPr>
        <w:fldChar w:fldCharType="end"/>
      </w:r>
    </w:p>
    <w:p w14:paraId="197C0CF1">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_Toc3460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.3光伏组件安装</w:t>
      </w:r>
      <w:r>
        <w:rPr>
          <w:rFonts w:hint="default" w:ascii="Times New Roman" w:hAnsi="Times New Roman" w:eastAsia="宋体" w:cs="Times New Roman"/>
          <w:sz w:val="24"/>
        </w:rPr>
        <w:tab/>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bCs/>
          <w:sz w:val="24"/>
          <w:lang w:val="zh-CN"/>
        </w:rPr>
        <w:fldChar w:fldCharType="end"/>
      </w:r>
    </w:p>
    <w:p w14:paraId="6191A4D1">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_Toc23331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.4电气安装</w:t>
      </w:r>
      <w:r>
        <w:rPr>
          <w:rFonts w:hint="default" w:ascii="Times New Roman" w:hAnsi="Times New Roman" w:eastAsia="宋体" w:cs="Times New Roman"/>
          <w:sz w:val="24"/>
        </w:rPr>
        <w:tab/>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bCs/>
          <w:sz w:val="24"/>
          <w:lang w:val="zh-CN"/>
        </w:rPr>
        <w:fldChar w:fldCharType="end"/>
      </w:r>
    </w:p>
    <w:p w14:paraId="0B51A3F3">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_Toc14941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.5系统调试</w:t>
      </w:r>
      <w:r>
        <w:rPr>
          <w:rFonts w:hint="default" w:ascii="Times New Roman" w:hAnsi="Times New Roman" w:eastAsia="宋体" w:cs="Times New Roman"/>
          <w:sz w:val="24"/>
        </w:rPr>
        <w:tab/>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bCs/>
          <w:sz w:val="24"/>
          <w:lang w:val="zh-CN"/>
        </w:rPr>
        <w:fldChar w:fldCharType="end"/>
      </w:r>
    </w:p>
    <w:p w14:paraId="58682825">
      <w:pPr>
        <w:pStyle w:val="14"/>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_Toc24597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 xml:space="preserve"> 消防</w:t>
      </w:r>
      <w:r>
        <w:rPr>
          <w:rFonts w:hint="default" w:ascii="Times New Roman" w:hAnsi="Times New Roman" w:eastAsia="宋体" w:cs="Times New Roman"/>
          <w:sz w:val="24"/>
        </w:rPr>
        <w:tab/>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bCs/>
          <w:sz w:val="24"/>
          <w:lang w:val="zh-CN"/>
        </w:rPr>
        <w:fldChar w:fldCharType="end"/>
      </w:r>
    </w:p>
    <w:p w14:paraId="6CC49A47">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_Toc21045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.2防火</w:t>
      </w:r>
      <w:r>
        <w:rPr>
          <w:rFonts w:hint="default" w:ascii="Times New Roman" w:hAnsi="Times New Roman" w:eastAsia="宋体" w:cs="Times New Roman"/>
          <w:sz w:val="24"/>
        </w:rPr>
        <w:tab/>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bCs/>
          <w:sz w:val="24"/>
          <w:lang w:val="zh-CN"/>
        </w:rPr>
        <w:fldChar w:fldCharType="end"/>
      </w:r>
    </w:p>
    <w:p w14:paraId="332B2E5C">
      <w:pPr>
        <w:pStyle w:val="14"/>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_Toc12182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 xml:space="preserve"> 运行与维护</w:t>
      </w:r>
      <w:r>
        <w:rPr>
          <w:rFonts w:hint="default" w:ascii="Times New Roman" w:hAnsi="Times New Roman" w:eastAsia="宋体" w:cs="Times New Roman"/>
          <w:sz w:val="24"/>
        </w:rPr>
        <w:tab/>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bCs/>
          <w:sz w:val="24"/>
          <w:lang w:val="zh-CN"/>
        </w:rPr>
        <w:fldChar w:fldCharType="end"/>
      </w:r>
    </w:p>
    <w:p w14:paraId="55038B14">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_Toc9415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.1一般规定</w:t>
      </w:r>
      <w:r>
        <w:rPr>
          <w:rFonts w:hint="default" w:ascii="Times New Roman" w:hAnsi="Times New Roman" w:eastAsia="宋体" w:cs="Times New Roman"/>
          <w:sz w:val="24"/>
        </w:rPr>
        <w:tab/>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bCs/>
          <w:sz w:val="24"/>
          <w:lang w:val="zh-CN"/>
        </w:rPr>
        <w:fldChar w:fldCharType="end"/>
      </w:r>
    </w:p>
    <w:p w14:paraId="7C5408D1">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_Toc17810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lang w:val="en-US" w:eastAsia="zh-CN"/>
        </w:rPr>
        <w:t>建筑</w:t>
      </w:r>
      <w:r>
        <w:rPr>
          <w:rFonts w:hint="default" w:ascii="Times New Roman" w:hAnsi="Times New Roman" w:eastAsia="宋体" w:cs="Times New Roman"/>
          <w:sz w:val="24"/>
          <w:szCs w:val="24"/>
        </w:rPr>
        <w:t>运行管理</w:t>
      </w:r>
      <w:r>
        <w:rPr>
          <w:rFonts w:hint="default" w:ascii="Times New Roman" w:hAnsi="Times New Roman" w:eastAsia="宋体" w:cs="Times New Roman"/>
          <w:sz w:val="24"/>
          <w:szCs w:val="24"/>
          <w:lang w:val="en-US" w:eastAsia="zh-CN"/>
        </w:rPr>
        <w:t>与维护</w:t>
      </w:r>
      <w:r>
        <w:rPr>
          <w:rFonts w:hint="default" w:ascii="Times New Roman" w:hAnsi="Times New Roman" w:eastAsia="宋体" w:cs="Times New Roman"/>
          <w:sz w:val="24"/>
        </w:rPr>
        <w:tab/>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bCs/>
          <w:sz w:val="24"/>
          <w:lang w:val="zh-CN"/>
        </w:rPr>
        <w:fldChar w:fldCharType="end"/>
      </w:r>
    </w:p>
    <w:p w14:paraId="4CA34C0D">
      <w:pPr>
        <w:pStyle w:val="8"/>
        <w:tabs>
          <w:tab w:val="right" w:leader="dot" w:pos="8306"/>
        </w:tabs>
        <w:rPr>
          <w:rFonts w:hint="default" w:ascii="Times New Roman" w:hAnsi="Times New Roman" w:eastAsia="宋体" w:cs="Times New Roman"/>
          <w:sz w:val="24"/>
        </w:rPr>
      </w:pPr>
      <w:r>
        <w:rPr>
          <w:rFonts w:hint="default" w:ascii="Times New Roman" w:hAnsi="Times New Roman" w:eastAsia="宋体" w:cs="Times New Roman"/>
          <w:bCs/>
          <w:sz w:val="24"/>
          <w:lang w:val="zh-CN"/>
        </w:rPr>
        <w:fldChar w:fldCharType="begin"/>
      </w:r>
      <w:r>
        <w:rPr>
          <w:rFonts w:hint="default" w:ascii="Times New Roman" w:hAnsi="Times New Roman" w:eastAsia="宋体" w:cs="Times New Roman"/>
          <w:bCs/>
          <w:sz w:val="24"/>
          <w:lang w:val="zh-CN"/>
        </w:rPr>
        <w:instrText xml:space="preserve"> HYPERLINK \l _Toc3659 </w:instrText>
      </w:r>
      <w:r>
        <w:rPr>
          <w:rFonts w:hint="default" w:ascii="Times New Roman" w:hAnsi="Times New Roman" w:eastAsia="宋体" w:cs="Times New Roman"/>
          <w:bCs/>
          <w:sz w:val="24"/>
          <w:lang w:val="zh-CN"/>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lang w:val="en-US" w:eastAsia="zh-CN"/>
        </w:rPr>
        <w:t>光伏系统</w:t>
      </w:r>
      <w:r>
        <w:rPr>
          <w:rFonts w:hint="default" w:ascii="Times New Roman" w:hAnsi="Times New Roman" w:eastAsia="宋体" w:cs="Times New Roman"/>
          <w:sz w:val="24"/>
          <w:szCs w:val="24"/>
        </w:rPr>
        <w:t>运行管理</w:t>
      </w:r>
      <w:r>
        <w:rPr>
          <w:rFonts w:hint="default" w:ascii="Times New Roman" w:hAnsi="Times New Roman" w:eastAsia="宋体" w:cs="Times New Roman"/>
          <w:sz w:val="24"/>
          <w:szCs w:val="24"/>
          <w:lang w:val="en-US" w:eastAsia="zh-CN"/>
        </w:rPr>
        <w:t>与维护</w:t>
      </w:r>
      <w:r>
        <w:rPr>
          <w:rFonts w:hint="default" w:ascii="Times New Roman" w:hAnsi="Times New Roman" w:eastAsia="宋体" w:cs="Times New Roman"/>
          <w:sz w:val="24"/>
        </w:rPr>
        <w:tab/>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bCs/>
          <w:sz w:val="24"/>
          <w:lang w:val="zh-CN"/>
        </w:rPr>
        <w:fldChar w:fldCharType="end"/>
      </w:r>
    </w:p>
    <w:p w14:paraId="65E92DC4">
      <w:pPr>
        <w:pStyle w:val="14"/>
        <w:tabs>
          <w:tab w:val="right" w:leader="dot" w:pos="8306"/>
        </w:tabs>
        <w:rPr>
          <w:rFonts w:hint="default" w:ascii="Times New Roman" w:hAnsi="Times New Roman" w:eastAsia="宋体" w:cs="Times New Roman"/>
          <w:sz w:val="24"/>
        </w:rPr>
      </w:pPr>
    </w:p>
    <w:p w14:paraId="6D270971">
      <w:pPr>
        <w:snapToGrid w:val="0"/>
        <w:spacing w:line="300" w:lineRule="auto"/>
        <w:rPr>
          <w:b/>
          <w:bCs/>
          <w:lang w:val="zh-CN"/>
        </w:rPr>
      </w:pPr>
      <w:r>
        <w:rPr>
          <w:rFonts w:hint="default" w:ascii="Times New Roman" w:hAnsi="Times New Roman" w:eastAsia="宋体" w:cs="Times New Roman"/>
          <w:b/>
          <w:bCs/>
          <w:sz w:val="24"/>
          <w:lang w:val="zh-CN"/>
        </w:rPr>
        <w:fldChar w:fldCharType="end"/>
      </w:r>
    </w:p>
    <w:p w14:paraId="1FD3DFE8">
      <w:pPr>
        <w:pStyle w:val="3"/>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E-HZ9-PK7483ab-Identity-H">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E-BZ9-PK748371-Identity-H">
    <w:altName w:val="Segoe Print"/>
    <w:panose1 w:val="00000000000000000000"/>
    <w:charset w:val="00"/>
    <w:family w:val="auto"/>
    <w:pitch w:val="default"/>
    <w:sig w:usb0="00000000" w:usb1="00000000" w:usb2="00000000" w:usb3="00000000" w:csb0="00000000" w:csb1="00000000"/>
  </w:font>
  <w:font w:name="FZSSK-GBK1-020000782-Identity-H">
    <w:altName w:val="Segoe Print"/>
    <w:panose1 w:val="00000000000000000000"/>
    <w:charset w:val="00"/>
    <w:family w:val="auto"/>
    <w:pitch w:val="default"/>
    <w:sig w:usb0="00000000" w:usb1="00000000" w:usb2="00000000" w:usb3="00000000" w:csb0="00000000" w:csb1="00000000"/>
  </w:font>
  <w:font w:name="H-SS9-PK74820000783-Identity-H">
    <w:altName w:val="Segoe Print"/>
    <w:panose1 w:val="00000000000000000000"/>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TimesNewRomanPSMT">
    <w:altName w:val="Times New Roman"/>
    <w:panose1 w:val="00000000000000000000"/>
    <w:charset w:val="00"/>
    <w:family w:val="auto"/>
    <w:pitch w:val="default"/>
    <w:sig w:usb0="00000000" w:usb1="00000000" w:usb2="00000000" w:usb3="00000000" w:csb0="00000000" w:csb1="00000000"/>
  </w:font>
  <w:font w:name="FZSSJW--GB1-0">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089F6">
    <w:pPr>
      <w:pStyle w:val="11"/>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777840">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3B777840">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39117">
    <w:pPr>
      <w:pStyle w:val="11"/>
      <w:tabs>
        <w:tab w:val="center" w:pos="4536"/>
        <w:tab w:val="clear" w:pos="4153"/>
      </w:tabs>
      <w:jc w:val="both"/>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8581F6">
                          <w:pPr>
                            <w:pStyle w:val="11"/>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68581F6">
                    <w:pPr>
                      <w:pStyle w:val="11"/>
                    </w:pPr>
                    <w:r>
                      <w:fldChar w:fldCharType="begin"/>
                    </w:r>
                    <w:r>
                      <w:instrText xml:space="preserve"> PAGE  \* MERGEFORMAT </w:instrText>
                    </w:r>
                    <w:r>
                      <w:fldChar w:fldCharType="separate"/>
                    </w:r>
                    <w:r>
                      <w:t>31</w:t>
                    </w:r>
                    <w: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66073">
    <w:pPr>
      <w:pStyle w:val="11"/>
      <w:framePr w:wrap="around" w:vAnchor="text" w:hAnchor="margin" w:xAlign="center" w:y="1"/>
      <w:rPr>
        <w:rStyle w:val="19"/>
        <w:rFonts w:hint="default"/>
      </w:rPr>
    </w:pPr>
    <w:r>
      <w:fldChar w:fldCharType="begin"/>
    </w:r>
    <w:r>
      <w:rPr>
        <w:rStyle w:val="19"/>
        <w:rFonts w:hint="default"/>
      </w:rPr>
      <w:instrText xml:space="preserve">PAGE  </w:instrText>
    </w:r>
    <w:r>
      <w:fldChar w:fldCharType="end"/>
    </w:r>
  </w:p>
  <w:p w14:paraId="64FE3DB7">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26EF8">
    <w:pPr>
      <w:pStyle w:val="11"/>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7018E1">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077018E1">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0A2A5">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33ECB">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FE37B">
    <w:pPr>
      <w:pStyle w:val="11"/>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BA47F7">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21BA47F7">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44865">
    <w:pPr>
      <w:pStyle w:val="11"/>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0C0526">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120C0526">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523BE">
    <w:pPr>
      <w:pStyle w:val="11"/>
      <w:jc w:val="center"/>
      <w:rPr>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73472137"/>
                          </w:sdtPr>
                          <w:sdtEndPr>
                            <w:rPr>
                              <w:sz w:val="21"/>
                              <w:szCs w:val="21"/>
                            </w:rPr>
                          </w:sdtEndPr>
                          <w:sdtContent>
                            <w:p w14:paraId="270A3EC5">
                              <w:pPr>
                                <w:pStyle w:val="11"/>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2490F316">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sdt>
                    <w:sdtPr>
                      <w:id w:val="573472137"/>
                    </w:sdtPr>
                    <w:sdtEndPr>
                      <w:rPr>
                        <w:sz w:val="21"/>
                        <w:szCs w:val="21"/>
                      </w:rPr>
                    </w:sdtEndPr>
                    <w:sdtContent>
                      <w:p w14:paraId="270A3EC5">
                        <w:pPr>
                          <w:pStyle w:val="11"/>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2490F316">
                    <w:pPr>
                      <w:pStyle w:val="2"/>
                    </w:pPr>
                  </w:p>
                </w:txbxContent>
              </v:textbox>
            </v:shape>
          </w:pict>
        </mc:Fallback>
      </mc:AlternateContent>
    </w:r>
  </w:p>
  <w:p w14:paraId="274700B2">
    <w:pPr>
      <w:pStyle w:val="1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3FF31">
    <w:pPr>
      <w:pStyle w:val="11"/>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D9BF9">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AFD9BF9">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8639D5"/>
    <w:multiLevelType w:val="singleLevel"/>
    <w:tmpl w:val="FF8639D5"/>
    <w:lvl w:ilvl="0" w:tentative="0">
      <w:start w:val="1"/>
      <w:numFmt w:val="decimal"/>
      <w:suff w:val="nothing"/>
      <w:lvlText w:val="%1）"/>
      <w:lvlJc w:val="left"/>
    </w:lvl>
  </w:abstractNum>
  <w:abstractNum w:abstractNumId="1">
    <w:nsid w:val="6CEA2025"/>
    <w:multiLevelType w:val="multilevel"/>
    <w:tmpl w:val="6CEA2025"/>
    <w:lvl w:ilvl="0" w:tentative="0">
      <w:start w:val="1"/>
      <w:numFmt w:val="none"/>
      <w:pStyle w:val="29"/>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0AB"/>
    <w:rsid w:val="00000D79"/>
    <w:rsid w:val="000377F7"/>
    <w:rsid w:val="00061D57"/>
    <w:rsid w:val="0006675E"/>
    <w:rsid w:val="000A40AB"/>
    <w:rsid w:val="000A532D"/>
    <w:rsid w:val="000B1EA2"/>
    <w:rsid w:val="000C0690"/>
    <w:rsid w:val="000F0A97"/>
    <w:rsid w:val="001118D6"/>
    <w:rsid w:val="001341D7"/>
    <w:rsid w:val="00165901"/>
    <w:rsid w:val="00203F50"/>
    <w:rsid w:val="00217CD8"/>
    <w:rsid w:val="00242245"/>
    <w:rsid w:val="00244C94"/>
    <w:rsid w:val="002D02BB"/>
    <w:rsid w:val="002F3DFD"/>
    <w:rsid w:val="003149D2"/>
    <w:rsid w:val="00363633"/>
    <w:rsid w:val="0038621F"/>
    <w:rsid w:val="003954C2"/>
    <w:rsid w:val="003A643E"/>
    <w:rsid w:val="00426ACC"/>
    <w:rsid w:val="0044530D"/>
    <w:rsid w:val="00471810"/>
    <w:rsid w:val="004A41B6"/>
    <w:rsid w:val="00705AC6"/>
    <w:rsid w:val="00724D24"/>
    <w:rsid w:val="007975DD"/>
    <w:rsid w:val="007A563E"/>
    <w:rsid w:val="007A778C"/>
    <w:rsid w:val="007F5E65"/>
    <w:rsid w:val="00811F7F"/>
    <w:rsid w:val="008345D3"/>
    <w:rsid w:val="00861890"/>
    <w:rsid w:val="00877868"/>
    <w:rsid w:val="00970E3D"/>
    <w:rsid w:val="009852E6"/>
    <w:rsid w:val="00995BDF"/>
    <w:rsid w:val="009C3AF8"/>
    <w:rsid w:val="009F39AA"/>
    <w:rsid w:val="00A82FD9"/>
    <w:rsid w:val="00AB5FFD"/>
    <w:rsid w:val="00AF0259"/>
    <w:rsid w:val="00B743A7"/>
    <w:rsid w:val="00BD341C"/>
    <w:rsid w:val="00BD6915"/>
    <w:rsid w:val="00C01CDB"/>
    <w:rsid w:val="00C07881"/>
    <w:rsid w:val="00C563DC"/>
    <w:rsid w:val="00C7046E"/>
    <w:rsid w:val="00CF3818"/>
    <w:rsid w:val="00CF5FED"/>
    <w:rsid w:val="00D24618"/>
    <w:rsid w:val="00D30D88"/>
    <w:rsid w:val="00D77BF8"/>
    <w:rsid w:val="00D824A6"/>
    <w:rsid w:val="00DE3664"/>
    <w:rsid w:val="00E23485"/>
    <w:rsid w:val="00E324AE"/>
    <w:rsid w:val="00E57461"/>
    <w:rsid w:val="00E827B5"/>
    <w:rsid w:val="00EF6707"/>
    <w:rsid w:val="00F53669"/>
    <w:rsid w:val="00FB7874"/>
    <w:rsid w:val="019C35EE"/>
    <w:rsid w:val="021F2212"/>
    <w:rsid w:val="02B34B7A"/>
    <w:rsid w:val="02D4025F"/>
    <w:rsid w:val="045B4339"/>
    <w:rsid w:val="05557349"/>
    <w:rsid w:val="05A37CCE"/>
    <w:rsid w:val="05D13AFD"/>
    <w:rsid w:val="06FC4695"/>
    <w:rsid w:val="07A35E68"/>
    <w:rsid w:val="07A94915"/>
    <w:rsid w:val="088038FF"/>
    <w:rsid w:val="089B1A9B"/>
    <w:rsid w:val="08BF37EF"/>
    <w:rsid w:val="08FA7042"/>
    <w:rsid w:val="09091000"/>
    <w:rsid w:val="096B6D32"/>
    <w:rsid w:val="097A7FD3"/>
    <w:rsid w:val="099A78CF"/>
    <w:rsid w:val="099D0093"/>
    <w:rsid w:val="09E077EE"/>
    <w:rsid w:val="0A2A1161"/>
    <w:rsid w:val="0B5523B9"/>
    <w:rsid w:val="0B78105E"/>
    <w:rsid w:val="0C2A7A8F"/>
    <w:rsid w:val="0C9308B1"/>
    <w:rsid w:val="0DAA0307"/>
    <w:rsid w:val="0ED53387"/>
    <w:rsid w:val="0ED76600"/>
    <w:rsid w:val="0EE43F5B"/>
    <w:rsid w:val="0EE574DD"/>
    <w:rsid w:val="0F485DF0"/>
    <w:rsid w:val="0F8D1A5A"/>
    <w:rsid w:val="0FE81425"/>
    <w:rsid w:val="117F5232"/>
    <w:rsid w:val="12343372"/>
    <w:rsid w:val="1266673E"/>
    <w:rsid w:val="128D0B7C"/>
    <w:rsid w:val="12DC4FAB"/>
    <w:rsid w:val="13B0435A"/>
    <w:rsid w:val="13C103B9"/>
    <w:rsid w:val="15890DE2"/>
    <w:rsid w:val="15DE1473"/>
    <w:rsid w:val="15FA419B"/>
    <w:rsid w:val="19BD21C8"/>
    <w:rsid w:val="1A100F3D"/>
    <w:rsid w:val="1AB11224"/>
    <w:rsid w:val="1AE42494"/>
    <w:rsid w:val="1B13216D"/>
    <w:rsid w:val="1B3A5814"/>
    <w:rsid w:val="1B440113"/>
    <w:rsid w:val="1BFE02D1"/>
    <w:rsid w:val="1C87045D"/>
    <w:rsid w:val="1CE74140"/>
    <w:rsid w:val="1D493536"/>
    <w:rsid w:val="1DF13600"/>
    <w:rsid w:val="1DF30CC3"/>
    <w:rsid w:val="1EC91CB5"/>
    <w:rsid w:val="1F833C2E"/>
    <w:rsid w:val="20DC1463"/>
    <w:rsid w:val="22103E76"/>
    <w:rsid w:val="22837CA6"/>
    <w:rsid w:val="22FF0EDA"/>
    <w:rsid w:val="2306700F"/>
    <w:rsid w:val="230C3B8F"/>
    <w:rsid w:val="238333BC"/>
    <w:rsid w:val="24147922"/>
    <w:rsid w:val="242547C5"/>
    <w:rsid w:val="24836498"/>
    <w:rsid w:val="249E2681"/>
    <w:rsid w:val="24E53415"/>
    <w:rsid w:val="250441E3"/>
    <w:rsid w:val="252943A5"/>
    <w:rsid w:val="252D0FCC"/>
    <w:rsid w:val="262F1E2D"/>
    <w:rsid w:val="2647471E"/>
    <w:rsid w:val="274D56D3"/>
    <w:rsid w:val="2750388E"/>
    <w:rsid w:val="278D4B7E"/>
    <w:rsid w:val="27AE6469"/>
    <w:rsid w:val="27F97454"/>
    <w:rsid w:val="28956124"/>
    <w:rsid w:val="289D3530"/>
    <w:rsid w:val="28F61640"/>
    <w:rsid w:val="29204CCD"/>
    <w:rsid w:val="29420F7E"/>
    <w:rsid w:val="29CE2854"/>
    <w:rsid w:val="29E81F1C"/>
    <w:rsid w:val="2AD32C98"/>
    <w:rsid w:val="2B686AB1"/>
    <w:rsid w:val="2BD91E87"/>
    <w:rsid w:val="2CB25723"/>
    <w:rsid w:val="2CF73565"/>
    <w:rsid w:val="2D4A4E5E"/>
    <w:rsid w:val="2DB17E40"/>
    <w:rsid w:val="2DFF535F"/>
    <w:rsid w:val="2E062086"/>
    <w:rsid w:val="2E0954D8"/>
    <w:rsid w:val="2E204225"/>
    <w:rsid w:val="2E2831C7"/>
    <w:rsid w:val="2E821F8B"/>
    <w:rsid w:val="2ED16936"/>
    <w:rsid w:val="303774D1"/>
    <w:rsid w:val="307B7856"/>
    <w:rsid w:val="308A07A2"/>
    <w:rsid w:val="31393DCE"/>
    <w:rsid w:val="318A50C3"/>
    <w:rsid w:val="32C82A45"/>
    <w:rsid w:val="332C3305"/>
    <w:rsid w:val="334A1CFF"/>
    <w:rsid w:val="34182F8C"/>
    <w:rsid w:val="34856DB9"/>
    <w:rsid w:val="34DE71E7"/>
    <w:rsid w:val="353201D7"/>
    <w:rsid w:val="353D7F83"/>
    <w:rsid w:val="359C4F1F"/>
    <w:rsid w:val="360311CD"/>
    <w:rsid w:val="36203DA1"/>
    <w:rsid w:val="36767569"/>
    <w:rsid w:val="37305851"/>
    <w:rsid w:val="37BA0886"/>
    <w:rsid w:val="380B2CC0"/>
    <w:rsid w:val="39AD47AD"/>
    <w:rsid w:val="3A526495"/>
    <w:rsid w:val="3AF27257"/>
    <w:rsid w:val="3BBA15CB"/>
    <w:rsid w:val="3C787A37"/>
    <w:rsid w:val="3CED5E2F"/>
    <w:rsid w:val="3DB027D2"/>
    <w:rsid w:val="3EAE784F"/>
    <w:rsid w:val="3EBF15D8"/>
    <w:rsid w:val="3EF252A0"/>
    <w:rsid w:val="3F0D0E04"/>
    <w:rsid w:val="3FB40682"/>
    <w:rsid w:val="3FB91811"/>
    <w:rsid w:val="3FF55E7C"/>
    <w:rsid w:val="4007741B"/>
    <w:rsid w:val="413260C8"/>
    <w:rsid w:val="418F446A"/>
    <w:rsid w:val="41D2451C"/>
    <w:rsid w:val="41D41D6E"/>
    <w:rsid w:val="4274584B"/>
    <w:rsid w:val="4293696B"/>
    <w:rsid w:val="44224F14"/>
    <w:rsid w:val="442C1EEB"/>
    <w:rsid w:val="447D2CD7"/>
    <w:rsid w:val="44871D32"/>
    <w:rsid w:val="44FE57D7"/>
    <w:rsid w:val="4515727A"/>
    <w:rsid w:val="45242060"/>
    <w:rsid w:val="46023C90"/>
    <w:rsid w:val="46182E91"/>
    <w:rsid w:val="468810E6"/>
    <w:rsid w:val="46A51309"/>
    <w:rsid w:val="473C6FF6"/>
    <w:rsid w:val="47537093"/>
    <w:rsid w:val="479B3611"/>
    <w:rsid w:val="47BE6742"/>
    <w:rsid w:val="48B26B10"/>
    <w:rsid w:val="48FC5D05"/>
    <w:rsid w:val="495E69EE"/>
    <w:rsid w:val="49AB6933"/>
    <w:rsid w:val="4A1B0542"/>
    <w:rsid w:val="4AA81B67"/>
    <w:rsid w:val="4AC7413B"/>
    <w:rsid w:val="4B1E418C"/>
    <w:rsid w:val="4B342EB7"/>
    <w:rsid w:val="4C567460"/>
    <w:rsid w:val="4C7A0720"/>
    <w:rsid w:val="4C7B36AF"/>
    <w:rsid w:val="4C7B5190"/>
    <w:rsid w:val="4CA47AFA"/>
    <w:rsid w:val="4D351206"/>
    <w:rsid w:val="4E126DB3"/>
    <w:rsid w:val="4E9B6076"/>
    <w:rsid w:val="4E9F19BC"/>
    <w:rsid w:val="4F6457CE"/>
    <w:rsid w:val="4FDD63B1"/>
    <w:rsid w:val="50FC089B"/>
    <w:rsid w:val="51F71A67"/>
    <w:rsid w:val="521C3321"/>
    <w:rsid w:val="5240032D"/>
    <w:rsid w:val="52861B73"/>
    <w:rsid w:val="52BA0AFE"/>
    <w:rsid w:val="53CB423F"/>
    <w:rsid w:val="53F90EAD"/>
    <w:rsid w:val="543C0A5F"/>
    <w:rsid w:val="546A4EC4"/>
    <w:rsid w:val="54717DB0"/>
    <w:rsid w:val="54765966"/>
    <w:rsid w:val="54F75C9D"/>
    <w:rsid w:val="55154CF3"/>
    <w:rsid w:val="559304F1"/>
    <w:rsid w:val="56661B31"/>
    <w:rsid w:val="57BC16D3"/>
    <w:rsid w:val="57D16712"/>
    <w:rsid w:val="58417CC5"/>
    <w:rsid w:val="58614E0C"/>
    <w:rsid w:val="58E608E9"/>
    <w:rsid w:val="59C8334B"/>
    <w:rsid w:val="5A21350F"/>
    <w:rsid w:val="5A317606"/>
    <w:rsid w:val="5A4F7C8D"/>
    <w:rsid w:val="5AA61FE2"/>
    <w:rsid w:val="5B3A58BA"/>
    <w:rsid w:val="5BCC12BC"/>
    <w:rsid w:val="5C2B06C5"/>
    <w:rsid w:val="5C2B6BEA"/>
    <w:rsid w:val="5C6546C4"/>
    <w:rsid w:val="5C846E1A"/>
    <w:rsid w:val="5E66499C"/>
    <w:rsid w:val="5E980151"/>
    <w:rsid w:val="5F090A3E"/>
    <w:rsid w:val="5F183F3B"/>
    <w:rsid w:val="5F555B6A"/>
    <w:rsid w:val="5FA30CC1"/>
    <w:rsid w:val="5FF414A2"/>
    <w:rsid w:val="610F0EBC"/>
    <w:rsid w:val="61A56B18"/>
    <w:rsid w:val="62A05609"/>
    <w:rsid w:val="62A34AE2"/>
    <w:rsid w:val="62DC26BD"/>
    <w:rsid w:val="63222E31"/>
    <w:rsid w:val="64593661"/>
    <w:rsid w:val="666B0E1F"/>
    <w:rsid w:val="66B628E5"/>
    <w:rsid w:val="67376100"/>
    <w:rsid w:val="67412DF6"/>
    <w:rsid w:val="68C40E4D"/>
    <w:rsid w:val="691F0930"/>
    <w:rsid w:val="69D408C2"/>
    <w:rsid w:val="6A80032C"/>
    <w:rsid w:val="6A8141D5"/>
    <w:rsid w:val="6A840EC7"/>
    <w:rsid w:val="6AAE0F20"/>
    <w:rsid w:val="6BA82ED1"/>
    <w:rsid w:val="6C946073"/>
    <w:rsid w:val="6CB06CB1"/>
    <w:rsid w:val="6D207945"/>
    <w:rsid w:val="6DF02A81"/>
    <w:rsid w:val="6E964EF7"/>
    <w:rsid w:val="6E9D35C2"/>
    <w:rsid w:val="6F356C51"/>
    <w:rsid w:val="6F924541"/>
    <w:rsid w:val="701F0781"/>
    <w:rsid w:val="70EC4F09"/>
    <w:rsid w:val="71334DC6"/>
    <w:rsid w:val="72446357"/>
    <w:rsid w:val="72DF407A"/>
    <w:rsid w:val="74497A6F"/>
    <w:rsid w:val="75272CF9"/>
    <w:rsid w:val="7547487A"/>
    <w:rsid w:val="7556317C"/>
    <w:rsid w:val="762F4E99"/>
    <w:rsid w:val="7780039E"/>
    <w:rsid w:val="77A13E79"/>
    <w:rsid w:val="77EF6453"/>
    <w:rsid w:val="780743A3"/>
    <w:rsid w:val="78103D37"/>
    <w:rsid w:val="789012BB"/>
    <w:rsid w:val="790D15C3"/>
    <w:rsid w:val="7A141241"/>
    <w:rsid w:val="7A7D4503"/>
    <w:rsid w:val="7B1D7C6E"/>
    <w:rsid w:val="7B534A10"/>
    <w:rsid w:val="7BE72415"/>
    <w:rsid w:val="7C085AAC"/>
    <w:rsid w:val="7C3C70B0"/>
    <w:rsid w:val="7CCD5B18"/>
    <w:rsid w:val="7CD66291"/>
    <w:rsid w:val="7D010F59"/>
    <w:rsid w:val="7E021846"/>
    <w:rsid w:val="7E465F69"/>
    <w:rsid w:val="7E617C36"/>
    <w:rsid w:val="7F253F27"/>
    <w:rsid w:val="7F75428A"/>
    <w:rsid w:val="7F8C61A1"/>
    <w:rsid w:val="7FFE2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unhideWhenUsed/>
    <w:qFormat/>
    <w:uiPriority w:val="0"/>
    <w:pPr>
      <w:keepNext/>
      <w:keepLines/>
      <w:snapToGrid w:val="0"/>
      <w:spacing w:line="360" w:lineRule="auto"/>
      <w:jc w:val="center"/>
      <w:outlineLvl w:val="2"/>
    </w:pPr>
    <w:rPr>
      <w:sz w:val="24"/>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paragraph" w:styleId="7">
    <w:name w:val="annotation text"/>
    <w:basedOn w:val="1"/>
    <w:qFormat/>
    <w:uiPriority w:val="0"/>
    <w:pPr>
      <w:jc w:val="left"/>
    </w:pPr>
  </w:style>
  <w:style w:type="paragraph" w:styleId="8">
    <w:name w:val="toc 3"/>
    <w:basedOn w:val="1"/>
    <w:next w:val="1"/>
    <w:qFormat/>
    <w:uiPriority w:val="39"/>
    <w:pPr>
      <w:ind w:left="840" w:leftChars="400"/>
    </w:pPr>
  </w:style>
  <w:style w:type="paragraph" w:styleId="9">
    <w:name w:val="Date"/>
    <w:basedOn w:val="1"/>
    <w:next w:val="1"/>
    <w:link w:val="31"/>
    <w:qFormat/>
    <w:uiPriority w:val="0"/>
    <w:pPr>
      <w:ind w:left="100" w:leftChars="2500"/>
    </w:pPr>
  </w:style>
  <w:style w:type="paragraph" w:styleId="10">
    <w:name w:val="endnote text"/>
    <w:basedOn w:val="1"/>
    <w:qFormat/>
    <w:uiPriority w:val="0"/>
    <w:pPr>
      <w:snapToGrid w:val="0"/>
      <w:jc w:val="left"/>
    </w:pPr>
    <w:rPr>
      <w:kern w:val="0"/>
      <w:sz w:val="20"/>
      <w:szCs w:val="24"/>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0"/>
  </w:style>
  <w:style w:type="paragraph" w:styleId="14">
    <w:name w:val="toc 2"/>
    <w:basedOn w:val="1"/>
    <w:next w:val="1"/>
    <w:qFormat/>
    <w:uiPriority w:val="39"/>
    <w:pPr>
      <w:ind w:left="420" w:leftChars="200"/>
    </w:p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page number"/>
    <w:qFormat/>
    <w:uiPriority w:val="0"/>
    <w:rPr>
      <w:rFonts w:hint="eastAsia" w:ascii="Times New Roman" w:hAnsi="Times New Roman" w:eastAsia="宋体" w:cs="Times New Roman"/>
    </w:rPr>
  </w:style>
  <w:style w:type="character" w:styleId="20">
    <w:name w:val="Emphasis"/>
    <w:basedOn w:val="17"/>
    <w:qFormat/>
    <w:uiPriority w:val="0"/>
    <w:rPr>
      <w:i/>
    </w:rPr>
  </w:style>
  <w:style w:type="character" w:styleId="21">
    <w:name w:val="Hyperlink"/>
    <w:basedOn w:val="17"/>
    <w:unhideWhenUsed/>
    <w:qFormat/>
    <w:uiPriority w:val="99"/>
    <w:rPr>
      <w:color w:val="0563C1" w:themeColor="hyperlink"/>
      <w:u w:val="single"/>
      <w14:textFill>
        <w14:solidFill>
          <w14:schemeClr w14:val="hlink"/>
        </w14:solidFill>
      </w14:textFill>
    </w:rPr>
  </w:style>
  <w:style w:type="paragraph" w:customStyle="1" w:styleId="22">
    <w:name w:val="TOC 标题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3">
    <w:name w:val="fontstyle01"/>
    <w:basedOn w:val="17"/>
    <w:qFormat/>
    <w:uiPriority w:val="0"/>
    <w:rPr>
      <w:rFonts w:ascii="E-HZ9-PK7483ab-Identity-H" w:hAnsi="E-HZ9-PK7483ab-Identity-H" w:eastAsia="E-HZ9-PK7483ab-Identity-H" w:cs="E-HZ9-PK7483ab-Identity-H"/>
      <w:color w:val="000000"/>
      <w:sz w:val="20"/>
      <w:szCs w:val="20"/>
    </w:rPr>
  </w:style>
  <w:style w:type="character" w:customStyle="1" w:styleId="24">
    <w:name w:val="fontstyle11"/>
    <w:basedOn w:val="17"/>
    <w:qFormat/>
    <w:uiPriority w:val="0"/>
    <w:rPr>
      <w:rFonts w:ascii="E-BZ9-PK748371-Identity-H" w:hAnsi="E-BZ9-PK748371-Identity-H" w:eastAsia="E-BZ9-PK748371-Identity-H" w:cs="E-BZ9-PK748371-Identity-H"/>
      <w:color w:val="000000"/>
      <w:sz w:val="20"/>
      <w:szCs w:val="20"/>
    </w:rPr>
  </w:style>
  <w:style w:type="character" w:customStyle="1" w:styleId="25">
    <w:name w:val="fontstyle31"/>
    <w:basedOn w:val="17"/>
    <w:qFormat/>
    <w:uiPriority w:val="0"/>
    <w:rPr>
      <w:rFonts w:ascii="FZSSK-GBK1-020000782-Identity-H" w:hAnsi="FZSSK-GBK1-020000782-Identity-H" w:eastAsia="FZSSK-GBK1-020000782-Identity-H" w:cs="FZSSK-GBK1-020000782-Identity-H"/>
      <w:color w:val="000000"/>
      <w:sz w:val="20"/>
      <w:szCs w:val="20"/>
    </w:rPr>
  </w:style>
  <w:style w:type="character" w:customStyle="1" w:styleId="26">
    <w:name w:val="fontstyle41"/>
    <w:basedOn w:val="17"/>
    <w:qFormat/>
    <w:uiPriority w:val="0"/>
    <w:rPr>
      <w:rFonts w:ascii="H-SS9-PK74820000783-Identity-H" w:hAnsi="H-SS9-PK74820000783-Identity-H" w:eastAsia="H-SS9-PK74820000783-Identity-H" w:cs="H-SS9-PK74820000783-Identity-H"/>
      <w:color w:val="000000"/>
      <w:sz w:val="20"/>
      <w:szCs w:val="20"/>
    </w:rPr>
  </w:style>
  <w:style w:type="character" w:customStyle="1" w:styleId="27">
    <w:name w:val="fontstyle21"/>
    <w:basedOn w:val="17"/>
    <w:qFormat/>
    <w:uiPriority w:val="0"/>
    <w:rPr>
      <w:rFonts w:hint="default" w:ascii="Times New Roman" w:hAnsi="Times New Roman" w:cs="Times New Roman"/>
      <w:color w:val="000000"/>
      <w:sz w:val="32"/>
      <w:szCs w:val="32"/>
    </w:rPr>
  </w:style>
  <w:style w:type="paragraph" w:customStyle="1" w:styleId="28">
    <w:name w:val="TOC 标题2"/>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29">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0">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31">
    <w:name w:val="日期 字符"/>
    <w:basedOn w:val="17"/>
    <w:link w:val="9"/>
    <w:qFormat/>
    <w:uiPriority w:val="0"/>
    <w:rPr>
      <w:kern w:val="2"/>
      <w:sz w:val="21"/>
      <w:szCs w:val="24"/>
    </w:rPr>
  </w:style>
  <w:style w:type="character" w:customStyle="1" w:styleId="32">
    <w:name w:val="fontstyle51"/>
    <w:basedOn w:val="17"/>
    <w:qFormat/>
    <w:uiPriority w:val="0"/>
    <w:rPr>
      <w:rFonts w:ascii="宋体" w:hAnsi="宋体" w:eastAsia="宋体" w:cs="宋体"/>
      <w:color w:val="000000"/>
      <w:sz w:val="56"/>
      <w:szCs w:val="56"/>
    </w:rPr>
  </w:style>
  <w:style w:type="paragraph" w:styleId="33">
    <w:name w:val="List Paragraph"/>
    <w:basedOn w:val="1"/>
    <w:qFormat/>
    <w:uiPriority w:val="99"/>
    <w:pPr>
      <w:ind w:firstLine="420" w:firstLineChars="200"/>
    </w:pPr>
  </w:style>
  <w:style w:type="character" w:customStyle="1" w:styleId="34">
    <w:name w:val="样式1 Char"/>
    <w:link w:val="35"/>
    <w:qFormat/>
    <w:uiPriority w:val="0"/>
    <w:rPr>
      <w:rFonts w:hint="eastAsia" w:ascii="宋体" w:hAnsi="宋体" w:eastAsia="宋体" w:cs="宋体"/>
      <w:color w:val="000000"/>
      <w:szCs w:val="32"/>
    </w:rPr>
  </w:style>
  <w:style w:type="paragraph" w:customStyle="1" w:styleId="35">
    <w:name w:val="样式1"/>
    <w:basedOn w:val="3"/>
    <w:link w:val="34"/>
    <w:qFormat/>
    <w:uiPriority w:val="0"/>
    <w:pPr>
      <w:autoSpaceDE w:val="0"/>
      <w:autoSpaceDN w:val="0"/>
      <w:spacing w:line="300" w:lineRule="auto"/>
    </w:pPr>
    <w:rPr>
      <w:rFonts w:hint="eastAsia" w:ascii="宋体" w:hAnsi="宋体" w:eastAsia="宋体" w:cs="宋体"/>
      <w:b w:val="0"/>
      <w:color w:val="000000"/>
      <w:szCs w:val="32"/>
    </w:rPr>
  </w:style>
  <w:style w:type="paragraph" w:customStyle="1" w:styleId="36">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7">
    <w:name w:val="标准文件_目录标题"/>
    <w:basedOn w:val="1"/>
    <w:qFormat/>
    <w:uiPriority w:val="0"/>
    <w:pPr>
      <w:spacing w:before="480" w:after="150" w:afterLines="150" w:line="240" w:lineRule="auto"/>
      <w:jc w:val="center"/>
    </w:pPr>
    <w:rPr>
      <w:rFonts w:ascii="黑体" w:eastAsia="黑体"/>
      <w:sz w:val="32"/>
    </w:rPr>
  </w:style>
</w:styles>
</file>

<file path=word/_rels/document.xml.rels><?xml version="1.0" encoding="UTF-8" standalone="yes"?>
<Relationships xmlns="http://schemas.openxmlformats.org/package/2006/relationships"><Relationship Id="rId96" Type="http://schemas.openxmlformats.org/officeDocument/2006/relationships/fontTable" Target="fontTable.xml"/><Relationship Id="rId95" Type="http://schemas.openxmlformats.org/officeDocument/2006/relationships/numbering" Target="numbering.xml"/><Relationship Id="rId94" Type="http://schemas.openxmlformats.org/officeDocument/2006/relationships/customXml" Target="../customXml/item1.xml"/><Relationship Id="rId93" Type="http://schemas.openxmlformats.org/officeDocument/2006/relationships/image" Target="media/image42.wmf"/><Relationship Id="rId92" Type="http://schemas.openxmlformats.org/officeDocument/2006/relationships/oleObject" Target="embeddings/oleObject38.bin"/><Relationship Id="rId91" Type="http://schemas.openxmlformats.org/officeDocument/2006/relationships/image" Target="media/image41.wmf"/><Relationship Id="rId90" Type="http://schemas.openxmlformats.org/officeDocument/2006/relationships/oleObject" Target="embeddings/oleObject37.bin"/><Relationship Id="rId9" Type="http://schemas.openxmlformats.org/officeDocument/2006/relationships/footer" Target="footer7.xml"/><Relationship Id="rId89" Type="http://schemas.openxmlformats.org/officeDocument/2006/relationships/image" Target="media/image40.wmf"/><Relationship Id="rId88" Type="http://schemas.openxmlformats.org/officeDocument/2006/relationships/oleObject" Target="embeddings/oleObject36.bin"/><Relationship Id="rId87" Type="http://schemas.openxmlformats.org/officeDocument/2006/relationships/image" Target="media/image39.wmf"/><Relationship Id="rId86" Type="http://schemas.openxmlformats.org/officeDocument/2006/relationships/oleObject" Target="embeddings/oleObject35.bin"/><Relationship Id="rId85" Type="http://schemas.openxmlformats.org/officeDocument/2006/relationships/image" Target="media/image38.wmf"/><Relationship Id="rId84" Type="http://schemas.openxmlformats.org/officeDocument/2006/relationships/oleObject" Target="embeddings/oleObject34.bin"/><Relationship Id="rId83" Type="http://schemas.openxmlformats.org/officeDocument/2006/relationships/image" Target="media/image37.wmf"/><Relationship Id="rId82" Type="http://schemas.openxmlformats.org/officeDocument/2006/relationships/oleObject" Target="embeddings/oleObject33.bin"/><Relationship Id="rId81" Type="http://schemas.openxmlformats.org/officeDocument/2006/relationships/image" Target="media/image36.wmf"/><Relationship Id="rId80" Type="http://schemas.openxmlformats.org/officeDocument/2006/relationships/oleObject" Target="embeddings/oleObject32.bin"/><Relationship Id="rId8" Type="http://schemas.openxmlformats.org/officeDocument/2006/relationships/footer" Target="footer6.xml"/><Relationship Id="rId79" Type="http://schemas.openxmlformats.org/officeDocument/2006/relationships/image" Target="media/image35.wmf"/><Relationship Id="rId78" Type="http://schemas.openxmlformats.org/officeDocument/2006/relationships/oleObject" Target="embeddings/oleObject31.bin"/><Relationship Id="rId77" Type="http://schemas.openxmlformats.org/officeDocument/2006/relationships/image" Target="media/image34.wmf"/><Relationship Id="rId76" Type="http://schemas.openxmlformats.org/officeDocument/2006/relationships/oleObject" Target="embeddings/oleObject30.bin"/><Relationship Id="rId75" Type="http://schemas.openxmlformats.org/officeDocument/2006/relationships/image" Target="media/image33.wmf"/><Relationship Id="rId74" Type="http://schemas.openxmlformats.org/officeDocument/2006/relationships/oleObject" Target="embeddings/oleObject29.bin"/><Relationship Id="rId73" Type="http://schemas.openxmlformats.org/officeDocument/2006/relationships/image" Target="media/image32.wmf"/><Relationship Id="rId72" Type="http://schemas.openxmlformats.org/officeDocument/2006/relationships/oleObject" Target="embeddings/oleObject28.bin"/><Relationship Id="rId71" Type="http://schemas.openxmlformats.org/officeDocument/2006/relationships/image" Target="media/image31.wmf"/><Relationship Id="rId70" Type="http://schemas.openxmlformats.org/officeDocument/2006/relationships/oleObject" Target="embeddings/oleObject27.bin"/><Relationship Id="rId7" Type="http://schemas.openxmlformats.org/officeDocument/2006/relationships/footer" Target="footer5.xml"/><Relationship Id="rId69" Type="http://schemas.openxmlformats.org/officeDocument/2006/relationships/image" Target="media/image30.wmf"/><Relationship Id="rId68" Type="http://schemas.openxmlformats.org/officeDocument/2006/relationships/oleObject" Target="embeddings/oleObject26.bin"/><Relationship Id="rId67" Type="http://schemas.openxmlformats.org/officeDocument/2006/relationships/image" Target="media/image29.wmf"/><Relationship Id="rId66" Type="http://schemas.openxmlformats.org/officeDocument/2006/relationships/oleObject" Target="embeddings/oleObject25.bin"/><Relationship Id="rId65" Type="http://schemas.openxmlformats.org/officeDocument/2006/relationships/image" Target="media/image28.wmf"/><Relationship Id="rId64" Type="http://schemas.openxmlformats.org/officeDocument/2006/relationships/oleObject" Target="embeddings/oleObject24.bin"/><Relationship Id="rId63" Type="http://schemas.openxmlformats.org/officeDocument/2006/relationships/image" Target="media/image27.wmf"/><Relationship Id="rId62" Type="http://schemas.openxmlformats.org/officeDocument/2006/relationships/oleObject" Target="embeddings/oleObject23.bin"/><Relationship Id="rId61" Type="http://schemas.openxmlformats.org/officeDocument/2006/relationships/image" Target="media/image26.wmf"/><Relationship Id="rId60" Type="http://schemas.openxmlformats.org/officeDocument/2006/relationships/oleObject" Target="embeddings/oleObject22.bin"/><Relationship Id="rId6" Type="http://schemas.openxmlformats.org/officeDocument/2006/relationships/footer" Target="footer4.xml"/><Relationship Id="rId59" Type="http://schemas.openxmlformats.org/officeDocument/2006/relationships/image" Target="media/image25.wmf"/><Relationship Id="rId58" Type="http://schemas.openxmlformats.org/officeDocument/2006/relationships/oleObject" Target="embeddings/oleObject21.bin"/><Relationship Id="rId57" Type="http://schemas.openxmlformats.org/officeDocument/2006/relationships/image" Target="media/image24.wmf"/><Relationship Id="rId56" Type="http://schemas.openxmlformats.org/officeDocument/2006/relationships/oleObject" Target="embeddings/oleObject20.bin"/><Relationship Id="rId55" Type="http://schemas.openxmlformats.org/officeDocument/2006/relationships/oleObject" Target="embeddings/oleObject19.bin"/><Relationship Id="rId54" Type="http://schemas.openxmlformats.org/officeDocument/2006/relationships/image" Target="media/image23.wmf"/><Relationship Id="rId53" Type="http://schemas.openxmlformats.org/officeDocument/2006/relationships/oleObject" Target="embeddings/oleObject18.bin"/><Relationship Id="rId52" Type="http://schemas.openxmlformats.org/officeDocument/2006/relationships/image" Target="media/image22.wmf"/><Relationship Id="rId51" Type="http://schemas.openxmlformats.org/officeDocument/2006/relationships/oleObject" Target="embeddings/oleObject17.bin"/><Relationship Id="rId50" Type="http://schemas.openxmlformats.org/officeDocument/2006/relationships/image" Target="media/image21.wmf"/><Relationship Id="rId5" Type="http://schemas.openxmlformats.org/officeDocument/2006/relationships/footer" Target="footer3.xml"/><Relationship Id="rId49" Type="http://schemas.openxmlformats.org/officeDocument/2006/relationships/oleObject" Target="embeddings/oleObject16.bin"/><Relationship Id="rId48" Type="http://schemas.openxmlformats.org/officeDocument/2006/relationships/image" Target="media/image20.wmf"/><Relationship Id="rId47" Type="http://schemas.openxmlformats.org/officeDocument/2006/relationships/oleObject" Target="embeddings/oleObject15.bin"/><Relationship Id="rId46" Type="http://schemas.openxmlformats.org/officeDocument/2006/relationships/image" Target="media/image19.wmf"/><Relationship Id="rId45" Type="http://schemas.openxmlformats.org/officeDocument/2006/relationships/oleObject" Target="embeddings/oleObject14.bin"/><Relationship Id="rId44" Type="http://schemas.openxmlformats.org/officeDocument/2006/relationships/image" Target="media/image18.wmf"/><Relationship Id="rId43" Type="http://schemas.openxmlformats.org/officeDocument/2006/relationships/oleObject" Target="embeddings/oleObject13.bin"/><Relationship Id="rId42" Type="http://schemas.openxmlformats.org/officeDocument/2006/relationships/image" Target="media/image17.wmf"/><Relationship Id="rId41" Type="http://schemas.openxmlformats.org/officeDocument/2006/relationships/oleObject" Target="embeddings/oleObject12.bin"/><Relationship Id="rId40" Type="http://schemas.openxmlformats.org/officeDocument/2006/relationships/image" Target="media/image16.wmf"/><Relationship Id="rId4" Type="http://schemas.openxmlformats.org/officeDocument/2006/relationships/footer" Target="footer2.xml"/><Relationship Id="rId39" Type="http://schemas.openxmlformats.org/officeDocument/2006/relationships/oleObject" Target="embeddings/oleObject11.bin"/><Relationship Id="rId38" Type="http://schemas.openxmlformats.org/officeDocument/2006/relationships/image" Target="media/image15.wmf"/><Relationship Id="rId37" Type="http://schemas.openxmlformats.org/officeDocument/2006/relationships/oleObject" Target="embeddings/oleObject10.bin"/><Relationship Id="rId36" Type="http://schemas.openxmlformats.org/officeDocument/2006/relationships/image" Target="media/image14.png"/><Relationship Id="rId35" Type="http://schemas.openxmlformats.org/officeDocument/2006/relationships/image" Target="media/image13.png"/><Relationship Id="rId34" Type="http://schemas.openxmlformats.org/officeDocument/2006/relationships/image" Target="media/image12.png"/><Relationship Id="rId33" Type="http://schemas.openxmlformats.org/officeDocument/2006/relationships/image" Target="media/image11.png"/><Relationship Id="rId32" Type="http://schemas.openxmlformats.org/officeDocument/2006/relationships/image" Target="media/image10.wmf"/><Relationship Id="rId31" Type="http://schemas.openxmlformats.org/officeDocument/2006/relationships/oleObject" Target="embeddings/oleObject9.bin"/><Relationship Id="rId30" Type="http://schemas.openxmlformats.org/officeDocument/2006/relationships/image" Target="media/image9.wmf"/><Relationship Id="rId3" Type="http://schemas.openxmlformats.org/officeDocument/2006/relationships/footer" Target="footer1.xml"/><Relationship Id="rId29" Type="http://schemas.openxmlformats.org/officeDocument/2006/relationships/oleObject" Target="embeddings/oleObject8.bin"/><Relationship Id="rId28" Type="http://schemas.openxmlformats.org/officeDocument/2006/relationships/image" Target="media/image8.wmf"/><Relationship Id="rId27" Type="http://schemas.openxmlformats.org/officeDocument/2006/relationships/oleObject" Target="embeddings/oleObject7.bin"/><Relationship Id="rId26" Type="http://schemas.openxmlformats.org/officeDocument/2006/relationships/image" Target="media/image7.wmf"/><Relationship Id="rId25" Type="http://schemas.openxmlformats.org/officeDocument/2006/relationships/oleObject" Target="embeddings/oleObject6.bin"/><Relationship Id="rId24" Type="http://schemas.openxmlformats.org/officeDocument/2006/relationships/image" Target="media/image6.wmf"/><Relationship Id="rId23" Type="http://schemas.openxmlformats.org/officeDocument/2006/relationships/oleObject" Target="embeddings/oleObject5.bin"/><Relationship Id="rId22" Type="http://schemas.openxmlformats.org/officeDocument/2006/relationships/image" Target="media/image5.wmf"/><Relationship Id="rId21" Type="http://schemas.openxmlformats.org/officeDocument/2006/relationships/oleObject" Target="embeddings/oleObject4.bin"/><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3.wmf"/><Relationship Id="rId17" Type="http://schemas.openxmlformats.org/officeDocument/2006/relationships/oleObject" Target="embeddings/oleObject2.bin"/><Relationship Id="rId16" Type="http://schemas.openxmlformats.org/officeDocument/2006/relationships/image" Target="media/image2.wmf"/><Relationship Id="rId15" Type="http://schemas.openxmlformats.org/officeDocument/2006/relationships/oleObject" Target="embeddings/oleObject1.bin"/><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3304</Words>
  <Characters>5442</Characters>
  <Lines>686</Lines>
  <Paragraphs>193</Paragraphs>
  <TotalTime>1</TotalTime>
  <ScaleCrop>false</ScaleCrop>
  <LinksUpToDate>false</LinksUpToDate>
  <CharactersWithSpaces>14503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2024-08-06T08:24:00Z</dcterms:created>
  <dc:creator>Administrator</dc:creator>
  <cp:lastModifiedBy>陌</cp:lastModifiedBy>
  <cp:lastPrinted>2024-10-22T02:38:00Z</cp:lastPrinted>
  <dcterms:modified xsi:type="dcterms:W3CDTF">2025-02-25T09:33:11Z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7390E3E0C88743BD91D178D19CDDBE57</vt:lpwstr>
  </property>
  <property fmtid="{D5CDD505-2E9C-101B-9397-08002B2CF9AE}" pid="4" name="KSOTemplateDocerSaveRecord">
    <vt:lpwstr>eyJoZGlkIjoiYmNhZDU5Nzc0MWRjZjgzYTk5MjI0N2JhZjg4OWRhMWIiLCJ1c2VySWQiOiIxMjA5OTQ0MDAwIn0=</vt:lpwstr>
  </property>
</Properties>
</file>