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9A3E9">
      <w:pPr>
        <w:adjustRightInd w:val="0"/>
        <w:snapToGrid w:val="0"/>
        <w:spacing w:line="1020" w:lineRule="exact"/>
        <w:jc w:val="left"/>
        <w:rPr>
          <w:rFonts w:hint="default" w:ascii="Times New Roman" w:hAnsi="Times New Roman" w:eastAsia="黑体"/>
          <w:bCs/>
          <w:color w:val="auto"/>
          <w:sz w:val="44"/>
          <w:szCs w:val="44"/>
          <w:highlight w:val="none"/>
          <w:lang w:val="en-US" w:eastAsia="zh-CN"/>
        </w:rPr>
      </w:pPr>
      <w:bookmarkStart w:id="110" w:name="_GoBack"/>
      <w:bookmarkEnd w:id="110"/>
      <w:r>
        <w:rPr>
          <w:rFonts w:hint="default" w:ascii="仿宋_GB2312" w:eastAsia="仿宋_GB2312"/>
          <w:bCs w:val="0"/>
          <w:sz w:val="32"/>
          <w:szCs w:val="32"/>
          <w:lang w:val="en-US" w:eastAsia="zh-CN"/>
        </w:rPr>
        <w:t>附件3</w:t>
      </w:r>
    </w:p>
    <w:p w14:paraId="7F462939">
      <w:pPr>
        <w:spacing w:line="360" w:lineRule="auto"/>
        <w:ind w:firstLine="480" w:firstLineChars="150"/>
        <w:rPr>
          <w:rFonts w:ascii="仿宋_GB2312" w:eastAsia="仿宋_GB2312"/>
          <w:sz w:val="32"/>
          <w:szCs w:val="32"/>
        </w:rPr>
      </w:pPr>
    </w:p>
    <w:p w14:paraId="0B2715F6">
      <w:pPr>
        <w:jc w:val="center"/>
        <w:rPr>
          <w:rFonts w:hint="eastAsia" w:ascii="方正小标宋简体" w:hAnsi="方正小标宋简体" w:eastAsia="方正小标宋简体" w:cs="方正小标宋简体"/>
          <w:sz w:val="44"/>
          <w:szCs w:val="44"/>
          <w:lang w:bidi="ar"/>
        </w:rPr>
      </w:pPr>
    </w:p>
    <w:p w14:paraId="7EEB954F">
      <w:pPr>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项目绩效自评报告</w:t>
      </w:r>
    </w:p>
    <w:p w14:paraId="27B44597">
      <w:pPr>
        <w:spacing w:line="360" w:lineRule="auto"/>
        <w:jc w:val="center"/>
        <w:rPr>
          <w:rFonts w:ascii="方正小标宋简体" w:hAnsi="方正小标宋简体" w:eastAsia="方正小标宋简体" w:cs="方正小标宋简体"/>
          <w:sz w:val="32"/>
          <w:szCs w:val="32"/>
        </w:rPr>
      </w:pPr>
    </w:p>
    <w:p w14:paraId="52121578">
      <w:pPr>
        <w:spacing w:line="360" w:lineRule="auto"/>
        <w:ind w:firstLine="450" w:firstLineChars="150"/>
        <w:rPr>
          <w:rFonts w:ascii="仿宋_GB2312" w:eastAsia="仿宋_GB2312"/>
          <w:sz w:val="30"/>
          <w:szCs w:val="30"/>
        </w:rPr>
      </w:pPr>
    </w:p>
    <w:p w14:paraId="0FCB5441">
      <w:pPr>
        <w:spacing w:line="360" w:lineRule="auto"/>
        <w:ind w:firstLine="450" w:firstLineChars="150"/>
        <w:rPr>
          <w:rFonts w:ascii="仿宋_GB2312" w:eastAsia="仿宋_GB2312"/>
          <w:sz w:val="30"/>
          <w:szCs w:val="30"/>
        </w:rPr>
      </w:pPr>
    </w:p>
    <w:p w14:paraId="40780CA4">
      <w:pPr>
        <w:spacing w:line="360" w:lineRule="auto"/>
        <w:ind w:firstLine="450" w:firstLineChars="150"/>
        <w:rPr>
          <w:rFonts w:ascii="仿宋_GB2312" w:eastAsia="仿宋_GB2312"/>
          <w:sz w:val="30"/>
          <w:szCs w:val="30"/>
        </w:rPr>
      </w:pPr>
    </w:p>
    <w:p w14:paraId="0BD9CE76">
      <w:pPr>
        <w:spacing w:line="360" w:lineRule="auto"/>
        <w:ind w:firstLine="450" w:firstLineChars="150"/>
        <w:rPr>
          <w:rFonts w:ascii="仿宋_GB2312" w:eastAsia="仿宋_GB2312"/>
          <w:sz w:val="30"/>
          <w:szCs w:val="30"/>
        </w:rPr>
      </w:pPr>
    </w:p>
    <w:p w14:paraId="2867AB8B">
      <w:pPr>
        <w:spacing w:line="360" w:lineRule="auto"/>
        <w:ind w:firstLine="450" w:firstLineChars="150"/>
        <w:rPr>
          <w:rFonts w:ascii="仿宋_GB2312" w:eastAsia="仿宋_GB2312"/>
          <w:sz w:val="30"/>
          <w:szCs w:val="30"/>
        </w:rPr>
      </w:pPr>
    </w:p>
    <w:p w14:paraId="112BF4CD">
      <w:pPr>
        <w:spacing w:line="360" w:lineRule="auto"/>
        <w:ind w:firstLine="450" w:firstLineChars="150"/>
        <w:rPr>
          <w:rFonts w:ascii="仿宋_GB2312" w:eastAsia="仿宋_GB2312"/>
          <w:sz w:val="30"/>
          <w:szCs w:val="30"/>
        </w:rPr>
      </w:pPr>
    </w:p>
    <w:p w14:paraId="1CADE339">
      <w:pPr>
        <w:spacing w:line="360" w:lineRule="auto"/>
        <w:ind w:firstLine="450" w:firstLineChars="150"/>
        <w:rPr>
          <w:rFonts w:ascii="仿宋_GB2312" w:eastAsia="仿宋_GB2312"/>
          <w:sz w:val="30"/>
          <w:szCs w:val="30"/>
        </w:rPr>
      </w:pPr>
    </w:p>
    <w:p w14:paraId="38ABC6F0">
      <w:pPr>
        <w:spacing w:line="360" w:lineRule="auto"/>
        <w:ind w:firstLine="450" w:firstLineChars="150"/>
        <w:rPr>
          <w:rFonts w:ascii="仿宋_GB2312" w:eastAsia="仿宋_GB2312"/>
          <w:sz w:val="30"/>
          <w:szCs w:val="30"/>
        </w:rPr>
      </w:pPr>
    </w:p>
    <w:p w14:paraId="564E3D73"/>
    <w:p w14:paraId="59A583AC">
      <w:pPr>
        <w:widowControl/>
        <w:ind w:left="0" w:leftChars="0" w:firstLine="640" w:firstLineChars="200"/>
        <w:jc w:val="left"/>
        <w:rPr>
          <w:rFonts w:hint="eastAsia" w:ascii="仿宋_GB2312" w:hAnsi="Times New Roman" w:eastAsia="仿宋_GB2312"/>
          <w:bCs w:val="0"/>
          <w:sz w:val="32"/>
          <w:szCs w:val="32"/>
          <w:lang w:val="en-US" w:eastAsia="zh-CN"/>
        </w:rPr>
      </w:pPr>
      <w:r>
        <w:rPr>
          <w:rFonts w:ascii="仿宋_GB2312" w:eastAsia="仿宋_GB2312"/>
          <w:sz w:val="32"/>
          <w:szCs w:val="32"/>
        </w:rPr>
        <w:t>财政事权名称：</w:t>
      </w:r>
      <w:r>
        <w:rPr>
          <w:rFonts w:hint="eastAsia" w:ascii="仿宋_GB2312" w:hAnsi="Times New Roman" w:eastAsia="仿宋_GB2312"/>
          <w:bCs w:val="0"/>
          <w:sz w:val="32"/>
          <w:szCs w:val="32"/>
          <w:lang w:val="en-US" w:eastAsia="zh-CN"/>
        </w:rPr>
        <w:t>污染防治</w:t>
      </w:r>
    </w:p>
    <w:p w14:paraId="1A56D636">
      <w:pPr>
        <w:widowControl/>
        <w:ind w:left="0" w:leftChars="0" w:firstLine="640" w:firstLineChars="200"/>
        <w:jc w:val="left"/>
        <w:rPr>
          <w:rFonts w:ascii="仿宋_GB2312" w:eastAsia="仿宋_GB2312"/>
          <w:sz w:val="32"/>
          <w:szCs w:val="32"/>
        </w:rPr>
      </w:pPr>
      <w:r>
        <w:rPr>
          <w:rFonts w:ascii="仿宋_GB2312" w:eastAsia="仿宋_GB2312"/>
          <w:sz w:val="32"/>
          <w:szCs w:val="32"/>
        </w:rPr>
        <w:t>对应政策任务个数：</w:t>
      </w:r>
      <w:r>
        <w:rPr>
          <w:rFonts w:hint="eastAsia" w:ascii="仿宋_GB2312" w:eastAsia="仿宋_GB2312"/>
          <w:sz w:val="32"/>
          <w:szCs w:val="32"/>
        </w:rPr>
        <w:t xml:space="preserve">1个 </w:t>
      </w:r>
      <w:r>
        <w:rPr>
          <w:rFonts w:ascii="仿宋_GB2312" w:eastAsia="仿宋_GB2312"/>
          <w:sz w:val="32"/>
          <w:szCs w:val="32"/>
        </w:rPr>
        <w:t>及具体名称</w:t>
      </w:r>
      <w:r>
        <w:rPr>
          <w:rFonts w:hint="eastAsia" w:ascii="仿宋_GB2312" w:eastAsia="仿宋_GB2312"/>
          <w:sz w:val="32"/>
          <w:szCs w:val="32"/>
        </w:rPr>
        <w:t>：</w:t>
      </w:r>
      <w:r>
        <w:rPr>
          <w:rFonts w:hint="eastAsia" w:ascii="仿宋_GB2312" w:hAnsi="Times New Roman" w:eastAsia="仿宋_GB2312"/>
          <w:bCs w:val="0"/>
          <w:color w:val="auto"/>
          <w:sz w:val="32"/>
          <w:szCs w:val="32"/>
          <w:highlight w:val="none"/>
          <w:lang w:val="en-US" w:eastAsia="zh-CN"/>
        </w:rPr>
        <w:t>城市水环境治理</w:t>
      </w:r>
    </w:p>
    <w:p w14:paraId="2636D6DF">
      <w:pPr>
        <w:widowControl/>
        <w:ind w:firstLine="640" w:firstLineChars="200"/>
        <w:jc w:val="left"/>
        <w:rPr>
          <w:rFonts w:ascii="仿宋_GB2312" w:eastAsia="仿宋_GB2312"/>
          <w:sz w:val="32"/>
          <w:szCs w:val="32"/>
        </w:rPr>
      </w:pPr>
      <w:r>
        <w:rPr>
          <w:rFonts w:ascii="仿宋_GB2312" w:eastAsia="仿宋_GB2312"/>
          <w:sz w:val="32"/>
          <w:szCs w:val="32"/>
        </w:rPr>
        <w:t>预算单位：（公章）</w:t>
      </w:r>
      <w:r>
        <w:rPr>
          <w:rFonts w:hint="eastAsia" w:ascii="仿宋_GB2312" w:eastAsia="仿宋_GB2312"/>
          <w:sz w:val="32"/>
          <w:szCs w:val="32"/>
        </w:rPr>
        <w:t>广东省住房和城乡建设厅</w:t>
      </w:r>
    </w:p>
    <w:p w14:paraId="09FBEF8E">
      <w:pPr>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填报人姓名：</w:t>
      </w:r>
      <w:r>
        <w:rPr>
          <w:rFonts w:hint="eastAsia" w:ascii="仿宋_GB2312"/>
          <w:sz w:val="32"/>
          <w:szCs w:val="32"/>
          <w:lang w:eastAsia="zh-CN"/>
        </w:rPr>
        <w:t>何立邦</w:t>
      </w:r>
    </w:p>
    <w:p w14:paraId="7AE0C0B1">
      <w:pPr>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sz w:val="32"/>
          <w:szCs w:val="32"/>
          <w:lang w:val="en-US" w:eastAsia="zh-CN"/>
        </w:rPr>
        <w:t>020-83133562</w:t>
      </w:r>
    </w:p>
    <w:p w14:paraId="796CFE48">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填报日期：202</w:t>
      </w:r>
      <w:r>
        <w:rPr>
          <w:rFonts w:ascii="仿宋_GB2312" w:eastAsia="仿宋_GB2312"/>
          <w:sz w:val="32"/>
          <w:szCs w:val="32"/>
        </w:rPr>
        <w:t>3</w:t>
      </w:r>
      <w:r>
        <w:rPr>
          <w:rFonts w:hint="eastAsia" w:ascii="仿宋_GB2312" w:eastAsia="仿宋_GB2312"/>
          <w:sz w:val="32"/>
          <w:szCs w:val="32"/>
        </w:rPr>
        <w:t>年</w:t>
      </w:r>
      <w:r>
        <w:rPr>
          <w:rFonts w:hint="eastAsia" w:ascii="仿宋_GB2312"/>
          <w:sz w:val="32"/>
          <w:szCs w:val="32"/>
          <w:lang w:val="en-US" w:eastAsia="zh-CN"/>
        </w:rPr>
        <w:t>8</w:t>
      </w:r>
      <w:r>
        <w:rPr>
          <w:rFonts w:hint="eastAsia" w:ascii="仿宋_GB2312" w:eastAsia="仿宋_GB2312"/>
          <w:sz w:val="32"/>
          <w:szCs w:val="32"/>
        </w:rPr>
        <w:t>月</w:t>
      </w:r>
      <w:r>
        <w:rPr>
          <w:rFonts w:hint="eastAsia" w:ascii="仿宋_GB2312"/>
          <w:sz w:val="32"/>
          <w:szCs w:val="32"/>
          <w:lang w:val="en-US" w:eastAsia="zh-CN"/>
        </w:rPr>
        <w:t xml:space="preserve"> 3</w:t>
      </w:r>
      <w:r>
        <w:rPr>
          <w:rFonts w:hint="eastAsia" w:ascii="仿宋_GB2312" w:eastAsia="仿宋_GB2312"/>
          <w:sz w:val="32"/>
          <w:szCs w:val="32"/>
        </w:rPr>
        <w:t>日</w:t>
      </w:r>
    </w:p>
    <w:sdt>
      <w:sdtPr>
        <w:rPr>
          <w:rFonts w:ascii="Times New Roman" w:hAnsi="Times New Roman" w:eastAsia="宋体" w:cs="Times New Roman"/>
          <w:color w:val="auto"/>
          <w:kern w:val="2"/>
          <w:sz w:val="21"/>
          <w:szCs w:val="24"/>
          <w:highlight w:val="none"/>
          <w:lang w:val="en-US" w:eastAsia="zh-CN" w:bidi="ar-SA"/>
        </w:rPr>
        <w:id w:val="147471104"/>
        <w15:color w:val="DBDBDB"/>
        <w:docPartObj>
          <w:docPartGallery w:val="Table of Contents"/>
          <w:docPartUnique/>
        </w:docPartObj>
      </w:sdtPr>
      <w:sdtEndPr>
        <w:rPr>
          <w:rFonts w:hint="eastAsia" w:ascii="Times New Roman" w:hAnsi="Times New Roman" w:eastAsia="仿宋_GB2312" w:cs="Times New Roman"/>
          <w:color w:val="auto"/>
          <w:kern w:val="2"/>
          <w:sz w:val="30"/>
          <w:szCs w:val="20"/>
          <w:highlight w:val="none"/>
          <w:lang w:val="en-US" w:eastAsia="zh-CN" w:bidi="ar-SA"/>
        </w:rPr>
      </w:sdtEndPr>
      <w:sdtContent>
        <w:p w14:paraId="12E0836F">
          <w:pPr>
            <w:spacing w:before="0" w:beforeLines="0" w:after="0" w:afterLines="0" w:line="240" w:lineRule="auto"/>
            <w:ind w:left="0" w:leftChars="0" w:right="0" w:rightChars="0" w:firstLine="0" w:firstLineChars="0"/>
            <w:jc w:val="center"/>
            <w:rPr>
              <w:rFonts w:hint="eastAsia" w:ascii="Times New Roman" w:hAnsi="Times New Roman" w:eastAsia="黑体" w:cs="黑体"/>
              <w:color w:val="auto"/>
              <w:sz w:val="36"/>
              <w:szCs w:val="36"/>
              <w:highlight w:val="none"/>
            </w:rPr>
          </w:pPr>
          <w:r>
            <w:rPr>
              <w:rFonts w:hint="eastAsia" w:ascii="Times New Roman" w:hAnsi="Times New Roman" w:eastAsia="黑体" w:cs="黑体"/>
              <w:color w:val="auto"/>
              <w:sz w:val="36"/>
              <w:szCs w:val="36"/>
              <w:highlight w:val="none"/>
            </w:rPr>
            <w:t>目</w:t>
          </w:r>
          <w:r>
            <w:rPr>
              <w:rFonts w:hint="eastAsia" w:ascii="Times New Roman" w:hAnsi="Times New Roman" w:eastAsia="黑体" w:cs="黑体"/>
              <w:color w:val="auto"/>
              <w:sz w:val="36"/>
              <w:szCs w:val="36"/>
              <w:highlight w:val="none"/>
              <w:lang w:val="en-US" w:eastAsia="zh-CN"/>
            </w:rPr>
            <w:t xml:space="preserve">  </w:t>
          </w:r>
          <w:r>
            <w:rPr>
              <w:rFonts w:hint="eastAsia" w:ascii="Times New Roman" w:hAnsi="Times New Roman" w:eastAsia="黑体" w:cs="黑体"/>
              <w:color w:val="auto"/>
              <w:sz w:val="36"/>
              <w:szCs w:val="36"/>
              <w:highlight w:val="none"/>
            </w:rPr>
            <w:t>录</w:t>
          </w:r>
        </w:p>
        <w:p w14:paraId="372654D6">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 w:val="32"/>
              <w:szCs w:val="20"/>
              <w:highlight w:val="none"/>
              <w:lang w:val="en-US" w:eastAsia="zh-CN" w:bidi="ar-SA"/>
            </w:rPr>
            <w:fldChar w:fldCharType="begin"/>
          </w:r>
          <w:r>
            <w:rPr>
              <w:rFonts w:hint="eastAsia" w:ascii="Times New Roman" w:hAnsi="Times New Roman" w:eastAsia="仿宋_GB2312" w:cs="Times New Roman"/>
              <w:color w:val="auto"/>
              <w:kern w:val="2"/>
              <w:sz w:val="32"/>
              <w:szCs w:val="20"/>
              <w:highlight w:val="none"/>
              <w:lang w:val="en-US" w:eastAsia="zh-CN" w:bidi="ar-SA"/>
            </w:rPr>
            <w:instrText xml:space="preserve">TOC \o "1-3" \h \u </w:instrText>
          </w:r>
          <w:r>
            <w:rPr>
              <w:rFonts w:hint="eastAsia" w:ascii="Times New Roman" w:hAnsi="Times New Roman" w:eastAsia="仿宋_GB2312" w:cs="Times New Roman"/>
              <w:color w:val="auto"/>
              <w:kern w:val="2"/>
              <w:sz w:val="32"/>
              <w:szCs w:val="20"/>
              <w:highlight w:val="none"/>
              <w:lang w:val="en-US" w:eastAsia="zh-CN" w:bidi="ar-SA"/>
            </w:rPr>
            <w:fldChar w:fldCharType="separate"/>
          </w: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_Toc11322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rPr>
            <w:t>一、基本情况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_Toc11322 \h </w:instrText>
          </w:r>
          <w:r>
            <w:rPr>
              <w:rFonts w:ascii="Times New Roman" w:hAnsi="Times New Roman"/>
              <w:color w:val="auto"/>
              <w:highlight w:val="none"/>
            </w:rPr>
            <w:fldChar w:fldCharType="separate"/>
          </w:r>
          <w:r>
            <w:rPr>
              <w:rFonts w:ascii="Times New Roman" w:hAnsi="Times New Roman"/>
              <w:color w:val="auto"/>
              <w:highlight w:val="none"/>
            </w:rPr>
            <w:t>- 1 -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7EA75553">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_Toc20785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rPr>
            <w:t>（</w:t>
          </w:r>
          <w:r>
            <w:rPr>
              <w:rFonts w:hint="eastAsia" w:ascii="Times New Roman" w:hAnsi="Times New Roman" w:eastAsia="仿宋_GB2312" w:cs="仿宋_GB2312"/>
              <w:bCs/>
              <w:color w:val="auto"/>
              <w:kern w:val="0"/>
              <w:szCs w:val="32"/>
              <w:highlight w:val="none"/>
              <w:lang w:eastAsia="zh-CN"/>
            </w:rPr>
            <w:t>一</w:t>
          </w:r>
          <w:r>
            <w:rPr>
              <w:rFonts w:hint="eastAsia" w:ascii="Times New Roman" w:hAnsi="Times New Roman" w:eastAsia="仿宋_GB2312" w:cs="仿宋_GB2312"/>
              <w:bCs/>
              <w:color w:val="auto"/>
              <w:kern w:val="0"/>
              <w:szCs w:val="32"/>
              <w:highlight w:val="none"/>
            </w:rPr>
            <w:t>）</w:t>
          </w:r>
          <w:r>
            <w:rPr>
              <w:rFonts w:hint="eastAsia" w:ascii="Times New Roman" w:hAnsi="Times New Roman" w:eastAsia="仿宋_GB2312" w:cs="仿宋_GB2312"/>
              <w:bCs/>
              <w:color w:val="auto"/>
              <w:kern w:val="0"/>
              <w:szCs w:val="32"/>
              <w:highlight w:val="none"/>
              <w:lang w:val="en-US" w:eastAsia="zh-CN"/>
            </w:rPr>
            <w:t>项目</w:t>
          </w:r>
          <w:r>
            <w:rPr>
              <w:rFonts w:hint="eastAsia" w:ascii="Times New Roman" w:hAnsi="Times New Roman" w:eastAsia="仿宋_GB2312" w:cs="仿宋_GB2312"/>
              <w:bCs/>
              <w:color w:val="auto"/>
              <w:kern w:val="0"/>
              <w:szCs w:val="32"/>
              <w:highlight w:val="none"/>
              <w:lang w:eastAsia="zh-CN"/>
            </w:rPr>
            <w:t>基本</w:t>
          </w:r>
          <w:r>
            <w:rPr>
              <w:rFonts w:hint="eastAsia" w:ascii="Times New Roman" w:hAnsi="Times New Roman" w:eastAsia="仿宋_GB2312" w:cs="仿宋_GB2312"/>
              <w:bCs/>
              <w:color w:val="auto"/>
              <w:kern w:val="0"/>
              <w:szCs w:val="32"/>
              <w:highlight w:val="none"/>
            </w:rPr>
            <w:t>情况</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_Toc20785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- 1 -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574B538B">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_Toc19972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rPr>
            <w:t>（</w:t>
          </w:r>
          <w:r>
            <w:rPr>
              <w:rFonts w:hint="eastAsia" w:ascii="Times New Roman" w:hAnsi="Times New Roman" w:eastAsia="仿宋_GB2312" w:cs="仿宋_GB2312"/>
              <w:bCs/>
              <w:color w:val="auto"/>
              <w:kern w:val="0"/>
              <w:szCs w:val="32"/>
              <w:highlight w:val="none"/>
              <w:lang w:eastAsia="zh-CN"/>
            </w:rPr>
            <w:t>二</w:t>
          </w:r>
          <w:r>
            <w:rPr>
              <w:rFonts w:hint="eastAsia" w:ascii="Times New Roman" w:hAnsi="Times New Roman" w:eastAsia="仿宋_GB2312" w:cs="仿宋_GB2312"/>
              <w:bCs/>
              <w:color w:val="auto"/>
              <w:kern w:val="0"/>
              <w:szCs w:val="32"/>
              <w:highlight w:val="none"/>
            </w:rPr>
            <w:t>）</w:t>
          </w:r>
          <w:r>
            <w:rPr>
              <w:rFonts w:hint="eastAsia" w:ascii="Times New Roman" w:hAnsi="Times New Roman" w:eastAsia="仿宋_GB2312" w:cs="仿宋_GB2312"/>
              <w:bCs/>
              <w:color w:val="auto"/>
              <w:kern w:val="0"/>
              <w:szCs w:val="32"/>
              <w:highlight w:val="none"/>
              <w:lang w:eastAsia="zh-CN"/>
            </w:rPr>
            <w:t>项目</w:t>
          </w:r>
          <w:r>
            <w:rPr>
              <w:rFonts w:hint="eastAsia" w:ascii="Times New Roman" w:hAnsi="Times New Roman" w:eastAsia="仿宋_GB2312" w:cs="仿宋_GB2312"/>
              <w:bCs/>
              <w:color w:val="auto"/>
              <w:kern w:val="0"/>
              <w:szCs w:val="32"/>
              <w:highlight w:val="none"/>
              <w:lang w:val="en-US" w:eastAsia="zh-CN"/>
            </w:rPr>
            <w:t>决策</w:t>
          </w:r>
          <w:r>
            <w:rPr>
              <w:rFonts w:hint="eastAsia" w:ascii="Times New Roman" w:hAnsi="Times New Roman" w:eastAsia="仿宋_GB2312" w:cs="仿宋_GB2312"/>
              <w:bCs/>
              <w:color w:val="auto"/>
              <w:kern w:val="0"/>
              <w:szCs w:val="32"/>
              <w:highlight w:val="none"/>
            </w:rPr>
            <w:t>情况</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_Toc19972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- 2 -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4BAAAAB3">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_Toc11733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lang w:eastAsia="zh-CN"/>
            </w:rPr>
            <w:t>（三）绩效目标</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_Toc11733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- 3 -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3B84E026">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_Toc7555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二、绩效自评工作组织情况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_Toc7555 \h </w:instrText>
          </w:r>
          <w:r>
            <w:rPr>
              <w:rFonts w:ascii="Times New Roman" w:hAnsi="Times New Roman"/>
              <w:color w:val="auto"/>
              <w:highlight w:val="none"/>
            </w:rPr>
            <w:fldChar w:fldCharType="separate"/>
          </w:r>
          <w:r>
            <w:rPr>
              <w:rFonts w:ascii="Times New Roman" w:hAnsi="Times New Roman"/>
              <w:color w:val="auto"/>
              <w:highlight w:val="none"/>
            </w:rPr>
            <w:t>- 4 -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47492767">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_Toc7286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三、绩效自评结论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_Toc7286 \h </w:instrText>
          </w:r>
          <w:r>
            <w:rPr>
              <w:rFonts w:ascii="Times New Roman" w:hAnsi="Times New Roman"/>
              <w:color w:val="auto"/>
              <w:highlight w:val="none"/>
            </w:rPr>
            <w:fldChar w:fldCharType="separate"/>
          </w:r>
          <w:r>
            <w:rPr>
              <w:rFonts w:ascii="Times New Roman" w:hAnsi="Times New Roman"/>
              <w:color w:val="auto"/>
              <w:highlight w:val="none"/>
            </w:rPr>
            <w:t>- 5 -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646015E7">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_Toc7813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四、绩效指标分析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_Toc7813 \h </w:instrText>
          </w:r>
          <w:r>
            <w:rPr>
              <w:rFonts w:ascii="Times New Roman" w:hAnsi="Times New Roman"/>
              <w:color w:val="auto"/>
              <w:highlight w:val="none"/>
            </w:rPr>
            <w:fldChar w:fldCharType="separate"/>
          </w:r>
          <w:r>
            <w:rPr>
              <w:rFonts w:ascii="Times New Roman" w:hAnsi="Times New Roman"/>
              <w:color w:val="auto"/>
              <w:highlight w:val="none"/>
            </w:rPr>
            <w:t>- 6 -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2B9D8DDF">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_Toc13909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rPr>
            <w:t>（一）决策分析</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_Toc13909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- 6 -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2939E71F">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_Toc25760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lang w:val="en-US" w:eastAsia="zh-CN"/>
            </w:rPr>
            <w:t>（二）过程分析</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_Toc25760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- 9 -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7B4C2EC2">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_Toc12093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lang w:val="en-US" w:eastAsia="zh-CN"/>
            </w:rPr>
            <w:t>（三）产出分析</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_Toc12093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- 11 -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001D092C">
          <w:pPr>
            <w:pStyle w:val="11"/>
            <w:tabs>
              <w:tab w:val="right" w:leader="middleDot" w:pos="8306"/>
            </w:tabs>
            <w:rPr>
              <w:rFonts w:hint="eastAsia" w:ascii="Times New Roman" w:hAnsi="Times New Roman" w:eastAsia="仿宋_GB2312" w:cs="仿宋_GB2312"/>
              <w:color w:val="auto"/>
              <w:highlight w:val="none"/>
            </w:rPr>
          </w:pPr>
          <w:r>
            <w:rPr>
              <w:rFonts w:hint="eastAsia" w:ascii="Times New Roman" w:hAnsi="Times New Roman" w:eastAsia="仿宋_GB2312" w:cs="仿宋_GB2312"/>
              <w:color w:val="auto"/>
              <w:kern w:val="2"/>
              <w:szCs w:val="20"/>
              <w:highlight w:val="none"/>
              <w:lang w:val="en-US" w:eastAsia="zh-CN" w:bidi="ar-SA"/>
            </w:rPr>
            <w:fldChar w:fldCharType="begin"/>
          </w:r>
          <w:r>
            <w:rPr>
              <w:rFonts w:hint="eastAsia" w:ascii="Times New Roman" w:hAnsi="Times New Roman" w:eastAsia="仿宋_GB2312" w:cs="仿宋_GB2312"/>
              <w:color w:val="auto"/>
              <w:kern w:val="2"/>
              <w:szCs w:val="20"/>
              <w:highlight w:val="none"/>
              <w:lang w:val="en-US" w:eastAsia="zh-CN" w:bidi="ar-SA"/>
            </w:rPr>
            <w:instrText xml:space="preserve"> HYPERLINK \l _Toc32036 </w:instrText>
          </w:r>
          <w:r>
            <w:rPr>
              <w:rFonts w:hint="eastAsia" w:ascii="Times New Roman" w:hAnsi="Times New Roman" w:eastAsia="仿宋_GB2312" w:cs="仿宋_GB2312"/>
              <w:color w:val="auto"/>
              <w:kern w:val="2"/>
              <w:szCs w:val="20"/>
              <w:highlight w:val="none"/>
              <w:lang w:val="en-US" w:eastAsia="zh-CN" w:bidi="ar-SA"/>
            </w:rPr>
            <w:fldChar w:fldCharType="separate"/>
          </w:r>
          <w:r>
            <w:rPr>
              <w:rFonts w:hint="eastAsia" w:ascii="Times New Roman" w:hAnsi="Times New Roman" w:eastAsia="仿宋_GB2312" w:cs="仿宋_GB2312"/>
              <w:bCs/>
              <w:color w:val="auto"/>
              <w:kern w:val="0"/>
              <w:szCs w:val="32"/>
              <w:highlight w:val="none"/>
              <w:lang w:val="en-US" w:eastAsia="zh-CN"/>
            </w:rPr>
            <w:t>（四）效益实现度分析</w:t>
          </w:r>
          <w:r>
            <w:rPr>
              <w:rFonts w:hint="eastAsia" w:ascii="Times New Roman" w:hAnsi="Times New Roman" w:eastAsia="仿宋_GB2312" w:cs="仿宋_GB2312"/>
              <w:color w:val="auto"/>
              <w:highlight w:val="none"/>
            </w:rPr>
            <w:tab/>
          </w:r>
          <w:r>
            <w:rPr>
              <w:rFonts w:hint="eastAsia" w:ascii="Times New Roman" w:hAnsi="Times New Roman" w:eastAsia="仿宋_GB2312" w:cs="仿宋_GB2312"/>
              <w:color w:val="auto"/>
              <w:highlight w:val="none"/>
            </w:rPr>
            <w:fldChar w:fldCharType="begin"/>
          </w:r>
          <w:r>
            <w:rPr>
              <w:rFonts w:hint="eastAsia" w:ascii="Times New Roman" w:hAnsi="Times New Roman" w:eastAsia="仿宋_GB2312" w:cs="仿宋_GB2312"/>
              <w:color w:val="auto"/>
              <w:highlight w:val="none"/>
            </w:rPr>
            <w:instrText xml:space="preserve"> PAGEREF _Toc32036 \h </w:instrText>
          </w:r>
          <w:r>
            <w:rPr>
              <w:rFonts w:hint="eastAsia" w:ascii="Times New Roman" w:hAnsi="Times New Roman" w:eastAsia="仿宋_GB2312" w:cs="仿宋_GB2312"/>
              <w:color w:val="auto"/>
              <w:highlight w:val="none"/>
            </w:rPr>
            <w:fldChar w:fldCharType="separate"/>
          </w:r>
          <w:r>
            <w:rPr>
              <w:rFonts w:hint="eastAsia" w:ascii="Times New Roman" w:hAnsi="Times New Roman" w:eastAsia="仿宋_GB2312" w:cs="仿宋_GB2312"/>
              <w:color w:val="auto"/>
              <w:highlight w:val="none"/>
            </w:rPr>
            <w:t>- 12 -</w:t>
          </w:r>
          <w:r>
            <w:rPr>
              <w:rFonts w:hint="eastAsia" w:ascii="Times New Roman" w:hAnsi="Times New Roman" w:eastAsia="仿宋_GB2312" w:cs="仿宋_GB2312"/>
              <w:color w:val="auto"/>
              <w:highlight w:val="none"/>
            </w:rPr>
            <w:fldChar w:fldCharType="end"/>
          </w:r>
          <w:r>
            <w:rPr>
              <w:rFonts w:hint="eastAsia" w:ascii="Times New Roman" w:hAnsi="Times New Roman" w:eastAsia="仿宋_GB2312" w:cs="仿宋_GB2312"/>
              <w:color w:val="auto"/>
              <w:kern w:val="2"/>
              <w:szCs w:val="20"/>
              <w:highlight w:val="none"/>
              <w:lang w:val="en-US" w:eastAsia="zh-CN" w:bidi="ar-SA"/>
            </w:rPr>
            <w:fldChar w:fldCharType="end"/>
          </w:r>
        </w:p>
        <w:p w14:paraId="58CA6475">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_Toc17654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五、主要绩效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_Toc17654 \h </w:instrText>
          </w:r>
          <w:r>
            <w:rPr>
              <w:rFonts w:ascii="Times New Roman" w:hAnsi="Times New Roman"/>
              <w:color w:val="auto"/>
              <w:highlight w:val="none"/>
            </w:rPr>
            <w:fldChar w:fldCharType="separate"/>
          </w:r>
          <w:r>
            <w:rPr>
              <w:rFonts w:ascii="Times New Roman" w:hAnsi="Times New Roman"/>
              <w:color w:val="auto"/>
              <w:highlight w:val="none"/>
            </w:rPr>
            <w:t>- 14 -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7718A907">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_Toc29264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六、存在问题</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_Toc29264 \h </w:instrText>
          </w:r>
          <w:r>
            <w:rPr>
              <w:rFonts w:ascii="Times New Roman" w:hAnsi="Times New Roman"/>
              <w:color w:val="auto"/>
              <w:highlight w:val="none"/>
            </w:rPr>
            <w:fldChar w:fldCharType="separate"/>
          </w:r>
          <w:r>
            <w:rPr>
              <w:rFonts w:ascii="Times New Roman" w:hAnsi="Times New Roman"/>
              <w:color w:val="auto"/>
              <w:highlight w:val="none"/>
            </w:rPr>
            <w:t>- 16 -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078D974B">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_Toc13560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Times New Roman"/>
              <w:bCs w:val="0"/>
              <w:color w:val="auto"/>
              <w:kern w:val="0"/>
              <w:szCs w:val="32"/>
              <w:highlight w:val="none"/>
              <w:lang w:val="en-US" w:eastAsia="zh-CN"/>
            </w:rPr>
            <w:t>七、</w:t>
          </w:r>
          <w:r>
            <w:rPr>
              <w:rFonts w:hint="eastAsia" w:ascii="Times New Roman" w:hAnsi="Times New Roman" w:eastAsia="黑体" w:cs="黑体"/>
              <w:bCs/>
              <w:color w:val="auto"/>
              <w:kern w:val="2"/>
              <w:szCs w:val="32"/>
              <w:highlight w:val="none"/>
              <w:lang w:val="en-US" w:eastAsia="zh-CN" w:bidi="ar"/>
            </w:rPr>
            <w:t>下一步工作计划</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_Toc13560 \h </w:instrText>
          </w:r>
          <w:r>
            <w:rPr>
              <w:rFonts w:ascii="Times New Roman" w:hAnsi="Times New Roman"/>
              <w:color w:val="auto"/>
              <w:highlight w:val="none"/>
            </w:rPr>
            <w:fldChar w:fldCharType="separate"/>
          </w:r>
          <w:r>
            <w:rPr>
              <w:rFonts w:ascii="Times New Roman" w:hAnsi="Times New Roman"/>
              <w:color w:val="auto"/>
              <w:highlight w:val="none"/>
            </w:rPr>
            <w:t>- 17 -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6E5F416C">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_Toc15314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黑体"/>
              <w:bCs/>
              <w:color w:val="auto"/>
              <w:kern w:val="2"/>
              <w:szCs w:val="32"/>
              <w:highlight w:val="none"/>
              <w:lang w:val="en-US" w:eastAsia="zh-CN" w:bidi="ar"/>
            </w:rPr>
            <w:t>附件1</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_Toc15314 \h </w:instrText>
          </w:r>
          <w:r>
            <w:rPr>
              <w:rFonts w:ascii="Times New Roman" w:hAnsi="Times New Roman"/>
              <w:color w:val="auto"/>
              <w:highlight w:val="none"/>
            </w:rPr>
            <w:fldChar w:fldCharType="separate"/>
          </w:r>
          <w:r>
            <w:rPr>
              <w:rFonts w:ascii="Times New Roman" w:hAnsi="Times New Roman"/>
              <w:color w:val="auto"/>
              <w:highlight w:val="none"/>
            </w:rPr>
            <w:t>- 21 -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3A1F92A7">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_Toc13029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黑体"/>
              <w:bCs/>
              <w:color w:val="auto"/>
              <w:kern w:val="2"/>
              <w:szCs w:val="32"/>
              <w:highlight w:val="none"/>
              <w:lang w:val="en-US" w:eastAsia="zh-CN" w:bidi="ar"/>
            </w:rPr>
            <w:t>附件2</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_Toc13029 \h </w:instrText>
          </w:r>
          <w:r>
            <w:rPr>
              <w:rFonts w:ascii="Times New Roman" w:hAnsi="Times New Roman"/>
              <w:color w:val="auto"/>
              <w:highlight w:val="none"/>
            </w:rPr>
            <w:fldChar w:fldCharType="separate"/>
          </w:r>
          <w:r>
            <w:rPr>
              <w:rFonts w:ascii="Times New Roman" w:hAnsi="Times New Roman"/>
              <w:color w:val="auto"/>
              <w:highlight w:val="none"/>
            </w:rPr>
            <w:t>- 23 -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5F38748C">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_Toc26443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黑体"/>
              <w:bCs/>
              <w:color w:val="auto"/>
              <w:kern w:val="2"/>
              <w:szCs w:val="32"/>
              <w:highlight w:val="none"/>
              <w:lang w:val="en-US" w:eastAsia="zh-CN" w:bidi="ar"/>
            </w:rPr>
            <w:t>附件3</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_Toc26443 \h </w:instrText>
          </w:r>
          <w:r>
            <w:rPr>
              <w:rFonts w:ascii="Times New Roman" w:hAnsi="Times New Roman"/>
              <w:color w:val="auto"/>
              <w:highlight w:val="none"/>
            </w:rPr>
            <w:fldChar w:fldCharType="separate"/>
          </w:r>
          <w:r>
            <w:rPr>
              <w:rFonts w:ascii="Times New Roman" w:hAnsi="Times New Roman"/>
              <w:color w:val="auto"/>
              <w:highlight w:val="none"/>
            </w:rPr>
            <w:t>- 25 -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7C9BB692">
          <w:pPr>
            <w:pStyle w:val="10"/>
            <w:tabs>
              <w:tab w:val="right" w:leader="middleDot" w:pos="8306"/>
            </w:tabs>
            <w:rPr>
              <w:rFonts w:ascii="Times New Roman" w:hAnsi="Times New Roman"/>
              <w:color w:val="auto"/>
              <w:highlight w:val="none"/>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_Toc5990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黑体"/>
              <w:bCs/>
              <w:color w:val="auto"/>
              <w:kern w:val="2"/>
              <w:szCs w:val="32"/>
              <w:highlight w:val="none"/>
              <w:lang w:val="en-US" w:eastAsia="zh-CN" w:bidi="ar"/>
            </w:rPr>
            <w:t>附件</w:t>
          </w:r>
          <w:r>
            <w:rPr>
              <w:rFonts w:hint="eastAsia" w:eastAsia="黑体" w:cs="黑体"/>
              <w:bCs/>
              <w:color w:val="auto"/>
              <w:kern w:val="2"/>
              <w:szCs w:val="32"/>
              <w:highlight w:val="none"/>
              <w:lang w:val="en-US" w:eastAsia="zh-CN" w:bidi="ar"/>
            </w:rPr>
            <w:t>4</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_Toc5990 \h </w:instrText>
          </w:r>
          <w:r>
            <w:rPr>
              <w:rFonts w:ascii="Times New Roman" w:hAnsi="Times New Roman"/>
              <w:color w:val="auto"/>
              <w:highlight w:val="none"/>
            </w:rPr>
            <w:fldChar w:fldCharType="separate"/>
          </w:r>
          <w:r>
            <w:rPr>
              <w:rFonts w:ascii="Times New Roman" w:hAnsi="Times New Roman"/>
              <w:color w:val="auto"/>
              <w:highlight w:val="none"/>
            </w:rPr>
            <w:t>- 27 -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p w14:paraId="20AA5579">
          <w:pPr>
            <w:pStyle w:val="10"/>
            <w:tabs>
              <w:tab w:val="right" w:leader="middleDot" w:pos="8306"/>
            </w:tabs>
            <w:rPr>
              <w:rFonts w:hint="eastAsia" w:ascii="Times New Roman" w:hAnsi="Times New Roman" w:eastAsia="仿宋_GB2312" w:cs="Times New Roman"/>
              <w:color w:val="auto"/>
              <w:kern w:val="2"/>
              <w:sz w:val="32"/>
              <w:szCs w:val="20"/>
              <w:highlight w:val="none"/>
              <w:lang w:val="en-US" w:eastAsia="zh-CN" w:bidi="ar-SA"/>
            </w:rPr>
          </w:pPr>
          <w:r>
            <w:rPr>
              <w:rFonts w:hint="eastAsia" w:ascii="Times New Roman" w:hAnsi="Times New Roman" w:eastAsia="仿宋_GB2312" w:cs="Times New Roman"/>
              <w:color w:val="auto"/>
              <w:kern w:val="2"/>
              <w:szCs w:val="20"/>
              <w:highlight w:val="none"/>
              <w:lang w:val="en-US" w:eastAsia="zh-CN" w:bidi="ar-SA"/>
            </w:rPr>
            <w:fldChar w:fldCharType="begin"/>
          </w:r>
          <w:r>
            <w:rPr>
              <w:rFonts w:hint="eastAsia" w:ascii="Times New Roman" w:hAnsi="Times New Roman" w:eastAsia="仿宋_GB2312" w:cs="Times New Roman"/>
              <w:color w:val="auto"/>
              <w:kern w:val="2"/>
              <w:szCs w:val="20"/>
              <w:highlight w:val="none"/>
              <w:lang w:val="en-US" w:eastAsia="zh-CN" w:bidi="ar-SA"/>
            </w:rPr>
            <w:instrText xml:space="preserve"> HYPERLINK \l _Toc4254 </w:instrText>
          </w:r>
          <w:r>
            <w:rPr>
              <w:rFonts w:hint="eastAsia" w:ascii="Times New Roman" w:hAnsi="Times New Roman" w:eastAsia="仿宋_GB2312" w:cs="Times New Roman"/>
              <w:color w:val="auto"/>
              <w:kern w:val="2"/>
              <w:szCs w:val="20"/>
              <w:highlight w:val="none"/>
              <w:lang w:val="en-US" w:eastAsia="zh-CN" w:bidi="ar-SA"/>
            </w:rPr>
            <w:fldChar w:fldCharType="separate"/>
          </w:r>
          <w:r>
            <w:rPr>
              <w:rFonts w:hint="eastAsia" w:ascii="Times New Roman" w:hAnsi="Times New Roman" w:eastAsia="黑体" w:cs="黑体"/>
              <w:bCs/>
              <w:color w:val="auto"/>
              <w:kern w:val="2"/>
              <w:szCs w:val="32"/>
              <w:highlight w:val="none"/>
              <w:lang w:val="en-US" w:eastAsia="zh-CN" w:bidi="ar"/>
            </w:rPr>
            <w:t>附件</w:t>
          </w:r>
          <w:r>
            <w:rPr>
              <w:rFonts w:hint="eastAsia" w:eastAsia="黑体" w:cs="黑体"/>
              <w:bCs/>
              <w:color w:val="auto"/>
              <w:kern w:val="2"/>
              <w:szCs w:val="32"/>
              <w:highlight w:val="none"/>
              <w:lang w:val="en-US" w:eastAsia="zh-CN" w:bidi="ar"/>
            </w:rPr>
            <w:t>5</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_Toc4254 \h </w:instrText>
          </w:r>
          <w:r>
            <w:rPr>
              <w:rFonts w:ascii="Times New Roman" w:hAnsi="Times New Roman"/>
              <w:color w:val="auto"/>
              <w:highlight w:val="none"/>
            </w:rPr>
            <w:fldChar w:fldCharType="separate"/>
          </w:r>
          <w:r>
            <w:rPr>
              <w:rFonts w:ascii="Times New Roman" w:hAnsi="Times New Roman"/>
              <w:color w:val="auto"/>
              <w:highlight w:val="none"/>
            </w:rPr>
            <w:t>- 29 -</w:t>
          </w:r>
          <w:r>
            <w:rPr>
              <w:rFonts w:ascii="Times New Roman" w:hAnsi="Times New Roman"/>
              <w:color w:val="auto"/>
              <w:highlight w:val="none"/>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r>
            <w:rPr>
              <w:rFonts w:hint="eastAsia" w:ascii="Times New Roman" w:hAnsi="Times New Roman" w:eastAsia="仿宋_GB2312" w:cs="Times New Roman"/>
              <w:color w:val="auto"/>
              <w:kern w:val="2"/>
              <w:szCs w:val="20"/>
              <w:highlight w:val="none"/>
              <w:lang w:val="en-US" w:eastAsia="zh-CN" w:bidi="ar-SA"/>
            </w:rPr>
            <w:fldChar w:fldCharType="end"/>
          </w:r>
        </w:p>
      </w:sdtContent>
    </w:sdt>
    <w:p w14:paraId="31426E7F">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0" w:name="_Toc30733"/>
      <w:bookmarkStart w:id="1" w:name="_Toc27308"/>
      <w:bookmarkStart w:id="2" w:name="_Toc6861"/>
    </w:p>
    <w:p w14:paraId="1F448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olor w:val="auto"/>
          <w:highlight w:val="none"/>
          <w:lang w:val="en-US" w:eastAsia="zh-CN"/>
        </w:rPr>
      </w:pPr>
      <w:r>
        <w:rPr>
          <w:rFonts w:hint="eastAsia" w:ascii="Times New Roman" w:hAnsi="Times New Roman" w:cs="仿宋_GB2312"/>
          <w:color w:val="auto"/>
          <w:sz w:val="32"/>
          <w:szCs w:val="32"/>
          <w:highlight w:val="none"/>
          <w:lang w:bidi="ar"/>
        </w:rPr>
        <w:t>为检验202</w:t>
      </w:r>
      <w:r>
        <w:rPr>
          <w:rFonts w:hint="eastAsia" w:ascii="Times New Roman" w:hAnsi="Times New Roman" w:cs="仿宋_GB2312"/>
          <w:color w:val="auto"/>
          <w:sz w:val="32"/>
          <w:szCs w:val="32"/>
          <w:highlight w:val="none"/>
          <w:lang w:val="en-US" w:eastAsia="zh-CN" w:bidi="ar"/>
        </w:rPr>
        <w:t>2</w:t>
      </w:r>
      <w:r>
        <w:rPr>
          <w:rFonts w:hint="eastAsia" w:ascii="Times New Roman" w:hAnsi="Times New Roman" w:cs="仿宋_GB2312"/>
          <w:color w:val="auto"/>
          <w:sz w:val="32"/>
          <w:szCs w:val="32"/>
          <w:highlight w:val="none"/>
          <w:lang w:bidi="ar"/>
        </w:rPr>
        <w:t>年</w:t>
      </w:r>
      <w:r>
        <w:rPr>
          <w:rFonts w:hint="eastAsia" w:ascii="Times New Roman" w:hAnsi="Times New Roman" w:eastAsia="仿宋_GB2312"/>
          <w:color w:val="auto"/>
          <w:sz w:val="32"/>
          <w:highlight w:val="none"/>
          <w:lang w:val="en-US" w:eastAsia="zh-CN"/>
        </w:rPr>
        <w:t>打好污染防治攻坚战专项资金-污染防治-城市水环境治理</w:t>
      </w:r>
      <w:r>
        <w:rPr>
          <w:rFonts w:hint="eastAsia" w:ascii="Times New Roman" w:hAnsi="Times New Roman" w:cs="仿宋_GB2312"/>
          <w:color w:val="auto"/>
          <w:sz w:val="32"/>
          <w:szCs w:val="32"/>
          <w:highlight w:val="none"/>
          <w:lang w:bidi="ar"/>
        </w:rPr>
        <w:t>（以下简称“专项资金”）使用绩效，</w:t>
      </w:r>
      <w:r>
        <w:rPr>
          <w:rFonts w:hint="eastAsia" w:ascii="Times New Roman" w:hAnsi="Times New Roman" w:cs="仿宋_GB2312"/>
          <w:color w:val="auto"/>
          <w:sz w:val="32"/>
          <w:szCs w:val="32"/>
          <w:highlight w:val="none"/>
          <w:lang w:eastAsia="zh-CN" w:bidi="ar"/>
        </w:rPr>
        <w:t>考核</w:t>
      </w:r>
      <w:r>
        <w:rPr>
          <w:rFonts w:hint="eastAsia" w:ascii="Times New Roman" w:hAnsi="Times New Roman" w:cs="仿宋_GB2312"/>
          <w:color w:val="auto"/>
          <w:sz w:val="32"/>
          <w:szCs w:val="32"/>
          <w:highlight w:val="none"/>
          <w:lang w:bidi="ar"/>
        </w:rPr>
        <w:t>专项资金预期绩效目标的实现程度、支出效率和综合效果，进一步强化绩效管理成效，全面推进我省</w:t>
      </w:r>
      <w:r>
        <w:rPr>
          <w:rFonts w:hint="eastAsia" w:ascii="Times New Roman" w:hAnsi="Times New Roman" w:cs="仿宋_GB2312"/>
          <w:color w:val="auto"/>
          <w:sz w:val="32"/>
          <w:szCs w:val="32"/>
          <w:highlight w:val="none"/>
          <w:lang w:val="en-US" w:eastAsia="zh-CN" w:bidi="ar"/>
        </w:rPr>
        <w:t>水环境治理</w:t>
      </w:r>
      <w:r>
        <w:rPr>
          <w:rFonts w:hint="eastAsia" w:ascii="Times New Roman" w:hAnsi="Times New Roman" w:cs="仿宋_GB2312"/>
          <w:color w:val="auto"/>
          <w:sz w:val="32"/>
          <w:szCs w:val="32"/>
          <w:highlight w:val="none"/>
          <w:lang w:bidi="ar"/>
        </w:rPr>
        <w:t>工作，根据</w:t>
      </w:r>
      <w:r>
        <w:rPr>
          <w:rFonts w:hint="eastAsia" w:ascii="Times New Roman" w:hAnsi="Times New Roman"/>
          <w:color w:val="auto"/>
          <w:sz w:val="32"/>
          <w:szCs w:val="32"/>
          <w:highlight w:val="none"/>
          <w:lang w:bidi="ar"/>
        </w:rPr>
        <w:t>《广东省财政厅关于做好2023年省级财政重点绩效评价工作的预通知</w:t>
      </w:r>
      <w:r>
        <w:rPr>
          <w:rFonts w:hint="eastAsia" w:ascii="Times New Roman" w:hAnsi="Times New Roman"/>
          <w:color w:val="auto"/>
          <w:sz w:val="32"/>
          <w:szCs w:val="32"/>
          <w:highlight w:val="none"/>
          <w:lang w:eastAsia="zh-CN" w:bidi="ar"/>
        </w:rPr>
        <w:t>》</w:t>
      </w:r>
      <w:r>
        <w:rPr>
          <w:rFonts w:hint="eastAsia" w:ascii="Times New Roman" w:hAnsi="Times New Roman"/>
          <w:color w:val="auto"/>
          <w:sz w:val="32"/>
          <w:szCs w:val="32"/>
          <w:highlight w:val="none"/>
          <w:lang w:bidi="ar"/>
        </w:rPr>
        <w:t>（粤财绩便〔2023〕2号）</w:t>
      </w:r>
      <w:r>
        <w:rPr>
          <w:rFonts w:hint="eastAsia" w:ascii="Times New Roman" w:hAnsi="Times New Roman" w:cs="仿宋_GB2312"/>
          <w:color w:val="auto"/>
          <w:sz w:val="32"/>
          <w:szCs w:val="32"/>
          <w:highlight w:val="none"/>
          <w:lang w:bidi="ar"/>
        </w:rPr>
        <w:t>的相关要求，我厅对专项资金使用情况组织开展了绩效自评。评价基准日为202</w:t>
      </w:r>
      <w:r>
        <w:rPr>
          <w:rFonts w:hint="eastAsia" w:ascii="Times New Roman" w:hAnsi="Times New Roman" w:cs="仿宋_GB2312"/>
          <w:color w:val="auto"/>
          <w:sz w:val="32"/>
          <w:szCs w:val="32"/>
          <w:highlight w:val="none"/>
          <w:lang w:val="en-US" w:eastAsia="zh-CN" w:bidi="ar"/>
        </w:rPr>
        <w:t>2</w:t>
      </w:r>
      <w:r>
        <w:rPr>
          <w:rFonts w:hint="eastAsia" w:ascii="Times New Roman" w:hAnsi="Times New Roman" w:cs="仿宋_GB2312"/>
          <w:color w:val="auto"/>
          <w:sz w:val="32"/>
          <w:szCs w:val="32"/>
          <w:highlight w:val="none"/>
          <w:lang w:bidi="ar"/>
        </w:rPr>
        <w:t>年12月31日。</w:t>
      </w:r>
    </w:p>
    <w:bookmarkEnd w:id="0"/>
    <w:bookmarkEnd w:id="1"/>
    <w:bookmarkEnd w:id="2"/>
    <w:p w14:paraId="569B8FDC">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rPr>
      </w:pPr>
      <w:bookmarkStart w:id="3" w:name="_Toc11322"/>
      <w:bookmarkStart w:id="4" w:name="_Toc512491961"/>
      <w:bookmarkStart w:id="5" w:name="_Toc11733"/>
      <w:bookmarkStart w:id="6" w:name="_Toc3821"/>
      <w:bookmarkStart w:id="7" w:name="_Toc1569"/>
      <w:bookmarkStart w:id="8" w:name="_Toc5103"/>
      <w:r>
        <w:rPr>
          <w:rFonts w:hint="eastAsia" w:ascii="Times New Roman" w:hAnsi="Times New Roman" w:eastAsia="黑体" w:cs="Times New Roman"/>
          <w:b w:val="0"/>
          <w:bCs w:val="0"/>
          <w:color w:val="auto"/>
          <w:kern w:val="0"/>
          <w:sz w:val="32"/>
          <w:szCs w:val="32"/>
          <w:highlight w:val="none"/>
        </w:rPr>
        <w:t>一、基本情况</w:t>
      </w:r>
      <w:bookmarkEnd w:id="3"/>
    </w:p>
    <w:p w14:paraId="1B81CD57">
      <w:pPr>
        <w:keepNext/>
        <w:keepLines/>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Times New Roman" w:hAnsi="Times New Roman" w:eastAsia="楷体_GB2312" w:cs="仿宋"/>
          <w:b/>
          <w:bCs/>
          <w:color w:val="auto"/>
          <w:kern w:val="0"/>
          <w:sz w:val="32"/>
          <w:szCs w:val="32"/>
          <w:highlight w:val="none"/>
        </w:rPr>
      </w:pPr>
      <w:bookmarkStart w:id="9" w:name="_Toc29650"/>
      <w:bookmarkStart w:id="10" w:name="_Toc20785"/>
      <w:bookmarkStart w:id="11" w:name="_Toc14529"/>
      <w:bookmarkStart w:id="12" w:name="_Toc15195"/>
      <w:bookmarkStart w:id="13" w:name="_Toc512491956"/>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一</w:t>
      </w:r>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val="en-US" w:eastAsia="zh-CN"/>
        </w:rPr>
        <w:t>项目</w:t>
      </w:r>
      <w:r>
        <w:rPr>
          <w:rFonts w:hint="eastAsia" w:ascii="Times New Roman" w:hAnsi="Times New Roman" w:eastAsia="楷体_GB2312" w:cs="仿宋"/>
          <w:b/>
          <w:bCs/>
          <w:color w:val="auto"/>
          <w:kern w:val="0"/>
          <w:sz w:val="32"/>
          <w:szCs w:val="32"/>
          <w:highlight w:val="none"/>
          <w:lang w:eastAsia="zh-CN"/>
        </w:rPr>
        <w:t>基本</w:t>
      </w:r>
      <w:r>
        <w:rPr>
          <w:rFonts w:hint="eastAsia" w:ascii="Times New Roman" w:hAnsi="Times New Roman" w:eastAsia="楷体_GB2312" w:cs="仿宋"/>
          <w:b/>
          <w:bCs/>
          <w:color w:val="auto"/>
          <w:kern w:val="0"/>
          <w:sz w:val="32"/>
          <w:szCs w:val="32"/>
          <w:highlight w:val="none"/>
        </w:rPr>
        <w:t>情况</w:t>
      </w:r>
      <w:bookmarkEnd w:id="9"/>
      <w:bookmarkEnd w:id="10"/>
      <w:bookmarkEnd w:id="11"/>
      <w:bookmarkEnd w:id="12"/>
      <w:bookmarkEnd w:id="13"/>
      <w:bookmarkStart w:id="14" w:name="_Toc18048"/>
      <w:bookmarkStart w:id="15" w:name="_Toc17298"/>
      <w:bookmarkStart w:id="16" w:name="_Toc512491958"/>
      <w:bookmarkStart w:id="17" w:name="_Toc10811"/>
    </w:p>
    <w:p w14:paraId="0FA005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color w:val="auto"/>
          <w:sz w:val="32"/>
          <w:szCs w:val="32"/>
          <w:highlight w:val="none"/>
          <w:lang w:val="en-US" w:eastAsia="zh-CN" w:bidi="ar"/>
        </w:rPr>
      </w:pPr>
      <w:r>
        <w:rPr>
          <w:rFonts w:hint="eastAsia" w:ascii="Times New Roman" w:hAnsi="Times New Roman" w:cs="Times New Roman"/>
          <w:color w:val="auto"/>
          <w:sz w:val="32"/>
          <w:szCs w:val="32"/>
          <w:highlight w:val="none"/>
          <w:lang w:val="en-US" w:eastAsia="zh-CN" w:bidi="ar"/>
        </w:rPr>
        <w:t>良好生态环境是实现中华民族永续发展的内在要求，是增进民生福祉的优先领域，是建设美丽中国的重要基础。深入打好污染防治攻坚战，系统推进城镇污水处理领域补短板强弱项、加快海绵城市建设、加强</w:t>
      </w:r>
      <w:r>
        <w:rPr>
          <w:rFonts w:hint="eastAsia" w:ascii="Times New Roman" w:hAnsi="Times New Roman" w:cs="仿宋_GB2312"/>
          <w:color w:val="auto"/>
          <w:kern w:val="0"/>
          <w:sz w:val="32"/>
          <w:szCs w:val="32"/>
          <w:highlight w:val="none"/>
          <w:lang w:val="en-US" w:eastAsia="zh-CN" w:bidi="ar"/>
        </w:rPr>
        <w:t>城市内涝治理，</w:t>
      </w:r>
      <w:r>
        <w:rPr>
          <w:rFonts w:hint="eastAsia" w:ascii="Times New Roman" w:hAnsi="Times New Roman" w:cs="Times New Roman"/>
          <w:color w:val="auto"/>
          <w:sz w:val="32"/>
          <w:szCs w:val="32"/>
          <w:highlight w:val="none"/>
          <w:lang w:val="en-US" w:eastAsia="zh-CN" w:bidi="ar"/>
        </w:rPr>
        <w:t>有利于建设坚实的水安全屏障，打造高质量发展的经济社会与群众满意的居住环境。</w:t>
      </w:r>
    </w:p>
    <w:p w14:paraId="279C84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color w:val="auto"/>
          <w:sz w:val="32"/>
          <w:szCs w:val="32"/>
          <w:highlight w:val="none"/>
          <w:lang w:bidi="ar"/>
        </w:rPr>
      </w:pPr>
      <w:r>
        <w:rPr>
          <w:rFonts w:hint="eastAsia" w:ascii="Times New Roman" w:hAnsi="Times New Roman" w:cs="Times New Roman"/>
          <w:color w:val="auto"/>
          <w:sz w:val="32"/>
          <w:szCs w:val="32"/>
          <w:highlight w:val="none"/>
          <w:lang w:val="en-US" w:eastAsia="zh-CN" w:bidi="ar"/>
        </w:rPr>
        <w:t>2022年专项资金的设立服务于我省城市水环境治理的需要，主要政策依据包括《中共中央</w:t>
      </w:r>
      <w:r>
        <w:rPr>
          <w:rFonts w:hint="eastAsia" w:cs="Times New Roman"/>
          <w:color w:val="auto"/>
          <w:sz w:val="32"/>
          <w:szCs w:val="32"/>
          <w:highlight w:val="none"/>
          <w:lang w:val="en-US" w:eastAsia="zh-CN" w:bidi="ar"/>
        </w:rPr>
        <w:t xml:space="preserve"> </w:t>
      </w:r>
      <w:r>
        <w:rPr>
          <w:rFonts w:hint="eastAsia" w:ascii="Times New Roman" w:hAnsi="Times New Roman" w:cs="Times New Roman"/>
          <w:color w:val="auto"/>
          <w:sz w:val="32"/>
          <w:szCs w:val="32"/>
          <w:highlight w:val="none"/>
          <w:lang w:val="en-US" w:eastAsia="zh-CN" w:bidi="ar"/>
        </w:rPr>
        <w:t>国务院关于深入打好污染防治攻坚战的意见》《国务院办公厅关于推进海绵城市建设的指导意见》《广东省人民政府办公厅关于推进海绵城市建设的实施意见》《</w:t>
      </w:r>
      <w:r>
        <w:rPr>
          <w:rFonts w:hint="eastAsia" w:cs="Times New Roman"/>
          <w:color w:val="auto"/>
          <w:sz w:val="32"/>
          <w:szCs w:val="32"/>
          <w:highlight w:val="none"/>
          <w:lang w:val="en-US" w:eastAsia="zh-CN" w:bidi="ar"/>
        </w:rPr>
        <w:t>“</w:t>
      </w:r>
      <w:r>
        <w:rPr>
          <w:rFonts w:hint="eastAsia" w:ascii="Times New Roman" w:hAnsi="Times New Roman" w:cs="Times New Roman"/>
          <w:color w:val="auto"/>
          <w:sz w:val="32"/>
          <w:szCs w:val="32"/>
          <w:highlight w:val="none"/>
          <w:lang w:val="en-US" w:eastAsia="zh-CN" w:bidi="ar"/>
        </w:rPr>
        <w:t>十四五”全国城市基础设施建设规划（征求意见稿）》《国务院办公厅关于加强城市内涝治理的实施意见》《“十四五”城镇污水处理及资源化利用发展规划》《城镇生活污水处理设施补短板强弱项实施方案（2020—2023年）》《关于推进污水资源化利用的指导意见》</w:t>
      </w:r>
      <w:r>
        <w:rPr>
          <w:rFonts w:hint="eastAsia" w:ascii="Times New Roman" w:hAnsi="Times New Roman" w:cs="Times New Roman"/>
          <w:color w:val="auto"/>
          <w:sz w:val="32"/>
          <w:szCs w:val="32"/>
          <w:highlight w:val="none"/>
          <w:lang w:bidi="ar"/>
        </w:rPr>
        <w:t>等。</w:t>
      </w:r>
    </w:p>
    <w:p w14:paraId="1D360E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color w:val="auto"/>
          <w:sz w:val="32"/>
          <w:szCs w:val="32"/>
          <w:highlight w:val="none"/>
          <w:lang w:bidi="ar"/>
        </w:rPr>
      </w:pPr>
      <w:r>
        <w:rPr>
          <w:rFonts w:hint="eastAsia" w:ascii="Times New Roman" w:hAnsi="Times New Roman" w:cs="Times New Roman"/>
          <w:color w:val="auto"/>
          <w:sz w:val="32"/>
          <w:szCs w:val="32"/>
          <w:highlight w:val="none"/>
          <w:lang w:bidi="ar"/>
        </w:rPr>
        <w:t>为全力落实</w:t>
      </w:r>
      <w:r>
        <w:rPr>
          <w:rFonts w:hint="eastAsia" w:ascii="Times New Roman" w:hAnsi="Times New Roman" w:cs="Times New Roman"/>
          <w:color w:val="auto"/>
          <w:sz w:val="32"/>
          <w:szCs w:val="32"/>
          <w:highlight w:val="none"/>
          <w:lang w:eastAsia="zh-CN" w:bidi="ar"/>
        </w:rPr>
        <w:t>国家和</w:t>
      </w:r>
      <w:r>
        <w:rPr>
          <w:rFonts w:hint="eastAsia" w:ascii="Times New Roman" w:hAnsi="Times New Roman" w:cs="Times New Roman"/>
          <w:color w:val="auto"/>
          <w:sz w:val="32"/>
          <w:szCs w:val="32"/>
          <w:highlight w:val="none"/>
          <w:lang w:bidi="ar"/>
        </w:rPr>
        <w:t>省委、省政府的决策部署，202</w:t>
      </w:r>
      <w:r>
        <w:rPr>
          <w:rFonts w:hint="eastAsia" w:ascii="Times New Roman" w:hAnsi="Times New Roman" w:cs="Times New Roman"/>
          <w:color w:val="auto"/>
          <w:sz w:val="32"/>
          <w:szCs w:val="32"/>
          <w:highlight w:val="none"/>
          <w:lang w:val="en-US" w:eastAsia="zh-CN" w:bidi="ar"/>
        </w:rPr>
        <w:t>2</w:t>
      </w:r>
      <w:r>
        <w:rPr>
          <w:rFonts w:hint="eastAsia" w:ascii="Times New Roman" w:hAnsi="Times New Roman" w:cs="Times New Roman"/>
          <w:color w:val="auto"/>
          <w:sz w:val="32"/>
          <w:szCs w:val="32"/>
          <w:highlight w:val="none"/>
          <w:lang w:bidi="ar"/>
        </w:rPr>
        <w:t>年省财政</w:t>
      </w:r>
      <w:r>
        <w:rPr>
          <w:rFonts w:hint="eastAsia" w:ascii="Times New Roman" w:hAnsi="Times New Roman" w:cs="Times New Roman"/>
          <w:color w:val="auto"/>
          <w:sz w:val="32"/>
          <w:szCs w:val="32"/>
          <w:highlight w:val="none"/>
          <w:lang w:eastAsia="zh-CN" w:bidi="ar"/>
        </w:rPr>
        <w:t>设立并</w:t>
      </w:r>
      <w:r>
        <w:rPr>
          <w:rFonts w:hint="eastAsia" w:ascii="Times New Roman" w:hAnsi="Times New Roman" w:cs="Times New Roman"/>
          <w:color w:val="auto"/>
          <w:sz w:val="32"/>
          <w:szCs w:val="32"/>
          <w:highlight w:val="none"/>
          <w:lang w:bidi="ar"/>
        </w:rPr>
        <w:t>安排专项资金</w:t>
      </w:r>
      <w:r>
        <w:rPr>
          <w:rFonts w:hint="eastAsia" w:ascii="Times New Roman" w:hAnsi="Times New Roman" w:cs="Times New Roman"/>
          <w:color w:val="auto"/>
          <w:sz w:val="32"/>
          <w:szCs w:val="32"/>
          <w:highlight w:val="none"/>
          <w:lang w:val="en-US" w:eastAsia="zh-CN" w:bidi="ar"/>
        </w:rPr>
        <w:t>28,000</w:t>
      </w:r>
      <w:r>
        <w:rPr>
          <w:rFonts w:hint="eastAsia" w:ascii="Times New Roman" w:hAnsi="Times New Roman" w:cs="Times New Roman"/>
          <w:color w:val="auto"/>
          <w:sz w:val="32"/>
          <w:szCs w:val="32"/>
          <w:highlight w:val="none"/>
          <w:lang w:bidi="ar"/>
        </w:rPr>
        <w:t>万元</w:t>
      </w:r>
      <w:r>
        <w:rPr>
          <w:rFonts w:hint="eastAsia" w:cs="Times New Roman"/>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rPr>
        <w:t>主要用于奖补沿海经济带东西两翼和北部生态发展区和江门、肇庆、惠州15个地级市</w:t>
      </w:r>
      <w:r>
        <w:rPr>
          <w:rFonts w:hint="eastAsia" w:ascii="仿宋_GB2312" w:hAnsi="仿宋_GB2312" w:cs="仿宋_GB2312"/>
          <w:b w:val="0"/>
          <w:bCs w:val="0"/>
          <w:color w:val="auto"/>
          <w:sz w:val="32"/>
          <w:szCs w:val="32"/>
          <w:highlight w:val="none"/>
          <w:lang w:val="en-US" w:eastAsia="zh-CN"/>
        </w:rPr>
        <w:t>（以下简称粤东西北地区）</w:t>
      </w:r>
      <w:r>
        <w:rPr>
          <w:rFonts w:hint="eastAsia" w:cs="Times New Roman"/>
          <w:color w:val="auto"/>
          <w:sz w:val="32"/>
          <w:szCs w:val="32"/>
          <w:highlight w:val="none"/>
          <w:lang w:eastAsia="zh-CN" w:bidi="ar"/>
        </w:rPr>
        <w:t>，</w:t>
      </w:r>
      <w:r>
        <w:rPr>
          <w:rFonts w:hint="eastAsia" w:cs="Times New Roman"/>
          <w:color w:val="auto"/>
          <w:sz w:val="32"/>
          <w:szCs w:val="32"/>
          <w:highlight w:val="none"/>
          <w:lang w:val="en-US" w:eastAsia="zh-CN" w:bidi="ar"/>
        </w:rPr>
        <w:t>以及</w:t>
      </w:r>
      <w:r>
        <w:rPr>
          <w:rFonts w:hint="eastAsia" w:ascii="仿宋_GB2312" w:hAnsi="仿宋_GB2312" w:eastAsia="仿宋_GB2312" w:cs="仿宋_GB2312"/>
          <w:b w:val="0"/>
          <w:bCs w:val="0"/>
          <w:color w:val="auto"/>
          <w:sz w:val="32"/>
          <w:szCs w:val="32"/>
          <w:highlight w:val="none"/>
          <w:lang w:val="en-US" w:eastAsia="zh-CN"/>
        </w:rPr>
        <w:t>202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cs="仿宋_GB2312"/>
          <w:b w:val="0"/>
          <w:bCs w:val="0"/>
          <w:color w:val="auto"/>
          <w:sz w:val="32"/>
          <w:szCs w:val="32"/>
          <w:highlight w:val="none"/>
          <w:lang w:val="en-US" w:eastAsia="zh-CN"/>
        </w:rPr>
        <w:t>初</w:t>
      </w:r>
      <w:r>
        <w:rPr>
          <w:rFonts w:hint="eastAsia" w:ascii="仿宋_GB2312" w:hAnsi="仿宋_GB2312" w:eastAsia="仿宋_GB2312" w:cs="仿宋_GB2312"/>
          <w:b w:val="0"/>
          <w:bCs w:val="0"/>
          <w:color w:val="auto"/>
          <w:sz w:val="32"/>
          <w:szCs w:val="32"/>
          <w:highlight w:val="none"/>
          <w:lang w:val="en-US" w:eastAsia="zh-CN"/>
        </w:rPr>
        <w:t>评选的3个省级海绵城市建设示范城市</w:t>
      </w:r>
      <w:r>
        <w:rPr>
          <w:rFonts w:hint="eastAsia" w:ascii="Times New Roman" w:hAnsi="Times New Roman" w:cs="Times New Roman"/>
          <w:color w:val="auto"/>
          <w:sz w:val="32"/>
          <w:szCs w:val="32"/>
          <w:highlight w:val="none"/>
          <w:lang w:bidi="ar"/>
        </w:rPr>
        <w:t>。</w:t>
      </w:r>
      <w:r>
        <w:rPr>
          <w:rFonts w:hint="eastAsia" w:cs="Times New Roman"/>
          <w:color w:val="auto"/>
          <w:sz w:val="32"/>
          <w:szCs w:val="32"/>
          <w:highlight w:val="none"/>
          <w:lang w:val="en-US" w:eastAsia="zh-CN" w:bidi="ar"/>
        </w:rPr>
        <w:t>专项</w:t>
      </w:r>
      <w:r>
        <w:rPr>
          <w:rFonts w:hint="eastAsia" w:ascii="Times New Roman" w:hAnsi="Times New Roman" w:cs="Times New Roman"/>
          <w:color w:val="auto"/>
          <w:sz w:val="32"/>
          <w:szCs w:val="32"/>
          <w:highlight w:val="none"/>
          <w:lang w:val="en-US" w:eastAsia="zh-CN" w:bidi="ar"/>
        </w:rPr>
        <w:t>资金</w:t>
      </w:r>
      <w:r>
        <w:rPr>
          <w:rFonts w:hint="eastAsia" w:cs="Times New Roman"/>
          <w:color w:val="auto"/>
          <w:sz w:val="32"/>
          <w:szCs w:val="32"/>
          <w:highlight w:val="none"/>
          <w:lang w:eastAsia="zh-CN" w:bidi="ar"/>
        </w:rPr>
        <w:t>主要包括</w:t>
      </w:r>
      <w:r>
        <w:rPr>
          <w:rFonts w:hint="eastAsia" w:ascii="Times New Roman" w:hAnsi="Times New Roman" w:cs="Times New Roman"/>
          <w:color w:val="auto"/>
          <w:sz w:val="32"/>
          <w:szCs w:val="32"/>
          <w:highlight w:val="none"/>
          <w:lang w:val="en-US" w:eastAsia="zh-CN" w:bidi="ar"/>
        </w:rPr>
        <w:t>海绵城市建设、城市内涝治理、城市生活污水处理与黑臭水体治理</w:t>
      </w:r>
      <w:r>
        <w:rPr>
          <w:rFonts w:hint="eastAsia" w:ascii="Times New Roman" w:hAnsi="Times New Roman" w:cs="Times New Roman"/>
          <w:color w:val="auto"/>
          <w:sz w:val="32"/>
          <w:szCs w:val="32"/>
          <w:highlight w:val="none"/>
          <w:lang w:eastAsia="zh-CN" w:bidi="ar"/>
        </w:rPr>
        <w:t>等</w:t>
      </w:r>
      <w:r>
        <w:rPr>
          <w:rFonts w:hint="eastAsia" w:ascii="Times New Roman" w:hAnsi="Times New Roman" w:cs="Times New Roman"/>
          <w:color w:val="auto"/>
          <w:sz w:val="32"/>
          <w:szCs w:val="32"/>
          <w:highlight w:val="none"/>
          <w:lang w:val="en-US" w:eastAsia="zh-CN" w:bidi="ar"/>
        </w:rPr>
        <w:t>3个支出</w:t>
      </w:r>
      <w:r>
        <w:rPr>
          <w:rFonts w:hint="eastAsia" w:ascii="Times New Roman" w:hAnsi="Times New Roman" w:cs="Times New Roman"/>
          <w:color w:val="auto"/>
          <w:sz w:val="32"/>
          <w:szCs w:val="32"/>
          <w:highlight w:val="none"/>
          <w:lang w:bidi="ar"/>
        </w:rPr>
        <w:t>方向。</w:t>
      </w:r>
    </w:p>
    <w:p w14:paraId="752FAA22">
      <w:pPr>
        <w:keepNext/>
        <w:keepLines/>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Times New Roman" w:hAnsi="Times New Roman" w:eastAsia="楷体_GB2312" w:cs="仿宋"/>
          <w:b/>
          <w:bCs/>
          <w:color w:val="auto"/>
          <w:kern w:val="0"/>
          <w:sz w:val="32"/>
          <w:szCs w:val="32"/>
          <w:highlight w:val="none"/>
        </w:rPr>
      </w:pPr>
      <w:bookmarkStart w:id="18" w:name="_Toc19972"/>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二</w:t>
      </w:r>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项目</w:t>
      </w:r>
      <w:r>
        <w:rPr>
          <w:rFonts w:hint="eastAsia" w:ascii="Times New Roman" w:hAnsi="Times New Roman" w:eastAsia="楷体_GB2312" w:cs="仿宋"/>
          <w:b/>
          <w:bCs/>
          <w:color w:val="auto"/>
          <w:kern w:val="0"/>
          <w:sz w:val="32"/>
          <w:szCs w:val="32"/>
          <w:highlight w:val="none"/>
          <w:lang w:val="en-US" w:eastAsia="zh-CN"/>
        </w:rPr>
        <w:t>决策</w:t>
      </w:r>
      <w:r>
        <w:rPr>
          <w:rFonts w:hint="eastAsia" w:ascii="Times New Roman" w:hAnsi="Times New Roman" w:eastAsia="楷体_GB2312" w:cs="仿宋"/>
          <w:b/>
          <w:bCs/>
          <w:color w:val="auto"/>
          <w:kern w:val="0"/>
          <w:sz w:val="32"/>
          <w:szCs w:val="32"/>
          <w:highlight w:val="none"/>
        </w:rPr>
        <w:t>情况</w:t>
      </w:r>
      <w:bookmarkEnd w:id="14"/>
      <w:bookmarkEnd w:id="15"/>
      <w:bookmarkEnd w:id="16"/>
      <w:bookmarkEnd w:id="17"/>
      <w:bookmarkEnd w:id="18"/>
    </w:p>
    <w:p w14:paraId="64C6B5E8">
      <w:pPr>
        <w:pStyle w:val="11"/>
        <w:spacing w:line="360" w:lineRule="auto"/>
        <w:ind w:left="0" w:leftChars="0" w:firstLine="643" w:firstLineChars="200"/>
        <w:rPr>
          <w:rFonts w:hint="eastAsia"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1.资金额度与分配方式。</w:t>
      </w:r>
    </w:p>
    <w:p w14:paraId="421FBD44">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cs="Times New Roman"/>
          <w:color w:val="auto"/>
          <w:sz w:val="32"/>
          <w:szCs w:val="32"/>
          <w:highlight w:val="none"/>
          <w:lang w:val="en-US" w:eastAsia="zh-CN" w:bidi="ar"/>
        </w:rPr>
      </w:pPr>
      <w:r>
        <w:rPr>
          <w:rFonts w:hint="eastAsia" w:ascii="Times New Roman" w:hAnsi="Times New Roman" w:eastAsia="仿宋_GB2312" w:cs="仿宋_GB2312"/>
          <w:b w:val="0"/>
          <w:bCs w:val="0"/>
          <w:color w:val="auto"/>
          <w:sz w:val="32"/>
          <w:szCs w:val="32"/>
          <w:highlight w:val="none"/>
          <w:lang w:val="en-US" w:eastAsia="zh-CN"/>
        </w:rPr>
        <w:t>采取因素法</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项目法</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bidi="ar"/>
        </w:rPr>
        <w:t>《广东省住房和城乡建设厅关于报送2022年主管省级财政转移支付资金提前下达及2021年追加安排转移支付资金下达分配方案和绩效目标的函》（</w:t>
      </w:r>
      <w:r>
        <w:rPr>
          <w:rFonts w:hint="eastAsia" w:ascii="Times New Roman" w:hAnsi="Times New Roman" w:eastAsia="仿宋_GB2312" w:cs="Times New Roman"/>
          <w:color w:val="auto"/>
          <w:sz w:val="32"/>
          <w:highlight w:val="none"/>
          <w:lang w:eastAsia="zh-CN"/>
        </w:rPr>
        <w:t>粤建计函</w:t>
      </w:r>
      <w:r>
        <w:rPr>
          <w:rFonts w:hint="eastAsia"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2021〕869号</w:t>
      </w:r>
      <w:r>
        <w:rPr>
          <w:rFonts w:hint="eastAsia" w:ascii="Times New Roman" w:hAnsi="Times New Roman" w:cs="Times New Roman"/>
          <w:color w:val="auto"/>
          <w:sz w:val="32"/>
          <w:szCs w:val="32"/>
          <w:highlight w:val="none"/>
          <w:lang w:val="en-US" w:eastAsia="zh-CN" w:bidi="ar"/>
        </w:rPr>
        <w:t>）向省财政厅报送资金分配方案。通过省级财政预算管理程序，《广东省财政厅关于提前下达2022年省住房城乡建设厅主管专项资金的通知》（粤财建〔2021〕70号）安排专项资金18,664万元（预算资金共19,000万元，省本级工作经费336万元</w:t>
      </w:r>
      <w:r>
        <w:rPr>
          <w:rFonts w:hint="eastAsia" w:cs="Times New Roman"/>
          <w:color w:val="auto"/>
          <w:sz w:val="32"/>
          <w:szCs w:val="32"/>
          <w:highlight w:val="none"/>
          <w:lang w:val="en-US" w:eastAsia="zh-CN" w:bidi="ar"/>
        </w:rPr>
        <w:t>在部门预算</w:t>
      </w:r>
      <w:r>
        <w:rPr>
          <w:rFonts w:hint="eastAsia" w:ascii="Times New Roman" w:hAnsi="Times New Roman" w:cs="Times New Roman"/>
          <w:color w:val="auto"/>
          <w:sz w:val="32"/>
          <w:szCs w:val="32"/>
          <w:highlight w:val="none"/>
          <w:lang w:val="en-US" w:eastAsia="zh-CN" w:bidi="ar"/>
        </w:rPr>
        <w:t>下达）用于</w:t>
      </w:r>
      <w:r>
        <w:rPr>
          <w:rFonts w:hint="eastAsia" w:ascii="仿宋_GB2312" w:hAnsi="仿宋_GB2312" w:cs="仿宋_GB2312"/>
          <w:b w:val="0"/>
          <w:bCs w:val="0"/>
          <w:color w:val="auto"/>
          <w:sz w:val="32"/>
          <w:szCs w:val="32"/>
          <w:highlight w:val="none"/>
          <w:lang w:val="en-US" w:eastAsia="zh-CN"/>
        </w:rPr>
        <w:t>粤东西北地区15个地市</w:t>
      </w:r>
      <w:r>
        <w:rPr>
          <w:rFonts w:hint="eastAsia" w:ascii="Times New Roman" w:hAnsi="Times New Roman" w:cs="Times New Roman"/>
          <w:color w:val="auto"/>
          <w:sz w:val="32"/>
          <w:szCs w:val="32"/>
          <w:highlight w:val="none"/>
          <w:lang w:val="en-US" w:eastAsia="zh-CN" w:bidi="ar"/>
        </w:rPr>
        <w:t>城市内涝治理、城市生活污水处理与黑臭水体治理，《广东省财政厅关于下达海绵城市省级补助资金和中央基建投资项目省级补助资金的通知》（粤财建〔2022〕33号）安排专项资金9,000万元，用于</w:t>
      </w:r>
      <w:r>
        <w:rPr>
          <w:rFonts w:hint="eastAsia" w:cs="Times New Roman"/>
          <w:color w:val="auto"/>
          <w:sz w:val="32"/>
          <w:szCs w:val="32"/>
          <w:highlight w:val="none"/>
          <w:lang w:val="en-US" w:eastAsia="zh-CN" w:bidi="ar"/>
        </w:rPr>
        <w:t>3个地市的</w:t>
      </w:r>
      <w:r>
        <w:rPr>
          <w:rFonts w:hint="eastAsia" w:ascii="Times New Roman" w:hAnsi="Times New Roman" w:cs="Times New Roman"/>
          <w:color w:val="auto"/>
          <w:sz w:val="32"/>
          <w:szCs w:val="32"/>
          <w:highlight w:val="none"/>
          <w:lang w:val="en-US" w:eastAsia="zh-CN" w:bidi="ar"/>
        </w:rPr>
        <w:t>海绵城市建设项目。资金分配情况详见表</w:t>
      </w:r>
      <w:r>
        <w:rPr>
          <w:rFonts w:hint="eastAsia" w:cs="Times New Roman"/>
          <w:color w:val="auto"/>
          <w:sz w:val="32"/>
          <w:szCs w:val="32"/>
          <w:highlight w:val="none"/>
          <w:lang w:val="en-US" w:eastAsia="zh-CN" w:bidi="ar"/>
        </w:rPr>
        <w:t>1</w:t>
      </w:r>
      <w:r>
        <w:rPr>
          <w:rFonts w:hint="eastAsia" w:ascii="Times New Roman" w:hAnsi="Times New Roman" w:cs="Times New Roman"/>
          <w:color w:val="auto"/>
          <w:sz w:val="32"/>
          <w:szCs w:val="32"/>
          <w:highlight w:val="none"/>
          <w:lang w:val="en-US" w:eastAsia="zh-CN" w:bidi="ar"/>
        </w:rPr>
        <w:t>-</w:t>
      </w:r>
      <w:r>
        <w:rPr>
          <w:rFonts w:hint="eastAsia" w:cs="Times New Roman"/>
          <w:color w:val="auto"/>
          <w:sz w:val="32"/>
          <w:szCs w:val="32"/>
          <w:highlight w:val="none"/>
          <w:lang w:val="en-US" w:eastAsia="zh-CN" w:bidi="ar"/>
        </w:rPr>
        <w:t>1</w:t>
      </w:r>
      <w:r>
        <w:rPr>
          <w:rFonts w:hint="eastAsia" w:ascii="Times New Roman" w:hAnsi="Times New Roman" w:cs="Times New Roman"/>
          <w:color w:val="auto"/>
          <w:sz w:val="32"/>
          <w:szCs w:val="32"/>
          <w:highlight w:val="none"/>
          <w:lang w:val="en-US" w:eastAsia="zh-CN" w:bidi="ar"/>
        </w:rPr>
        <w:t>。</w:t>
      </w:r>
    </w:p>
    <w:p w14:paraId="7EB2D5DB">
      <w:pPr>
        <w:pStyle w:val="16"/>
        <w:spacing w:before="0" w:beforeLines="0" w:after="0" w:afterLines="0"/>
        <w:ind w:firstLine="560"/>
        <w:jc w:val="center"/>
        <w:rPr>
          <w:rFonts w:hint="eastAsia" w:ascii="Times New Roman" w:hAnsi="Times New Roman" w:eastAsia="黑体" w:cs="黑体"/>
          <w:color w:val="auto"/>
          <w:sz w:val="18"/>
          <w:szCs w:val="18"/>
          <w:highlight w:val="none"/>
        </w:rPr>
      </w:pPr>
    </w:p>
    <w:p w14:paraId="310744B4">
      <w:pPr>
        <w:pStyle w:val="16"/>
        <w:spacing w:before="0" w:beforeLines="0" w:after="0" w:afterLines="0"/>
        <w:ind w:firstLine="560"/>
        <w:jc w:val="center"/>
        <w:rPr>
          <w:rFonts w:hint="eastAsia" w:ascii="Times New Roman" w:hAnsi="Times New Roman" w:eastAsia="黑体" w:cs="黑体"/>
          <w:color w:val="auto"/>
          <w:sz w:val="18"/>
          <w:szCs w:val="18"/>
          <w:highlight w:val="none"/>
        </w:rPr>
      </w:pPr>
    </w:p>
    <w:p w14:paraId="6602F181">
      <w:pPr>
        <w:pStyle w:val="16"/>
        <w:spacing w:before="0" w:beforeLines="0" w:after="0" w:afterLines="0"/>
        <w:ind w:firstLine="560"/>
        <w:jc w:val="center"/>
        <w:rPr>
          <w:rFonts w:hint="eastAsia" w:ascii="Times New Roman" w:hAnsi="Times New Roman" w:eastAsia="黑体" w:cs="黑体"/>
          <w:color w:val="auto"/>
          <w:sz w:val="18"/>
          <w:szCs w:val="18"/>
          <w:highlight w:val="none"/>
        </w:rPr>
      </w:pPr>
    </w:p>
    <w:p w14:paraId="0E8E5B1D">
      <w:pPr>
        <w:pStyle w:val="16"/>
        <w:spacing w:before="0" w:beforeLines="0" w:after="0" w:afterLines="0"/>
        <w:ind w:firstLine="1400" w:firstLineChars="500"/>
        <w:jc w:val="both"/>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表</w:t>
      </w:r>
      <w:r>
        <w:rPr>
          <w:rFonts w:hint="eastAsia" w:ascii="Times New Roman" w:hAnsi="Times New Roman" w:eastAsia="黑体" w:cs="黑体"/>
          <w:color w:val="auto"/>
          <w:sz w:val="28"/>
          <w:szCs w:val="28"/>
          <w:highlight w:val="none"/>
          <w:lang w:val="en-US" w:eastAsia="zh-CN"/>
        </w:rPr>
        <w:t>1</w:t>
      </w:r>
      <w:r>
        <w:rPr>
          <w:rFonts w:hint="eastAsia" w:ascii="Times New Roman" w:hAnsi="Times New Roman" w:eastAsia="黑体" w:cs="黑体"/>
          <w:color w:val="auto"/>
          <w:sz w:val="28"/>
          <w:szCs w:val="28"/>
          <w:highlight w:val="none"/>
        </w:rPr>
        <w:t>-</w:t>
      </w:r>
      <w:r>
        <w:rPr>
          <w:rFonts w:hint="eastAsia" w:ascii="Times New Roman" w:hAnsi="Times New Roman" w:eastAsia="黑体" w:cs="黑体"/>
          <w:color w:val="auto"/>
          <w:sz w:val="28"/>
          <w:szCs w:val="28"/>
          <w:highlight w:val="none"/>
          <w:lang w:val="en-US" w:eastAsia="zh-CN"/>
        </w:rPr>
        <w:t>1</w:t>
      </w:r>
      <w:r>
        <w:rPr>
          <w:rFonts w:hint="eastAsia" w:ascii="Times New Roman" w:hAnsi="Times New Roman" w:eastAsia="黑体" w:cs="黑体"/>
          <w:color w:val="auto"/>
          <w:sz w:val="28"/>
          <w:szCs w:val="28"/>
          <w:highlight w:val="none"/>
        </w:rPr>
        <w:t xml:space="preserve"> </w:t>
      </w:r>
      <w:r>
        <w:rPr>
          <w:rFonts w:hint="eastAsia" w:ascii="Times New Roman" w:hAnsi="Times New Roman" w:eastAsia="黑体" w:cs="黑体"/>
          <w:color w:val="auto"/>
          <w:sz w:val="28"/>
          <w:szCs w:val="28"/>
          <w:highlight w:val="none"/>
          <w:lang w:val="en-US" w:eastAsia="zh-CN"/>
        </w:rPr>
        <w:t>2022年</w:t>
      </w:r>
      <w:r>
        <w:rPr>
          <w:rFonts w:hint="eastAsia" w:ascii="Times New Roman" w:hAnsi="Times New Roman" w:eastAsia="黑体" w:cs="黑体"/>
          <w:color w:val="auto"/>
          <w:sz w:val="28"/>
          <w:szCs w:val="28"/>
          <w:highlight w:val="none"/>
        </w:rPr>
        <w:t>专项资金</w:t>
      </w:r>
      <w:r>
        <w:rPr>
          <w:rFonts w:hint="eastAsia" w:ascii="Times New Roman" w:hAnsi="Times New Roman" w:eastAsia="黑体" w:cs="黑体"/>
          <w:color w:val="auto"/>
          <w:sz w:val="28"/>
          <w:szCs w:val="28"/>
          <w:highlight w:val="none"/>
          <w:lang w:eastAsia="zh-CN"/>
        </w:rPr>
        <w:t>分配</w:t>
      </w:r>
      <w:r>
        <w:rPr>
          <w:rFonts w:hint="eastAsia" w:ascii="Times New Roman" w:hAnsi="Times New Roman" w:eastAsia="黑体" w:cs="黑体"/>
          <w:color w:val="auto"/>
          <w:sz w:val="28"/>
          <w:szCs w:val="28"/>
          <w:highlight w:val="none"/>
          <w:lang w:val="en-US" w:eastAsia="zh-CN"/>
        </w:rPr>
        <w:t>下达与</w:t>
      </w:r>
      <w:r>
        <w:rPr>
          <w:rFonts w:hint="eastAsia" w:ascii="Times New Roman" w:hAnsi="Times New Roman" w:eastAsia="黑体" w:cs="黑体"/>
          <w:color w:val="auto"/>
          <w:sz w:val="28"/>
          <w:szCs w:val="28"/>
          <w:highlight w:val="none"/>
        </w:rPr>
        <w:t>支出情况表</w:t>
      </w:r>
    </w:p>
    <w:p w14:paraId="363EE1E0">
      <w:pPr>
        <w:widowControl/>
        <w:jc w:val="right"/>
        <w:textAlignment w:val="center"/>
        <w:rPr>
          <w:rFonts w:ascii="Times New Roman" w:hAnsi="Times New Roman" w:cs="仿宋_GB2312"/>
          <w:color w:val="auto"/>
          <w:kern w:val="0"/>
          <w:sz w:val="24"/>
          <w:highlight w:val="none"/>
          <w:lang w:bidi="ar"/>
        </w:rPr>
      </w:pPr>
      <w:r>
        <w:rPr>
          <w:rFonts w:hint="default" w:ascii="Times New Roman" w:hAnsi="Times New Roman" w:eastAsia="仿宋_GB2312" w:cs="仿宋_GB2312"/>
          <w:b/>
          <w:bCs/>
          <w:i w:val="0"/>
          <w:iCs w:val="0"/>
          <w:color w:val="auto"/>
          <w:kern w:val="0"/>
          <w:sz w:val="24"/>
          <w:szCs w:val="24"/>
          <w:highlight w:val="none"/>
          <w:u w:val="none"/>
          <w:lang w:val="en-US" w:eastAsia="zh-CN" w:bidi="ar"/>
        </w:rPr>
        <w:t>金额单位：万元</w:t>
      </w:r>
    </w:p>
    <w:tbl>
      <w:tblPr>
        <w:tblStyle w:val="13"/>
        <w:tblW w:w="5113" w:type="pct"/>
        <w:tblInd w:w="-366" w:type="dxa"/>
        <w:tblLayout w:type="fixed"/>
        <w:tblCellMar>
          <w:top w:w="0" w:type="dxa"/>
          <w:left w:w="108" w:type="dxa"/>
          <w:bottom w:w="0" w:type="dxa"/>
          <w:right w:w="108" w:type="dxa"/>
        </w:tblCellMar>
      </w:tblPr>
      <w:tblGrid>
        <w:gridCol w:w="1084"/>
        <w:gridCol w:w="1523"/>
        <w:gridCol w:w="1591"/>
        <w:gridCol w:w="1591"/>
        <w:gridCol w:w="1931"/>
        <w:gridCol w:w="1547"/>
      </w:tblGrid>
      <w:tr w14:paraId="4B41D8EB">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E006">
            <w:pPr>
              <w:keepNext w:val="0"/>
              <w:keepLines w:val="0"/>
              <w:widowControl/>
              <w:suppressLineNumbers w:val="0"/>
              <w:jc w:val="center"/>
              <w:textAlignment w:val="center"/>
              <w:rPr>
                <w:rFonts w:hint="default" w:ascii="Times New Roman" w:hAnsi="Times New Roman" w:cs="仿宋_GB2312"/>
                <w:b/>
                <w:bCs/>
                <w:i w:val="0"/>
                <w:iCs w:val="0"/>
                <w:color w:val="auto"/>
                <w:kern w:val="0"/>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44F2">
            <w:pPr>
              <w:keepNext w:val="0"/>
              <w:keepLines w:val="0"/>
              <w:widowControl/>
              <w:suppressLineNumbers w:val="0"/>
              <w:jc w:val="center"/>
              <w:textAlignment w:val="center"/>
              <w:rPr>
                <w:rFonts w:hint="eastAsia" w:ascii="Times New Roman" w:hAnsi="Times New Roman" w:cs="仿宋_GB2312"/>
                <w:b/>
                <w:bCs/>
                <w:i w:val="0"/>
                <w:iCs w:val="0"/>
                <w:color w:val="auto"/>
                <w:kern w:val="0"/>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地市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0F75">
            <w:pPr>
              <w:keepNext w:val="0"/>
              <w:keepLines w:val="0"/>
              <w:widowControl/>
              <w:suppressLineNumbers w:val="0"/>
              <w:jc w:val="center"/>
              <w:textAlignment w:val="center"/>
              <w:rPr>
                <w:rFonts w:hint="default" w:ascii="Times New Roman" w:hAnsi="Times New Roman" w:cs="仿宋_GB2312"/>
                <w:b/>
                <w:bCs/>
                <w:i w:val="0"/>
                <w:iCs w:val="0"/>
                <w:color w:val="auto"/>
                <w:kern w:val="0"/>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预算</w:t>
            </w:r>
            <w:r>
              <w:rPr>
                <w:rFonts w:hint="default" w:ascii="Times New Roman" w:hAnsi="Times New Roman" w:cs="仿宋_GB2312"/>
                <w:b/>
                <w:bCs/>
                <w:i w:val="0"/>
                <w:iCs w:val="0"/>
                <w:color w:val="auto"/>
                <w:kern w:val="0"/>
                <w:sz w:val="24"/>
                <w:szCs w:val="24"/>
                <w:highlight w:val="none"/>
                <w:u w:val="none"/>
                <w:lang w:val="en-US" w:eastAsia="zh-CN" w:bidi="ar"/>
              </w:rPr>
              <w:t>金额</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5836">
            <w:pPr>
              <w:keepNext w:val="0"/>
              <w:keepLines w:val="0"/>
              <w:widowControl/>
              <w:suppressLineNumbers w:val="0"/>
              <w:jc w:val="center"/>
              <w:textAlignment w:val="center"/>
              <w:rPr>
                <w:rFonts w:hint="eastAsia" w:ascii="Times New Roman" w:hAnsi="Times New Roman" w:cs="仿宋_GB2312"/>
                <w:b/>
                <w:bCs/>
                <w:i w:val="0"/>
                <w:iCs w:val="0"/>
                <w:color w:val="auto"/>
                <w:kern w:val="0"/>
                <w:sz w:val="24"/>
                <w:szCs w:val="24"/>
                <w:highlight w:val="none"/>
                <w:u w:val="none"/>
                <w:lang w:val="en-US" w:eastAsia="zh-CN" w:bidi="ar"/>
              </w:rPr>
            </w:pPr>
            <w:r>
              <w:rPr>
                <w:rFonts w:hint="default" w:ascii="Times New Roman" w:hAnsi="Times New Roman" w:cs="仿宋_GB2312"/>
                <w:b/>
                <w:bCs/>
                <w:i w:val="0"/>
                <w:iCs w:val="0"/>
                <w:color w:val="auto"/>
                <w:kern w:val="0"/>
                <w:sz w:val="24"/>
                <w:szCs w:val="24"/>
                <w:highlight w:val="none"/>
                <w:u w:val="none"/>
                <w:lang w:val="en-US" w:eastAsia="zh-CN" w:bidi="ar"/>
              </w:rPr>
              <w:t>下达金额</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C09E">
            <w:pPr>
              <w:keepNext w:val="0"/>
              <w:keepLines w:val="0"/>
              <w:widowControl/>
              <w:suppressLineNumbers w:val="0"/>
              <w:jc w:val="center"/>
              <w:textAlignment w:val="center"/>
              <w:rPr>
                <w:rFonts w:hint="eastAsia" w:ascii="Times New Roman" w:hAnsi="Times New Roman" w:cs="仿宋_GB2312"/>
                <w:b/>
                <w:bCs/>
                <w:i w:val="0"/>
                <w:iCs w:val="0"/>
                <w:color w:val="auto"/>
                <w:kern w:val="0"/>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实际支出金额</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71A">
            <w:pPr>
              <w:keepNext w:val="0"/>
              <w:keepLines w:val="0"/>
              <w:widowControl/>
              <w:suppressLineNumbers w:val="0"/>
              <w:jc w:val="center"/>
              <w:textAlignment w:val="center"/>
              <w:rPr>
                <w:rFonts w:hint="eastAsia" w:ascii="Times New Roman" w:hAnsi="Times New Roman" w:cs="仿宋_GB2312"/>
                <w:b/>
                <w:bCs/>
                <w:i w:val="0"/>
                <w:iCs w:val="0"/>
                <w:color w:val="auto"/>
                <w:kern w:val="0"/>
                <w:sz w:val="24"/>
                <w:szCs w:val="24"/>
                <w:highlight w:val="none"/>
                <w:u w:val="none"/>
                <w:lang w:val="en-US" w:eastAsia="zh-CN" w:bidi="ar"/>
              </w:rPr>
            </w:pPr>
            <w:r>
              <w:rPr>
                <w:rFonts w:hint="eastAsia" w:ascii="Times New Roman" w:hAnsi="Times New Roman" w:cs="仿宋_GB2312"/>
                <w:b/>
                <w:bCs/>
                <w:i w:val="0"/>
                <w:iCs w:val="0"/>
                <w:color w:val="auto"/>
                <w:kern w:val="0"/>
                <w:sz w:val="24"/>
                <w:szCs w:val="24"/>
                <w:highlight w:val="none"/>
                <w:u w:val="none"/>
                <w:lang w:val="en-US" w:eastAsia="zh-CN" w:bidi="ar"/>
              </w:rPr>
              <w:t>支出率</w:t>
            </w:r>
          </w:p>
        </w:tc>
      </w:tr>
      <w:tr w14:paraId="3A7E6B52">
        <w:tblPrEx>
          <w:tblCellMar>
            <w:top w:w="0" w:type="dxa"/>
            <w:left w:w="108" w:type="dxa"/>
            <w:bottom w:w="0" w:type="dxa"/>
            <w:right w:w="108" w:type="dxa"/>
          </w:tblCellMar>
        </w:tblPrEx>
        <w:trPr>
          <w:trHeight w:val="300" w:hRule="atLeast"/>
        </w:trPr>
        <w:tc>
          <w:tcPr>
            <w:tcW w:w="14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9B11">
            <w:pPr>
              <w:keepNext w:val="0"/>
              <w:keepLines w:val="0"/>
              <w:widowControl/>
              <w:suppressLineNumbers w:val="0"/>
              <w:jc w:val="center"/>
              <w:textAlignment w:val="center"/>
              <w:rPr>
                <w:rFonts w:hint="eastAsia" w:ascii="Times New Roman" w:hAnsi="Times New Roman" w:cs="仿宋_GB2312"/>
                <w:i w:val="0"/>
                <w:iCs w:val="0"/>
                <w:color w:val="auto"/>
                <w:kern w:val="0"/>
                <w:sz w:val="24"/>
                <w:szCs w:val="24"/>
                <w:highlight w:val="none"/>
                <w:u w:val="none"/>
                <w:lang w:val="en-US" w:eastAsia="zh-CN" w:bidi="ar"/>
              </w:rPr>
            </w:pPr>
            <w:r>
              <w:rPr>
                <w:rFonts w:hint="eastAsia" w:ascii="Times New Roman" w:hAnsi="Times New Roman" w:cs="仿宋_GB2312"/>
                <w:i w:val="0"/>
                <w:iCs w:val="0"/>
                <w:color w:val="auto"/>
                <w:kern w:val="0"/>
                <w:sz w:val="24"/>
                <w:szCs w:val="24"/>
                <w:highlight w:val="none"/>
                <w:u w:val="none"/>
                <w:lang w:val="en-US" w:eastAsia="zh-CN" w:bidi="ar"/>
              </w:rPr>
              <w:t>合计</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866E">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28,000</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56F8">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28,000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19D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17,401.10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7C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62.15%</w:t>
            </w:r>
          </w:p>
        </w:tc>
      </w:tr>
      <w:tr w14:paraId="11DB8C4E">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1250">
            <w:pPr>
              <w:keepNext w:val="0"/>
              <w:keepLines w:val="0"/>
              <w:widowControl/>
              <w:suppressLineNumbers w:val="0"/>
              <w:jc w:val="center"/>
              <w:textAlignment w:val="center"/>
              <w:rPr>
                <w:rFonts w:hint="default"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71F9">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cs="仿宋_GB2312"/>
                <w:i w:val="0"/>
                <w:iCs w:val="0"/>
                <w:color w:val="auto"/>
                <w:kern w:val="0"/>
                <w:sz w:val="24"/>
                <w:szCs w:val="24"/>
                <w:highlight w:val="none"/>
                <w:u w:val="none"/>
                <w:lang w:val="en-US" w:eastAsia="zh-CN" w:bidi="ar"/>
              </w:rPr>
              <w:t>省本级</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DA53">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336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1B5D">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336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1E8">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306.00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D400">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91.07%</w:t>
            </w:r>
          </w:p>
        </w:tc>
      </w:tr>
      <w:tr w14:paraId="03BBFAEA">
        <w:tblPrEx>
          <w:tblCellMar>
            <w:top w:w="0" w:type="dxa"/>
            <w:left w:w="108" w:type="dxa"/>
            <w:bottom w:w="0" w:type="dxa"/>
            <w:right w:w="108" w:type="dxa"/>
          </w:tblCellMar>
        </w:tblPrEx>
        <w:trPr>
          <w:trHeight w:val="31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B3C5">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2</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694A">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汕头市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0709">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1,459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09EB">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1,459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D8F5">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824.10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75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56.48%</w:t>
            </w:r>
          </w:p>
        </w:tc>
      </w:tr>
      <w:tr w14:paraId="17C9621A">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4DCF">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3</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CF9D">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韶关市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AD54">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1,359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8F4D">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1,359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1B41">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886.75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1CA">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65.25%</w:t>
            </w:r>
          </w:p>
        </w:tc>
      </w:tr>
      <w:tr w14:paraId="520BAE20">
        <w:tblPrEx>
          <w:tblCellMar>
            <w:top w:w="0" w:type="dxa"/>
            <w:left w:w="108" w:type="dxa"/>
            <w:bottom w:w="0" w:type="dxa"/>
            <w:right w:w="108" w:type="dxa"/>
          </w:tblCellMar>
        </w:tblPrEx>
        <w:trPr>
          <w:trHeight w:val="21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1B8C">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85F8">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河源市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E1D8">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30D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C6E4">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566.96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859">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52.99%</w:t>
            </w:r>
          </w:p>
        </w:tc>
      </w:tr>
      <w:tr w14:paraId="0FB558B8">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44AC">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5</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BFFF">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梅州市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0F3E">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4,534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C5CD">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4,534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AC5F">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859.95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94D7">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18.97%</w:t>
            </w:r>
          </w:p>
        </w:tc>
      </w:tr>
      <w:tr w14:paraId="0F8E7113">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A815">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6</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A524">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惠州市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F7D7">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924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D8A5">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924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55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924.00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1CD0">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100.00%</w:t>
            </w:r>
          </w:p>
        </w:tc>
      </w:tr>
      <w:tr w14:paraId="2763E6F6">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3926">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7</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E95A">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汕尾市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8A0C">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1,653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5D6E">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1,653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023">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1,126.46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74A7">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68.15%</w:t>
            </w:r>
          </w:p>
        </w:tc>
      </w:tr>
      <w:tr w14:paraId="669418FC">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EB5B">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8</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D67B">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江门市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DBE9">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1,194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19AD">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1,194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6FE8">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1,097.45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BA87">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91.91%</w:t>
            </w:r>
          </w:p>
        </w:tc>
      </w:tr>
      <w:tr w14:paraId="04246862">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57EC">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9</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C85C">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阳江市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D17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67D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68FC">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713.65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2C26">
            <w:pPr>
              <w:keepNext w:val="0"/>
              <w:keepLines w:val="0"/>
              <w:widowControl/>
              <w:suppressLineNumbers w:val="0"/>
              <w:jc w:val="right"/>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66.70%</w:t>
            </w:r>
          </w:p>
        </w:tc>
      </w:tr>
      <w:tr w14:paraId="4EBB5038">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5F45">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10</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C2F5">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湛江市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2AB3">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1,053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CFD6">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1,053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B07">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229.13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DE70">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21.76%</w:t>
            </w:r>
          </w:p>
        </w:tc>
      </w:tr>
      <w:tr w14:paraId="59ADF4C5">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42A0">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11</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724A">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茂名市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98B6">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1,167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172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1,167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FC94">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799.65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D319">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68.52%</w:t>
            </w:r>
          </w:p>
        </w:tc>
      </w:tr>
      <w:tr w14:paraId="1ACB582F">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FF12">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12</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383B">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肇庆市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2160">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E7C0">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69A">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113.90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40E4">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10.64%</w:t>
            </w:r>
          </w:p>
        </w:tc>
      </w:tr>
      <w:tr w14:paraId="1D5B2CBE">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0C8D">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13</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F251">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清远市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186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1,270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A20F">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1,270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C3A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1,050.46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E6B3">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82.71%</w:t>
            </w:r>
          </w:p>
        </w:tc>
      </w:tr>
      <w:tr w14:paraId="6D517D49">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8294">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14</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0D4C">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潮州市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76E4">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1,604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13E9">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1,604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96DF">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906.35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649">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56.51%</w:t>
            </w:r>
          </w:p>
        </w:tc>
      </w:tr>
      <w:tr w14:paraId="30392B9A">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2AA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15</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05C5">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揭阳市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CCBE">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01F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1,070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326B">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543.85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7BEC">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50.83%</w:t>
            </w:r>
          </w:p>
        </w:tc>
      </w:tr>
      <w:tr w14:paraId="03C54656">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7C9E">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16</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9C84">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云浮市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7C71">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1,167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FE5A">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1,167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BD8D">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452.45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38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38.77%</w:t>
            </w:r>
          </w:p>
        </w:tc>
      </w:tr>
      <w:tr w14:paraId="15600D0D">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387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val="en-US" w:eastAsia="zh-CN"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17</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90FD">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东莞市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8A2E">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4257">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C496">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3,000.00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57D8">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100.00%</w:t>
            </w:r>
          </w:p>
        </w:tc>
      </w:tr>
      <w:tr w14:paraId="0596F5DD">
        <w:tblPrEx>
          <w:tblCellMar>
            <w:top w:w="0" w:type="dxa"/>
            <w:left w:w="108" w:type="dxa"/>
            <w:bottom w:w="0" w:type="dxa"/>
            <w:right w:w="108" w:type="dxa"/>
          </w:tblCellMar>
        </w:tblPrEx>
        <w:trPr>
          <w:trHeight w:val="30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D221">
            <w:pPr>
              <w:keepNext w:val="0"/>
              <w:keepLines w:val="0"/>
              <w:widowControl/>
              <w:suppressLineNumbers w:val="0"/>
              <w:jc w:val="center"/>
              <w:textAlignment w:val="center"/>
              <w:rPr>
                <w:rFonts w:hint="default" w:ascii="Times New Roman" w:hAnsi="Times New Roman" w:eastAsia="仿宋_GB2312"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18</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8B2E">
            <w:pPr>
              <w:keepNext w:val="0"/>
              <w:keepLines w:val="0"/>
              <w:widowControl/>
              <w:suppressLineNumbers w:val="0"/>
              <w:jc w:val="center"/>
              <w:textAlignment w:val="center"/>
              <w:rPr>
                <w:rFonts w:ascii="Times New Roman" w:hAnsi="Times New Roman" w:cs="仿宋_GB2312"/>
                <w:color w:val="auto"/>
                <w:kern w:val="0"/>
                <w:sz w:val="24"/>
                <w:szCs w:val="24"/>
                <w:highlight w:val="none"/>
                <w:lang w:bidi="ar"/>
              </w:rPr>
            </w:pPr>
            <w:r>
              <w:rPr>
                <w:rFonts w:hint="default" w:ascii="Times New Roman" w:hAnsi="Times New Roman" w:eastAsia="仿宋_GB2312" w:cs="仿宋_GB2312"/>
                <w:i w:val="0"/>
                <w:iCs w:val="0"/>
                <w:color w:val="auto"/>
                <w:kern w:val="0"/>
                <w:sz w:val="24"/>
                <w:szCs w:val="24"/>
                <w:highlight w:val="none"/>
                <w:u w:val="none"/>
                <w:lang w:val="en-US" w:eastAsia="zh-CN" w:bidi="ar"/>
              </w:rPr>
              <w:t>中山市</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AF1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 </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E371">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DA8D">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 xml:space="preserve">3,000.00 </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8802">
            <w:pPr>
              <w:keepNext w:val="0"/>
              <w:keepLines w:val="0"/>
              <w:widowControl/>
              <w:suppressLineNumbers w:val="0"/>
              <w:jc w:val="right"/>
              <w:textAlignment w:val="center"/>
              <w:rPr>
                <w:rFonts w:hint="eastAsia"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100.00%</w:t>
            </w:r>
          </w:p>
        </w:tc>
      </w:tr>
    </w:tbl>
    <w:p w14:paraId="7BCCFFFA">
      <w:pPr>
        <w:pStyle w:val="11"/>
        <w:spacing w:line="360" w:lineRule="auto"/>
        <w:ind w:left="0" w:leftChars="0" w:firstLine="301" w:firstLineChars="200"/>
        <w:rPr>
          <w:rFonts w:hint="eastAsia" w:ascii="Times New Roman" w:hAnsi="Times New Roman" w:eastAsia="仿宋_GB2312"/>
          <w:b/>
          <w:bCs/>
          <w:color w:val="auto"/>
          <w:sz w:val="15"/>
          <w:szCs w:val="15"/>
          <w:highlight w:val="none"/>
        </w:rPr>
      </w:pPr>
    </w:p>
    <w:p w14:paraId="367B9965">
      <w:pPr>
        <w:pStyle w:val="11"/>
        <w:spacing w:line="360" w:lineRule="auto"/>
        <w:ind w:left="0" w:leftChars="0" w:firstLine="643"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b/>
          <w:bCs/>
          <w:color w:val="auto"/>
          <w:sz w:val="32"/>
          <w:szCs w:val="32"/>
          <w:highlight w:val="none"/>
        </w:rPr>
        <w:t>2.资金主要用途</w:t>
      </w:r>
      <w:r>
        <w:rPr>
          <w:rFonts w:hint="eastAsia" w:ascii="Times New Roman" w:hAnsi="Times New Roman"/>
          <w:b/>
          <w:bCs/>
          <w:color w:val="auto"/>
          <w:sz w:val="32"/>
          <w:szCs w:val="32"/>
          <w:highlight w:val="none"/>
          <w:lang w:val="en-US" w:eastAsia="zh-CN"/>
        </w:rPr>
        <w:t>和扶持对象</w:t>
      </w:r>
      <w:r>
        <w:rPr>
          <w:rFonts w:hint="eastAsia" w:ascii="Times New Roman" w:hAnsi="Times New Roman" w:eastAsia="仿宋_GB2312"/>
          <w:b/>
          <w:bCs/>
          <w:color w:val="auto"/>
          <w:sz w:val="32"/>
          <w:szCs w:val="32"/>
          <w:highlight w:val="none"/>
        </w:rPr>
        <w:t>。</w:t>
      </w:r>
    </w:p>
    <w:p w14:paraId="3D22B7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Times New Roman"/>
          <w:color w:val="auto"/>
          <w:sz w:val="32"/>
          <w:szCs w:val="32"/>
          <w:highlight w:val="none"/>
          <w:lang w:val="en-US" w:eastAsia="zh-CN" w:bidi="ar"/>
        </w:rPr>
      </w:pPr>
      <w:r>
        <w:rPr>
          <w:rFonts w:hint="eastAsia" w:ascii="Times New Roman" w:hAnsi="Times New Roman" w:cs="Times New Roman"/>
          <w:color w:val="auto"/>
          <w:sz w:val="32"/>
          <w:szCs w:val="32"/>
          <w:highlight w:val="none"/>
          <w:lang w:val="en-US" w:eastAsia="zh-CN" w:bidi="ar"/>
        </w:rPr>
        <w:t>粤财建</w:t>
      </w:r>
      <w:r>
        <w:rPr>
          <w:rFonts w:hint="eastAsia" w:ascii="Times New Roman" w:hAnsi="Times New Roman" w:eastAsia="仿宋_GB2312" w:cs="仿宋_GB2312"/>
          <w:color w:val="auto"/>
          <w:sz w:val="32"/>
          <w:szCs w:val="32"/>
          <w:highlight w:val="none"/>
          <w:lang w:val="en-US" w:eastAsia="zh-CN" w:bidi="ar"/>
        </w:rPr>
        <w:t>〔2021〕7</w:t>
      </w:r>
      <w:r>
        <w:rPr>
          <w:rFonts w:hint="eastAsia" w:ascii="Times New Roman" w:hAnsi="Times New Roman" w:cs="Times New Roman"/>
          <w:color w:val="auto"/>
          <w:sz w:val="32"/>
          <w:szCs w:val="32"/>
          <w:highlight w:val="none"/>
          <w:lang w:val="en-US" w:eastAsia="zh-CN" w:bidi="ar"/>
        </w:rPr>
        <w:t>0号安排的专项资金主要用于奖补</w:t>
      </w:r>
      <w:r>
        <w:rPr>
          <w:rFonts w:hint="eastAsia" w:cs="Times New Roman"/>
          <w:color w:val="auto"/>
          <w:sz w:val="32"/>
          <w:szCs w:val="32"/>
          <w:highlight w:val="none"/>
          <w:lang w:val="en-US" w:eastAsia="zh-CN" w:bidi="ar"/>
        </w:rPr>
        <w:t>粤东西北地区</w:t>
      </w:r>
      <w:r>
        <w:rPr>
          <w:rFonts w:hint="eastAsia" w:ascii="Times New Roman" w:hAnsi="Times New Roman" w:cs="Times New Roman"/>
          <w:color w:val="auto"/>
          <w:sz w:val="32"/>
          <w:szCs w:val="32"/>
          <w:highlight w:val="none"/>
          <w:lang w:val="en-US" w:eastAsia="zh-CN" w:bidi="ar"/>
        </w:rPr>
        <w:t>15个地级市推进城市内涝治理，指导地市重点开展深化城市内涝治理系统化实施方案、排查整治历史上严重影响生活秩序的易涝积水点及推进城市生活污水处理提质增效</w:t>
      </w:r>
      <w:r>
        <w:rPr>
          <w:rFonts w:hint="eastAsia" w:cs="仿宋_GB2312"/>
          <w:color w:val="auto"/>
          <w:sz w:val="32"/>
          <w:szCs w:val="32"/>
          <w:highlight w:val="none"/>
          <w:lang w:val="en-US" w:eastAsia="zh-CN" w:bidi="ar"/>
        </w:rPr>
        <w:t>；</w:t>
      </w:r>
      <w:r>
        <w:rPr>
          <w:rFonts w:hint="eastAsia" w:ascii="Times New Roman" w:hAnsi="Times New Roman" w:cs="Times New Roman"/>
          <w:color w:val="auto"/>
          <w:sz w:val="32"/>
          <w:szCs w:val="32"/>
          <w:highlight w:val="none"/>
          <w:lang w:val="en-US" w:eastAsia="zh-CN" w:bidi="ar"/>
        </w:rPr>
        <w:t>指导城市生活污水处理厂</w:t>
      </w:r>
      <w:r>
        <w:rPr>
          <w:rFonts w:hint="eastAsia" w:ascii="Times New Roman" w:hAnsi="Times New Roman" w:cs="仿宋_GB2312"/>
          <w:color w:val="auto"/>
          <w:sz w:val="32"/>
          <w:szCs w:val="32"/>
          <w:highlight w:val="none"/>
          <w:lang w:val="en-US" w:eastAsia="zh-CN" w:bidi="ar"/>
        </w:rPr>
        <w:t>“</w:t>
      </w:r>
      <w:r>
        <w:rPr>
          <w:rFonts w:hint="eastAsia" w:ascii="Times New Roman" w:hAnsi="Times New Roman" w:eastAsia="仿宋_GB2312" w:cs="仿宋_GB2312"/>
          <w:color w:val="auto"/>
          <w:sz w:val="32"/>
          <w:szCs w:val="32"/>
          <w:highlight w:val="none"/>
          <w:lang w:val="en-US" w:eastAsia="zh-CN" w:bidi="ar"/>
        </w:rPr>
        <w:t>一厂一策</w:t>
      </w:r>
      <w:r>
        <w:rPr>
          <w:rFonts w:hint="eastAsia" w:ascii="Times New Roman" w:hAnsi="Times New Roman" w:cs="仿宋_GB2312"/>
          <w:color w:val="auto"/>
          <w:sz w:val="32"/>
          <w:szCs w:val="32"/>
          <w:highlight w:val="none"/>
          <w:lang w:val="en-US" w:eastAsia="zh-CN" w:bidi="ar"/>
        </w:rPr>
        <w:t>”</w:t>
      </w:r>
      <w:r>
        <w:rPr>
          <w:rFonts w:hint="eastAsia" w:ascii="Times New Roman" w:hAnsi="Times New Roman" w:cs="Times New Roman"/>
          <w:color w:val="auto"/>
          <w:sz w:val="32"/>
          <w:szCs w:val="32"/>
          <w:highlight w:val="none"/>
          <w:lang w:val="en-US" w:eastAsia="zh-CN" w:bidi="ar"/>
        </w:rPr>
        <w:t>系统化整治、市政排水管网排查与改造及城市黑臭水体整治。粤财建〔2022〕33号安排的专项资金主要用于奖补</w:t>
      </w:r>
      <w:r>
        <w:rPr>
          <w:rFonts w:hint="eastAsia" w:ascii="仿宋_GB2312" w:hAnsi="仿宋_GB2312" w:eastAsia="仿宋_GB2312" w:cs="仿宋_GB2312"/>
          <w:b w:val="0"/>
          <w:bCs w:val="0"/>
          <w:color w:val="auto"/>
          <w:sz w:val="32"/>
          <w:szCs w:val="32"/>
          <w:highlight w:val="none"/>
          <w:lang w:val="en-US" w:eastAsia="zh-CN"/>
        </w:rPr>
        <w:t>202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cs="仿宋_GB2312"/>
          <w:b w:val="0"/>
          <w:bCs w:val="0"/>
          <w:color w:val="auto"/>
          <w:sz w:val="32"/>
          <w:szCs w:val="32"/>
          <w:highlight w:val="none"/>
          <w:lang w:val="en-US" w:eastAsia="zh-CN"/>
        </w:rPr>
        <w:t>初</w:t>
      </w:r>
      <w:r>
        <w:rPr>
          <w:rFonts w:hint="eastAsia" w:ascii="Times New Roman" w:hAnsi="Times New Roman" w:cs="Times New Roman"/>
          <w:color w:val="auto"/>
          <w:sz w:val="32"/>
          <w:szCs w:val="32"/>
          <w:highlight w:val="none"/>
          <w:lang w:val="en-US" w:eastAsia="zh-CN" w:bidi="ar"/>
        </w:rPr>
        <w:t>评选的3个省级海绵城市建设示范城市（梅州、东莞、中山市），助推海绵城市建设。</w:t>
      </w:r>
    </w:p>
    <w:p w14:paraId="323589F2">
      <w:pPr>
        <w:keepNext/>
        <w:keepLines/>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Times New Roman" w:hAnsi="Times New Roman" w:eastAsia="楷体_GB2312" w:cs="仿宋"/>
          <w:b/>
          <w:bCs/>
          <w:color w:val="auto"/>
          <w:kern w:val="0"/>
          <w:sz w:val="32"/>
          <w:szCs w:val="32"/>
          <w:highlight w:val="none"/>
          <w:lang w:eastAsia="zh-CN"/>
        </w:rPr>
      </w:pPr>
      <w:r>
        <w:rPr>
          <w:rFonts w:hint="eastAsia" w:ascii="Times New Roman" w:hAnsi="Times New Roman" w:eastAsia="楷体_GB2312" w:cs="仿宋"/>
          <w:b/>
          <w:bCs/>
          <w:color w:val="auto"/>
          <w:kern w:val="0"/>
          <w:sz w:val="32"/>
          <w:szCs w:val="32"/>
          <w:highlight w:val="none"/>
          <w:lang w:eastAsia="zh-CN"/>
        </w:rPr>
        <w:t>（三）绩效目标</w:t>
      </w:r>
      <w:bookmarkEnd w:id="4"/>
      <w:bookmarkEnd w:id="5"/>
      <w:bookmarkEnd w:id="6"/>
      <w:bookmarkEnd w:id="7"/>
      <w:bookmarkEnd w:id="8"/>
    </w:p>
    <w:p w14:paraId="0236FBD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根据《2022年重点项目绩效目标表》，</w:t>
      </w:r>
      <w:r>
        <w:rPr>
          <w:rFonts w:hint="eastAsia" w:ascii="Times New Roman" w:hAnsi="Times New Roman" w:cs="仿宋_GB2312"/>
          <w:color w:val="auto"/>
          <w:sz w:val="32"/>
          <w:szCs w:val="32"/>
          <w:highlight w:val="none"/>
          <w:lang w:bidi="ar"/>
        </w:rPr>
        <w:t>202</w:t>
      </w:r>
      <w:r>
        <w:rPr>
          <w:rFonts w:hint="eastAsia" w:ascii="Times New Roman" w:hAnsi="Times New Roman" w:cs="仿宋_GB2312"/>
          <w:color w:val="auto"/>
          <w:sz w:val="32"/>
          <w:szCs w:val="32"/>
          <w:highlight w:val="none"/>
          <w:lang w:val="en-US" w:eastAsia="zh-CN" w:bidi="ar"/>
        </w:rPr>
        <w:t>2</w:t>
      </w:r>
      <w:r>
        <w:rPr>
          <w:rFonts w:hint="eastAsia" w:ascii="Times New Roman" w:hAnsi="Times New Roman" w:cs="仿宋_GB2312"/>
          <w:color w:val="auto"/>
          <w:sz w:val="32"/>
          <w:szCs w:val="32"/>
          <w:highlight w:val="none"/>
          <w:lang w:bidi="ar"/>
        </w:rPr>
        <w:t>年</w:t>
      </w:r>
      <w:r>
        <w:rPr>
          <w:rFonts w:hint="eastAsia" w:ascii="Times New Roman" w:hAnsi="Times New Roman" w:eastAsia="仿宋_GB2312"/>
          <w:color w:val="auto"/>
          <w:sz w:val="32"/>
          <w:highlight w:val="none"/>
          <w:lang w:val="en-US" w:eastAsia="zh-CN"/>
        </w:rPr>
        <w:t>打好污染防治攻坚战专项资金-污染防治-城市水环境治理</w:t>
      </w:r>
      <w:r>
        <w:rPr>
          <w:rFonts w:hint="eastAsia" w:ascii="Times New Roman" w:hAnsi="Times New Roman" w:cs="仿宋_GB2312"/>
          <w:color w:val="auto"/>
          <w:kern w:val="0"/>
          <w:sz w:val="32"/>
          <w:szCs w:val="32"/>
          <w:highlight w:val="none"/>
          <w:lang w:val="en-US" w:eastAsia="zh-CN" w:bidi="ar"/>
        </w:rPr>
        <w:t>项目年度绩效目标和绩效指标（</w:t>
      </w:r>
      <w:r>
        <w:rPr>
          <w:rFonts w:hint="eastAsia" w:ascii="Times New Roman" w:hAnsi="Times New Roman" w:eastAsia="仿宋_GB2312" w:cs="仿宋_GB2312"/>
          <w:color w:val="auto"/>
          <w:sz w:val="32"/>
          <w:szCs w:val="32"/>
          <w:highlight w:val="none"/>
          <w:lang w:val="en-US" w:eastAsia="zh-CN" w:bidi="ar-SA"/>
        </w:rPr>
        <w:t>绩效指标见表1-</w:t>
      </w:r>
      <w:r>
        <w:rPr>
          <w:rFonts w:hint="eastAsia" w:cs="仿宋_GB2312"/>
          <w:color w:val="auto"/>
          <w:sz w:val="32"/>
          <w:szCs w:val="32"/>
          <w:highlight w:val="none"/>
          <w:lang w:val="en-US" w:eastAsia="zh-CN" w:bidi="ar-SA"/>
        </w:rPr>
        <w:t>2</w:t>
      </w:r>
      <w:r>
        <w:rPr>
          <w:rFonts w:hint="eastAsia" w:ascii="Times New Roman" w:hAnsi="Times New Roman" w:cs="仿宋_GB2312"/>
          <w:color w:val="auto"/>
          <w:kern w:val="0"/>
          <w:sz w:val="32"/>
          <w:szCs w:val="32"/>
          <w:highlight w:val="none"/>
          <w:lang w:val="en-US" w:eastAsia="zh-CN" w:bidi="ar"/>
        </w:rPr>
        <w:t>）包括：</w:t>
      </w:r>
    </w:p>
    <w:p w14:paraId="7E74F8E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第一，海绵城市建设：示范城市防洪排涝能力及地下空间建设水平有效提升，生态环境有效改善，海绵城市理念得到全面、有效落实。</w:t>
      </w:r>
    </w:p>
    <w:p w14:paraId="6C9DC7C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第二，城市内涝治理：地级以上城市编制并深化城市内涝治理系统化实施方案。</w:t>
      </w:r>
    </w:p>
    <w:p w14:paraId="0EBDD40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cs="仿宋_GB2312"/>
          <w:color w:val="auto"/>
          <w:kern w:val="0"/>
          <w:sz w:val="32"/>
          <w:szCs w:val="32"/>
          <w:highlight w:val="none"/>
          <w:lang w:eastAsia="zh-CN" w:bidi="ar"/>
        </w:rPr>
      </w:pPr>
      <w:r>
        <w:rPr>
          <w:rFonts w:hint="eastAsia" w:ascii="Times New Roman" w:hAnsi="Times New Roman" w:cs="仿宋_GB2312"/>
          <w:color w:val="auto"/>
          <w:kern w:val="0"/>
          <w:sz w:val="32"/>
          <w:szCs w:val="32"/>
          <w:highlight w:val="none"/>
          <w:lang w:val="en-US" w:eastAsia="zh-CN" w:bidi="ar"/>
        </w:rPr>
        <w:t>第三，城市生活污水处理与黑臭水体治理：地级以上城市生活污水集中收集率、城市污水处理厂进水BOD浓度2项指标较2021年平均值有所增长。城市污水管网排查及改造持续推进，地级以上城市建成区黑臭水体消除比例达到100%。</w:t>
      </w:r>
    </w:p>
    <w:p w14:paraId="153A4A5A">
      <w:pPr>
        <w:spacing w:before="156" w:beforeLines="50"/>
        <w:jc w:val="center"/>
        <w:rPr>
          <w:rFonts w:hint="eastAsia" w:ascii="Times New Roman" w:hAnsi="Times New Roman" w:eastAsia="黑体" w:cs="黑体"/>
          <w:color w:val="auto"/>
          <w:sz w:val="28"/>
          <w:szCs w:val="28"/>
          <w:highlight w:val="none"/>
          <w:lang w:val="en-US" w:eastAsia="zh-CN"/>
        </w:rPr>
      </w:pPr>
      <w:r>
        <w:rPr>
          <w:rFonts w:hint="eastAsia" w:ascii="Times New Roman" w:hAnsi="Times New Roman" w:eastAsia="黑体" w:cs="黑体"/>
          <w:color w:val="auto"/>
          <w:sz w:val="28"/>
          <w:szCs w:val="28"/>
          <w:highlight w:val="none"/>
        </w:rPr>
        <w:t>表1-</w:t>
      </w:r>
      <w:r>
        <w:rPr>
          <w:rFonts w:hint="eastAsia" w:eastAsia="黑体" w:cs="黑体"/>
          <w:color w:val="auto"/>
          <w:sz w:val="28"/>
          <w:szCs w:val="28"/>
          <w:highlight w:val="none"/>
          <w:lang w:val="en-US" w:eastAsia="zh-CN"/>
        </w:rPr>
        <w:t>2</w:t>
      </w:r>
      <w:r>
        <w:rPr>
          <w:rFonts w:hint="eastAsia" w:ascii="Times New Roman" w:hAnsi="Times New Roman" w:eastAsia="黑体" w:cs="黑体"/>
          <w:color w:val="auto"/>
          <w:sz w:val="28"/>
          <w:szCs w:val="28"/>
          <w:highlight w:val="none"/>
        </w:rPr>
        <w:t xml:space="preserve"> </w:t>
      </w:r>
      <w:r>
        <w:rPr>
          <w:rFonts w:hint="eastAsia" w:eastAsia="黑体" w:cs="黑体"/>
          <w:color w:val="auto"/>
          <w:sz w:val="28"/>
          <w:szCs w:val="28"/>
          <w:highlight w:val="none"/>
          <w:lang w:val="en-US" w:eastAsia="zh-CN"/>
        </w:rPr>
        <w:t xml:space="preserve"> </w:t>
      </w:r>
      <w:r>
        <w:rPr>
          <w:rFonts w:hint="eastAsia" w:ascii="Times New Roman" w:hAnsi="Times New Roman" w:eastAsia="黑体" w:cs="黑体"/>
          <w:color w:val="auto"/>
          <w:sz w:val="28"/>
          <w:szCs w:val="28"/>
          <w:highlight w:val="none"/>
        </w:rPr>
        <w:t>202</w:t>
      </w:r>
      <w:r>
        <w:rPr>
          <w:rFonts w:hint="eastAsia" w:ascii="Times New Roman" w:hAnsi="Times New Roman" w:eastAsia="黑体" w:cs="黑体"/>
          <w:color w:val="auto"/>
          <w:sz w:val="28"/>
          <w:szCs w:val="28"/>
          <w:highlight w:val="none"/>
          <w:lang w:val="en-US" w:eastAsia="zh-CN"/>
        </w:rPr>
        <w:t>2</w:t>
      </w:r>
      <w:r>
        <w:rPr>
          <w:rFonts w:hint="eastAsia" w:ascii="Times New Roman" w:hAnsi="Times New Roman" w:eastAsia="黑体" w:cs="黑体"/>
          <w:color w:val="auto"/>
          <w:sz w:val="28"/>
          <w:szCs w:val="28"/>
          <w:highlight w:val="none"/>
        </w:rPr>
        <w:t>年城市水环境治理专项资金绩效指标</w:t>
      </w:r>
      <w:r>
        <w:rPr>
          <w:rFonts w:hint="eastAsia" w:ascii="Times New Roman" w:hAnsi="Times New Roman" w:eastAsia="黑体" w:cs="黑体"/>
          <w:color w:val="auto"/>
          <w:sz w:val="28"/>
          <w:szCs w:val="28"/>
          <w:highlight w:val="none"/>
          <w:lang w:val="en-US" w:eastAsia="zh-CN"/>
        </w:rPr>
        <w:t>表</w:t>
      </w:r>
    </w:p>
    <w:tbl>
      <w:tblPr>
        <w:tblStyle w:val="13"/>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01"/>
        <w:gridCol w:w="4205"/>
        <w:gridCol w:w="2525"/>
      </w:tblGrid>
      <w:tr w14:paraId="773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trPr>
        <w:tc>
          <w:tcPr>
            <w:tcW w:w="0" w:type="auto"/>
            <w:shd w:val="clear" w:color="auto" w:fill="auto"/>
            <w:vAlign w:val="center"/>
          </w:tcPr>
          <w:p w14:paraId="2ABEB761">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一级指标</w:t>
            </w:r>
          </w:p>
        </w:tc>
        <w:tc>
          <w:tcPr>
            <w:tcW w:w="0" w:type="auto"/>
            <w:shd w:val="clear" w:color="auto" w:fill="auto"/>
            <w:vAlign w:val="center"/>
          </w:tcPr>
          <w:p w14:paraId="440E2ACB">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二级指标</w:t>
            </w:r>
          </w:p>
        </w:tc>
        <w:tc>
          <w:tcPr>
            <w:tcW w:w="0" w:type="auto"/>
            <w:shd w:val="clear" w:color="auto" w:fill="auto"/>
            <w:vAlign w:val="center"/>
          </w:tcPr>
          <w:p w14:paraId="3972C45C">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三级指标</w:t>
            </w:r>
          </w:p>
        </w:tc>
        <w:tc>
          <w:tcPr>
            <w:tcW w:w="0" w:type="auto"/>
            <w:shd w:val="clear" w:color="auto" w:fill="auto"/>
            <w:vAlign w:val="center"/>
          </w:tcPr>
          <w:p w14:paraId="5E0C82A2">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当年度目标值</w:t>
            </w:r>
          </w:p>
        </w:tc>
      </w:tr>
      <w:tr w14:paraId="3025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0" w:type="auto"/>
            <w:vMerge w:val="restart"/>
            <w:shd w:val="clear" w:color="auto" w:fill="auto"/>
            <w:vAlign w:val="center"/>
          </w:tcPr>
          <w:p w14:paraId="241839B4">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产出指标</w:t>
            </w:r>
          </w:p>
        </w:tc>
        <w:tc>
          <w:tcPr>
            <w:tcW w:w="0" w:type="auto"/>
            <w:vMerge w:val="restart"/>
            <w:shd w:val="clear" w:color="auto" w:fill="auto"/>
            <w:vAlign w:val="center"/>
          </w:tcPr>
          <w:p w14:paraId="024D9D32">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数量指标</w:t>
            </w:r>
          </w:p>
        </w:tc>
        <w:tc>
          <w:tcPr>
            <w:tcW w:w="0" w:type="auto"/>
            <w:shd w:val="clear" w:color="auto" w:fill="auto"/>
            <w:vAlign w:val="center"/>
          </w:tcPr>
          <w:p w14:paraId="452546B4">
            <w:pPr>
              <w:pStyle w:val="6"/>
              <w:widowControl/>
              <w:jc w:val="center"/>
              <w:textAlignment w:val="center"/>
              <w:rPr>
                <w:rFonts w:ascii="Times New Roman" w:hAnsi="Times New Roman" w:cs="仿宋_GB2312"/>
                <w:color w:val="auto"/>
                <w:kern w:val="0"/>
                <w:sz w:val="24"/>
                <w:szCs w:val="24"/>
                <w:highlight w:val="none"/>
                <w:lang w:bidi="ar"/>
              </w:rPr>
            </w:pPr>
            <w:r>
              <w:rPr>
                <w:rFonts w:hint="eastAsia" w:cs="仿宋_GB2312"/>
                <w:color w:val="auto"/>
                <w:kern w:val="0"/>
                <w:sz w:val="24"/>
                <w:szCs w:val="24"/>
                <w:highlight w:val="none"/>
                <w:lang w:val="en-US" w:eastAsia="zh-CN" w:bidi="ar"/>
              </w:rPr>
              <w:t>达标海绵建设标准面积占建成区面积比例</w:t>
            </w:r>
          </w:p>
        </w:tc>
        <w:tc>
          <w:tcPr>
            <w:tcW w:w="0" w:type="auto"/>
            <w:shd w:val="clear" w:color="auto" w:fill="auto"/>
            <w:vAlign w:val="center"/>
          </w:tcPr>
          <w:p w14:paraId="33047D2B">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较2021年平均值有所增长</w:t>
            </w:r>
          </w:p>
        </w:tc>
      </w:tr>
      <w:tr w14:paraId="2680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shd w:val="clear" w:color="auto" w:fill="auto"/>
            <w:vAlign w:val="center"/>
          </w:tcPr>
          <w:p w14:paraId="6DEB1986">
            <w:pPr>
              <w:jc w:val="center"/>
              <w:rPr>
                <w:rFonts w:ascii="Times New Roman" w:hAnsi="Times New Roman" w:cs="仿宋_GB2312"/>
                <w:color w:val="auto"/>
                <w:sz w:val="24"/>
                <w:szCs w:val="24"/>
                <w:highlight w:val="none"/>
              </w:rPr>
            </w:pPr>
          </w:p>
        </w:tc>
        <w:tc>
          <w:tcPr>
            <w:tcW w:w="0" w:type="auto"/>
            <w:vMerge w:val="continue"/>
            <w:shd w:val="clear" w:color="auto" w:fill="auto"/>
            <w:vAlign w:val="center"/>
          </w:tcPr>
          <w:p w14:paraId="6416206E">
            <w:pPr>
              <w:jc w:val="center"/>
              <w:rPr>
                <w:rFonts w:ascii="Times New Roman" w:hAnsi="Times New Roman" w:cs="仿宋_GB2312"/>
                <w:color w:val="auto"/>
                <w:sz w:val="24"/>
                <w:szCs w:val="24"/>
                <w:highlight w:val="none"/>
              </w:rPr>
            </w:pPr>
          </w:p>
        </w:tc>
        <w:tc>
          <w:tcPr>
            <w:tcW w:w="0" w:type="auto"/>
            <w:shd w:val="clear" w:color="auto" w:fill="auto"/>
            <w:vAlign w:val="center"/>
          </w:tcPr>
          <w:p w14:paraId="508AE19A">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城市内涝治理系统化实施方案编制（份）</w:t>
            </w:r>
          </w:p>
        </w:tc>
        <w:tc>
          <w:tcPr>
            <w:tcW w:w="0" w:type="auto"/>
            <w:shd w:val="clear" w:color="auto" w:fill="auto"/>
            <w:vAlign w:val="center"/>
          </w:tcPr>
          <w:p w14:paraId="3D6662DD">
            <w:pPr>
              <w:widowControl/>
              <w:jc w:val="center"/>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15</w:t>
            </w:r>
          </w:p>
        </w:tc>
      </w:tr>
      <w:tr w14:paraId="5B1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shd w:val="clear" w:color="auto" w:fill="auto"/>
            <w:vAlign w:val="center"/>
          </w:tcPr>
          <w:p w14:paraId="71032431">
            <w:pPr>
              <w:jc w:val="center"/>
              <w:rPr>
                <w:rFonts w:ascii="Times New Roman" w:hAnsi="Times New Roman" w:cs="仿宋_GB2312"/>
                <w:color w:val="auto"/>
                <w:sz w:val="24"/>
                <w:szCs w:val="24"/>
                <w:highlight w:val="none"/>
              </w:rPr>
            </w:pPr>
          </w:p>
        </w:tc>
        <w:tc>
          <w:tcPr>
            <w:tcW w:w="0" w:type="auto"/>
            <w:vMerge w:val="continue"/>
            <w:shd w:val="clear" w:color="auto" w:fill="auto"/>
            <w:vAlign w:val="center"/>
          </w:tcPr>
          <w:p w14:paraId="3C99F42E">
            <w:pPr>
              <w:jc w:val="center"/>
              <w:rPr>
                <w:rFonts w:ascii="Times New Roman" w:hAnsi="Times New Roman" w:cs="仿宋_GB2312"/>
                <w:color w:val="auto"/>
                <w:sz w:val="24"/>
                <w:szCs w:val="24"/>
                <w:highlight w:val="none"/>
              </w:rPr>
            </w:pPr>
          </w:p>
        </w:tc>
        <w:tc>
          <w:tcPr>
            <w:tcW w:w="0" w:type="auto"/>
            <w:shd w:val="clear" w:color="auto" w:fill="auto"/>
            <w:vAlign w:val="center"/>
          </w:tcPr>
          <w:p w14:paraId="0760FE36">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创建省级海绵城市试点比例（%）</w:t>
            </w:r>
          </w:p>
        </w:tc>
        <w:tc>
          <w:tcPr>
            <w:tcW w:w="0" w:type="auto"/>
            <w:shd w:val="clear" w:color="auto" w:fill="auto"/>
            <w:vAlign w:val="center"/>
          </w:tcPr>
          <w:p w14:paraId="7449C9FC">
            <w:pPr>
              <w:widowControl/>
              <w:jc w:val="center"/>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≥9%</w:t>
            </w:r>
          </w:p>
        </w:tc>
      </w:tr>
      <w:tr w14:paraId="639E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shd w:val="clear" w:color="auto" w:fill="auto"/>
            <w:vAlign w:val="center"/>
          </w:tcPr>
          <w:p w14:paraId="381B053D">
            <w:pPr>
              <w:jc w:val="center"/>
              <w:rPr>
                <w:rFonts w:ascii="Times New Roman" w:hAnsi="Times New Roman" w:cs="仿宋_GB2312"/>
                <w:color w:val="auto"/>
                <w:sz w:val="24"/>
                <w:szCs w:val="24"/>
                <w:highlight w:val="none"/>
              </w:rPr>
            </w:pPr>
          </w:p>
        </w:tc>
        <w:tc>
          <w:tcPr>
            <w:tcW w:w="0" w:type="auto"/>
            <w:vMerge w:val="continue"/>
            <w:shd w:val="clear" w:color="auto" w:fill="auto"/>
            <w:vAlign w:val="center"/>
          </w:tcPr>
          <w:p w14:paraId="0AA265E3">
            <w:pPr>
              <w:jc w:val="center"/>
              <w:rPr>
                <w:rFonts w:ascii="Times New Roman" w:hAnsi="Times New Roman" w:cs="仿宋_GB2312"/>
                <w:color w:val="auto"/>
                <w:sz w:val="24"/>
                <w:szCs w:val="24"/>
                <w:highlight w:val="none"/>
              </w:rPr>
            </w:pPr>
          </w:p>
        </w:tc>
        <w:tc>
          <w:tcPr>
            <w:tcW w:w="0" w:type="auto"/>
            <w:shd w:val="clear" w:color="auto" w:fill="auto"/>
            <w:vAlign w:val="center"/>
          </w:tcPr>
          <w:p w14:paraId="479E4223">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城市污水管网排查与改造（公里）</w:t>
            </w:r>
          </w:p>
        </w:tc>
        <w:tc>
          <w:tcPr>
            <w:tcW w:w="0" w:type="auto"/>
            <w:shd w:val="clear" w:color="auto" w:fill="auto"/>
            <w:vAlign w:val="center"/>
          </w:tcPr>
          <w:p w14:paraId="625835F4">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持续推进</w:t>
            </w:r>
          </w:p>
        </w:tc>
      </w:tr>
      <w:tr w14:paraId="5095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shd w:val="clear" w:color="auto" w:fill="auto"/>
            <w:vAlign w:val="center"/>
          </w:tcPr>
          <w:p w14:paraId="16D5B8E2">
            <w:pPr>
              <w:jc w:val="center"/>
              <w:rPr>
                <w:rFonts w:ascii="Times New Roman" w:hAnsi="Times New Roman" w:cs="仿宋_GB2312"/>
                <w:color w:val="auto"/>
                <w:sz w:val="24"/>
                <w:szCs w:val="24"/>
                <w:highlight w:val="none"/>
              </w:rPr>
            </w:pPr>
          </w:p>
        </w:tc>
        <w:tc>
          <w:tcPr>
            <w:tcW w:w="0" w:type="auto"/>
            <w:shd w:val="clear" w:color="auto" w:fill="auto"/>
            <w:vAlign w:val="center"/>
          </w:tcPr>
          <w:p w14:paraId="18926332">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质量指标</w:t>
            </w:r>
          </w:p>
        </w:tc>
        <w:tc>
          <w:tcPr>
            <w:tcW w:w="0" w:type="auto"/>
            <w:shd w:val="clear" w:color="auto" w:fill="auto"/>
            <w:vAlign w:val="center"/>
          </w:tcPr>
          <w:p w14:paraId="4AA1BE6D">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地级以上城市建成区黑臭水体基本消除（%）</w:t>
            </w:r>
          </w:p>
        </w:tc>
        <w:tc>
          <w:tcPr>
            <w:tcW w:w="0" w:type="auto"/>
            <w:shd w:val="clear" w:color="auto" w:fill="auto"/>
            <w:vAlign w:val="center"/>
          </w:tcPr>
          <w:p w14:paraId="7F553507">
            <w:pPr>
              <w:widowControl/>
              <w:jc w:val="center"/>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100%</w:t>
            </w:r>
          </w:p>
        </w:tc>
      </w:tr>
      <w:tr w14:paraId="20E1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continue"/>
            <w:shd w:val="clear" w:color="auto" w:fill="auto"/>
            <w:vAlign w:val="center"/>
          </w:tcPr>
          <w:p w14:paraId="4208E918">
            <w:pPr>
              <w:jc w:val="center"/>
              <w:rPr>
                <w:rFonts w:ascii="Times New Roman" w:hAnsi="Times New Roman" w:cs="仿宋_GB2312"/>
                <w:color w:val="auto"/>
                <w:sz w:val="24"/>
                <w:szCs w:val="24"/>
                <w:highlight w:val="none"/>
              </w:rPr>
            </w:pPr>
          </w:p>
        </w:tc>
        <w:tc>
          <w:tcPr>
            <w:tcW w:w="0" w:type="auto"/>
            <w:shd w:val="clear" w:color="auto" w:fill="auto"/>
            <w:vAlign w:val="center"/>
          </w:tcPr>
          <w:p w14:paraId="18A2E77C">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时效指标</w:t>
            </w:r>
          </w:p>
        </w:tc>
        <w:tc>
          <w:tcPr>
            <w:tcW w:w="0" w:type="auto"/>
            <w:shd w:val="clear" w:color="auto" w:fill="auto"/>
            <w:vAlign w:val="center"/>
          </w:tcPr>
          <w:p w14:paraId="77FF0CE3">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项目完成及时率（%）</w:t>
            </w:r>
          </w:p>
        </w:tc>
        <w:tc>
          <w:tcPr>
            <w:tcW w:w="0" w:type="auto"/>
            <w:shd w:val="clear" w:color="auto" w:fill="auto"/>
            <w:vAlign w:val="center"/>
          </w:tcPr>
          <w:p w14:paraId="61BCC350">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≥80%</w:t>
            </w:r>
          </w:p>
        </w:tc>
      </w:tr>
      <w:tr w14:paraId="2747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restart"/>
            <w:shd w:val="clear" w:color="auto" w:fill="auto"/>
            <w:vAlign w:val="center"/>
          </w:tcPr>
          <w:p w14:paraId="0D8A9448">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效益指标</w:t>
            </w:r>
          </w:p>
        </w:tc>
        <w:tc>
          <w:tcPr>
            <w:tcW w:w="0" w:type="auto"/>
            <w:vMerge w:val="restart"/>
            <w:shd w:val="clear" w:color="auto" w:fill="auto"/>
            <w:vAlign w:val="center"/>
          </w:tcPr>
          <w:p w14:paraId="67D6860E">
            <w:pPr>
              <w:widowControl/>
              <w:jc w:val="center"/>
              <w:textAlignment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cs="仿宋_GB2312"/>
                <w:color w:val="auto"/>
                <w:kern w:val="0"/>
                <w:sz w:val="24"/>
                <w:szCs w:val="24"/>
                <w:highlight w:val="none"/>
                <w:lang w:val="en-US" w:eastAsia="zh-CN" w:bidi="ar"/>
              </w:rPr>
              <w:t>生态</w:t>
            </w:r>
            <w:r>
              <w:rPr>
                <w:rFonts w:ascii="Times New Roman" w:hAnsi="Times New Roman" w:cs="仿宋_GB2312"/>
                <w:color w:val="auto"/>
                <w:kern w:val="0"/>
                <w:sz w:val="24"/>
                <w:szCs w:val="24"/>
                <w:highlight w:val="none"/>
                <w:lang w:bidi="ar"/>
              </w:rPr>
              <w:t>效益</w:t>
            </w:r>
            <w:r>
              <w:rPr>
                <w:rFonts w:hint="eastAsia" w:ascii="Times New Roman" w:hAnsi="Times New Roman" w:cs="仿宋_GB2312"/>
                <w:color w:val="auto"/>
                <w:kern w:val="0"/>
                <w:sz w:val="24"/>
                <w:szCs w:val="24"/>
                <w:highlight w:val="none"/>
                <w:lang w:val="en-US" w:eastAsia="zh-CN" w:bidi="ar"/>
              </w:rPr>
              <w:t>指标</w:t>
            </w:r>
          </w:p>
        </w:tc>
        <w:tc>
          <w:tcPr>
            <w:tcW w:w="0" w:type="auto"/>
            <w:shd w:val="clear" w:color="auto" w:fill="auto"/>
            <w:vAlign w:val="center"/>
          </w:tcPr>
          <w:p w14:paraId="239694AC">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城市生活污水集中收集率</w:t>
            </w:r>
          </w:p>
        </w:tc>
        <w:tc>
          <w:tcPr>
            <w:tcW w:w="0" w:type="auto"/>
            <w:shd w:val="clear" w:color="auto" w:fill="auto"/>
            <w:vAlign w:val="center"/>
          </w:tcPr>
          <w:p w14:paraId="4C4B02AF">
            <w:pPr>
              <w:widowControl/>
              <w:jc w:val="center"/>
              <w:textAlignment w:val="center"/>
              <w:rPr>
                <w:rFonts w:hint="default" w:ascii="Times New Roman" w:hAnsi="Times New Roman" w:cs="仿宋_GB2312"/>
                <w:color w:val="auto"/>
                <w:kern w:val="0"/>
                <w:sz w:val="24"/>
                <w:szCs w:val="24"/>
                <w:highlight w:val="none"/>
                <w:lang w:val="en-US" w:eastAsia="zh-CN" w:bidi="ar"/>
              </w:rPr>
            </w:pPr>
            <w:r>
              <w:rPr>
                <w:rFonts w:hint="eastAsia" w:ascii="Times New Roman" w:hAnsi="Times New Roman" w:cs="仿宋_GB2312"/>
                <w:color w:val="auto"/>
                <w:kern w:val="0"/>
                <w:sz w:val="24"/>
                <w:szCs w:val="24"/>
                <w:highlight w:val="none"/>
                <w:lang w:val="en-US" w:eastAsia="zh-CN" w:bidi="ar"/>
              </w:rPr>
              <w:t>较2021年平均值有所</w:t>
            </w:r>
            <w:r>
              <w:rPr>
                <w:rFonts w:hint="eastAsia" w:cs="仿宋_GB2312"/>
                <w:color w:val="auto"/>
                <w:kern w:val="0"/>
                <w:sz w:val="24"/>
                <w:szCs w:val="24"/>
                <w:highlight w:val="none"/>
                <w:lang w:val="en-US" w:eastAsia="zh-CN" w:bidi="ar"/>
              </w:rPr>
              <w:t>增长</w:t>
            </w:r>
          </w:p>
        </w:tc>
      </w:tr>
      <w:tr w14:paraId="4F4B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Merge w:val="continue"/>
            <w:shd w:val="clear" w:color="auto" w:fill="auto"/>
            <w:vAlign w:val="center"/>
          </w:tcPr>
          <w:p w14:paraId="3C349354">
            <w:pPr>
              <w:jc w:val="center"/>
              <w:rPr>
                <w:rFonts w:ascii="Times New Roman" w:hAnsi="Times New Roman" w:cs="仿宋_GB2312"/>
                <w:color w:val="auto"/>
                <w:sz w:val="24"/>
                <w:szCs w:val="24"/>
                <w:highlight w:val="none"/>
              </w:rPr>
            </w:pPr>
          </w:p>
        </w:tc>
        <w:tc>
          <w:tcPr>
            <w:tcW w:w="0" w:type="auto"/>
            <w:vMerge w:val="continue"/>
            <w:shd w:val="clear" w:color="auto" w:fill="auto"/>
            <w:vAlign w:val="center"/>
          </w:tcPr>
          <w:p w14:paraId="65FA141E">
            <w:pPr>
              <w:widowControl/>
              <w:jc w:val="center"/>
              <w:textAlignment w:val="center"/>
              <w:rPr>
                <w:rFonts w:ascii="Times New Roman" w:hAnsi="Times New Roman" w:cs="仿宋_GB2312"/>
                <w:color w:val="auto"/>
                <w:sz w:val="24"/>
                <w:szCs w:val="24"/>
                <w:highlight w:val="none"/>
              </w:rPr>
            </w:pPr>
          </w:p>
        </w:tc>
        <w:tc>
          <w:tcPr>
            <w:tcW w:w="0" w:type="auto"/>
            <w:shd w:val="clear" w:color="auto" w:fill="auto"/>
            <w:vAlign w:val="center"/>
          </w:tcPr>
          <w:p w14:paraId="09CE11D8">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城市污水处理厂进水BOD浓度（mg/L）</w:t>
            </w:r>
          </w:p>
        </w:tc>
        <w:tc>
          <w:tcPr>
            <w:tcW w:w="0" w:type="auto"/>
            <w:shd w:val="clear" w:color="auto" w:fill="auto"/>
            <w:vAlign w:val="center"/>
          </w:tcPr>
          <w:p w14:paraId="24C74136">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较2021年平均值有所增长</w:t>
            </w:r>
          </w:p>
        </w:tc>
      </w:tr>
      <w:tr w14:paraId="18DF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vAlign w:val="center"/>
          </w:tcPr>
          <w:p w14:paraId="1D46BEBF">
            <w:pPr>
              <w:jc w:val="center"/>
              <w:rPr>
                <w:rFonts w:ascii="Times New Roman" w:hAnsi="Times New Roman" w:cs="仿宋_GB2312"/>
                <w:color w:val="auto"/>
                <w:sz w:val="24"/>
                <w:szCs w:val="24"/>
                <w:highlight w:val="none"/>
              </w:rPr>
            </w:pPr>
          </w:p>
        </w:tc>
        <w:tc>
          <w:tcPr>
            <w:tcW w:w="0" w:type="auto"/>
            <w:shd w:val="clear" w:color="auto" w:fill="auto"/>
            <w:vAlign w:val="center"/>
          </w:tcPr>
          <w:p w14:paraId="12A2BD3F">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可持续影响</w:t>
            </w:r>
          </w:p>
        </w:tc>
        <w:tc>
          <w:tcPr>
            <w:tcW w:w="0" w:type="auto"/>
            <w:shd w:val="clear" w:color="auto" w:fill="auto"/>
            <w:vAlign w:val="center"/>
          </w:tcPr>
          <w:p w14:paraId="607455D0">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建设机制健全性</w:t>
            </w:r>
          </w:p>
        </w:tc>
        <w:tc>
          <w:tcPr>
            <w:tcW w:w="0" w:type="auto"/>
            <w:shd w:val="clear" w:color="auto" w:fill="auto"/>
            <w:vAlign w:val="center"/>
          </w:tcPr>
          <w:p w14:paraId="53206287">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健全</w:t>
            </w:r>
          </w:p>
        </w:tc>
      </w:tr>
      <w:tr w14:paraId="728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Merge w:val="continue"/>
            <w:shd w:val="clear" w:color="auto" w:fill="auto"/>
            <w:vAlign w:val="center"/>
          </w:tcPr>
          <w:p w14:paraId="5BCE59BA">
            <w:pPr>
              <w:jc w:val="center"/>
              <w:rPr>
                <w:rFonts w:ascii="Times New Roman" w:hAnsi="Times New Roman" w:cs="仿宋_GB2312"/>
                <w:color w:val="auto"/>
                <w:sz w:val="24"/>
                <w:szCs w:val="24"/>
                <w:highlight w:val="none"/>
              </w:rPr>
            </w:pPr>
          </w:p>
        </w:tc>
        <w:tc>
          <w:tcPr>
            <w:tcW w:w="0" w:type="auto"/>
            <w:shd w:val="clear" w:color="auto" w:fill="auto"/>
            <w:vAlign w:val="center"/>
          </w:tcPr>
          <w:p w14:paraId="5E700489">
            <w:pPr>
              <w:widowControl/>
              <w:jc w:val="center"/>
              <w:textAlignment w:val="center"/>
              <w:rPr>
                <w:rFonts w:ascii="Times New Roman" w:hAnsi="Times New Roman" w:cs="仿宋_GB2312"/>
                <w:color w:val="auto"/>
                <w:sz w:val="24"/>
                <w:szCs w:val="24"/>
                <w:highlight w:val="none"/>
              </w:rPr>
            </w:pPr>
            <w:r>
              <w:rPr>
                <w:rFonts w:ascii="Times New Roman" w:hAnsi="Times New Roman" w:cs="仿宋_GB2312"/>
                <w:color w:val="auto"/>
                <w:kern w:val="0"/>
                <w:sz w:val="24"/>
                <w:szCs w:val="24"/>
                <w:highlight w:val="none"/>
                <w:lang w:bidi="ar"/>
              </w:rPr>
              <w:t>服务对象满意度</w:t>
            </w:r>
          </w:p>
        </w:tc>
        <w:tc>
          <w:tcPr>
            <w:tcW w:w="0" w:type="auto"/>
            <w:shd w:val="clear" w:color="auto" w:fill="auto"/>
            <w:vAlign w:val="center"/>
          </w:tcPr>
          <w:p w14:paraId="24393781">
            <w:pPr>
              <w:widowControl/>
              <w:jc w:val="center"/>
              <w:textAlignment w:val="center"/>
              <w:rPr>
                <w:rFonts w:hint="eastAsia" w:ascii="Times New Roman" w:hAnsi="Times New Roman" w:cs="仿宋_GB2312"/>
                <w:color w:val="auto"/>
                <w:kern w:val="0"/>
                <w:sz w:val="24"/>
                <w:szCs w:val="24"/>
                <w:highlight w:val="none"/>
                <w:lang w:eastAsia="zh-CN" w:bidi="ar"/>
              </w:rPr>
            </w:pPr>
            <w:r>
              <w:rPr>
                <w:rFonts w:hint="eastAsia" w:ascii="Times New Roman" w:hAnsi="Times New Roman" w:cs="仿宋_GB2312"/>
                <w:color w:val="auto"/>
                <w:kern w:val="0"/>
                <w:sz w:val="24"/>
                <w:szCs w:val="24"/>
                <w:highlight w:val="none"/>
                <w:lang w:val="en-US" w:eastAsia="zh-CN" w:bidi="ar"/>
              </w:rPr>
              <w:t>群众投诉情况（次/年）</w:t>
            </w:r>
          </w:p>
        </w:tc>
        <w:tc>
          <w:tcPr>
            <w:tcW w:w="0" w:type="auto"/>
            <w:shd w:val="clear" w:color="auto" w:fill="auto"/>
            <w:vAlign w:val="center"/>
          </w:tcPr>
          <w:p w14:paraId="7CC90D47">
            <w:pPr>
              <w:widowControl/>
              <w:jc w:val="center"/>
              <w:textAlignment w:val="center"/>
              <w:rPr>
                <w:rFonts w:hint="default" w:ascii="Times New Roman" w:hAnsi="Times New Roman" w:cs="仿宋_GB2312"/>
                <w:color w:val="auto"/>
                <w:kern w:val="0"/>
                <w:sz w:val="24"/>
                <w:szCs w:val="24"/>
                <w:highlight w:val="none"/>
                <w:lang w:val="en-US" w:bidi="ar"/>
              </w:rPr>
            </w:pPr>
            <w:r>
              <w:rPr>
                <w:rFonts w:hint="eastAsia" w:ascii="Times New Roman" w:hAnsi="Times New Roman" w:cs="仿宋_GB2312"/>
                <w:color w:val="auto"/>
                <w:kern w:val="0"/>
                <w:sz w:val="24"/>
                <w:szCs w:val="24"/>
                <w:highlight w:val="none"/>
                <w:lang w:val="en-US" w:eastAsia="zh-CN" w:bidi="ar"/>
              </w:rPr>
              <w:t>≤10次/年</w:t>
            </w:r>
          </w:p>
        </w:tc>
      </w:tr>
    </w:tbl>
    <w:p w14:paraId="1FCC3B9C">
      <w:pPr>
        <w:pStyle w:val="15"/>
        <w:rPr>
          <w:rFonts w:hint="eastAsia" w:ascii="Times New Roman" w:hAnsi="Times New Roman"/>
          <w:color w:val="auto"/>
          <w:highlight w:val="none"/>
          <w:lang w:eastAsia="zh-CN"/>
        </w:rPr>
      </w:pPr>
    </w:p>
    <w:p w14:paraId="7270A76C">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default" w:ascii="Times New Roman" w:hAnsi="Times New Roman" w:eastAsia="黑体" w:cs="Times New Roman"/>
          <w:b w:val="0"/>
          <w:bCs w:val="0"/>
          <w:color w:val="auto"/>
          <w:kern w:val="0"/>
          <w:sz w:val="32"/>
          <w:szCs w:val="32"/>
          <w:highlight w:val="none"/>
          <w:lang w:val="en-US" w:eastAsia="zh-CN"/>
        </w:rPr>
      </w:pPr>
      <w:bookmarkStart w:id="19" w:name="_Toc32567"/>
      <w:bookmarkStart w:id="20" w:name="_Toc31750"/>
      <w:bookmarkStart w:id="21" w:name="_Toc17236"/>
      <w:bookmarkStart w:id="22" w:name="_Toc18552"/>
      <w:r>
        <w:rPr>
          <w:rFonts w:hint="eastAsia" w:ascii="Times New Roman" w:hAnsi="Times New Roman" w:cs="Times New Roman"/>
          <w:color w:val="auto"/>
          <w:sz w:val="32"/>
          <w:szCs w:val="32"/>
          <w:highlight w:val="none"/>
          <w:lang w:val="en-US" w:eastAsia="zh-CN" w:bidi="ar"/>
        </w:rPr>
        <w:t>粤财建〔2022〕33号下达</w:t>
      </w:r>
      <w:r>
        <w:rPr>
          <w:rFonts w:hint="eastAsia" w:cs="Times New Roman"/>
          <w:color w:val="auto"/>
          <w:sz w:val="32"/>
          <w:szCs w:val="32"/>
          <w:highlight w:val="none"/>
          <w:lang w:val="en-US" w:eastAsia="zh-CN" w:bidi="ar"/>
        </w:rPr>
        <w:t>资金</w:t>
      </w:r>
      <w:r>
        <w:rPr>
          <w:rFonts w:hint="eastAsia" w:ascii="Times New Roman" w:hAnsi="Times New Roman" w:cs="Times New Roman"/>
          <w:color w:val="auto"/>
          <w:sz w:val="32"/>
          <w:szCs w:val="32"/>
          <w:highlight w:val="none"/>
          <w:lang w:val="en-US" w:eastAsia="zh-CN" w:bidi="ar"/>
        </w:rPr>
        <w:t>的绩效指标根据梅州、东莞、中山市的</w:t>
      </w:r>
      <w:r>
        <w:rPr>
          <w:rFonts w:hint="eastAsia" w:cs="Times New Roman"/>
          <w:color w:val="auto"/>
          <w:sz w:val="32"/>
          <w:szCs w:val="32"/>
          <w:highlight w:val="none"/>
          <w:lang w:val="en-US" w:eastAsia="zh-CN" w:bidi="ar"/>
        </w:rPr>
        <w:t>海绵城市建设示范城市项目</w:t>
      </w:r>
      <w:r>
        <w:rPr>
          <w:rFonts w:hint="eastAsia" w:ascii="Times New Roman" w:hAnsi="Times New Roman" w:cs="Times New Roman"/>
          <w:color w:val="auto"/>
          <w:sz w:val="32"/>
          <w:szCs w:val="32"/>
          <w:highlight w:val="none"/>
          <w:lang w:val="en-US" w:eastAsia="zh-CN" w:bidi="ar"/>
        </w:rPr>
        <w:t>具体情况分别设置，详见附件</w:t>
      </w:r>
      <w:r>
        <w:rPr>
          <w:rFonts w:hint="eastAsia" w:cs="Times New Roman"/>
          <w:color w:val="auto"/>
          <w:sz w:val="32"/>
          <w:szCs w:val="32"/>
          <w:highlight w:val="none"/>
          <w:lang w:val="en-US" w:eastAsia="zh-CN" w:bidi="ar"/>
        </w:rPr>
        <w:t>3、4、5</w:t>
      </w:r>
      <w:r>
        <w:rPr>
          <w:rFonts w:hint="eastAsia" w:ascii="Times New Roman" w:hAnsi="Times New Roman" w:cs="Times New Roman"/>
          <w:color w:val="auto"/>
          <w:sz w:val="32"/>
          <w:szCs w:val="32"/>
          <w:highlight w:val="none"/>
          <w:lang w:val="en-US" w:eastAsia="zh-CN" w:bidi="ar"/>
        </w:rPr>
        <w:t>。</w:t>
      </w:r>
      <w:bookmarkEnd w:id="19"/>
    </w:p>
    <w:p w14:paraId="26D9BE56">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23" w:name="_Toc7555"/>
      <w:r>
        <w:rPr>
          <w:rFonts w:hint="eastAsia" w:ascii="Times New Roman" w:hAnsi="Times New Roman" w:eastAsia="黑体" w:cs="Times New Roman"/>
          <w:b w:val="0"/>
          <w:bCs w:val="0"/>
          <w:color w:val="auto"/>
          <w:kern w:val="0"/>
          <w:sz w:val="32"/>
          <w:szCs w:val="32"/>
          <w:highlight w:val="none"/>
          <w:lang w:val="en-US" w:eastAsia="zh-CN"/>
        </w:rPr>
        <w:t>二、绩效自评工作组织情况</w:t>
      </w:r>
      <w:bookmarkEnd w:id="20"/>
      <w:bookmarkEnd w:id="21"/>
      <w:bookmarkEnd w:id="22"/>
      <w:bookmarkEnd w:id="23"/>
      <w:bookmarkStart w:id="24" w:name="_Toc15256"/>
      <w:bookmarkStart w:id="25" w:name="_Toc13161"/>
      <w:bookmarkStart w:id="26" w:name="_Toc9908"/>
    </w:p>
    <w:p w14:paraId="61E2CC2A">
      <w:pPr>
        <w:pStyle w:val="15"/>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bidi="ar"/>
        </w:rPr>
        <w:t>根据</w:t>
      </w:r>
      <w:r>
        <w:rPr>
          <w:rFonts w:hint="eastAsia" w:ascii="Times New Roman" w:hAnsi="Times New Roman" w:eastAsia="仿宋_GB2312" w:cs="仿宋_GB2312"/>
          <w:color w:val="auto"/>
          <w:sz w:val="32"/>
          <w:szCs w:val="32"/>
          <w:highlight w:val="none"/>
          <w:lang w:bidi="ar"/>
        </w:rPr>
        <w:t>《广东省财政厅关于做好2023年省级财政重点绩效评价工作的预通知</w:t>
      </w:r>
      <w:r>
        <w:rPr>
          <w:rFonts w:hint="eastAsia" w:ascii="Times New Roman" w:hAnsi="Times New Roman"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（粤财绩便〔2023〕2号）</w:t>
      </w:r>
      <w:r>
        <w:rPr>
          <w:rFonts w:hint="eastAsia" w:ascii="Times New Roman" w:hAnsi="Times New Roman" w:eastAsia="仿宋_GB2312" w:cs="仿宋_GB2312"/>
          <w:color w:val="auto"/>
          <w:kern w:val="0"/>
          <w:sz w:val="32"/>
          <w:szCs w:val="32"/>
          <w:highlight w:val="none"/>
          <w:lang w:val="en-US" w:eastAsia="zh-CN" w:bidi="ar"/>
        </w:rPr>
        <w:t>，我厅印发《广东省住房和城乡建设厅关于做好2022年打好污染防治攻坚战专项资金（污染防治-城市水环境治理）绩效评价工作的通知》布置绩效自评工作，要求有关地市主管部门要高度重视，加强对县（市、区）的指导督导，严格按照要求落实相关工作内容，对资金使用情况开展绩效自评工作。有关地市按要求开展绩效自评，提交了自评报告、绩效目标自评表及佐证材料。根据对各地市自评材料的审核分析汇总情况，综合形成了本项目绩效自评报告。</w:t>
      </w:r>
    </w:p>
    <w:bookmarkEnd w:id="24"/>
    <w:bookmarkEnd w:id="25"/>
    <w:bookmarkEnd w:id="26"/>
    <w:p w14:paraId="1BB957D1">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27" w:name="_Toc7286"/>
      <w:r>
        <w:rPr>
          <w:rFonts w:hint="eastAsia" w:ascii="Times New Roman" w:hAnsi="Times New Roman" w:eastAsia="黑体" w:cs="Times New Roman"/>
          <w:b w:val="0"/>
          <w:bCs w:val="0"/>
          <w:color w:val="auto"/>
          <w:kern w:val="0"/>
          <w:sz w:val="32"/>
          <w:szCs w:val="32"/>
          <w:highlight w:val="none"/>
          <w:lang w:val="en-US" w:eastAsia="zh-CN"/>
        </w:rPr>
        <w:t>三、绩效自评结论</w:t>
      </w:r>
      <w:bookmarkEnd w:id="27"/>
    </w:p>
    <w:p w14:paraId="3A590DA6">
      <w:pPr>
        <w:pStyle w:val="11"/>
        <w:widowControl/>
        <w:spacing w:line="360" w:lineRule="auto"/>
        <w:ind w:left="0" w:leftChars="0"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Calibri"/>
          <w:color w:val="auto"/>
          <w:sz w:val="32"/>
          <w:highlight w:val="none"/>
        </w:rPr>
        <w:t>综合</w:t>
      </w:r>
      <w:r>
        <w:rPr>
          <w:rFonts w:hint="eastAsia" w:ascii="Times New Roman" w:hAnsi="Times New Roman" w:cs="Calibri"/>
          <w:color w:val="auto"/>
          <w:sz w:val="32"/>
          <w:highlight w:val="none"/>
          <w:lang w:eastAsia="zh-CN"/>
        </w:rPr>
        <w:t>各</w:t>
      </w:r>
      <w:r>
        <w:rPr>
          <w:rFonts w:hint="eastAsia" w:ascii="Times New Roman" w:hAnsi="Times New Roman" w:eastAsia="仿宋_GB2312" w:cs="仿宋_GB2312"/>
          <w:color w:val="auto"/>
          <w:sz w:val="32"/>
          <w:szCs w:val="32"/>
          <w:highlight w:val="none"/>
        </w:rPr>
        <w:t>地市项目实施单位</w:t>
      </w:r>
      <w:r>
        <w:rPr>
          <w:rFonts w:hint="eastAsia" w:ascii="Times New Roman" w:hAnsi="Times New Roman" w:eastAsia="仿宋_GB2312" w:cs="Calibri"/>
          <w:color w:val="auto"/>
          <w:sz w:val="32"/>
          <w:highlight w:val="none"/>
        </w:rPr>
        <w:t>自评材料的审核分析结果，依据</w:t>
      </w:r>
      <w:r>
        <w:rPr>
          <w:rFonts w:hint="eastAsia" w:ascii="Times New Roman" w:hAnsi="Times New Roman" w:eastAsia="仿宋_GB2312" w:cs="仿宋_GB2312"/>
          <w:color w:val="auto"/>
          <w:sz w:val="32"/>
          <w:szCs w:val="32"/>
          <w:highlight w:val="none"/>
        </w:rPr>
        <w:t>省财政厅</w:t>
      </w:r>
      <w:r>
        <w:rPr>
          <w:rFonts w:hint="eastAsia" w:ascii="Times New Roman" w:hAnsi="Times New Roman" w:eastAsia="仿宋_GB2312" w:cs="Calibri"/>
          <w:color w:val="auto"/>
          <w:sz w:val="32"/>
          <w:highlight w:val="none"/>
        </w:rPr>
        <w:t>既定的评价指标体系和评分标准，我厅</w:t>
      </w:r>
      <w:r>
        <w:rPr>
          <w:rFonts w:hint="eastAsia" w:ascii="Times New Roman" w:hAnsi="Times New Roman" w:eastAsia="仿宋_GB2312" w:cs="仿宋_GB2312"/>
          <w:color w:val="auto"/>
          <w:sz w:val="32"/>
          <w:szCs w:val="32"/>
          <w:highlight w:val="none"/>
        </w:rPr>
        <w:t>对</w:t>
      </w:r>
      <w:r>
        <w:rPr>
          <w:rFonts w:hint="eastAsia" w:ascii="Times New Roman" w:hAnsi="Times New Roman" w:cs="仿宋_GB2312"/>
          <w:color w:val="auto"/>
          <w:kern w:val="0"/>
          <w:sz w:val="32"/>
          <w:szCs w:val="32"/>
          <w:highlight w:val="none"/>
          <w:lang w:bidi="ar"/>
        </w:rPr>
        <w:t>2</w:t>
      </w:r>
      <w:r>
        <w:rPr>
          <w:rFonts w:hint="eastAsia" w:ascii="Times New Roman" w:hAnsi="Times New Roman" w:eastAsia="仿宋_GB2312" w:cs="仿宋_GB2312"/>
          <w:color w:val="auto"/>
          <w:kern w:val="0"/>
          <w:sz w:val="32"/>
          <w:szCs w:val="32"/>
          <w:highlight w:val="none"/>
          <w:lang w:bidi="ar"/>
        </w:rPr>
        <w:t>02</w:t>
      </w:r>
      <w:r>
        <w:rPr>
          <w:rFonts w:hint="eastAsia" w:ascii="Times New Roman" w:hAnsi="Times New Roman" w:cs="仿宋_GB2312"/>
          <w:color w:val="auto"/>
          <w:kern w:val="0"/>
          <w:sz w:val="32"/>
          <w:szCs w:val="32"/>
          <w:highlight w:val="none"/>
          <w:lang w:val="en-US" w:eastAsia="zh-CN" w:bidi="ar"/>
        </w:rPr>
        <w:t>2</w:t>
      </w:r>
      <w:r>
        <w:rPr>
          <w:rFonts w:hint="eastAsia" w:ascii="Times New Roman" w:hAnsi="Times New Roman" w:eastAsia="仿宋_GB2312" w:cs="仿宋_GB2312"/>
          <w:color w:val="auto"/>
          <w:kern w:val="0"/>
          <w:sz w:val="32"/>
          <w:szCs w:val="32"/>
          <w:highlight w:val="none"/>
          <w:lang w:bidi="ar"/>
        </w:rPr>
        <w:t>年</w:t>
      </w:r>
      <w:r>
        <w:rPr>
          <w:rFonts w:hint="eastAsia" w:ascii="Times New Roman" w:hAnsi="Times New Roman" w:cs="仿宋_GB2312"/>
          <w:color w:val="auto"/>
          <w:kern w:val="0"/>
          <w:sz w:val="32"/>
          <w:szCs w:val="32"/>
          <w:highlight w:val="none"/>
          <w:lang w:val="en-US" w:eastAsia="zh-CN" w:bidi="ar"/>
        </w:rPr>
        <w:t>广东省城市水环境治理</w:t>
      </w:r>
      <w:r>
        <w:rPr>
          <w:rFonts w:hint="eastAsia" w:ascii="Times New Roman" w:hAnsi="Times New Roman" w:eastAsia="仿宋_GB2312" w:cs="仿宋_GB2312"/>
          <w:color w:val="auto"/>
          <w:kern w:val="0"/>
          <w:sz w:val="32"/>
          <w:szCs w:val="32"/>
          <w:highlight w:val="none"/>
          <w:lang w:bidi="ar"/>
        </w:rPr>
        <w:t>项目资金</w:t>
      </w:r>
      <w:r>
        <w:rPr>
          <w:rFonts w:hint="eastAsia" w:ascii="Times New Roman" w:hAnsi="Times New Roman" w:eastAsia="仿宋_GB2312" w:cs="仿宋_GB2312"/>
          <w:color w:val="auto"/>
          <w:sz w:val="32"/>
          <w:szCs w:val="32"/>
          <w:highlight w:val="none"/>
        </w:rPr>
        <w:t>从决策、过程、产出和效益等四个维度进行绩效自评</w:t>
      </w:r>
      <w:r>
        <w:rPr>
          <w:rFonts w:hint="eastAsia" w:cs="仿宋_GB2312"/>
          <w:color w:val="auto"/>
          <w:sz w:val="32"/>
          <w:szCs w:val="32"/>
          <w:highlight w:val="none"/>
          <w:lang w:eastAsia="zh-CN"/>
        </w:rPr>
        <w:t>，</w:t>
      </w:r>
      <w:r>
        <w:rPr>
          <w:rFonts w:hint="eastAsia" w:ascii="Times New Roman" w:hAnsi="Times New Roman" w:eastAsia="仿宋_GB2312" w:cs="Calibri"/>
          <w:color w:val="auto"/>
          <w:sz w:val="32"/>
          <w:highlight w:val="none"/>
        </w:rPr>
        <w:t>综合评定</w:t>
      </w:r>
      <w:r>
        <w:rPr>
          <w:rFonts w:hint="eastAsia" w:ascii="Times New Roman" w:hAnsi="Times New Roman" w:eastAsia="仿宋_GB2312" w:cs="仿宋_GB2312"/>
          <w:color w:val="auto"/>
          <w:sz w:val="32"/>
          <w:szCs w:val="32"/>
          <w:highlight w:val="none"/>
        </w:rPr>
        <w:t>绩效自评得分为</w:t>
      </w:r>
      <w:r>
        <w:rPr>
          <w:rFonts w:hint="eastAsia" w:ascii="Times New Roman" w:hAnsi="Times New Roman" w:eastAsia="仿宋_GB2312" w:cs="仿宋_GB2312"/>
          <w:color w:val="auto"/>
          <w:sz w:val="32"/>
          <w:szCs w:val="32"/>
          <w:highlight w:val="none"/>
          <w:lang w:val="en-US" w:eastAsia="zh-CN"/>
        </w:rPr>
        <w:t>97.</w:t>
      </w:r>
      <w:r>
        <w:rPr>
          <w:rFonts w:hint="eastAsia" w:ascii="Times New Roman" w:hAnsi="Times New Roman" w:cs="仿宋_GB2312"/>
          <w:color w:val="auto"/>
          <w:sz w:val="32"/>
          <w:szCs w:val="32"/>
          <w:highlight w:val="none"/>
          <w:lang w:val="en-US" w:eastAsia="zh-CN"/>
        </w:rPr>
        <w:t>50</w:t>
      </w:r>
      <w:r>
        <w:rPr>
          <w:rFonts w:hint="eastAsia" w:ascii="Times New Roman" w:hAnsi="Times New Roman" w:eastAsia="仿宋_GB2312" w:cs="仿宋_GB2312"/>
          <w:color w:val="auto"/>
          <w:sz w:val="32"/>
          <w:szCs w:val="32"/>
          <w:highlight w:val="none"/>
        </w:rPr>
        <w:t>，绩效等级为“</w:t>
      </w:r>
      <w:r>
        <w:rPr>
          <w:rFonts w:hint="eastAsia" w:ascii="Times New Roman" w:hAnsi="Times New Roman" w:cs="仿宋_GB2312"/>
          <w:color w:val="auto"/>
          <w:sz w:val="32"/>
          <w:szCs w:val="32"/>
          <w:highlight w:val="none"/>
          <w:lang w:val="en-US" w:eastAsia="zh-CN"/>
        </w:rPr>
        <w:t>优</w:t>
      </w:r>
      <w:r>
        <w:rPr>
          <w:rFonts w:hint="eastAsia" w:ascii="Times New Roman" w:hAnsi="Times New Roman" w:eastAsia="仿宋_GB2312" w:cs="仿宋_GB2312"/>
          <w:color w:val="auto"/>
          <w:sz w:val="32"/>
          <w:szCs w:val="32"/>
          <w:highlight w:val="none"/>
        </w:rPr>
        <w:t>”，专项资金一级指标得分情况见表</w:t>
      </w:r>
      <w:r>
        <w:rPr>
          <w:rFonts w:hint="eastAsia" w:ascii="Times New Roman" w:hAnsi="Times New Roman"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-1，各级评价指标得分情况见2022城市水环境治理资金项目绩效自评指标评分表。</w:t>
      </w:r>
    </w:p>
    <w:p w14:paraId="50987FFC">
      <w:pPr>
        <w:spacing w:before="156" w:beforeLines="50"/>
        <w:jc w:val="center"/>
        <w:rPr>
          <w:rFonts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表</w:t>
      </w:r>
      <w:r>
        <w:rPr>
          <w:rFonts w:hint="eastAsia" w:ascii="Times New Roman" w:hAnsi="Times New Roman" w:eastAsia="黑体" w:cs="黑体"/>
          <w:color w:val="auto"/>
          <w:sz w:val="28"/>
          <w:szCs w:val="28"/>
          <w:highlight w:val="none"/>
          <w:lang w:val="en-US" w:eastAsia="zh-CN"/>
        </w:rPr>
        <w:t>3</w:t>
      </w:r>
      <w:r>
        <w:rPr>
          <w:rFonts w:hint="eastAsia" w:ascii="Times New Roman" w:hAnsi="Times New Roman" w:eastAsia="黑体" w:cs="黑体"/>
          <w:color w:val="auto"/>
          <w:sz w:val="28"/>
          <w:szCs w:val="28"/>
          <w:highlight w:val="none"/>
        </w:rPr>
        <w:t xml:space="preserve">-1 </w:t>
      </w:r>
      <w:r>
        <w:rPr>
          <w:rFonts w:hint="eastAsia" w:ascii="Times New Roman" w:hAnsi="Times New Roman" w:eastAsia="黑体"/>
          <w:color w:val="auto"/>
          <w:sz w:val="28"/>
          <w:szCs w:val="28"/>
          <w:highlight w:val="none"/>
        </w:rPr>
        <w:t>一级指标评价得分情况表</w:t>
      </w:r>
    </w:p>
    <w:tbl>
      <w:tblPr>
        <w:tblStyle w:val="13"/>
        <w:tblW w:w="8618" w:type="dxa"/>
        <w:tblInd w:w="0" w:type="dxa"/>
        <w:tblLayout w:type="fixed"/>
        <w:tblCellMar>
          <w:top w:w="0" w:type="dxa"/>
          <w:left w:w="108" w:type="dxa"/>
          <w:bottom w:w="0" w:type="dxa"/>
          <w:right w:w="108" w:type="dxa"/>
        </w:tblCellMar>
      </w:tblPr>
      <w:tblGrid>
        <w:gridCol w:w="1854"/>
        <w:gridCol w:w="2406"/>
        <w:gridCol w:w="2171"/>
        <w:gridCol w:w="2187"/>
      </w:tblGrid>
      <w:tr w14:paraId="0A720DD0">
        <w:tblPrEx>
          <w:tblCellMar>
            <w:top w:w="0" w:type="dxa"/>
            <w:left w:w="108" w:type="dxa"/>
            <w:bottom w:w="0" w:type="dxa"/>
            <w:right w:w="108" w:type="dxa"/>
          </w:tblCellMar>
        </w:tblPrEx>
        <w:trPr>
          <w:trHeight w:val="361" w:hRule="atLeast"/>
          <w:tblHeader/>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E923">
            <w:pPr>
              <w:widowControl/>
              <w:jc w:val="center"/>
              <w:textAlignment w:val="center"/>
              <w:rPr>
                <w:rFonts w:ascii="Times New Roman" w:hAnsi="Times New Roman" w:cs="仿宋_GB2312"/>
                <w:b/>
                <w:bCs/>
                <w:color w:val="auto"/>
                <w:kern w:val="0"/>
                <w:sz w:val="24"/>
                <w:highlight w:val="none"/>
                <w:lang w:bidi="ar"/>
              </w:rPr>
            </w:pPr>
            <w:r>
              <w:rPr>
                <w:rFonts w:hint="eastAsia" w:ascii="Times New Roman" w:hAnsi="Times New Roman" w:cs="仿宋_GB2312"/>
                <w:b/>
                <w:bCs/>
                <w:color w:val="auto"/>
                <w:kern w:val="0"/>
                <w:sz w:val="24"/>
                <w:highlight w:val="none"/>
                <w:lang w:bidi="ar"/>
              </w:rPr>
              <w:t>一级指标</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6E1">
            <w:pPr>
              <w:widowControl/>
              <w:jc w:val="center"/>
              <w:textAlignment w:val="center"/>
              <w:rPr>
                <w:rFonts w:ascii="Times New Roman" w:hAnsi="Times New Roman" w:cs="仿宋_GB2312"/>
                <w:b/>
                <w:bCs/>
                <w:color w:val="auto"/>
                <w:kern w:val="0"/>
                <w:sz w:val="24"/>
                <w:highlight w:val="none"/>
                <w:lang w:bidi="ar"/>
              </w:rPr>
            </w:pPr>
            <w:r>
              <w:rPr>
                <w:rFonts w:hint="eastAsia" w:ascii="Times New Roman" w:hAnsi="Times New Roman" w:cs="仿宋_GB2312"/>
                <w:b/>
                <w:bCs/>
                <w:color w:val="auto"/>
                <w:kern w:val="0"/>
                <w:sz w:val="24"/>
                <w:highlight w:val="none"/>
                <w:lang w:bidi="ar"/>
              </w:rPr>
              <w:t>指标</w:t>
            </w:r>
            <w:r>
              <w:rPr>
                <w:rFonts w:hint="eastAsia" w:ascii="Times New Roman" w:hAnsi="Times New Roman" w:cs="仿宋_GB2312"/>
                <w:b/>
                <w:bCs/>
                <w:color w:val="auto"/>
                <w:kern w:val="0"/>
                <w:sz w:val="24"/>
                <w:highlight w:val="none"/>
                <w:lang w:eastAsia="zh-CN" w:bidi="ar"/>
              </w:rPr>
              <w:t>分值</w:t>
            </w:r>
            <w:r>
              <w:rPr>
                <w:rFonts w:hint="eastAsia" w:ascii="Times New Roman" w:hAnsi="Times New Roman" w:cs="仿宋_GB2312"/>
                <w:b/>
                <w:bCs/>
                <w:color w:val="auto"/>
                <w:kern w:val="0"/>
                <w:sz w:val="24"/>
                <w:highlight w:val="none"/>
                <w:lang w:bidi="ar"/>
              </w:rPr>
              <w:t>（%）</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3749">
            <w:pPr>
              <w:widowControl/>
              <w:jc w:val="center"/>
              <w:textAlignment w:val="center"/>
              <w:rPr>
                <w:rFonts w:ascii="Times New Roman" w:hAnsi="Times New Roman" w:cs="仿宋_GB2312"/>
                <w:b/>
                <w:bCs/>
                <w:color w:val="auto"/>
                <w:kern w:val="0"/>
                <w:sz w:val="24"/>
                <w:highlight w:val="none"/>
                <w:lang w:bidi="ar"/>
              </w:rPr>
            </w:pPr>
            <w:r>
              <w:rPr>
                <w:rFonts w:hint="eastAsia" w:ascii="Times New Roman" w:hAnsi="Times New Roman" w:cs="仿宋_GB2312"/>
                <w:b/>
                <w:bCs/>
                <w:color w:val="auto"/>
                <w:kern w:val="0"/>
                <w:sz w:val="24"/>
                <w:highlight w:val="none"/>
                <w:lang w:bidi="ar"/>
              </w:rPr>
              <w:t>指标得分</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9A14">
            <w:pPr>
              <w:widowControl/>
              <w:jc w:val="center"/>
              <w:textAlignment w:val="center"/>
              <w:rPr>
                <w:rFonts w:ascii="Times New Roman" w:hAnsi="Times New Roman" w:cs="仿宋_GB2312"/>
                <w:b/>
                <w:bCs/>
                <w:color w:val="auto"/>
                <w:kern w:val="0"/>
                <w:sz w:val="24"/>
                <w:highlight w:val="none"/>
                <w:lang w:bidi="ar"/>
              </w:rPr>
            </w:pPr>
            <w:r>
              <w:rPr>
                <w:rFonts w:hint="eastAsia" w:ascii="Times New Roman" w:hAnsi="Times New Roman" w:cs="仿宋_GB2312"/>
                <w:b/>
                <w:bCs/>
                <w:color w:val="auto"/>
                <w:kern w:val="0"/>
                <w:sz w:val="24"/>
                <w:highlight w:val="none"/>
                <w:lang w:bidi="ar"/>
              </w:rPr>
              <w:t>得分率（%）</w:t>
            </w:r>
          </w:p>
        </w:tc>
      </w:tr>
      <w:tr w14:paraId="3DBD3C08">
        <w:tblPrEx>
          <w:tblCellMar>
            <w:top w:w="0" w:type="dxa"/>
            <w:left w:w="108" w:type="dxa"/>
            <w:bottom w:w="0" w:type="dxa"/>
            <w:right w:w="108" w:type="dxa"/>
          </w:tblCellMar>
        </w:tblPrEx>
        <w:trPr>
          <w:trHeight w:val="361"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918A">
            <w:pPr>
              <w:widowControl/>
              <w:jc w:val="center"/>
              <w:textAlignment w:val="center"/>
              <w:rPr>
                <w:rFonts w:hint="eastAsia" w:ascii="Times New Roman" w:hAnsi="Times New Roman" w:eastAsia="仿宋_GB2312" w:cs="仿宋_GB2312"/>
                <w:b/>
                <w:bCs/>
                <w:color w:val="auto"/>
                <w:kern w:val="0"/>
                <w:sz w:val="24"/>
                <w:highlight w:val="none"/>
                <w:lang w:val="en-US" w:eastAsia="zh-CN" w:bidi="ar"/>
              </w:rPr>
            </w:pPr>
            <w:r>
              <w:rPr>
                <w:rFonts w:hint="eastAsia" w:ascii="Times New Roman" w:hAnsi="Times New Roman" w:cs="仿宋_GB2312"/>
                <w:b/>
                <w:bCs/>
                <w:color w:val="auto"/>
                <w:kern w:val="0"/>
                <w:sz w:val="24"/>
                <w:highlight w:val="none"/>
                <w:lang w:val="en-US" w:eastAsia="zh-CN" w:bidi="ar"/>
              </w:rPr>
              <w:t>总得分</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CABE">
            <w:pPr>
              <w:widowControl/>
              <w:jc w:val="center"/>
              <w:textAlignment w:val="center"/>
              <w:rPr>
                <w:rFonts w:hint="default" w:ascii="Times New Roman" w:hAnsi="Times New Roman" w:eastAsia="仿宋_GB2312" w:cs="仿宋_GB2312"/>
                <w:b/>
                <w:bCs/>
                <w:color w:val="auto"/>
                <w:kern w:val="0"/>
                <w:sz w:val="24"/>
                <w:highlight w:val="none"/>
                <w:lang w:val="en-US" w:eastAsia="zh-CN" w:bidi="ar"/>
              </w:rPr>
            </w:pPr>
            <w:r>
              <w:rPr>
                <w:rFonts w:hint="eastAsia" w:ascii="Times New Roman" w:hAnsi="Times New Roman" w:cs="仿宋_GB2312"/>
                <w:b/>
                <w:bCs/>
                <w:color w:val="auto"/>
                <w:kern w:val="0"/>
                <w:sz w:val="24"/>
                <w:highlight w:val="none"/>
                <w:lang w:val="en-US" w:eastAsia="zh-CN" w:bidi="ar"/>
              </w:rPr>
              <w:t>100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E08C">
            <w:pPr>
              <w:widowControl/>
              <w:jc w:val="center"/>
              <w:textAlignment w:val="center"/>
              <w:rPr>
                <w:rFonts w:hint="default" w:ascii="Times New Roman" w:hAnsi="Times New Roman" w:eastAsia="仿宋_GB2312" w:cs="仿宋_GB2312"/>
                <w:b/>
                <w:bCs/>
                <w:color w:val="auto"/>
                <w:kern w:val="0"/>
                <w:sz w:val="24"/>
                <w:highlight w:val="none"/>
                <w:lang w:val="en-US" w:eastAsia="zh-CN" w:bidi="ar"/>
              </w:rPr>
            </w:pPr>
            <w:r>
              <w:rPr>
                <w:rFonts w:hint="eastAsia" w:ascii="Times New Roman" w:hAnsi="Times New Roman" w:cs="仿宋_GB2312"/>
                <w:b/>
                <w:bCs/>
                <w:color w:val="auto"/>
                <w:kern w:val="0"/>
                <w:sz w:val="24"/>
                <w:highlight w:val="none"/>
                <w:lang w:val="en-US" w:eastAsia="zh-CN" w:bidi="ar"/>
              </w:rPr>
              <w:t>97.50</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94A7">
            <w:pPr>
              <w:widowControl/>
              <w:jc w:val="center"/>
              <w:textAlignment w:val="center"/>
              <w:rPr>
                <w:rFonts w:hint="default" w:ascii="Times New Roman" w:hAnsi="Times New Roman" w:cs="仿宋_GB2312"/>
                <w:b/>
                <w:bCs/>
                <w:color w:val="auto"/>
                <w:kern w:val="0"/>
                <w:sz w:val="24"/>
                <w:highlight w:val="none"/>
                <w:lang w:val="en-US" w:bidi="ar"/>
              </w:rPr>
            </w:pPr>
            <w:r>
              <w:rPr>
                <w:rFonts w:hint="eastAsia" w:ascii="Times New Roman" w:hAnsi="Times New Roman" w:cs="仿宋_GB2312"/>
                <w:b/>
                <w:bCs/>
                <w:color w:val="auto"/>
                <w:kern w:val="0"/>
                <w:sz w:val="24"/>
                <w:highlight w:val="none"/>
                <w:lang w:val="en-US" w:eastAsia="zh-CN" w:bidi="ar"/>
              </w:rPr>
              <w:t>97.50</w:t>
            </w:r>
          </w:p>
        </w:tc>
      </w:tr>
      <w:tr w14:paraId="22979552">
        <w:tblPrEx>
          <w:tblCellMar>
            <w:top w:w="0" w:type="dxa"/>
            <w:left w:w="108" w:type="dxa"/>
            <w:bottom w:w="0" w:type="dxa"/>
            <w:right w:w="108" w:type="dxa"/>
          </w:tblCellMar>
        </w:tblPrEx>
        <w:trPr>
          <w:trHeight w:val="361"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04B9">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决策</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7B96">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20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1D2D">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20</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79B1">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100</w:t>
            </w:r>
          </w:p>
        </w:tc>
      </w:tr>
      <w:tr w14:paraId="5042CD31">
        <w:tblPrEx>
          <w:tblCellMar>
            <w:top w:w="0" w:type="dxa"/>
            <w:left w:w="108" w:type="dxa"/>
            <w:bottom w:w="0" w:type="dxa"/>
            <w:right w:w="108" w:type="dxa"/>
          </w:tblCellMar>
        </w:tblPrEx>
        <w:trPr>
          <w:trHeight w:val="361"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4674">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过程</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1D9">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20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D84">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17.73</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089">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88.65</w:t>
            </w:r>
          </w:p>
        </w:tc>
      </w:tr>
      <w:tr w14:paraId="04F611FE">
        <w:tblPrEx>
          <w:tblCellMar>
            <w:top w:w="0" w:type="dxa"/>
            <w:left w:w="108" w:type="dxa"/>
            <w:bottom w:w="0" w:type="dxa"/>
            <w:right w:w="108" w:type="dxa"/>
          </w:tblCellMar>
        </w:tblPrEx>
        <w:trPr>
          <w:trHeight w:val="361"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4BBB">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产出</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1A7F">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30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879B">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30</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9F81">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100</w:t>
            </w:r>
          </w:p>
        </w:tc>
      </w:tr>
      <w:tr w14:paraId="69CB736F">
        <w:tblPrEx>
          <w:tblCellMar>
            <w:top w:w="0" w:type="dxa"/>
            <w:left w:w="108" w:type="dxa"/>
            <w:bottom w:w="0" w:type="dxa"/>
            <w:right w:w="108" w:type="dxa"/>
          </w:tblCellMar>
        </w:tblPrEx>
        <w:trPr>
          <w:trHeight w:val="373"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CD42">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效益</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C47">
            <w:pPr>
              <w:widowControl/>
              <w:jc w:val="center"/>
              <w:textAlignment w:val="center"/>
              <w:rPr>
                <w:rFonts w:ascii="Times New Roman" w:hAnsi="Times New Roman" w:cs="仿宋_GB2312"/>
                <w:color w:val="auto"/>
                <w:kern w:val="0"/>
                <w:sz w:val="24"/>
                <w:highlight w:val="none"/>
                <w:lang w:bidi="ar"/>
              </w:rPr>
            </w:pPr>
            <w:r>
              <w:rPr>
                <w:rFonts w:hint="eastAsia" w:ascii="Times New Roman" w:hAnsi="Times New Roman" w:cs="仿宋_GB2312"/>
                <w:color w:val="auto"/>
                <w:kern w:val="0"/>
                <w:sz w:val="24"/>
                <w:highlight w:val="none"/>
                <w:lang w:bidi="ar"/>
              </w:rPr>
              <w:t>30</w:t>
            </w: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7979">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29.77</w:t>
            </w:r>
          </w:p>
        </w:tc>
        <w:tc>
          <w:tcPr>
            <w:tcW w:w="2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08DC">
            <w:pPr>
              <w:widowControl/>
              <w:jc w:val="center"/>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cs="仿宋_GB2312"/>
                <w:color w:val="auto"/>
                <w:kern w:val="0"/>
                <w:sz w:val="24"/>
                <w:highlight w:val="none"/>
                <w:lang w:val="en-US" w:eastAsia="zh-CN" w:bidi="ar"/>
              </w:rPr>
              <w:t>99.23</w:t>
            </w:r>
          </w:p>
        </w:tc>
      </w:tr>
    </w:tbl>
    <w:p w14:paraId="6D7266DD">
      <w:pPr>
        <w:pStyle w:val="15"/>
        <w:ind w:left="0" w:leftChars="0" w:firstLine="0" w:firstLineChars="0"/>
        <w:rPr>
          <w:rFonts w:hint="eastAsia" w:ascii="Times New Roman" w:hAnsi="Times New Roman"/>
          <w:color w:val="auto"/>
          <w:highlight w:val="none"/>
          <w:lang w:val="en-US" w:eastAsia="zh-CN"/>
        </w:rPr>
      </w:pPr>
    </w:p>
    <w:p w14:paraId="187699DE">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28" w:name="_Toc7813"/>
      <w:bookmarkStart w:id="29" w:name="_Toc1426"/>
      <w:bookmarkStart w:id="30" w:name="_Toc453_WPSOffice_Level3"/>
      <w:bookmarkStart w:id="31" w:name="_Toc12570"/>
      <w:bookmarkStart w:id="32" w:name="_Toc1940"/>
      <w:bookmarkStart w:id="33" w:name="_Toc512491960"/>
      <w:r>
        <w:rPr>
          <w:rFonts w:hint="eastAsia" w:ascii="Times New Roman" w:hAnsi="Times New Roman" w:eastAsia="黑体" w:cs="Times New Roman"/>
          <w:b w:val="0"/>
          <w:bCs w:val="0"/>
          <w:color w:val="auto"/>
          <w:kern w:val="0"/>
          <w:sz w:val="32"/>
          <w:szCs w:val="32"/>
          <w:highlight w:val="none"/>
          <w:lang w:val="en-US" w:eastAsia="zh-CN"/>
        </w:rPr>
        <w:t>四、绩效指标分析</w:t>
      </w:r>
      <w:bookmarkEnd w:id="28"/>
    </w:p>
    <w:bookmarkEnd w:id="29"/>
    <w:bookmarkEnd w:id="30"/>
    <w:bookmarkEnd w:id="31"/>
    <w:bookmarkEnd w:id="32"/>
    <w:p w14:paraId="0B069387">
      <w:pPr>
        <w:keepNext/>
        <w:keepLines/>
        <w:snapToGrid w:val="0"/>
        <w:spacing w:line="360" w:lineRule="auto"/>
        <w:ind w:firstLine="643" w:firstLineChars="200"/>
        <w:outlineLvl w:val="1"/>
        <w:rPr>
          <w:rFonts w:ascii="Times New Roman" w:hAnsi="Times New Roman" w:eastAsia="楷体_GB2312" w:cs="仿宋"/>
          <w:b/>
          <w:bCs/>
          <w:color w:val="auto"/>
          <w:kern w:val="0"/>
          <w:sz w:val="32"/>
          <w:szCs w:val="32"/>
          <w:highlight w:val="none"/>
        </w:rPr>
      </w:pPr>
      <w:bookmarkStart w:id="34" w:name="_Toc13909"/>
      <w:bookmarkStart w:id="35" w:name="_Toc104847458"/>
      <w:r>
        <w:rPr>
          <w:rFonts w:hint="eastAsia" w:ascii="Times New Roman" w:hAnsi="Times New Roman" w:eastAsia="楷体_GB2312" w:cs="仿宋"/>
          <w:b/>
          <w:bCs/>
          <w:color w:val="auto"/>
          <w:kern w:val="0"/>
          <w:sz w:val="32"/>
          <w:szCs w:val="32"/>
          <w:highlight w:val="none"/>
        </w:rPr>
        <w:t>（一）决策分析</w:t>
      </w:r>
      <w:bookmarkEnd w:id="34"/>
      <w:bookmarkEnd w:id="35"/>
    </w:p>
    <w:p w14:paraId="1A38B4DA">
      <w:pPr>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该指标主要从项目立项和资金落实两个方面考核项目论证的充分性，绩效目标的完整性、合理性和可衡量性，制度和计划上的保障措施，以及资金投向的合理性和可行性。指标分值20分，评价得分20分，得分率为100%。</w:t>
      </w:r>
    </w:p>
    <w:p w14:paraId="44A7C8C3">
      <w:pPr>
        <w:pageBreakBefore w:val="0"/>
        <w:widowControl/>
        <w:kinsoku/>
        <w:wordWrap/>
        <w:overflowPunct/>
        <w:topLinePunct w:val="0"/>
        <w:bidi w:val="0"/>
        <w:spacing w:before="0" w:after="0" w:line="360" w:lineRule="auto"/>
        <w:ind w:firstLine="643" w:firstLineChars="200"/>
        <w:jc w:val="both"/>
        <w:outlineLvl w:val="2"/>
        <w:rPr>
          <w:rFonts w:hint="eastAsia" w:ascii="Times New Roman" w:hAnsi="Times New Roman" w:eastAsia="仿宋_GB2312" w:cs="仿宋_GB2312"/>
          <w:color w:val="auto"/>
          <w:sz w:val="32"/>
          <w:szCs w:val="32"/>
          <w:highlight w:val="none"/>
          <w:lang w:val="en-US" w:eastAsia="zh-CN"/>
        </w:rPr>
      </w:pPr>
      <w:bookmarkStart w:id="36" w:name="_Toc1251"/>
      <w:bookmarkStart w:id="37" w:name="_Toc21405"/>
      <w:r>
        <w:rPr>
          <w:rFonts w:hint="eastAsia" w:ascii="Times New Roman" w:hAnsi="Times New Roman" w:eastAsia="仿宋_GB2312" w:cs="仿宋_GB2312"/>
          <w:b/>
          <w:bCs/>
          <w:color w:val="auto"/>
          <w:sz w:val="32"/>
          <w:szCs w:val="32"/>
          <w:highlight w:val="none"/>
          <w:lang w:val="en-US" w:eastAsia="zh-CN"/>
        </w:rPr>
        <w:t>1.项目立项情况。</w:t>
      </w:r>
      <w:r>
        <w:rPr>
          <w:rFonts w:hint="eastAsia" w:ascii="Times New Roman" w:hAnsi="Times New Roman" w:eastAsia="仿宋_GB2312" w:cs="仿宋_GB2312"/>
          <w:color w:val="auto"/>
          <w:sz w:val="32"/>
          <w:szCs w:val="32"/>
          <w:highlight w:val="none"/>
          <w:lang w:val="en-US" w:eastAsia="zh-CN"/>
        </w:rPr>
        <w:t>指标</w:t>
      </w:r>
      <w:r>
        <w:rPr>
          <w:rFonts w:hint="eastAsia" w:ascii="Times New Roman" w:hAnsi="Times New Roman" w:cs="仿宋_GB2312"/>
          <w:color w:val="auto"/>
          <w:sz w:val="32"/>
          <w:szCs w:val="32"/>
          <w:highlight w:val="none"/>
          <w:lang w:val="en-US" w:eastAsia="zh-CN"/>
        </w:rPr>
        <w:t>分值</w:t>
      </w:r>
      <w:r>
        <w:rPr>
          <w:rFonts w:hint="eastAsia" w:ascii="Times New Roman" w:hAnsi="Times New Roman" w:eastAsia="仿宋_GB2312" w:cs="仿宋_GB2312"/>
          <w:color w:val="auto"/>
          <w:sz w:val="32"/>
          <w:szCs w:val="32"/>
          <w:highlight w:val="none"/>
          <w:lang w:val="en-US" w:eastAsia="zh-CN"/>
        </w:rPr>
        <w:t>12分，自评得分为</w:t>
      </w:r>
      <w:r>
        <w:rPr>
          <w:rFonts w:hint="eastAsia" w:ascii="Times New Roman" w:hAnsi="Times New Roman"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lang w:val="en-US" w:eastAsia="zh-CN"/>
        </w:rPr>
        <w:t>分，得分率为</w:t>
      </w:r>
      <w:r>
        <w:rPr>
          <w:rFonts w:hint="eastAsia" w:ascii="Times New Roman" w:hAnsi="Times New Roman"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val="en-US" w:eastAsia="zh-CN"/>
        </w:rPr>
        <w:t>%。</w:t>
      </w:r>
      <w:bookmarkEnd w:id="36"/>
      <w:bookmarkEnd w:id="37"/>
    </w:p>
    <w:p w14:paraId="3B0DDF45">
      <w:pPr>
        <w:pStyle w:val="16"/>
        <w:spacing w:before="0" w:beforeLines="0" w:after="0" w:afterLines="0"/>
        <w:ind w:firstLine="640"/>
        <w:rPr>
          <w:rFonts w:hint="eastAsia" w:ascii="Times New Roman" w:hAnsi="Times New Roman" w:cs="仿宋_GB2312"/>
          <w:color w:val="auto"/>
          <w:kern w:val="2"/>
          <w:sz w:val="32"/>
          <w:szCs w:val="32"/>
          <w:highlight w:val="none"/>
          <w:lang w:bidi="ar"/>
        </w:rPr>
      </w:pPr>
      <w:r>
        <w:rPr>
          <w:rFonts w:hint="eastAsia" w:ascii="Times New Roman" w:hAnsi="Times New Roman" w:cs="仿宋_GB2312"/>
          <w:color w:val="auto"/>
          <w:kern w:val="2"/>
          <w:sz w:val="32"/>
          <w:szCs w:val="32"/>
          <w:highlight w:val="none"/>
          <w:lang w:bidi="ar"/>
        </w:rPr>
        <w:t>（1）</w:t>
      </w:r>
      <w:r>
        <w:rPr>
          <w:rFonts w:hint="eastAsia" w:ascii="Times New Roman" w:hAnsi="Times New Roman" w:cs="仿宋_GB2312"/>
          <w:color w:val="auto"/>
          <w:sz w:val="32"/>
          <w:szCs w:val="32"/>
          <w:highlight w:val="none"/>
        </w:rPr>
        <w:t>论证决策。</w:t>
      </w:r>
      <w:r>
        <w:rPr>
          <w:rFonts w:hint="eastAsia" w:ascii="Times New Roman" w:hAnsi="Times New Roman" w:eastAsia="仿宋_GB2312" w:cs="仿宋_GB2312"/>
          <w:color w:val="auto"/>
          <w:sz w:val="32"/>
          <w:szCs w:val="32"/>
          <w:highlight w:val="none"/>
          <w:lang w:val="en-US" w:eastAsia="zh-CN"/>
        </w:rPr>
        <w:t>指标</w:t>
      </w:r>
      <w:r>
        <w:rPr>
          <w:rFonts w:hint="eastAsia" w:ascii="Times New Roman" w:hAnsi="Times New Roman" w:cs="仿宋_GB2312"/>
          <w:color w:val="auto"/>
          <w:sz w:val="32"/>
          <w:szCs w:val="32"/>
          <w:highlight w:val="none"/>
          <w:lang w:val="en-US" w:eastAsia="zh-CN"/>
        </w:rPr>
        <w:t>分值</w:t>
      </w:r>
      <w:r>
        <w:rPr>
          <w:rFonts w:hint="eastAsia" w:ascii="Times New Roman" w:hAnsi="Times New Roman" w:eastAsia="仿宋_GB2312" w:cs="仿宋_GB2312"/>
          <w:color w:val="auto"/>
          <w:sz w:val="32"/>
          <w:szCs w:val="32"/>
          <w:highlight w:val="none"/>
          <w:lang w:val="en-US" w:eastAsia="zh-CN"/>
        </w:rPr>
        <w:t>4分，自评得分为</w:t>
      </w:r>
      <w:r>
        <w:rPr>
          <w:rFonts w:hint="eastAsia" w:ascii="Times New Roman" w:hAnsi="Times New Roman"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分，得分率为</w:t>
      </w:r>
      <w:r>
        <w:rPr>
          <w:rFonts w:hint="eastAsia" w:ascii="Times New Roman" w:hAnsi="Times New Roman"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kern w:val="2"/>
          <w:sz w:val="32"/>
          <w:szCs w:val="32"/>
          <w:highlight w:val="none"/>
          <w:lang w:bidi="ar"/>
        </w:rPr>
        <w:t>根据《中共中央、国务院关于深入打好污染防治攻坚战的意见》《国务院办公厅关于推进海绵城市建设的指导意见》《广东省人民政府办公厅关于推进海绵城市建设的实施意见》</w:t>
      </w:r>
      <w:r>
        <w:rPr>
          <w:rFonts w:hint="eastAsia" w:ascii="Times New Roman" w:hAnsi="Times New Roman" w:cs="仿宋_GB2312"/>
          <w:color w:val="auto"/>
          <w:kern w:val="2"/>
          <w:sz w:val="32"/>
          <w:szCs w:val="32"/>
          <w:highlight w:val="none"/>
          <w:lang w:eastAsia="zh-CN" w:bidi="ar"/>
        </w:rPr>
        <w:t>《国务院办公厅关于加强城市内涝治理的实施意见》《“十四五”城镇污水处理及资源化利用发展规划》</w:t>
      </w:r>
      <w:r>
        <w:rPr>
          <w:rFonts w:hint="eastAsia" w:ascii="Times New Roman" w:hAnsi="Times New Roman" w:cs="仿宋_GB2312"/>
          <w:color w:val="auto"/>
          <w:kern w:val="2"/>
          <w:sz w:val="32"/>
          <w:szCs w:val="32"/>
          <w:highlight w:val="none"/>
          <w:lang w:bidi="ar"/>
        </w:rPr>
        <w:t>等政策文件和我</w:t>
      </w:r>
      <w:r>
        <w:rPr>
          <w:rFonts w:hint="eastAsia" w:ascii="Times New Roman" w:hAnsi="Times New Roman" w:cs="仿宋_GB2312"/>
          <w:color w:val="auto"/>
          <w:kern w:val="2"/>
          <w:sz w:val="32"/>
          <w:szCs w:val="32"/>
          <w:highlight w:val="none"/>
          <w:lang w:val="en-US" w:eastAsia="zh-CN" w:bidi="ar"/>
        </w:rPr>
        <w:t>省城市水环境治理的</w:t>
      </w:r>
      <w:r>
        <w:rPr>
          <w:rFonts w:hint="eastAsia" w:ascii="Times New Roman" w:hAnsi="Times New Roman" w:cs="仿宋_GB2312"/>
          <w:color w:val="auto"/>
          <w:kern w:val="2"/>
          <w:sz w:val="32"/>
          <w:szCs w:val="32"/>
          <w:highlight w:val="none"/>
          <w:lang w:bidi="ar"/>
        </w:rPr>
        <w:t>需求，聚焦我省面临的城市内涝治理、城市生活污水处理与黑臭水体治理</w:t>
      </w:r>
      <w:r>
        <w:rPr>
          <w:rFonts w:hint="eastAsia" w:ascii="Times New Roman" w:hAnsi="Times New Roman" w:cs="仿宋_GB2312"/>
          <w:color w:val="auto"/>
          <w:kern w:val="2"/>
          <w:sz w:val="32"/>
          <w:szCs w:val="32"/>
          <w:highlight w:val="none"/>
          <w:lang w:val="en-US" w:eastAsia="zh-CN" w:bidi="ar"/>
        </w:rPr>
        <w:t>的</w:t>
      </w:r>
      <w:r>
        <w:rPr>
          <w:rFonts w:hint="eastAsia" w:ascii="Times New Roman" w:hAnsi="Times New Roman" w:cs="仿宋_GB2312"/>
          <w:color w:val="auto"/>
          <w:kern w:val="2"/>
          <w:sz w:val="32"/>
          <w:szCs w:val="32"/>
          <w:highlight w:val="none"/>
          <w:lang w:bidi="ar"/>
        </w:rPr>
        <w:t>突出问题，经过</w:t>
      </w:r>
      <w:r>
        <w:rPr>
          <w:rFonts w:hint="eastAsia" w:ascii="Times New Roman" w:hAnsi="Times New Roman" w:cs="仿宋_GB2312"/>
          <w:color w:val="auto"/>
          <w:kern w:val="2"/>
          <w:sz w:val="32"/>
          <w:szCs w:val="32"/>
          <w:highlight w:val="none"/>
          <w:lang w:val="en-US" w:eastAsia="zh-CN" w:bidi="ar"/>
        </w:rPr>
        <w:t>问卷调查、</w:t>
      </w:r>
      <w:r>
        <w:rPr>
          <w:rFonts w:hint="eastAsia" w:ascii="Times New Roman" w:hAnsi="Times New Roman" w:cs="仿宋_GB2312"/>
          <w:color w:val="auto"/>
          <w:kern w:val="2"/>
          <w:sz w:val="32"/>
          <w:szCs w:val="32"/>
          <w:highlight w:val="none"/>
          <w:lang w:bidi="ar"/>
        </w:rPr>
        <w:t>专家咨询和论证以及合法规范的民主决策程序，征求并吸纳了广大政策受众的意见和建议，省财政设立专项资金。</w:t>
      </w:r>
      <w:r>
        <w:rPr>
          <w:rFonts w:hint="eastAsia" w:ascii="Times New Roman" w:hAnsi="Times New Roman" w:cs="仿宋_GB2312"/>
          <w:color w:val="auto"/>
          <w:kern w:val="2"/>
          <w:sz w:val="32"/>
          <w:szCs w:val="32"/>
          <w:highlight w:val="none"/>
          <w:lang w:eastAsia="zh-CN" w:bidi="ar"/>
        </w:rPr>
        <w:t>《</w:t>
      </w:r>
      <w:r>
        <w:rPr>
          <w:rFonts w:hint="eastAsia" w:ascii="Times New Roman" w:hAnsi="Times New Roman" w:cs="仿宋_GB2312"/>
          <w:color w:val="auto"/>
          <w:kern w:val="2"/>
          <w:sz w:val="32"/>
          <w:szCs w:val="32"/>
          <w:highlight w:val="none"/>
          <w:lang w:bidi="ar"/>
        </w:rPr>
        <w:t>广东省住房和城乡建设厅关于做好2022年省级财政资金项目入库储备工作的通知</w:t>
      </w:r>
      <w:r>
        <w:rPr>
          <w:rFonts w:hint="eastAsia" w:ascii="Times New Roman" w:hAnsi="Times New Roman" w:cs="仿宋_GB2312"/>
          <w:color w:val="auto"/>
          <w:kern w:val="2"/>
          <w:sz w:val="32"/>
          <w:szCs w:val="32"/>
          <w:highlight w:val="none"/>
          <w:lang w:eastAsia="zh-CN" w:bidi="ar"/>
        </w:rPr>
        <w:t>》</w:t>
      </w:r>
      <w:r>
        <w:rPr>
          <w:rFonts w:hint="eastAsia" w:ascii="Times New Roman" w:hAnsi="Times New Roman" w:cs="仿宋_GB2312"/>
          <w:color w:val="auto"/>
          <w:kern w:val="2"/>
          <w:sz w:val="32"/>
          <w:szCs w:val="32"/>
          <w:highlight w:val="none"/>
          <w:lang w:bidi="ar"/>
        </w:rPr>
        <w:t>（粤建计函〔2021〕372号）</w:t>
      </w:r>
      <w:r>
        <w:rPr>
          <w:rFonts w:hint="eastAsia" w:ascii="Times New Roman" w:hAnsi="Times New Roman" w:cs="仿宋_GB2312"/>
          <w:color w:val="auto"/>
          <w:kern w:val="2"/>
          <w:sz w:val="32"/>
          <w:szCs w:val="32"/>
          <w:highlight w:val="none"/>
          <w:lang w:eastAsia="zh-CN" w:bidi="ar"/>
        </w:rPr>
        <w:t>组织有关地市做好</w:t>
      </w:r>
      <w:r>
        <w:rPr>
          <w:rFonts w:hint="eastAsia" w:ascii="Times New Roman" w:hAnsi="Times New Roman" w:cs="仿宋_GB2312"/>
          <w:color w:val="auto"/>
          <w:kern w:val="2"/>
          <w:sz w:val="32"/>
          <w:szCs w:val="32"/>
          <w:highlight w:val="none"/>
          <w:lang w:val="en-US" w:eastAsia="zh-CN" w:bidi="ar"/>
        </w:rPr>
        <w:t>2022年</w:t>
      </w:r>
      <w:r>
        <w:rPr>
          <w:rFonts w:hint="eastAsia" w:ascii="Times New Roman" w:hAnsi="Times New Roman" w:cs="仿宋_GB2312"/>
          <w:color w:val="auto"/>
          <w:kern w:val="2"/>
          <w:sz w:val="32"/>
          <w:szCs w:val="32"/>
          <w:highlight w:val="none"/>
          <w:lang w:bidi="ar"/>
        </w:rPr>
        <w:t>省级财政资金项目入库</w:t>
      </w:r>
      <w:r>
        <w:rPr>
          <w:rFonts w:hint="eastAsia" w:ascii="Times New Roman" w:hAnsi="Times New Roman" w:cs="仿宋_GB2312"/>
          <w:color w:val="auto"/>
          <w:kern w:val="2"/>
          <w:sz w:val="32"/>
          <w:szCs w:val="32"/>
          <w:highlight w:val="none"/>
          <w:lang w:eastAsia="zh-CN" w:bidi="ar"/>
        </w:rPr>
        <w:t>申报工作。</w:t>
      </w:r>
      <w:r>
        <w:rPr>
          <w:rFonts w:hint="eastAsia" w:ascii="Times New Roman" w:hAnsi="Times New Roman" w:cs="仿宋_GB2312"/>
          <w:color w:val="auto"/>
          <w:kern w:val="2"/>
          <w:sz w:val="32"/>
          <w:szCs w:val="32"/>
          <w:highlight w:val="none"/>
          <w:lang w:bidi="ar"/>
        </w:rPr>
        <w:t>总体上决策过程科学合理，资金设立符合省级专项资金管理办法，资金投向和结构符合相关政策精神和公共财政扶持方向。</w:t>
      </w:r>
    </w:p>
    <w:p w14:paraId="25567D3B">
      <w:pPr>
        <w:pStyle w:val="16"/>
        <w:spacing w:beforeLines="0" w:afterLines="0" w:line="360" w:lineRule="auto"/>
        <w:ind w:firstLine="640" w:firstLineChars="200"/>
        <w:rPr>
          <w:rFonts w:hint="eastAsia" w:ascii="Times New Roman" w:hAnsi="Times New Roman" w:cs="仿宋_GB2312"/>
          <w:color w:val="auto"/>
          <w:kern w:val="2"/>
          <w:sz w:val="32"/>
          <w:szCs w:val="32"/>
          <w:highlight w:val="none"/>
          <w:lang w:bidi="ar"/>
        </w:rPr>
      </w:pPr>
      <w:r>
        <w:rPr>
          <w:rFonts w:hint="eastAsia" w:ascii="Times New Roman" w:hAnsi="Times New Roman" w:cs="仿宋_GB2312"/>
          <w:color w:val="auto"/>
          <w:kern w:val="2"/>
          <w:sz w:val="32"/>
          <w:szCs w:val="32"/>
          <w:highlight w:val="none"/>
          <w:lang w:bidi="ar"/>
        </w:rPr>
        <w:t>（2）目</w:t>
      </w:r>
      <w:r>
        <w:rPr>
          <w:rFonts w:hint="eastAsia" w:ascii="Times New Roman" w:hAnsi="Times New Roman" w:cs="仿宋_GB2312"/>
          <w:color w:val="auto"/>
          <w:sz w:val="32"/>
          <w:szCs w:val="32"/>
          <w:highlight w:val="none"/>
        </w:rPr>
        <w:t>标设置。</w:t>
      </w:r>
      <w:r>
        <w:rPr>
          <w:rFonts w:hint="eastAsia" w:ascii="Times New Roman" w:hAnsi="Times New Roman" w:cs="仿宋_GB2312"/>
          <w:color w:val="auto"/>
          <w:kern w:val="2"/>
          <w:sz w:val="32"/>
          <w:szCs w:val="32"/>
          <w:highlight w:val="none"/>
          <w:lang w:bidi="ar"/>
        </w:rPr>
        <w:t>指标</w:t>
      </w:r>
      <w:r>
        <w:rPr>
          <w:rFonts w:hint="eastAsia" w:ascii="Times New Roman" w:hAnsi="Times New Roman" w:cs="仿宋_GB2312"/>
          <w:color w:val="auto"/>
          <w:kern w:val="2"/>
          <w:sz w:val="32"/>
          <w:szCs w:val="32"/>
          <w:highlight w:val="none"/>
          <w:lang w:eastAsia="zh-CN" w:bidi="ar"/>
        </w:rPr>
        <w:t>分值</w:t>
      </w:r>
      <w:r>
        <w:rPr>
          <w:rFonts w:hint="eastAsia" w:ascii="Times New Roman" w:hAnsi="Times New Roman" w:cs="仿宋_GB2312"/>
          <w:color w:val="auto"/>
          <w:kern w:val="2"/>
          <w:sz w:val="32"/>
          <w:szCs w:val="32"/>
          <w:highlight w:val="none"/>
          <w:lang w:bidi="ar"/>
        </w:rPr>
        <w:t>6分，自评得分</w:t>
      </w:r>
      <w:r>
        <w:rPr>
          <w:rFonts w:hint="eastAsia" w:ascii="Times New Roman" w:hAnsi="Times New Roman" w:cs="仿宋_GB2312"/>
          <w:color w:val="auto"/>
          <w:kern w:val="2"/>
          <w:sz w:val="32"/>
          <w:szCs w:val="32"/>
          <w:highlight w:val="none"/>
          <w:lang w:val="en-US" w:eastAsia="zh-CN" w:bidi="ar"/>
        </w:rPr>
        <w:t>6</w:t>
      </w:r>
      <w:r>
        <w:rPr>
          <w:rFonts w:hint="eastAsia" w:ascii="Times New Roman" w:hAnsi="Times New Roman" w:cs="仿宋_GB2312"/>
          <w:color w:val="auto"/>
          <w:kern w:val="2"/>
          <w:sz w:val="32"/>
          <w:szCs w:val="32"/>
          <w:highlight w:val="none"/>
          <w:lang w:bidi="ar"/>
        </w:rPr>
        <w:t>分，得分率为</w:t>
      </w:r>
      <w:r>
        <w:rPr>
          <w:rFonts w:hint="eastAsia" w:ascii="Times New Roman" w:hAnsi="Times New Roman" w:cs="仿宋_GB2312"/>
          <w:color w:val="auto"/>
          <w:kern w:val="2"/>
          <w:sz w:val="32"/>
          <w:szCs w:val="32"/>
          <w:highlight w:val="none"/>
          <w:lang w:val="en-US" w:eastAsia="zh-CN" w:bidi="ar"/>
        </w:rPr>
        <w:t>100</w:t>
      </w:r>
      <w:r>
        <w:rPr>
          <w:rFonts w:hint="eastAsia" w:ascii="Times New Roman" w:hAnsi="Times New Roman" w:cs="仿宋_GB2312"/>
          <w:color w:val="auto"/>
          <w:kern w:val="2"/>
          <w:sz w:val="32"/>
          <w:szCs w:val="32"/>
          <w:highlight w:val="none"/>
          <w:lang w:bidi="ar"/>
        </w:rPr>
        <w:t>%。专项资金严格按照《广东省人民政府关于印发广东省省级财政专项资金管理办法（试行）的通知》（粤府〔2018〕120号）、《关于印发〈广东省省级财政预算绩效目标管理办法（试行）〉的通知》（粤财绩〔2019〕11号）、《广东省财政厅关于做好2022年省级财政资金项目入库储备工作的通知》（粤财预〔2021〕30号）等有关文件规定，认真做好专项资金绩效目标的设置。</w:t>
      </w:r>
      <w:r>
        <w:rPr>
          <w:rFonts w:hint="eastAsia" w:ascii="Times New Roman" w:hAnsi="Times New Roman" w:cs="仿宋_GB2312"/>
          <w:color w:val="auto"/>
          <w:kern w:val="2"/>
          <w:sz w:val="32"/>
          <w:szCs w:val="32"/>
          <w:highlight w:val="none"/>
          <w:lang w:val="en-US" w:eastAsia="zh-CN" w:bidi="ar"/>
        </w:rPr>
        <w:t>各项</w:t>
      </w:r>
      <w:r>
        <w:rPr>
          <w:rFonts w:hint="eastAsia" w:ascii="Times New Roman" w:hAnsi="Times New Roman" w:cs="仿宋_GB2312"/>
          <w:color w:val="auto"/>
          <w:kern w:val="2"/>
          <w:sz w:val="32"/>
          <w:szCs w:val="32"/>
          <w:highlight w:val="none"/>
          <w:lang w:bidi="ar"/>
        </w:rPr>
        <w:t>政策任务设置了完整、客观、合理、量化的绩效目标和绩效指标，设置的各项产出数量和效益绩效指标符合省级财政资金绩效管理要求。</w:t>
      </w:r>
    </w:p>
    <w:p w14:paraId="59AEBFDD">
      <w:pPr>
        <w:pStyle w:val="16"/>
        <w:spacing w:beforeLines="0" w:afterLines="0" w:line="360" w:lineRule="auto"/>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kern w:val="2"/>
          <w:sz w:val="32"/>
          <w:szCs w:val="32"/>
          <w:highlight w:val="none"/>
          <w:lang w:bidi="ar"/>
        </w:rPr>
        <w:t>（3）</w:t>
      </w:r>
      <w:r>
        <w:rPr>
          <w:rFonts w:hint="eastAsia" w:ascii="Times New Roman" w:hAnsi="Times New Roman" w:cs="仿宋_GB2312"/>
          <w:color w:val="auto"/>
          <w:sz w:val="32"/>
          <w:szCs w:val="32"/>
          <w:highlight w:val="none"/>
        </w:rPr>
        <w:t>保障措施。</w:t>
      </w:r>
      <w:r>
        <w:rPr>
          <w:rFonts w:hint="eastAsia" w:ascii="Times New Roman" w:hAnsi="Times New Roman" w:cs="仿宋_GB2312"/>
          <w:color w:val="auto"/>
          <w:kern w:val="2"/>
          <w:sz w:val="32"/>
          <w:szCs w:val="32"/>
          <w:highlight w:val="none"/>
          <w:lang w:bidi="ar"/>
        </w:rPr>
        <w:t>指标</w:t>
      </w:r>
      <w:r>
        <w:rPr>
          <w:rFonts w:hint="eastAsia" w:ascii="Times New Roman" w:hAnsi="Times New Roman" w:cs="仿宋_GB2312"/>
          <w:color w:val="auto"/>
          <w:kern w:val="2"/>
          <w:sz w:val="32"/>
          <w:szCs w:val="32"/>
          <w:highlight w:val="none"/>
          <w:lang w:eastAsia="zh-CN" w:bidi="ar"/>
        </w:rPr>
        <w:t>分值</w:t>
      </w:r>
      <w:r>
        <w:rPr>
          <w:rFonts w:hint="eastAsia" w:ascii="Times New Roman" w:hAnsi="Times New Roman" w:cs="仿宋_GB2312"/>
          <w:color w:val="auto"/>
          <w:kern w:val="2"/>
          <w:sz w:val="32"/>
          <w:szCs w:val="32"/>
          <w:highlight w:val="none"/>
          <w:lang w:bidi="ar"/>
        </w:rPr>
        <w:t>2分，自评得分</w:t>
      </w:r>
      <w:r>
        <w:rPr>
          <w:rFonts w:hint="eastAsia" w:ascii="Times New Roman" w:hAnsi="Times New Roman" w:cs="仿宋_GB2312"/>
          <w:color w:val="auto"/>
          <w:kern w:val="2"/>
          <w:sz w:val="32"/>
          <w:szCs w:val="32"/>
          <w:highlight w:val="none"/>
          <w:lang w:val="en-US" w:eastAsia="zh-CN" w:bidi="ar"/>
        </w:rPr>
        <w:t>2</w:t>
      </w:r>
      <w:r>
        <w:rPr>
          <w:rFonts w:hint="eastAsia" w:ascii="Times New Roman" w:hAnsi="Times New Roman" w:cs="仿宋_GB2312"/>
          <w:color w:val="auto"/>
          <w:kern w:val="2"/>
          <w:sz w:val="32"/>
          <w:szCs w:val="32"/>
          <w:highlight w:val="none"/>
          <w:lang w:bidi="ar"/>
        </w:rPr>
        <w:t>分，得分率为</w:t>
      </w:r>
      <w:r>
        <w:rPr>
          <w:rFonts w:hint="eastAsia" w:ascii="Times New Roman" w:hAnsi="Times New Roman" w:cs="仿宋_GB2312"/>
          <w:color w:val="auto"/>
          <w:kern w:val="2"/>
          <w:sz w:val="32"/>
          <w:szCs w:val="32"/>
          <w:highlight w:val="none"/>
          <w:lang w:val="en-US" w:eastAsia="zh-CN" w:bidi="ar"/>
        </w:rPr>
        <w:t>100</w:t>
      </w:r>
      <w:r>
        <w:rPr>
          <w:rFonts w:hint="eastAsia" w:ascii="Times New Roman" w:hAnsi="Times New Roman" w:cs="仿宋_GB2312"/>
          <w:color w:val="auto"/>
          <w:kern w:val="2"/>
          <w:sz w:val="32"/>
          <w:szCs w:val="32"/>
          <w:highlight w:val="none"/>
          <w:lang w:bidi="ar"/>
        </w:rPr>
        <w:t>%。一是制度完整性。《广东省人民政府关于印发广东省省级财政专项资金管理办法（试行）的通知》《广东省财政厅关于印发〈广东省省级财政资金“双监控”管理暂行办法〉的通知》</w:t>
      </w:r>
      <w:r>
        <w:rPr>
          <w:rFonts w:hint="eastAsia" w:ascii="Times New Roman" w:hAnsi="Times New Roman" w:cs="仿宋_GB2312"/>
          <w:color w:val="auto"/>
          <w:kern w:val="2"/>
          <w:sz w:val="32"/>
          <w:szCs w:val="32"/>
          <w:highlight w:val="none"/>
          <w:lang w:eastAsia="zh-CN" w:bidi="ar"/>
        </w:rPr>
        <w:t>《关于印发</w:t>
      </w:r>
      <w:r>
        <w:rPr>
          <w:rFonts w:hint="eastAsia" w:ascii="Times New Roman" w:hAnsi="Times New Roman" w:cs="仿宋_GB2312"/>
          <w:color w:val="auto"/>
          <w:kern w:val="2"/>
          <w:sz w:val="32"/>
          <w:szCs w:val="32"/>
          <w:highlight w:val="none"/>
          <w:lang w:bidi="ar"/>
        </w:rPr>
        <w:t>〈</w:t>
      </w:r>
      <w:r>
        <w:rPr>
          <w:rFonts w:hint="eastAsia" w:ascii="Times New Roman" w:hAnsi="Times New Roman" w:cs="仿宋_GB2312"/>
          <w:color w:val="auto"/>
          <w:kern w:val="2"/>
          <w:sz w:val="32"/>
          <w:szCs w:val="32"/>
          <w:highlight w:val="none"/>
          <w:lang w:eastAsia="zh-CN" w:bidi="ar"/>
        </w:rPr>
        <w:t>广东省住房和城乡建设厅省级财政资金项目库管理实施细则（试行）</w:t>
      </w:r>
      <w:r>
        <w:rPr>
          <w:rFonts w:hint="eastAsia" w:ascii="Times New Roman" w:hAnsi="Times New Roman" w:cs="仿宋_GB2312"/>
          <w:color w:val="auto"/>
          <w:kern w:val="2"/>
          <w:sz w:val="32"/>
          <w:szCs w:val="32"/>
          <w:highlight w:val="none"/>
          <w:lang w:bidi="ar"/>
        </w:rPr>
        <w:t>〉</w:t>
      </w:r>
      <w:r>
        <w:rPr>
          <w:rFonts w:hint="eastAsia" w:ascii="Times New Roman" w:hAnsi="Times New Roman" w:cs="仿宋_GB2312"/>
          <w:color w:val="auto"/>
          <w:kern w:val="2"/>
          <w:sz w:val="32"/>
          <w:szCs w:val="32"/>
          <w:highlight w:val="none"/>
          <w:lang w:eastAsia="zh-CN" w:bidi="ar"/>
        </w:rPr>
        <w:t>的通知》《广东省财政厅 广东省住房和城乡建设厅关于印发广东省住房和城乡建设领域专项资金管理办法的通知》等综合性管理制度，能够为项目规范实施提供制度保障。我厅和项目实施单位的专项资金管理及项目实施保障机制比较健全，人员分工和管理责任落实到位。</w:t>
      </w:r>
      <w:r>
        <w:rPr>
          <w:rFonts w:hint="eastAsia" w:ascii="Times New Roman" w:hAnsi="Times New Roman" w:cs="仿宋_GB2312"/>
          <w:color w:val="auto"/>
          <w:kern w:val="2"/>
          <w:sz w:val="32"/>
          <w:szCs w:val="32"/>
          <w:highlight w:val="none"/>
          <w:lang w:bidi="ar"/>
        </w:rPr>
        <w:t>二是计划安排合理性。省财政厅下达专项资金的同时下达了项目的绩效目标</w:t>
      </w:r>
      <w:r>
        <w:rPr>
          <w:rFonts w:hint="eastAsia" w:ascii="Times New Roman" w:hAnsi="Times New Roman" w:cs="仿宋_GB2312"/>
          <w:color w:val="auto"/>
          <w:kern w:val="2"/>
          <w:sz w:val="32"/>
          <w:szCs w:val="32"/>
          <w:highlight w:val="none"/>
          <w:lang w:eastAsia="zh-CN" w:bidi="ar"/>
        </w:rPr>
        <w:t>，</w:t>
      </w:r>
      <w:r>
        <w:rPr>
          <w:rFonts w:hint="eastAsia" w:ascii="Times New Roman" w:hAnsi="Times New Roman" w:cs="仿宋_GB2312"/>
          <w:color w:val="auto"/>
          <w:kern w:val="2"/>
          <w:sz w:val="32"/>
          <w:szCs w:val="32"/>
          <w:highlight w:val="none"/>
          <w:lang w:bidi="ar"/>
        </w:rPr>
        <w:t>我厅</w:t>
      </w:r>
      <w:r>
        <w:rPr>
          <w:rFonts w:hint="eastAsia" w:ascii="Times New Roman" w:hAnsi="Times New Roman" w:cs="仿宋_GB2312"/>
          <w:color w:val="auto"/>
          <w:kern w:val="2"/>
          <w:sz w:val="32"/>
          <w:szCs w:val="32"/>
          <w:highlight w:val="none"/>
          <w:lang w:eastAsia="zh-CN" w:bidi="ar"/>
        </w:rPr>
        <w:t>印发</w:t>
      </w:r>
      <w:r>
        <w:rPr>
          <w:rFonts w:hint="eastAsia" w:ascii="Times New Roman" w:hAnsi="Times New Roman" w:cs="仿宋_GB2312"/>
          <w:color w:val="auto"/>
          <w:kern w:val="2"/>
          <w:sz w:val="32"/>
          <w:szCs w:val="32"/>
          <w:highlight w:val="none"/>
          <w:lang w:bidi="ar"/>
        </w:rPr>
        <w:t>《广东省住房和城乡建设厅关于下达2022年打好污染防治攻坚战专项资金-突出抓好水污染治理-城市水环境治理任务清单的通知》</w:t>
      </w:r>
      <w:r>
        <w:rPr>
          <w:rFonts w:hint="eastAsia" w:ascii="Times New Roman" w:hAnsi="Times New Roman" w:cs="仿宋_GB2312"/>
          <w:color w:val="auto"/>
          <w:kern w:val="2"/>
          <w:sz w:val="32"/>
          <w:szCs w:val="32"/>
          <w:highlight w:val="none"/>
          <w:lang w:eastAsia="zh-CN" w:bidi="ar"/>
        </w:rPr>
        <w:t>，明确工作任务，有关地市按要求</w:t>
      </w:r>
      <w:r>
        <w:rPr>
          <w:rStyle w:val="23"/>
          <w:rFonts w:hint="eastAsia" w:ascii="Times New Roman" w:hAnsi="Times New Roman" w:eastAsia="仿宋_GB2312"/>
          <w:color w:val="auto"/>
          <w:kern w:val="2"/>
          <w:sz w:val="32"/>
          <w:szCs w:val="24"/>
          <w:highlight w:val="none"/>
          <w:lang w:val="en-US" w:eastAsia="zh-CN" w:bidi="ar-SA"/>
        </w:rPr>
        <w:t>切实</w:t>
      </w:r>
      <w:r>
        <w:rPr>
          <w:rStyle w:val="23"/>
          <w:rFonts w:ascii="Times New Roman" w:hAnsi="Times New Roman" w:eastAsia="仿宋_GB2312"/>
          <w:color w:val="auto"/>
          <w:kern w:val="2"/>
          <w:sz w:val="32"/>
          <w:szCs w:val="24"/>
          <w:highlight w:val="none"/>
          <w:lang w:val="en-US" w:eastAsia="zh-CN" w:bidi="ar-SA"/>
        </w:rPr>
        <w:t>加强</w:t>
      </w:r>
      <w:r>
        <w:rPr>
          <w:rStyle w:val="23"/>
          <w:rFonts w:hint="eastAsia" w:ascii="Times New Roman" w:hAnsi="Times New Roman" w:eastAsia="仿宋_GB2312"/>
          <w:color w:val="auto"/>
          <w:kern w:val="2"/>
          <w:sz w:val="32"/>
          <w:szCs w:val="24"/>
          <w:highlight w:val="none"/>
          <w:lang w:val="en-US" w:eastAsia="zh-CN" w:bidi="ar-SA"/>
        </w:rPr>
        <w:t>专</w:t>
      </w:r>
      <w:r>
        <w:rPr>
          <w:rStyle w:val="23"/>
          <w:rFonts w:ascii="Times New Roman" w:hAnsi="Times New Roman" w:eastAsia="仿宋_GB2312"/>
          <w:color w:val="auto"/>
          <w:kern w:val="2"/>
          <w:sz w:val="32"/>
          <w:szCs w:val="24"/>
          <w:highlight w:val="none"/>
          <w:lang w:val="en-US" w:eastAsia="zh-CN" w:bidi="ar-SA"/>
        </w:rPr>
        <w:t>项资金的使用管理</w:t>
      </w:r>
      <w:r>
        <w:rPr>
          <w:rFonts w:hint="eastAsia" w:ascii="Times New Roman" w:hAnsi="Times New Roman" w:cs="仿宋_GB2312"/>
          <w:color w:val="auto"/>
          <w:kern w:val="2"/>
          <w:sz w:val="32"/>
          <w:szCs w:val="32"/>
          <w:highlight w:val="none"/>
          <w:lang w:bidi="ar"/>
        </w:rPr>
        <w:t>，认真抓好落实，合理安排项目实施计划，使项目得以顺利实施。</w:t>
      </w:r>
    </w:p>
    <w:p w14:paraId="5C6C40BC">
      <w:pPr>
        <w:pageBreakBefore w:val="0"/>
        <w:widowControl/>
        <w:kinsoku/>
        <w:wordWrap/>
        <w:overflowPunct/>
        <w:topLinePunct w:val="0"/>
        <w:bidi w:val="0"/>
        <w:spacing w:before="0" w:after="0" w:line="360" w:lineRule="auto"/>
        <w:ind w:firstLine="640" w:firstLineChars="200"/>
        <w:jc w:val="both"/>
        <w:outlineLvl w:val="2"/>
        <w:rPr>
          <w:rFonts w:hint="eastAsia" w:ascii="Times New Roman" w:hAnsi="Times New Roman" w:eastAsia="仿宋_GB2312" w:cs="仿宋_GB2312"/>
          <w:color w:val="auto"/>
          <w:sz w:val="32"/>
          <w:szCs w:val="32"/>
          <w:highlight w:val="none"/>
          <w:lang w:val="en-US" w:eastAsia="zh-CN"/>
        </w:rPr>
      </w:pPr>
      <w:bookmarkStart w:id="38" w:name="_Toc22387"/>
      <w:bookmarkStart w:id="39" w:name="_Toc20368"/>
      <w:bookmarkStart w:id="40" w:name="_Toc18285"/>
      <w:r>
        <w:rPr>
          <w:rFonts w:hint="eastAsia" w:ascii="Times New Roman" w:hAnsi="Times New Roman" w:eastAsia="仿宋_GB2312" w:cs="仿宋_GB2312"/>
          <w:color w:val="auto"/>
          <w:sz w:val="32"/>
          <w:szCs w:val="32"/>
          <w:highlight w:val="none"/>
          <w:lang w:val="en-US" w:eastAsia="zh-CN"/>
        </w:rPr>
        <w:t>2.资金落实。</w:t>
      </w:r>
      <w:bookmarkEnd w:id="38"/>
      <w:r>
        <w:rPr>
          <w:rFonts w:hint="eastAsia" w:ascii="Times New Roman" w:hAnsi="Times New Roman" w:cs="仿宋_GB2312"/>
          <w:color w:val="auto"/>
          <w:kern w:val="2"/>
          <w:sz w:val="32"/>
          <w:szCs w:val="32"/>
          <w:highlight w:val="none"/>
          <w:lang w:bidi="ar"/>
        </w:rPr>
        <w:t>指标</w:t>
      </w:r>
      <w:r>
        <w:rPr>
          <w:rFonts w:hint="eastAsia" w:ascii="Times New Roman" w:hAnsi="Times New Roman" w:cs="仿宋_GB2312"/>
          <w:color w:val="auto"/>
          <w:kern w:val="2"/>
          <w:sz w:val="32"/>
          <w:szCs w:val="32"/>
          <w:highlight w:val="none"/>
          <w:lang w:eastAsia="zh-CN" w:bidi="ar"/>
        </w:rPr>
        <w:t>分值</w:t>
      </w:r>
      <w:r>
        <w:rPr>
          <w:rFonts w:hint="eastAsia" w:ascii="Times New Roman" w:hAnsi="Times New Roman" w:cs="仿宋_GB2312"/>
          <w:color w:val="auto"/>
          <w:kern w:val="2"/>
          <w:sz w:val="32"/>
          <w:szCs w:val="32"/>
          <w:highlight w:val="none"/>
          <w:lang w:val="en-US" w:eastAsia="zh-CN" w:bidi="ar"/>
        </w:rPr>
        <w:t>8</w:t>
      </w:r>
      <w:r>
        <w:rPr>
          <w:rFonts w:hint="eastAsia" w:ascii="Times New Roman" w:hAnsi="Times New Roman" w:cs="仿宋_GB2312"/>
          <w:color w:val="auto"/>
          <w:kern w:val="2"/>
          <w:sz w:val="32"/>
          <w:szCs w:val="32"/>
          <w:highlight w:val="none"/>
          <w:lang w:bidi="ar"/>
        </w:rPr>
        <w:t>分，自评得分</w:t>
      </w:r>
      <w:r>
        <w:rPr>
          <w:rFonts w:hint="eastAsia" w:ascii="Times New Roman" w:hAnsi="Times New Roman" w:cs="仿宋_GB2312"/>
          <w:color w:val="auto"/>
          <w:kern w:val="2"/>
          <w:sz w:val="32"/>
          <w:szCs w:val="32"/>
          <w:highlight w:val="none"/>
          <w:lang w:val="en-US" w:eastAsia="zh-CN" w:bidi="ar"/>
        </w:rPr>
        <w:t>8</w:t>
      </w:r>
      <w:r>
        <w:rPr>
          <w:rFonts w:hint="eastAsia" w:ascii="Times New Roman" w:hAnsi="Times New Roman" w:cs="仿宋_GB2312"/>
          <w:color w:val="auto"/>
          <w:kern w:val="2"/>
          <w:sz w:val="32"/>
          <w:szCs w:val="32"/>
          <w:highlight w:val="none"/>
          <w:lang w:bidi="ar"/>
        </w:rPr>
        <w:t>分，得分率</w:t>
      </w:r>
      <w:r>
        <w:rPr>
          <w:rFonts w:hint="eastAsia" w:ascii="Times New Roman" w:hAnsi="Times New Roman" w:cs="仿宋_GB2312"/>
          <w:color w:val="auto"/>
          <w:kern w:val="2"/>
          <w:sz w:val="32"/>
          <w:szCs w:val="32"/>
          <w:highlight w:val="none"/>
          <w:lang w:val="en-US" w:eastAsia="zh-CN" w:bidi="ar"/>
        </w:rPr>
        <w:t>100</w:t>
      </w:r>
      <w:r>
        <w:rPr>
          <w:rFonts w:hint="eastAsia" w:ascii="Times New Roman" w:hAnsi="Times New Roman" w:cs="仿宋_GB2312"/>
          <w:color w:val="auto"/>
          <w:kern w:val="2"/>
          <w:sz w:val="32"/>
          <w:szCs w:val="32"/>
          <w:highlight w:val="none"/>
          <w:lang w:bidi="ar"/>
        </w:rPr>
        <w:t>%。</w:t>
      </w:r>
      <w:bookmarkEnd w:id="39"/>
      <w:bookmarkEnd w:id="40"/>
    </w:p>
    <w:p w14:paraId="5BC42BA1">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eastAsia" w:ascii="Times New Roman" w:hAnsi="Times New Roman" w:cs="仿宋_GB2312"/>
          <w:color w:val="auto"/>
          <w:kern w:val="2"/>
          <w:sz w:val="32"/>
          <w:szCs w:val="32"/>
          <w:highlight w:val="none"/>
          <w:lang w:bidi="ar"/>
        </w:rPr>
      </w:pPr>
      <w:r>
        <w:rPr>
          <w:rFonts w:hint="eastAsia" w:ascii="Times New Roman" w:hAnsi="Times New Roman" w:eastAsia="仿宋_GB2312" w:cs="仿宋_GB2312"/>
          <w:color w:val="auto"/>
          <w:sz w:val="32"/>
          <w:szCs w:val="32"/>
          <w:highlight w:val="none"/>
          <w:lang w:val="en-US" w:eastAsia="zh-CN"/>
        </w:rPr>
        <w:t>（1）资金到位。</w:t>
      </w:r>
      <w:r>
        <w:rPr>
          <w:rFonts w:hint="eastAsia" w:ascii="Times New Roman" w:hAnsi="Times New Roman" w:cs="仿宋_GB2312"/>
          <w:color w:val="auto"/>
          <w:kern w:val="2"/>
          <w:sz w:val="32"/>
          <w:szCs w:val="32"/>
          <w:highlight w:val="none"/>
          <w:lang w:bidi="ar"/>
        </w:rPr>
        <w:t>指标</w:t>
      </w:r>
      <w:r>
        <w:rPr>
          <w:rFonts w:hint="eastAsia" w:ascii="Times New Roman" w:hAnsi="Times New Roman" w:cs="仿宋_GB2312"/>
          <w:color w:val="auto"/>
          <w:kern w:val="2"/>
          <w:sz w:val="32"/>
          <w:szCs w:val="32"/>
          <w:highlight w:val="none"/>
          <w:lang w:eastAsia="zh-CN" w:bidi="ar"/>
        </w:rPr>
        <w:t>分值</w:t>
      </w:r>
      <w:r>
        <w:rPr>
          <w:rFonts w:hint="eastAsia" w:ascii="Times New Roman" w:hAnsi="Times New Roman" w:cs="仿宋_GB2312"/>
          <w:color w:val="auto"/>
          <w:kern w:val="2"/>
          <w:sz w:val="32"/>
          <w:szCs w:val="32"/>
          <w:highlight w:val="none"/>
          <w:lang w:bidi="ar"/>
        </w:rPr>
        <w:t>5分，自评得分5分，得分率100%。专项资金预算金额</w:t>
      </w:r>
      <w:r>
        <w:rPr>
          <w:rFonts w:hint="eastAsia" w:ascii="Times New Roman" w:hAnsi="Times New Roman" w:cs="仿宋_GB2312"/>
          <w:color w:val="auto"/>
          <w:kern w:val="2"/>
          <w:sz w:val="32"/>
          <w:szCs w:val="32"/>
          <w:highlight w:val="none"/>
          <w:lang w:eastAsia="zh-CN" w:bidi="ar"/>
        </w:rPr>
        <w:t>共</w:t>
      </w:r>
      <w:r>
        <w:rPr>
          <w:rFonts w:hint="eastAsia" w:ascii="Times New Roman" w:hAnsi="Times New Roman" w:cs="仿宋_GB2312"/>
          <w:color w:val="auto"/>
          <w:kern w:val="2"/>
          <w:sz w:val="32"/>
          <w:szCs w:val="32"/>
          <w:highlight w:val="none"/>
          <w:lang w:val="en-US" w:eastAsia="zh-CN" w:bidi="ar"/>
        </w:rPr>
        <w:t>28,000</w:t>
      </w:r>
      <w:r>
        <w:rPr>
          <w:rFonts w:hint="eastAsia" w:ascii="Times New Roman" w:hAnsi="Times New Roman" w:cs="仿宋_GB2312"/>
          <w:color w:val="auto"/>
          <w:kern w:val="2"/>
          <w:sz w:val="32"/>
          <w:szCs w:val="32"/>
          <w:highlight w:val="none"/>
          <w:lang w:bidi="ar"/>
        </w:rPr>
        <w:t>万元，实际下达金额</w:t>
      </w:r>
      <w:r>
        <w:rPr>
          <w:rFonts w:hint="eastAsia" w:ascii="Times New Roman" w:hAnsi="Times New Roman" w:cs="仿宋_GB2312"/>
          <w:color w:val="auto"/>
          <w:kern w:val="2"/>
          <w:sz w:val="32"/>
          <w:szCs w:val="32"/>
          <w:highlight w:val="none"/>
          <w:lang w:val="en-US" w:eastAsia="zh-CN" w:bidi="ar"/>
        </w:rPr>
        <w:t>28,000</w:t>
      </w:r>
      <w:r>
        <w:rPr>
          <w:rFonts w:hint="eastAsia" w:ascii="Times New Roman" w:hAnsi="Times New Roman" w:cs="仿宋_GB2312"/>
          <w:color w:val="auto"/>
          <w:kern w:val="2"/>
          <w:sz w:val="32"/>
          <w:szCs w:val="32"/>
          <w:highlight w:val="none"/>
          <w:lang w:bidi="ar"/>
        </w:rPr>
        <w:t>万元。我厅按程序向省财政厅报送专项资金安排方案，经审核通过后，省财政厅按规定程序和时限要求将专项资金预算指标下达</w:t>
      </w:r>
      <w:r>
        <w:rPr>
          <w:rFonts w:hint="eastAsia" w:cs="仿宋_GB2312"/>
          <w:color w:val="auto"/>
          <w:kern w:val="2"/>
          <w:sz w:val="32"/>
          <w:szCs w:val="32"/>
          <w:highlight w:val="none"/>
          <w:lang w:eastAsia="zh-CN" w:bidi="ar"/>
        </w:rPr>
        <w:t>有关市县</w:t>
      </w:r>
      <w:r>
        <w:rPr>
          <w:rFonts w:hint="eastAsia" w:ascii="Times New Roman" w:hAnsi="Times New Roman" w:cs="仿宋_GB2312"/>
          <w:color w:val="auto"/>
          <w:kern w:val="2"/>
          <w:sz w:val="32"/>
          <w:szCs w:val="32"/>
          <w:highlight w:val="none"/>
          <w:lang w:bidi="ar"/>
        </w:rPr>
        <w:t>，有关地市也按要求将专项资金预算指标</w:t>
      </w:r>
      <w:r>
        <w:rPr>
          <w:rFonts w:hint="eastAsia" w:ascii="Times New Roman" w:hAnsi="Times New Roman" w:cs="仿宋_GB2312"/>
          <w:color w:val="auto"/>
          <w:kern w:val="2"/>
          <w:sz w:val="32"/>
          <w:szCs w:val="32"/>
          <w:highlight w:val="none"/>
          <w:lang w:eastAsia="zh-CN" w:bidi="ar"/>
        </w:rPr>
        <w:t>转</w:t>
      </w:r>
      <w:r>
        <w:rPr>
          <w:rFonts w:hint="eastAsia" w:ascii="Times New Roman" w:hAnsi="Times New Roman" w:cs="仿宋_GB2312"/>
          <w:color w:val="auto"/>
          <w:kern w:val="2"/>
          <w:sz w:val="32"/>
          <w:szCs w:val="32"/>
          <w:highlight w:val="none"/>
          <w:lang w:bidi="ar"/>
        </w:rPr>
        <w:t>分配下达县级有关项目实施单位，专项资金已足额及时到位，专项资金</w:t>
      </w:r>
      <w:r>
        <w:rPr>
          <w:rFonts w:hint="eastAsia" w:cs="仿宋_GB2312"/>
          <w:color w:val="auto"/>
          <w:kern w:val="2"/>
          <w:sz w:val="32"/>
          <w:szCs w:val="32"/>
          <w:highlight w:val="none"/>
          <w:lang w:eastAsia="zh-CN" w:bidi="ar"/>
        </w:rPr>
        <w:t>分配</w:t>
      </w:r>
      <w:r>
        <w:rPr>
          <w:rFonts w:hint="eastAsia" w:ascii="Times New Roman" w:hAnsi="Times New Roman" w:cs="仿宋_GB2312"/>
          <w:color w:val="auto"/>
          <w:kern w:val="2"/>
          <w:sz w:val="32"/>
          <w:szCs w:val="32"/>
          <w:highlight w:val="none"/>
          <w:lang w:bidi="ar"/>
        </w:rPr>
        <w:t>下达情况见表</w:t>
      </w:r>
      <w:r>
        <w:rPr>
          <w:rFonts w:hint="eastAsia" w:cs="仿宋_GB2312"/>
          <w:color w:val="auto"/>
          <w:kern w:val="2"/>
          <w:sz w:val="32"/>
          <w:szCs w:val="32"/>
          <w:highlight w:val="none"/>
          <w:lang w:val="en-US" w:eastAsia="zh-CN" w:bidi="ar"/>
        </w:rPr>
        <w:t>1</w:t>
      </w:r>
      <w:r>
        <w:rPr>
          <w:rFonts w:hint="eastAsia" w:ascii="Times New Roman" w:hAnsi="Times New Roman" w:cs="仿宋_GB2312"/>
          <w:color w:val="auto"/>
          <w:kern w:val="2"/>
          <w:sz w:val="32"/>
          <w:szCs w:val="32"/>
          <w:highlight w:val="none"/>
          <w:lang w:bidi="ar"/>
        </w:rPr>
        <w:t>-</w:t>
      </w:r>
      <w:r>
        <w:rPr>
          <w:rFonts w:hint="eastAsia" w:cs="仿宋_GB2312"/>
          <w:color w:val="auto"/>
          <w:kern w:val="2"/>
          <w:sz w:val="32"/>
          <w:szCs w:val="32"/>
          <w:highlight w:val="none"/>
          <w:lang w:val="en-US" w:eastAsia="zh-CN" w:bidi="ar"/>
        </w:rPr>
        <w:t>1</w:t>
      </w:r>
      <w:r>
        <w:rPr>
          <w:rFonts w:hint="eastAsia" w:ascii="Times New Roman" w:hAnsi="Times New Roman" w:cs="仿宋_GB2312"/>
          <w:color w:val="auto"/>
          <w:kern w:val="2"/>
          <w:sz w:val="32"/>
          <w:szCs w:val="32"/>
          <w:highlight w:val="none"/>
          <w:lang w:bidi="ar"/>
        </w:rPr>
        <w:t>。</w:t>
      </w:r>
    </w:p>
    <w:p w14:paraId="613B5124">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（2）资金分配。</w:t>
      </w:r>
      <w:r>
        <w:rPr>
          <w:rFonts w:hint="eastAsia" w:ascii="Times New Roman" w:hAnsi="Times New Roman"/>
          <w:color w:val="auto"/>
          <w:kern w:val="2"/>
          <w:sz w:val="32"/>
          <w:szCs w:val="32"/>
          <w:highlight w:val="none"/>
        </w:rPr>
        <w:t>指标</w:t>
      </w:r>
      <w:r>
        <w:rPr>
          <w:rFonts w:hint="eastAsia" w:ascii="Times New Roman" w:hAnsi="Times New Roman"/>
          <w:color w:val="auto"/>
          <w:kern w:val="2"/>
          <w:sz w:val="32"/>
          <w:szCs w:val="32"/>
          <w:highlight w:val="none"/>
          <w:lang w:eastAsia="zh-CN"/>
        </w:rPr>
        <w:t>分值</w:t>
      </w:r>
      <w:r>
        <w:rPr>
          <w:rFonts w:hint="eastAsia" w:ascii="Times New Roman" w:hAnsi="Times New Roman"/>
          <w:color w:val="auto"/>
          <w:kern w:val="2"/>
          <w:sz w:val="32"/>
          <w:szCs w:val="32"/>
          <w:highlight w:val="none"/>
        </w:rPr>
        <w:t>3分，自评得分3分，得分率100%。根据</w:t>
      </w:r>
      <w:r>
        <w:rPr>
          <w:rFonts w:hint="eastAsia" w:ascii="Times New Roman" w:hAnsi="Times New Roman" w:cs="仿宋_GB2312"/>
          <w:color w:val="auto"/>
          <w:kern w:val="2"/>
          <w:sz w:val="32"/>
          <w:szCs w:val="32"/>
          <w:highlight w:val="none"/>
          <w:lang w:bidi="ar"/>
        </w:rPr>
        <w:t>《2022年打好污染防治攻坚战-突出抓好水污染治理-城市水环境治理分配方案》</w:t>
      </w:r>
      <w:r>
        <w:rPr>
          <w:rFonts w:hint="eastAsia" w:ascii="Times New Roman" w:hAnsi="Times New Roman" w:cs="仿宋_GB2312"/>
          <w:color w:val="auto"/>
          <w:kern w:val="2"/>
          <w:sz w:val="32"/>
          <w:szCs w:val="32"/>
          <w:highlight w:val="none"/>
          <w:lang w:eastAsia="zh-CN" w:bidi="ar"/>
        </w:rPr>
        <w:t>《2022年省级城市水环境治理资金-海绵城市建设分配方案》</w:t>
      </w:r>
      <w:r>
        <w:rPr>
          <w:rFonts w:hint="eastAsia" w:ascii="Times New Roman" w:hAnsi="Times New Roman" w:cs="仿宋_GB2312"/>
          <w:color w:val="auto"/>
          <w:kern w:val="2"/>
          <w:sz w:val="32"/>
          <w:szCs w:val="32"/>
          <w:highlight w:val="none"/>
          <w:lang w:bidi="ar"/>
        </w:rPr>
        <w:t>等文件，</w:t>
      </w:r>
      <w:r>
        <w:rPr>
          <w:rFonts w:hint="eastAsia" w:ascii="Times New Roman" w:hAnsi="Times New Roman"/>
          <w:color w:val="auto"/>
          <w:kern w:val="2"/>
          <w:sz w:val="32"/>
          <w:szCs w:val="32"/>
          <w:highlight w:val="none"/>
          <w:lang w:bidi="ar"/>
        </w:rPr>
        <w:t>我厅采用因素法及项目制等分配方式，提出专项资金分配方案，经省财政厅审核并按省级财政资金预算管理程序分配下达到地市。资金分配明确、合理，主要用途</w:t>
      </w:r>
      <w:r>
        <w:rPr>
          <w:rFonts w:hint="eastAsia" w:ascii="Times New Roman" w:hAnsi="Times New Roman"/>
          <w:color w:val="auto"/>
          <w:kern w:val="2"/>
          <w:sz w:val="32"/>
          <w:szCs w:val="32"/>
          <w:highlight w:val="none"/>
          <w:lang w:val="en-US" w:eastAsia="zh-CN" w:bidi="ar"/>
        </w:rPr>
        <w:t>和对象</w:t>
      </w:r>
      <w:r>
        <w:rPr>
          <w:rFonts w:hint="eastAsia" w:ascii="Times New Roman" w:hAnsi="Times New Roman"/>
          <w:color w:val="auto"/>
          <w:kern w:val="2"/>
          <w:sz w:val="32"/>
          <w:szCs w:val="32"/>
          <w:highlight w:val="none"/>
          <w:lang w:bidi="ar"/>
        </w:rPr>
        <w:t>符合相关政策规定，较好地支持了各项工作的开展和年度绩效目标的实现</w:t>
      </w:r>
      <w:r>
        <w:rPr>
          <w:rFonts w:hint="eastAsia" w:ascii="Times New Roman" w:hAnsi="Times New Roman"/>
          <w:color w:val="auto"/>
          <w:kern w:val="2"/>
          <w:sz w:val="32"/>
          <w:szCs w:val="32"/>
          <w:highlight w:val="none"/>
          <w:lang w:eastAsia="zh-CN" w:bidi="ar"/>
        </w:rPr>
        <w:t>。</w:t>
      </w:r>
    </w:p>
    <w:p w14:paraId="124A3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41" w:name="_Toc24031"/>
      <w:bookmarkStart w:id="42" w:name="_Toc18617_WPSOffice_Level3"/>
      <w:bookmarkStart w:id="43" w:name="_Toc7393"/>
      <w:bookmarkStart w:id="44" w:name="_Toc30614"/>
      <w:bookmarkStart w:id="45" w:name="_Toc25760"/>
      <w:r>
        <w:rPr>
          <w:rFonts w:hint="eastAsia" w:ascii="Times New Roman" w:hAnsi="Times New Roman" w:eastAsia="楷体_GB2312" w:cs="仿宋"/>
          <w:b/>
          <w:bCs/>
          <w:color w:val="auto"/>
          <w:kern w:val="0"/>
          <w:sz w:val="32"/>
          <w:szCs w:val="32"/>
          <w:highlight w:val="none"/>
          <w:lang w:val="en-US" w:eastAsia="zh-CN"/>
        </w:rPr>
        <w:t>（二）过程分析</w:t>
      </w:r>
      <w:bookmarkEnd w:id="41"/>
      <w:bookmarkEnd w:id="42"/>
      <w:bookmarkEnd w:id="43"/>
      <w:bookmarkEnd w:id="44"/>
      <w:bookmarkEnd w:id="45"/>
    </w:p>
    <w:p w14:paraId="75CB67FE">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eastAsia" w:ascii="Times New Roman" w:hAnsi="Times New Roman" w:cs="Times New Roman"/>
          <w:color w:val="auto"/>
          <w:kern w:val="2"/>
          <w:sz w:val="32"/>
          <w:szCs w:val="32"/>
          <w:highlight w:val="none"/>
          <w:lang w:val="en-US" w:eastAsia="zh-CN" w:bidi="ar"/>
        </w:rPr>
      </w:pPr>
      <w:r>
        <w:rPr>
          <w:rFonts w:hint="eastAsia" w:ascii="Times New Roman" w:hAnsi="Times New Roman" w:cs="Times New Roman"/>
          <w:color w:val="auto"/>
          <w:kern w:val="2"/>
          <w:sz w:val="32"/>
          <w:szCs w:val="32"/>
          <w:highlight w:val="none"/>
          <w:lang w:bidi="ar"/>
        </w:rPr>
        <w:t>该指标主要从资金管理和事项管理两个方面考察项目资金支付情况，资金支出的规范性，项目实施的规范性和监管的有效性。指标分值20分，评价得分</w:t>
      </w:r>
      <w:r>
        <w:rPr>
          <w:rFonts w:hint="eastAsia" w:ascii="Times New Roman" w:hAnsi="Times New Roman" w:cs="Times New Roman"/>
          <w:color w:val="auto"/>
          <w:kern w:val="2"/>
          <w:sz w:val="32"/>
          <w:szCs w:val="32"/>
          <w:highlight w:val="none"/>
          <w:lang w:val="en-US" w:eastAsia="zh-CN" w:bidi="ar"/>
        </w:rPr>
        <w:t>17.73</w:t>
      </w:r>
      <w:r>
        <w:rPr>
          <w:rFonts w:hint="eastAsia" w:ascii="Times New Roman" w:hAnsi="Times New Roman" w:cs="Times New Roman"/>
          <w:color w:val="auto"/>
          <w:kern w:val="2"/>
          <w:sz w:val="32"/>
          <w:szCs w:val="32"/>
          <w:highlight w:val="none"/>
          <w:lang w:bidi="ar"/>
        </w:rPr>
        <w:t>分，得分率为</w:t>
      </w:r>
      <w:r>
        <w:rPr>
          <w:rFonts w:hint="eastAsia" w:ascii="Times New Roman" w:hAnsi="Times New Roman" w:cs="Times New Roman"/>
          <w:color w:val="auto"/>
          <w:kern w:val="2"/>
          <w:sz w:val="32"/>
          <w:szCs w:val="32"/>
          <w:highlight w:val="none"/>
          <w:lang w:val="en-US" w:eastAsia="zh-CN" w:bidi="ar"/>
        </w:rPr>
        <w:t>88.65</w:t>
      </w:r>
      <w:r>
        <w:rPr>
          <w:rFonts w:hint="eastAsia" w:ascii="Times New Roman" w:hAnsi="Times New Roman" w:cs="Times New Roman"/>
          <w:color w:val="auto"/>
          <w:kern w:val="2"/>
          <w:sz w:val="32"/>
          <w:szCs w:val="32"/>
          <w:highlight w:val="none"/>
          <w:lang w:bidi="ar"/>
        </w:rPr>
        <w:t>%。</w:t>
      </w:r>
    </w:p>
    <w:p w14:paraId="14C73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outlineLvl w:val="2"/>
        <w:rPr>
          <w:rFonts w:hint="eastAsia" w:ascii="Times New Roman" w:hAnsi="Times New Roman" w:eastAsia="仿宋_GB2312" w:cs="仿宋_GB2312"/>
          <w:b/>
          <w:bCs/>
          <w:color w:val="auto"/>
          <w:spacing w:val="0"/>
          <w:kern w:val="2"/>
          <w:sz w:val="32"/>
          <w:szCs w:val="32"/>
          <w:highlight w:val="none"/>
          <w:lang w:val="en-US" w:eastAsia="zh-CN"/>
        </w:rPr>
      </w:pPr>
      <w:bookmarkStart w:id="46" w:name="_Toc15585"/>
      <w:bookmarkStart w:id="47" w:name="_Toc18083"/>
      <w:bookmarkStart w:id="48" w:name="_Toc20548"/>
      <w:r>
        <w:rPr>
          <w:rFonts w:hint="eastAsia" w:ascii="Times New Roman" w:hAnsi="Times New Roman" w:eastAsia="仿宋_GB2312" w:cs="仿宋_GB2312"/>
          <w:b/>
          <w:bCs/>
          <w:color w:val="auto"/>
          <w:spacing w:val="0"/>
          <w:kern w:val="2"/>
          <w:sz w:val="32"/>
          <w:szCs w:val="32"/>
          <w:highlight w:val="none"/>
          <w:lang w:val="en-US" w:eastAsia="zh-CN"/>
        </w:rPr>
        <w:t>1.资金管理。</w:t>
      </w:r>
      <w:bookmarkEnd w:id="46"/>
      <w:r>
        <w:rPr>
          <w:rFonts w:hint="eastAsia" w:ascii="Times New Roman" w:hAnsi="Times New Roman" w:cs="仿宋_GB2312"/>
          <w:color w:val="auto"/>
          <w:kern w:val="2"/>
          <w:sz w:val="32"/>
          <w:szCs w:val="32"/>
          <w:highlight w:val="none"/>
          <w:lang w:bidi="ar"/>
        </w:rPr>
        <w:t>指标</w:t>
      </w:r>
      <w:r>
        <w:rPr>
          <w:rFonts w:hint="eastAsia" w:ascii="Times New Roman" w:hAnsi="Times New Roman" w:cs="仿宋_GB2312"/>
          <w:color w:val="auto"/>
          <w:kern w:val="2"/>
          <w:sz w:val="32"/>
          <w:szCs w:val="32"/>
          <w:highlight w:val="none"/>
          <w:lang w:eastAsia="zh-CN" w:bidi="ar"/>
        </w:rPr>
        <w:t>分值</w:t>
      </w:r>
      <w:r>
        <w:rPr>
          <w:rFonts w:hint="eastAsia" w:ascii="Times New Roman" w:hAnsi="Times New Roman" w:cs="仿宋_GB2312"/>
          <w:color w:val="auto"/>
          <w:kern w:val="2"/>
          <w:sz w:val="32"/>
          <w:szCs w:val="32"/>
          <w:highlight w:val="none"/>
          <w:lang w:val="en-US" w:eastAsia="zh-CN" w:bidi="ar"/>
        </w:rPr>
        <w:t>12</w:t>
      </w:r>
      <w:r>
        <w:rPr>
          <w:rFonts w:hint="eastAsia" w:ascii="Times New Roman" w:hAnsi="Times New Roman" w:cs="仿宋_GB2312"/>
          <w:color w:val="auto"/>
          <w:kern w:val="2"/>
          <w:sz w:val="32"/>
          <w:szCs w:val="32"/>
          <w:highlight w:val="none"/>
          <w:lang w:bidi="ar"/>
        </w:rPr>
        <w:t>分，自评得分</w:t>
      </w:r>
      <w:r>
        <w:rPr>
          <w:rFonts w:hint="eastAsia" w:ascii="Times New Roman" w:hAnsi="Times New Roman" w:cs="仿宋_GB2312"/>
          <w:color w:val="auto"/>
          <w:kern w:val="2"/>
          <w:sz w:val="32"/>
          <w:szCs w:val="32"/>
          <w:highlight w:val="none"/>
          <w:lang w:val="en-US" w:eastAsia="zh-CN" w:bidi="ar"/>
        </w:rPr>
        <w:t>9.73</w:t>
      </w:r>
      <w:r>
        <w:rPr>
          <w:rFonts w:hint="eastAsia" w:ascii="Times New Roman" w:hAnsi="Times New Roman" w:cs="仿宋_GB2312"/>
          <w:color w:val="auto"/>
          <w:kern w:val="2"/>
          <w:sz w:val="32"/>
          <w:szCs w:val="32"/>
          <w:highlight w:val="none"/>
          <w:lang w:bidi="ar"/>
        </w:rPr>
        <w:t>分，得分率</w:t>
      </w:r>
      <w:r>
        <w:rPr>
          <w:rFonts w:hint="eastAsia" w:cs="仿宋_GB2312"/>
          <w:color w:val="auto"/>
          <w:kern w:val="2"/>
          <w:sz w:val="32"/>
          <w:szCs w:val="32"/>
          <w:highlight w:val="none"/>
          <w:lang w:val="en-US" w:eastAsia="zh-CN" w:bidi="ar"/>
        </w:rPr>
        <w:t>81.08</w:t>
      </w:r>
      <w:r>
        <w:rPr>
          <w:rFonts w:hint="eastAsia" w:ascii="Times New Roman" w:hAnsi="Times New Roman" w:cs="仿宋_GB2312"/>
          <w:color w:val="auto"/>
          <w:kern w:val="2"/>
          <w:sz w:val="32"/>
          <w:szCs w:val="32"/>
          <w:highlight w:val="none"/>
          <w:lang w:bidi="ar"/>
        </w:rPr>
        <w:t>%。</w:t>
      </w:r>
      <w:bookmarkEnd w:id="47"/>
      <w:bookmarkEnd w:id="48"/>
    </w:p>
    <w:p w14:paraId="5C7CD967">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eastAsia" w:ascii="Times New Roman" w:hAnsi="Times New Roman" w:cs="仿宋_GB2312"/>
          <w:color w:val="auto"/>
          <w:kern w:val="2"/>
          <w:sz w:val="32"/>
          <w:szCs w:val="32"/>
          <w:highlight w:val="none"/>
          <w:lang w:eastAsia="zh-CN" w:bidi="ar"/>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
          <w:b w:val="0"/>
          <w:bCs w:val="0"/>
          <w:color w:val="auto"/>
          <w:spacing w:val="-6"/>
          <w:kern w:val="0"/>
          <w:sz w:val="32"/>
          <w:szCs w:val="32"/>
          <w:highlight w:val="none"/>
          <w:lang w:val="en-US" w:eastAsia="zh-CN"/>
        </w:rPr>
        <w:t>资金支付</w:t>
      </w:r>
      <w:r>
        <w:rPr>
          <w:rFonts w:hint="eastAsia" w:ascii="Times New Roman" w:hAnsi="Times New Roman" w:cs="仿宋_GB2312"/>
          <w:color w:val="auto"/>
          <w:kern w:val="2"/>
          <w:sz w:val="32"/>
          <w:szCs w:val="32"/>
          <w:highlight w:val="none"/>
          <w:lang w:val="en-US" w:eastAsia="zh-CN" w:bidi="ar"/>
        </w:rPr>
        <w:t>。</w:t>
      </w:r>
      <w:r>
        <w:rPr>
          <w:rFonts w:hint="eastAsia" w:ascii="Times New Roman" w:hAnsi="Times New Roman" w:cs="仿宋_GB2312"/>
          <w:color w:val="auto"/>
          <w:kern w:val="2"/>
          <w:sz w:val="32"/>
          <w:szCs w:val="32"/>
          <w:highlight w:val="none"/>
          <w:lang w:eastAsia="zh-CN" w:bidi="ar"/>
        </w:rPr>
        <w:t>指标分值6分，自评得分</w:t>
      </w:r>
      <w:r>
        <w:rPr>
          <w:rFonts w:hint="eastAsia" w:ascii="Times New Roman" w:hAnsi="Times New Roman" w:cs="仿宋_GB2312"/>
          <w:color w:val="auto"/>
          <w:kern w:val="2"/>
          <w:sz w:val="32"/>
          <w:szCs w:val="32"/>
          <w:highlight w:val="none"/>
          <w:lang w:val="en-US" w:eastAsia="zh-CN" w:bidi="ar"/>
        </w:rPr>
        <w:t>3.73</w:t>
      </w:r>
      <w:r>
        <w:rPr>
          <w:rFonts w:hint="eastAsia" w:ascii="Times New Roman" w:hAnsi="Times New Roman" w:cs="仿宋_GB2312"/>
          <w:color w:val="auto"/>
          <w:kern w:val="2"/>
          <w:sz w:val="32"/>
          <w:szCs w:val="32"/>
          <w:highlight w:val="none"/>
          <w:lang w:eastAsia="zh-CN" w:bidi="ar"/>
        </w:rPr>
        <w:t>分，得分率</w:t>
      </w:r>
      <w:r>
        <w:rPr>
          <w:rFonts w:hint="eastAsia" w:ascii="Times New Roman" w:hAnsi="Times New Roman" w:cs="仿宋_GB2312"/>
          <w:color w:val="auto"/>
          <w:kern w:val="2"/>
          <w:sz w:val="32"/>
          <w:szCs w:val="32"/>
          <w:highlight w:val="none"/>
          <w:lang w:val="en-US" w:eastAsia="zh-CN" w:bidi="ar"/>
        </w:rPr>
        <w:t>62.17</w:t>
      </w:r>
      <w:r>
        <w:rPr>
          <w:rFonts w:hint="eastAsia" w:ascii="Times New Roman" w:hAnsi="Times New Roman" w:cs="仿宋_GB2312"/>
          <w:color w:val="auto"/>
          <w:kern w:val="2"/>
          <w:sz w:val="32"/>
          <w:szCs w:val="32"/>
          <w:highlight w:val="none"/>
          <w:lang w:eastAsia="zh-CN" w:bidi="ar"/>
        </w:rPr>
        <w:t>%。根据有关地市专项资金支出情况汇总数据表，截至评价基准日，总体上各地能够按项目计划进度支付资金。实际下达资金</w:t>
      </w:r>
      <w:r>
        <w:rPr>
          <w:rFonts w:hint="eastAsia" w:ascii="Times New Roman" w:hAnsi="Times New Roman" w:cs="仿宋_GB2312"/>
          <w:color w:val="auto"/>
          <w:kern w:val="2"/>
          <w:sz w:val="32"/>
          <w:szCs w:val="32"/>
          <w:highlight w:val="none"/>
          <w:lang w:val="en-US" w:eastAsia="zh-CN" w:bidi="ar"/>
        </w:rPr>
        <w:t>28,000</w:t>
      </w:r>
      <w:r>
        <w:rPr>
          <w:rFonts w:hint="eastAsia" w:ascii="Times New Roman" w:hAnsi="Times New Roman" w:cs="仿宋_GB2312"/>
          <w:color w:val="auto"/>
          <w:kern w:val="2"/>
          <w:sz w:val="32"/>
          <w:szCs w:val="32"/>
          <w:highlight w:val="none"/>
          <w:lang w:eastAsia="zh-CN" w:bidi="ar"/>
        </w:rPr>
        <w:t>万元，实际支出</w:t>
      </w:r>
      <w:r>
        <w:rPr>
          <w:rFonts w:hint="eastAsia" w:ascii="Times New Roman" w:hAnsi="Times New Roman" w:cs="仿宋_GB2312"/>
          <w:color w:val="auto"/>
          <w:kern w:val="2"/>
          <w:sz w:val="32"/>
          <w:szCs w:val="32"/>
          <w:highlight w:val="none"/>
          <w:lang w:val="en-US" w:eastAsia="zh-CN" w:bidi="ar"/>
        </w:rPr>
        <w:t>17,401.10</w:t>
      </w:r>
      <w:r>
        <w:rPr>
          <w:rFonts w:hint="eastAsia" w:ascii="Times New Roman" w:hAnsi="Times New Roman" w:cs="仿宋_GB2312"/>
          <w:color w:val="auto"/>
          <w:kern w:val="2"/>
          <w:sz w:val="32"/>
          <w:szCs w:val="32"/>
          <w:highlight w:val="none"/>
          <w:lang w:eastAsia="zh-CN" w:bidi="ar"/>
        </w:rPr>
        <w:t>万元，整体支出率</w:t>
      </w:r>
      <w:r>
        <w:rPr>
          <w:rFonts w:hint="eastAsia" w:ascii="Times New Roman" w:hAnsi="Times New Roman" w:cs="仿宋_GB2312"/>
          <w:color w:val="auto"/>
          <w:kern w:val="2"/>
          <w:sz w:val="32"/>
          <w:szCs w:val="32"/>
          <w:highlight w:val="none"/>
          <w:lang w:val="en-US" w:eastAsia="zh-CN" w:bidi="ar"/>
        </w:rPr>
        <w:t>62.15</w:t>
      </w:r>
      <w:r>
        <w:rPr>
          <w:rFonts w:hint="eastAsia" w:ascii="Times New Roman" w:hAnsi="Times New Roman" w:cs="仿宋_GB2312"/>
          <w:color w:val="auto"/>
          <w:kern w:val="2"/>
          <w:sz w:val="32"/>
          <w:szCs w:val="32"/>
          <w:highlight w:val="none"/>
          <w:lang w:eastAsia="zh-CN" w:bidi="ar"/>
        </w:rPr>
        <w:t>%。</w:t>
      </w:r>
      <w:r>
        <w:rPr>
          <w:rFonts w:hint="eastAsia" w:ascii="Times New Roman" w:hAnsi="Times New Roman" w:cs="仿宋_GB2312"/>
          <w:color w:val="auto"/>
          <w:kern w:val="2"/>
          <w:sz w:val="32"/>
          <w:szCs w:val="32"/>
          <w:highlight w:val="none"/>
          <w:lang w:val="en-US" w:eastAsia="zh-CN" w:bidi="ar"/>
        </w:rPr>
        <w:t>资金支出金额和资金支出率</w:t>
      </w:r>
      <w:r>
        <w:rPr>
          <w:rFonts w:hint="eastAsia" w:ascii="Times New Roman" w:hAnsi="Times New Roman" w:cs="仿宋_GB2312"/>
          <w:color w:val="auto"/>
          <w:kern w:val="2"/>
          <w:sz w:val="32"/>
          <w:szCs w:val="32"/>
          <w:highlight w:val="none"/>
          <w:lang w:eastAsia="zh-CN" w:bidi="ar"/>
        </w:rPr>
        <w:t>情况见表</w:t>
      </w:r>
      <w:r>
        <w:rPr>
          <w:rFonts w:hint="eastAsia" w:cs="仿宋_GB2312"/>
          <w:color w:val="auto"/>
          <w:kern w:val="2"/>
          <w:sz w:val="32"/>
          <w:szCs w:val="32"/>
          <w:highlight w:val="none"/>
          <w:lang w:val="en-US" w:eastAsia="zh-CN" w:bidi="ar"/>
        </w:rPr>
        <w:t>1</w:t>
      </w:r>
      <w:r>
        <w:rPr>
          <w:rFonts w:hint="eastAsia" w:ascii="Times New Roman" w:hAnsi="Times New Roman" w:cs="仿宋_GB2312"/>
          <w:color w:val="auto"/>
          <w:kern w:val="2"/>
          <w:sz w:val="32"/>
          <w:szCs w:val="32"/>
          <w:highlight w:val="none"/>
          <w:lang w:eastAsia="zh-CN" w:bidi="ar"/>
        </w:rPr>
        <w:t>-</w:t>
      </w:r>
      <w:r>
        <w:rPr>
          <w:rFonts w:hint="eastAsia" w:cs="仿宋_GB2312"/>
          <w:color w:val="auto"/>
          <w:kern w:val="2"/>
          <w:sz w:val="32"/>
          <w:szCs w:val="32"/>
          <w:highlight w:val="none"/>
          <w:lang w:val="en-US" w:eastAsia="zh-CN" w:bidi="ar"/>
        </w:rPr>
        <w:t>1</w:t>
      </w:r>
      <w:r>
        <w:rPr>
          <w:rFonts w:hint="eastAsia" w:ascii="Times New Roman" w:hAnsi="Times New Roman" w:cs="仿宋_GB2312"/>
          <w:color w:val="auto"/>
          <w:kern w:val="2"/>
          <w:sz w:val="32"/>
          <w:szCs w:val="32"/>
          <w:highlight w:val="none"/>
          <w:lang w:val="en-US" w:eastAsia="zh-CN" w:bidi="ar"/>
        </w:rPr>
        <w:t>。</w:t>
      </w:r>
    </w:p>
    <w:p w14:paraId="4E062145">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肇庆、梅州、湛江市等地市支出率较低，分别为10.64%、18.97%、21.76%。如肇庆市端州城区雨污管网和城市排水防涝系统排查项目、梅州市梅县区海绵城市建设项目、湛江市霞山区水务中心项目、韶关市浈江区五里亭片区碧桂园五湾公路内涝治理工程等多个项目未发生支出。</w:t>
      </w:r>
    </w:p>
    <w:p w14:paraId="577CC308">
      <w:pPr>
        <w:pStyle w:val="16"/>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default" w:ascii="Times New Roman" w:hAnsi="Times New Roman"/>
          <w:b w:val="0"/>
          <w:bCs w:val="0"/>
          <w:color w:val="auto"/>
          <w:kern w:val="2"/>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
          <w:b w:val="0"/>
          <w:bCs w:val="0"/>
          <w:color w:val="auto"/>
          <w:spacing w:val="-6"/>
          <w:kern w:val="0"/>
          <w:sz w:val="32"/>
          <w:szCs w:val="32"/>
          <w:highlight w:val="none"/>
          <w:lang w:val="en-US" w:eastAsia="zh-CN"/>
        </w:rPr>
        <w:t>支出规范性。</w:t>
      </w:r>
      <w:r>
        <w:rPr>
          <w:rFonts w:hint="eastAsia" w:ascii="Times New Roman" w:hAnsi="Times New Roman"/>
          <w:color w:val="auto"/>
          <w:sz w:val="32"/>
          <w:szCs w:val="32"/>
          <w:highlight w:val="none"/>
        </w:rPr>
        <w:t>指标分值6</w:t>
      </w:r>
      <w:r>
        <w:rPr>
          <w:rFonts w:ascii="Times New Roman" w:hAnsi="Times New Roman"/>
          <w:color w:val="auto"/>
          <w:sz w:val="32"/>
          <w:szCs w:val="32"/>
          <w:highlight w:val="none"/>
        </w:rPr>
        <w:t>分，评价得分</w:t>
      </w:r>
      <w:r>
        <w:rPr>
          <w:rFonts w:hint="eastAsia" w:ascii="Times New Roman" w:hAnsi="Times New Roman"/>
          <w:color w:val="auto"/>
          <w:sz w:val="32"/>
          <w:szCs w:val="32"/>
          <w:highlight w:val="none"/>
        </w:rPr>
        <w:t>6</w:t>
      </w:r>
      <w:r>
        <w:rPr>
          <w:rFonts w:ascii="Times New Roman" w:hAnsi="Times New Roman"/>
          <w:color w:val="auto"/>
          <w:sz w:val="32"/>
          <w:szCs w:val="32"/>
          <w:highlight w:val="none"/>
        </w:rPr>
        <w:t>分，得分率为</w:t>
      </w:r>
      <w:r>
        <w:rPr>
          <w:rFonts w:hint="eastAsia" w:ascii="Times New Roman" w:hAnsi="Times New Roman"/>
          <w:color w:val="auto"/>
          <w:sz w:val="32"/>
          <w:szCs w:val="32"/>
          <w:highlight w:val="none"/>
        </w:rPr>
        <w:t>100</w:t>
      </w:r>
      <w:r>
        <w:rPr>
          <w:rFonts w:ascii="Times New Roman" w:hAnsi="Times New Roman"/>
          <w:color w:val="auto"/>
          <w:sz w:val="32"/>
          <w:szCs w:val="32"/>
          <w:highlight w:val="none"/>
        </w:rPr>
        <w:t>%。</w:t>
      </w:r>
      <w:r>
        <w:rPr>
          <w:rFonts w:hint="eastAsia" w:ascii="Times New Roman" w:hAnsi="Times New Roman"/>
          <w:color w:val="auto"/>
          <w:sz w:val="32"/>
          <w:szCs w:val="32"/>
          <w:highlight w:val="none"/>
        </w:rPr>
        <w:t>有关</w:t>
      </w:r>
      <w:r>
        <w:rPr>
          <w:rFonts w:hint="eastAsia" w:ascii="Times New Roman" w:hAnsi="Times New Roman"/>
          <w:color w:val="auto"/>
          <w:sz w:val="32"/>
          <w:highlight w:val="none"/>
        </w:rPr>
        <w:t>单位和地市按照省级财政专项资金管理办法和财务制度规定，做好资金申报审核审批、资金支付，按照批准的采购方式和结算方式列支，未发现虚列支出、截留、挤占、挪用资金的情况。</w:t>
      </w:r>
    </w:p>
    <w:p w14:paraId="487C8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outlineLvl w:val="2"/>
        <w:rPr>
          <w:rFonts w:ascii="Times New Roman" w:hAnsi="Times New Roman"/>
          <w:color w:val="auto"/>
          <w:sz w:val="32"/>
          <w:szCs w:val="32"/>
          <w:highlight w:val="none"/>
        </w:rPr>
      </w:pPr>
      <w:bookmarkStart w:id="49" w:name="_Toc19679"/>
      <w:bookmarkStart w:id="50" w:name="_Toc2206"/>
      <w:bookmarkStart w:id="51" w:name="_Toc11918"/>
      <w:r>
        <w:rPr>
          <w:rFonts w:hint="eastAsia" w:ascii="Times New Roman" w:hAnsi="Times New Roman" w:eastAsia="仿宋_GB2312" w:cs="仿宋_GB2312"/>
          <w:b/>
          <w:bCs/>
          <w:color w:val="auto"/>
          <w:sz w:val="32"/>
          <w:szCs w:val="32"/>
          <w:highlight w:val="none"/>
          <w:lang w:val="en-US" w:eastAsia="zh-CN"/>
        </w:rPr>
        <w:t>2.事项管理。</w:t>
      </w:r>
      <w:bookmarkEnd w:id="49"/>
      <w:bookmarkStart w:id="52" w:name="_Toc16716_WPSOffice_Level2"/>
      <w:bookmarkStart w:id="53" w:name="_Toc2846"/>
      <w:bookmarkStart w:id="54" w:name="_Toc23978"/>
      <w:bookmarkStart w:id="55" w:name="_Toc11833"/>
      <w:bookmarkStart w:id="56" w:name="_Toc29977_WPSOffice_Level3"/>
      <w:r>
        <w:rPr>
          <w:rFonts w:hint="eastAsia" w:ascii="Times New Roman" w:hAnsi="Times New Roman" w:cs="Times New Roman"/>
          <w:color w:val="auto"/>
          <w:sz w:val="32"/>
          <w:szCs w:val="32"/>
          <w:highlight w:val="none"/>
        </w:rPr>
        <w:t>指标</w:t>
      </w:r>
      <w:r>
        <w:rPr>
          <w:rFonts w:hint="eastAsia" w:ascii="Times New Roman" w:hAnsi="Times New Roman" w:cs="Times New Roman"/>
          <w:color w:val="auto"/>
          <w:sz w:val="32"/>
          <w:szCs w:val="32"/>
          <w:highlight w:val="none"/>
          <w:lang w:eastAsia="zh-CN"/>
        </w:rPr>
        <w:t>分值</w:t>
      </w:r>
      <w:r>
        <w:rPr>
          <w:rFonts w:hint="eastAsia" w:ascii="Times New Roman" w:hAnsi="Times New Roman" w:cs="Times New Roman"/>
          <w:color w:val="auto"/>
          <w:sz w:val="32"/>
          <w:szCs w:val="32"/>
          <w:highlight w:val="none"/>
          <w:lang w:val="en-US" w:eastAsia="zh-CN"/>
        </w:rPr>
        <w:t>8</w:t>
      </w:r>
      <w:r>
        <w:rPr>
          <w:rFonts w:hint="eastAsia" w:ascii="Times New Roman" w:hAnsi="Times New Roman" w:cs="Times New Roman"/>
          <w:color w:val="auto"/>
          <w:sz w:val="32"/>
          <w:szCs w:val="32"/>
          <w:highlight w:val="none"/>
        </w:rPr>
        <w:t>分，自评得分</w:t>
      </w:r>
      <w:r>
        <w:rPr>
          <w:rFonts w:hint="eastAsia" w:ascii="Times New Roman" w:hAnsi="Times New Roman" w:cs="Times New Roman"/>
          <w:color w:val="auto"/>
          <w:sz w:val="32"/>
          <w:szCs w:val="32"/>
          <w:highlight w:val="none"/>
          <w:lang w:val="en-US" w:eastAsia="zh-CN"/>
        </w:rPr>
        <w:t>8</w:t>
      </w:r>
      <w:r>
        <w:rPr>
          <w:rFonts w:hint="eastAsia" w:ascii="Times New Roman" w:hAnsi="Times New Roman" w:cs="Times New Roman"/>
          <w:color w:val="auto"/>
          <w:sz w:val="32"/>
          <w:szCs w:val="32"/>
          <w:highlight w:val="none"/>
        </w:rPr>
        <w:t>分，得分率</w:t>
      </w:r>
      <w:r>
        <w:rPr>
          <w:rFonts w:hint="eastAsia" w:ascii="Times New Roman" w:hAnsi="Times New Roman" w:cs="Times New Roman"/>
          <w:color w:val="auto"/>
          <w:sz w:val="32"/>
          <w:szCs w:val="32"/>
          <w:highlight w:val="none"/>
          <w:lang w:val="en-US" w:eastAsia="zh-CN"/>
        </w:rPr>
        <w:t>100</w:t>
      </w:r>
      <w:r>
        <w:rPr>
          <w:rFonts w:hint="eastAsia" w:ascii="Times New Roman" w:hAnsi="Times New Roman" w:cs="Times New Roman"/>
          <w:color w:val="auto"/>
          <w:sz w:val="32"/>
          <w:szCs w:val="32"/>
          <w:highlight w:val="none"/>
        </w:rPr>
        <w:t>%。</w:t>
      </w:r>
      <w:bookmarkEnd w:id="50"/>
      <w:bookmarkEnd w:id="51"/>
    </w:p>
    <w:p w14:paraId="5B2F0AC7">
      <w:pPr>
        <w:spacing w:line="360" w:lineRule="auto"/>
        <w:ind w:firstLine="640" w:firstLineChars="200"/>
        <w:rPr>
          <w:rFonts w:hint="eastAsia"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rPr>
        <w:t>实施程序。指标</w:t>
      </w:r>
      <w:r>
        <w:rPr>
          <w:rFonts w:hint="eastAsia" w:ascii="Times New Roman" w:hAnsi="Times New Roman" w:cs="Times New Roman"/>
          <w:color w:val="auto"/>
          <w:sz w:val="32"/>
          <w:szCs w:val="32"/>
          <w:highlight w:val="none"/>
          <w:lang w:eastAsia="zh-CN"/>
        </w:rPr>
        <w:t>分值</w:t>
      </w:r>
      <w:r>
        <w:rPr>
          <w:rFonts w:hint="eastAsia" w:ascii="Times New Roman" w:hAnsi="Times New Roman" w:cs="Times New Roman"/>
          <w:color w:val="auto"/>
          <w:sz w:val="32"/>
          <w:szCs w:val="32"/>
          <w:highlight w:val="none"/>
        </w:rPr>
        <w:t>4分，自评得分</w:t>
      </w:r>
      <w:r>
        <w:rPr>
          <w:rFonts w:hint="eastAsia" w:ascii="Times New Roman" w:hAnsi="Times New Roman" w:cs="Times New Roman"/>
          <w:color w:val="auto"/>
          <w:sz w:val="32"/>
          <w:szCs w:val="32"/>
          <w:highlight w:val="none"/>
          <w:lang w:val="en-US" w:eastAsia="zh-CN"/>
        </w:rPr>
        <w:t>4</w:t>
      </w:r>
      <w:r>
        <w:rPr>
          <w:rFonts w:hint="eastAsia" w:ascii="Times New Roman" w:hAnsi="Times New Roman" w:cs="Times New Roman"/>
          <w:color w:val="auto"/>
          <w:sz w:val="32"/>
          <w:szCs w:val="32"/>
          <w:highlight w:val="none"/>
        </w:rPr>
        <w:t>分，得分率</w:t>
      </w:r>
      <w:r>
        <w:rPr>
          <w:rFonts w:hint="eastAsia" w:ascii="Times New Roman" w:hAnsi="Times New Roman" w:cs="Times New Roman"/>
          <w:color w:val="auto"/>
          <w:sz w:val="32"/>
          <w:szCs w:val="32"/>
          <w:highlight w:val="none"/>
          <w:lang w:val="en-US" w:eastAsia="zh-CN"/>
        </w:rPr>
        <w:t>100</w:t>
      </w:r>
      <w:r>
        <w:rPr>
          <w:rFonts w:hint="eastAsia"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eastAsia="zh-CN"/>
        </w:rPr>
        <w:t>专项资金预算和任务清单下达后，有关地市按照</w:t>
      </w:r>
      <w:r>
        <w:rPr>
          <w:rFonts w:hint="eastAsia" w:ascii="Times New Roman" w:hAnsi="Times New Roman" w:cs="Times New Roman"/>
          <w:color w:val="auto"/>
          <w:sz w:val="32"/>
          <w:szCs w:val="32"/>
          <w:highlight w:val="none"/>
        </w:rPr>
        <w:t>《广东省财政厅 广东省住房和城乡建设厅关于印发广东省住房和城乡建设领域专项资金管理办法的通知》</w:t>
      </w:r>
      <w:r>
        <w:rPr>
          <w:rFonts w:hint="eastAsia" w:ascii="Times New Roman" w:hAnsi="Times New Roman" w:cs="Times New Roman"/>
          <w:color w:val="auto"/>
          <w:sz w:val="32"/>
          <w:szCs w:val="32"/>
          <w:highlight w:val="none"/>
          <w:lang w:eastAsia="zh-CN"/>
        </w:rPr>
        <w:t>等管理制度</w:t>
      </w:r>
      <w:r>
        <w:rPr>
          <w:rFonts w:hint="eastAsia" w:ascii="Times New Roman" w:hAnsi="Times New Roman" w:cs="Times New Roman"/>
          <w:color w:val="auto"/>
          <w:sz w:val="32"/>
          <w:szCs w:val="32"/>
          <w:highlight w:val="none"/>
        </w:rPr>
        <w:t>，按程序推进项目实施。有关项目实施单位能够按照要求开展</w:t>
      </w:r>
      <w:r>
        <w:rPr>
          <w:rFonts w:hint="eastAsia" w:cs="Times New Roman"/>
          <w:color w:val="auto"/>
          <w:sz w:val="32"/>
          <w:szCs w:val="32"/>
          <w:highlight w:val="none"/>
          <w:lang w:eastAsia="zh-CN"/>
        </w:rPr>
        <w:t>工作</w:t>
      </w:r>
      <w:r>
        <w:rPr>
          <w:rFonts w:hint="eastAsia" w:ascii="Times New Roman" w:hAnsi="Times New Roman" w:cs="Times New Roman"/>
          <w:color w:val="auto"/>
          <w:sz w:val="32"/>
          <w:szCs w:val="32"/>
          <w:highlight w:val="none"/>
        </w:rPr>
        <w:t>，项目完成后按规定</w:t>
      </w:r>
      <w:r>
        <w:rPr>
          <w:rFonts w:hint="eastAsia" w:cs="Times New Roman"/>
          <w:color w:val="auto"/>
          <w:sz w:val="32"/>
          <w:szCs w:val="32"/>
          <w:highlight w:val="none"/>
          <w:lang w:eastAsia="zh-CN"/>
        </w:rPr>
        <w:t>进行</w:t>
      </w:r>
      <w:r>
        <w:rPr>
          <w:rFonts w:hint="eastAsia" w:ascii="Times New Roman" w:hAnsi="Times New Roman" w:cs="Times New Roman"/>
          <w:color w:val="auto"/>
          <w:sz w:val="32"/>
          <w:szCs w:val="32"/>
          <w:highlight w:val="none"/>
        </w:rPr>
        <w:t>验收。</w:t>
      </w:r>
    </w:p>
    <w:p w14:paraId="5D46F510">
      <w:pPr>
        <w:pStyle w:val="12"/>
        <w:spacing w:line="360" w:lineRule="auto"/>
        <w:ind w:firstLine="640" w:firstLineChars="200"/>
        <w:rPr>
          <w:rFonts w:ascii="Times New Roman" w:hAnsi="Times New Roman" w:cs="仿宋_GB2312"/>
          <w:color w:val="auto"/>
          <w:sz w:val="32"/>
          <w:szCs w:val="32"/>
          <w:highlight w:val="none"/>
          <w:lang w:bidi="ar"/>
        </w:rPr>
      </w:pPr>
      <w:r>
        <w:rPr>
          <w:rFonts w:hint="eastAsia" w:ascii="Times New Roman" w:hAnsi="Times New Roman" w:cs="仿宋_GB2312"/>
          <w:color w:val="auto"/>
          <w:sz w:val="32"/>
          <w:szCs w:val="32"/>
          <w:highlight w:val="none"/>
          <w:lang w:bidi="ar"/>
        </w:rPr>
        <w:t>（2）</w:t>
      </w:r>
      <w:r>
        <w:rPr>
          <w:rFonts w:hint="eastAsia" w:ascii="Times New Roman" w:hAnsi="Times New Roman" w:cs="仿宋_GB2312"/>
          <w:color w:val="auto"/>
          <w:sz w:val="32"/>
          <w:szCs w:val="32"/>
          <w:highlight w:val="none"/>
        </w:rPr>
        <w:t>管理情况。</w:t>
      </w: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bidi="ar"/>
        </w:rPr>
        <w:t>4分，自评得分</w:t>
      </w:r>
      <w:r>
        <w:rPr>
          <w:rFonts w:hint="eastAsia" w:ascii="Times New Roman" w:hAnsi="Times New Roman" w:cs="仿宋_GB2312"/>
          <w:color w:val="auto"/>
          <w:sz w:val="32"/>
          <w:szCs w:val="32"/>
          <w:highlight w:val="none"/>
          <w:lang w:val="en-US" w:eastAsia="zh-CN" w:bidi="ar"/>
        </w:rPr>
        <w:t>4</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%。我厅认真落实监管责任，有关业务处室按职责分工，</w:t>
      </w:r>
      <w:r>
        <w:rPr>
          <w:rFonts w:hint="eastAsia" w:ascii="Times New Roman" w:hAnsi="Times New Roman" w:cs="仿宋_GB2312"/>
          <w:color w:val="auto"/>
          <w:sz w:val="32"/>
          <w:szCs w:val="32"/>
          <w:highlight w:val="none"/>
          <w:lang w:val="en-US" w:eastAsia="zh-CN" w:bidi="ar"/>
        </w:rPr>
        <w:t>根据</w:t>
      </w:r>
      <w:r>
        <w:rPr>
          <w:rFonts w:hint="eastAsia" w:ascii="Times New Roman" w:hAnsi="Times New Roman" w:cs="仿宋_GB2312"/>
          <w:color w:val="auto"/>
          <w:sz w:val="32"/>
          <w:szCs w:val="32"/>
          <w:highlight w:val="none"/>
          <w:lang w:bidi="ar"/>
        </w:rPr>
        <w:t>对各项政策任务和具体项目实施过程积极开展检查、监控，发现问题及时督促整改。项目实施单位严格按照管理制度要求，做好项目管理，保证专款专用，完成项目目标任务。</w:t>
      </w:r>
    </w:p>
    <w:p w14:paraId="6BB62FBD">
      <w:pPr>
        <w:numPr>
          <w:ilvl w:val="0"/>
          <w:numId w:val="0"/>
        </w:numPr>
        <w:ind w:firstLine="643" w:firstLineChars="200"/>
        <w:outlineLvl w:val="1"/>
        <w:rPr>
          <w:rFonts w:hint="eastAsia" w:ascii="Times New Roman" w:hAnsi="Times New Roman" w:eastAsia="楷体_GB2312" w:cs="仿宋"/>
          <w:b/>
          <w:bCs/>
          <w:color w:val="auto"/>
          <w:kern w:val="0"/>
          <w:sz w:val="32"/>
          <w:szCs w:val="32"/>
          <w:highlight w:val="none"/>
          <w:lang w:val="en-US" w:eastAsia="zh-CN"/>
        </w:rPr>
      </w:pPr>
      <w:bookmarkStart w:id="57" w:name="_Toc12093"/>
      <w:r>
        <w:rPr>
          <w:rFonts w:hint="eastAsia" w:ascii="Times New Roman" w:hAnsi="Times New Roman" w:eastAsia="楷体_GB2312" w:cs="仿宋"/>
          <w:b/>
          <w:bCs/>
          <w:color w:val="auto"/>
          <w:kern w:val="0"/>
          <w:sz w:val="32"/>
          <w:szCs w:val="32"/>
          <w:highlight w:val="none"/>
          <w:lang w:val="en-US" w:eastAsia="zh-CN"/>
        </w:rPr>
        <w:t>（三）产出分析</w:t>
      </w:r>
      <w:bookmarkEnd w:id="52"/>
      <w:bookmarkEnd w:id="53"/>
      <w:bookmarkEnd w:id="54"/>
      <w:bookmarkEnd w:id="55"/>
      <w:bookmarkEnd w:id="56"/>
      <w:bookmarkEnd w:id="57"/>
    </w:p>
    <w:p w14:paraId="67AE5F69">
      <w:pPr>
        <w:numPr>
          <w:ilvl w:val="0"/>
          <w:numId w:val="0"/>
        </w:numPr>
        <w:ind w:firstLine="643" w:firstLineChars="200"/>
        <w:outlineLvl w:val="1"/>
        <w:rPr>
          <w:rFonts w:hint="eastAsia" w:ascii="Times New Roman" w:hAnsi="Times New Roman" w:eastAsia="楷体_GB2312" w:cs="仿宋"/>
          <w:b/>
          <w:bCs/>
          <w:color w:val="auto"/>
          <w:kern w:val="0"/>
          <w:sz w:val="32"/>
          <w:szCs w:val="32"/>
          <w:highlight w:val="none"/>
          <w:lang w:val="en-US" w:eastAsia="zh-CN"/>
        </w:rPr>
      </w:pPr>
      <w:bookmarkStart w:id="58" w:name="_Toc7416"/>
      <w:r>
        <w:rPr>
          <w:rFonts w:hint="eastAsia" w:ascii="Times New Roman" w:hAnsi="Times New Roman" w:cs="仿宋_GB2312"/>
          <w:b/>
          <w:bCs/>
          <w:color w:val="auto"/>
          <w:spacing w:val="0"/>
          <w:kern w:val="2"/>
          <w:sz w:val="32"/>
          <w:szCs w:val="32"/>
          <w:highlight w:val="none"/>
          <w:lang w:val="en-US" w:eastAsia="zh-CN"/>
        </w:rPr>
        <w:t>（</w:t>
      </w:r>
      <w:r>
        <w:rPr>
          <w:rFonts w:hint="eastAsia" w:ascii="Times New Roman" w:hAnsi="Times New Roman" w:cs="Times New Roman"/>
          <w:color w:val="auto"/>
          <w:sz w:val="32"/>
          <w:szCs w:val="32"/>
          <w:highlight w:val="none"/>
          <w:lang w:val="en-US" w:eastAsia="zh-CN" w:bidi="ar"/>
        </w:rPr>
        <w:t>海绵城市省级补助资金项目的产出指标完成情况详见附件</w:t>
      </w:r>
      <w:r>
        <w:rPr>
          <w:rFonts w:hint="eastAsia" w:cs="Times New Roman"/>
          <w:color w:val="auto"/>
          <w:sz w:val="32"/>
          <w:szCs w:val="32"/>
          <w:highlight w:val="none"/>
          <w:lang w:val="en-US" w:eastAsia="zh-CN" w:bidi="ar"/>
        </w:rPr>
        <w:t>3、4、5</w:t>
      </w:r>
      <w:r>
        <w:rPr>
          <w:rFonts w:hint="eastAsia" w:ascii="Times New Roman" w:hAnsi="Times New Roman" w:cs="仿宋_GB2312"/>
          <w:b/>
          <w:bCs/>
          <w:color w:val="auto"/>
          <w:spacing w:val="0"/>
          <w:kern w:val="2"/>
          <w:sz w:val="32"/>
          <w:szCs w:val="32"/>
          <w:highlight w:val="none"/>
          <w:lang w:val="en-US" w:eastAsia="zh-CN"/>
        </w:rPr>
        <w:t>）</w:t>
      </w:r>
      <w:bookmarkEnd w:id="58"/>
    </w:p>
    <w:p w14:paraId="79EB64AC">
      <w:pPr>
        <w:pStyle w:val="12"/>
        <w:spacing w:line="360" w:lineRule="auto"/>
        <w:ind w:firstLine="640" w:firstLineChars="200"/>
        <w:rPr>
          <w:rFonts w:hint="default"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该指标包括数量、质量、时效、成本指标。</w:t>
      </w: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30</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30</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p>
    <w:p w14:paraId="71CE87E1">
      <w:pPr>
        <w:numPr>
          <w:ilvl w:val="0"/>
          <w:numId w:val="0"/>
        </w:numPr>
        <w:ind w:firstLine="643" w:firstLineChars="200"/>
        <w:rPr>
          <w:rFonts w:hint="eastAsia" w:ascii="Times New Roman" w:hAnsi="Times New Roman" w:eastAsia="仿宋_GB2312" w:cs="仿宋_GB2312"/>
          <w:b/>
          <w:bCs/>
          <w:color w:val="auto"/>
          <w:spacing w:val="0"/>
          <w:kern w:val="2"/>
          <w:sz w:val="32"/>
          <w:szCs w:val="32"/>
          <w:highlight w:val="none"/>
          <w:lang w:val="en-US" w:eastAsia="zh-CN"/>
        </w:rPr>
      </w:pPr>
      <w:r>
        <w:rPr>
          <w:rFonts w:hint="eastAsia" w:ascii="Times New Roman" w:hAnsi="Times New Roman" w:eastAsia="仿宋_GB2312" w:cs="仿宋_GB2312"/>
          <w:b/>
          <w:bCs/>
          <w:color w:val="auto"/>
          <w:spacing w:val="0"/>
          <w:kern w:val="2"/>
          <w:sz w:val="32"/>
          <w:szCs w:val="32"/>
          <w:highlight w:val="none"/>
          <w:lang w:val="en-US" w:eastAsia="zh-CN"/>
        </w:rPr>
        <w:t>1.数量指标。</w:t>
      </w:r>
    </w:p>
    <w:p w14:paraId="23CCB112">
      <w:pPr>
        <w:pStyle w:val="12"/>
        <w:spacing w:line="360" w:lineRule="auto"/>
        <w:ind w:firstLine="640" w:firstLineChars="200"/>
        <w:rPr>
          <w:rFonts w:hint="eastAsia" w:ascii="Times New Roman" w:hAnsi="Times New Roman" w:cs="仿宋_GB2312"/>
          <w:color w:val="auto"/>
          <w:sz w:val="32"/>
          <w:szCs w:val="32"/>
          <w:highlight w:val="none"/>
          <w:lang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12</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12</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p>
    <w:p w14:paraId="2CFD25EE">
      <w:pPr>
        <w:pStyle w:val="12"/>
        <w:numPr>
          <w:ilvl w:val="0"/>
          <w:numId w:val="1"/>
        </w:numPr>
        <w:spacing w:line="360" w:lineRule="auto"/>
        <w:ind w:firstLine="640" w:firstLineChars="200"/>
        <w:rPr>
          <w:rFonts w:hint="eastAsia" w:cs="仿宋_GB2312"/>
          <w:color w:val="auto"/>
          <w:sz w:val="32"/>
          <w:szCs w:val="32"/>
          <w:highlight w:val="none"/>
          <w:lang w:val="en-US" w:eastAsia="zh-CN" w:bidi="ar"/>
        </w:rPr>
      </w:pPr>
      <w:r>
        <w:rPr>
          <w:rFonts w:hint="eastAsia" w:cs="仿宋_GB2312"/>
          <w:color w:val="auto"/>
          <w:sz w:val="32"/>
          <w:szCs w:val="32"/>
          <w:highlight w:val="none"/>
          <w:lang w:val="en-US" w:eastAsia="zh-CN" w:bidi="ar"/>
        </w:rPr>
        <w:t>梅州、东莞、中山3个</w:t>
      </w:r>
      <w:r>
        <w:rPr>
          <w:rFonts w:hint="eastAsia" w:ascii="Times New Roman" w:hAnsi="Times New Roman" w:cs="仿宋_GB2312"/>
          <w:color w:val="auto"/>
          <w:sz w:val="32"/>
          <w:szCs w:val="32"/>
          <w:highlight w:val="none"/>
          <w:lang w:val="en-US" w:eastAsia="zh-CN" w:bidi="ar"/>
        </w:rPr>
        <w:t>地市2022年</w:t>
      </w:r>
      <w:r>
        <w:rPr>
          <w:rFonts w:hint="eastAsia" w:cs="仿宋_GB2312"/>
          <w:color w:val="auto"/>
          <w:sz w:val="32"/>
          <w:szCs w:val="32"/>
          <w:highlight w:val="none"/>
          <w:lang w:val="en-US" w:eastAsia="zh-CN" w:bidi="ar"/>
        </w:rPr>
        <w:t>达标海绵建设标准面积占建成区面积比例</w:t>
      </w:r>
      <w:r>
        <w:rPr>
          <w:rFonts w:hint="eastAsia" w:ascii="Times New Roman" w:hAnsi="Times New Roman" w:cs="仿宋_GB2312"/>
          <w:color w:val="auto"/>
          <w:sz w:val="32"/>
          <w:szCs w:val="32"/>
          <w:highlight w:val="none"/>
          <w:lang w:val="en-US" w:eastAsia="zh-CN" w:bidi="ar"/>
        </w:rPr>
        <w:t>较上年有所增长。2022年海绵城市建成面积达城市建成区面积</w:t>
      </w:r>
      <w:r>
        <w:rPr>
          <w:rFonts w:hint="eastAsia" w:cs="仿宋_GB2312"/>
          <w:color w:val="auto"/>
          <w:sz w:val="32"/>
          <w:szCs w:val="32"/>
          <w:highlight w:val="none"/>
          <w:lang w:val="en-US" w:eastAsia="zh-CN" w:bidi="ar"/>
        </w:rPr>
        <w:t>比例平均为38.98%，</w:t>
      </w:r>
      <w:r>
        <w:rPr>
          <w:rFonts w:hint="eastAsia" w:ascii="Times New Roman" w:hAnsi="Times New Roman" w:cs="仿宋_GB2312"/>
          <w:color w:val="auto"/>
          <w:sz w:val="32"/>
          <w:szCs w:val="32"/>
          <w:highlight w:val="none"/>
          <w:lang w:val="en-US" w:eastAsia="zh-CN" w:bidi="ar"/>
        </w:rPr>
        <w:t>2022年较2021年增长9.</w:t>
      </w:r>
      <w:r>
        <w:rPr>
          <w:rFonts w:hint="eastAsia" w:cs="仿宋_GB2312"/>
          <w:color w:val="auto"/>
          <w:sz w:val="32"/>
          <w:szCs w:val="32"/>
          <w:highlight w:val="none"/>
          <w:lang w:val="en-US" w:eastAsia="zh-CN" w:bidi="ar"/>
        </w:rPr>
        <w:t>24</w:t>
      </w:r>
      <w:r>
        <w:rPr>
          <w:rFonts w:hint="eastAsia" w:ascii="Times New Roman" w:hAnsi="Times New Roman" w:cs="仿宋_GB2312"/>
          <w:color w:val="auto"/>
          <w:sz w:val="32"/>
          <w:szCs w:val="32"/>
          <w:highlight w:val="none"/>
          <w:lang w:val="en-US" w:eastAsia="zh-CN" w:bidi="ar"/>
        </w:rPr>
        <w:t>%</w:t>
      </w:r>
      <w:r>
        <w:rPr>
          <w:rFonts w:hint="eastAsia" w:cs="仿宋_GB2312"/>
          <w:color w:val="auto"/>
          <w:sz w:val="32"/>
          <w:szCs w:val="32"/>
          <w:highlight w:val="none"/>
          <w:lang w:val="en-US" w:eastAsia="zh-CN" w:bidi="ar"/>
        </w:rPr>
        <w:t>.</w:t>
      </w:r>
    </w:p>
    <w:p w14:paraId="0A815BE7">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（2）</w:t>
      </w:r>
      <w:r>
        <w:rPr>
          <w:rFonts w:hint="eastAsia" w:cs="仿宋_GB2312"/>
          <w:color w:val="auto"/>
          <w:sz w:val="32"/>
          <w:szCs w:val="32"/>
          <w:highlight w:val="none"/>
          <w:lang w:val="en-US" w:eastAsia="zh-CN" w:bidi="ar"/>
        </w:rPr>
        <w:t>粤东西北地区</w:t>
      </w:r>
      <w:r>
        <w:rPr>
          <w:rFonts w:hint="eastAsia" w:ascii="Times New Roman" w:hAnsi="Times New Roman" w:cs="仿宋_GB2312"/>
          <w:color w:val="auto"/>
          <w:sz w:val="32"/>
          <w:szCs w:val="32"/>
          <w:highlight w:val="none"/>
          <w:lang w:val="en-US" w:eastAsia="zh-CN" w:bidi="ar"/>
        </w:rPr>
        <w:t>各地市及市县已编制城市“内涝治理系统化实施方案”共2</w:t>
      </w:r>
      <w:r>
        <w:rPr>
          <w:rFonts w:hint="eastAsia" w:cs="仿宋_GB2312"/>
          <w:color w:val="auto"/>
          <w:sz w:val="32"/>
          <w:szCs w:val="32"/>
          <w:highlight w:val="none"/>
          <w:lang w:val="en-US" w:eastAsia="zh-CN" w:bidi="ar"/>
        </w:rPr>
        <w:t>5</w:t>
      </w:r>
      <w:r>
        <w:rPr>
          <w:rFonts w:hint="eastAsia" w:ascii="Times New Roman" w:hAnsi="Times New Roman" w:cs="仿宋_GB2312"/>
          <w:color w:val="auto"/>
          <w:sz w:val="32"/>
          <w:szCs w:val="32"/>
          <w:highlight w:val="none"/>
          <w:lang w:val="en-US" w:eastAsia="zh-CN" w:bidi="ar"/>
        </w:rPr>
        <w:t>份，</w:t>
      </w:r>
      <w:r>
        <w:rPr>
          <w:rFonts w:hint="eastAsia" w:cs="仿宋_GB2312"/>
          <w:color w:val="auto"/>
          <w:sz w:val="32"/>
          <w:szCs w:val="32"/>
          <w:highlight w:val="none"/>
          <w:lang w:val="en-US" w:eastAsia="zh-CN" w:bidi="ar"/>
        </w:rPr>
        <w:t>大于</w:t>
      </w:r>
      <w:r>
        <w:rPr>
          <w:rFonts w:hint="eastAsia" w:ascii="Times New Roman" w:hAnsi="Times New Roman" w:cs="仿宋_GB2312"/>
          <w:color w:val="auto"/>
          <w:sz w:val="32"/>
          <w:szCs w:val="32"/>
          <w:highlight w:val="none"/>
          <w:lang w:val="en-US" w:eastAsia="zh-CN" w:bidi="ar"/>
        </w:rPr>
        <w:t>编制15份的指标值。</w:t>
      </w:r>
    </w:p>
    <w:p w14:paraId="7B582438">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（3）创建省级海绵城市</w:t>
      </w:r>
      <w:r>
        <w:rPr>
          <w:rFonts w:hint="eastAsia" w:cs="仿宋_GB2312"/>
          <w:color w:val="auto"/>
          <w:sz w:val="32"/>
          <w:szCs w:val="32"/>
          <w:highlight w:val="none"/>
          <w:lang w:val="en-US" w:eastAsia="zh-CN" w:bidi="ar"/>
        </w:rPr>
        <w:t>建设示范市</w:t>
      </w:r>
      <w:r>
        <w:rPr>
          <w:rFonts w:hint="eastAsia" w:ascii="Times New Roman" w:hAnsi="Times New Roman" w:cs="仿宋_GB2312"/>
          <w:color w:val="auto"/>
          <w:sz w:val="32"/>
          <w:szCs w:val="32"/>
          <w:highlight w:val="none"/>
          <w:lang w:val="en-US" w:eastAsia="zh-CN" w:bidi="ar"/>
        </w:rPr>
        <w:t>。2022年创建省级海绵城市</w:t>
      </w:r>
      <w:r>
        <w:rPr>
          <w:rFonts w:hint="eastAsia" w:cs="仿宋_GB2312"/>
          <w:color w:val="auto"/>
          <w:sz w:val="32"/>
          <w:szCs w:val="32"/>
          <w:highlight w:val="none"/>
          <w:lang w:val="en-US" w:eastAsia="zh-CN" w:bidi="ar"/>
        </w:rPr>
        <w:t>建设示范市6</w:t>
      </w:r>
      <w:r>
        <w:rPr>
          <w:rFonts w:hint="eastAsia" w:ascii="Times New Roman" w:hAnsi="Times New Roman" w:cs="仿宋_GB2312"/>
          <w:color w:val="auto"/>
          <w:sz w:val="32"/>
          <w:szCs w:val="32"/>
          <w:highlight w:val="none"/>
          <w:lang w:val="en-US" w:eastAsia="zh-CN" w:bidi="ar"/>
        </w:rPr>
        <w:t>个，全省近一半地市（10个市）为试点或示范市，为系统化全域推进海绵城市建设打下了基础。</w:t>
      </w:r>
    </w:p>
    <w:p w14:paraId="30FDC0A8">
      <w:pPr>
        <w:pStyle w:val="12"/>
        <w:spacing w:line="360" w:lineRule="auto"/>
        <w:ind w:firstLine="640" w:firstLineChars="200"/>
        <w:rPr>
          <w:rFonts w:hint="default"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（4）城市污水管网排查与改造持续推进，100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eastAsia="zh-CN" w:bidi="ar"/>
        </w:rPr>
        <w:t>完成了绩效指标</w:t>
      </w:r>
      <w:r>
        <w:rPr>
          <w:rFonts w:hint="eastAsia" w:ascii="Times New Roman" w:hAnsi="Times New Roman" w:cs="仿宋_GB2312"/>
          <w:color w:val="auto"/>
          <w:sz w:val="32"/>
          <w:szCs w:val="32"/>
          <w:highlight w:val="none"/>
          <w:lang w:val="en-US" w:eastAsia="zh-CN" w:bidi="ar"/>
        </w:rPr>
        <w:t>。</w:t>
      </w:r>
      <w:r>
        <w:rPr>
          <w:rFonts w:hint="eastAsia" w:cs="仿宋_GB2312"/>
          <w:color w:val="auto"/>
          <w:sz w:val="32"/>
          <w:szCs w:val="32"/>
          <w:highlight w:val="none"/>
          <w:lang w:val="en-US" w:eastAsia="zh-CN" w:bidi="ar"/>
        </w:rPr>
        <w:t>截至2022年底，粤东西北地区已完成</w:t>
      </w:r>
      <w:r>
        <w:rPr>
          <w:rFonts w:hint="eastAsia" w:ascii="Times New Roman" w:hAnsi="Times New Roman" w:cs="仿宋_GB2312"/>
          <w:color w:val="auto"/>
          <w:sz w:val="32"/>
          <w:szCs w:val="32"/>
          <w:highlight w:val="none"/>
          <w:lang w:val="en-US" w:eastAsia="zh-CN" w:bidi="ar"/>
        </w:rPr>
        <w:t>城市污水管网排查与改造数量</w:t>
      </w:r>
      <w:r>
        <w:rPr>
          <w:rFonts w:hint="eastAsia" w:cs="仿宋_GB2312"/>
          <w:color w:val="auto"/>
          <w:sz w:val="32"/>
          <w:szCs w:val="32"/>
          <w:highlight w:val="none"/>
          <w:lang w:val="en-US" w:eastAsia="zh-CN" w:bidi="ar"/>
        </w:rPr>
        <w:t>1910公里。</w:t>
      </w:r>
    </w:p>
    <w:p w14:paraId="7353019A">
      <w:pPr>
        <w:numPr>
          <w:ilvl w:val="0"/>
          <w:numId w:val="0"/>
        </w:numPr>
        <w:ind w:firstLine="643" w:firstLineChars="200"/>
        <w:rPr>
          <w:rFonts w:hint="eastAsia" w:ascii="Times New Roman" w:hAnsi="Times New Roman" w:eastAsia="仿宋_GB2312" w:cs="仿宋_GB2312"/>
          <w:b/>
          <w:bCs/>
          <w:color w:val="auto"/>
          <w:spacing w:val="0"/>
          <w:kern w:val="2"/>
          <w:sz w:val="32"/>
          <w:szCs w:val="32"/>
          <w:highlight w:val="none"/>
          <w:lang w:val="en-US" w:eastAsia="zh-CN"/>
        </w:rPr>
      </w:pPr>
      <w:r>
        <w:rPr>
          <w:rFonts w:hint="eastAsia" w:ascii="Times New Roman" w:hAnsi="Times New Roman" w:eastAsia="仿宋_GB2312" w:cs="仿宋_GB2312"/>
          <w:b/>
          <w:bCs/>
          <w:color w:val="auto"/>
          <w:spacing w:val="0"/>
          <w:kern w:val="2"/>
          <w:sz w:val="32"/>
          <w:szCs w:val="32"/>
          <w:highlight w:val="none"/>
          <w:lang w:val="en-US" w:eastAsia="zh-CN"/>
        </w:rPr>
        <w:t>2.质量指标。</w:t>
      </w:r>
      <w:bookmarkStart w:id="59" w:name="_Toc11574_WPSOffice_Level3"/>
      <w:bookmarkStart w:id="60" w:name="_Toc10293"/>
      <w:bookmarkStart w:id="61" w:name="_Toc3290"/>
      <w:bookmarkStart w:id="62" w:name="_Toc14856_WPSOffice_Level2"/>
      <w:bookmarkStart w:id="63" w:name="_Toc20216"/>
    </w:p>
    <w:p w14:paraId="4292BC0F">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eastAsia="zh-CN" w:bidi="ar"/>
        </w:rPr>
        <w:t>专项资金扶持的汕头市等</w:t>
      </w:r>
      <w:r>
        <w:rPr>
          <w:rFonts w:hint="eastAsia" w:ascii="Times New Roman" w:hAnsi="Times New Roman" w:cs="仿宋_GB2312"/>
          <w:color w:val="auto"/>
          <w:sz w:val="32"/>
          <w:szCs w:val="32"/>
          <w:highlight w:val="none"/>
          <w:lang w:val="en-US" w:eastAsia="zh-CN" w:bidi="ar"/>
        </w:rPr>
        <w:t>15个地市均完成“地级以上城市建成区黑臭水体已基本消除”的指标，指标完成率100%。</w:t>
      </w:r>
    </w:p>
    <w:p w14:paraId="0A7CF997">
      <w:pPr>
        <w:numPr>
          <w:ilvl w:val="0"/>
          <w:numId w:val="0"/>
        </w:numPr>
        <w:ind w:firstLine="643" w:firstLineChars="200"/>
        <w:rPr>
          <w:rFonts w:hint="eastAsia" w:ascii="Times New Roman" w:hAnsi="Times New Roman" w:eastAsia="仿宋_GB2312" w:cs="仿宋_GB2312"/>
          <w:b/>
          <w:bCs/>
          <w:color w:val="auto"/>
          <w:spacing w:val="0"/>
          <w:kern w:val="2"/>
          <w:sz w:val="32"/>
          <w:szCs w:val="32"/>
          <w:highlight w:val="none"/>
          <w:lang w:val="en-US" w:eastAsia="zh-CN"/>
        </w:rPr>
      </w:pPr>
      <w:r>
        <w:rPr>
          <w:rFonts w:hint="eastAsia" w:cs="仿宋_GB2312"/>
          <w:b/>
          <w:bCs/>
          <w:color w:val="auto"/>
          <w:spacing w:val="0"/>
          <w:kern w:val="2"/>
          <w:sz w:val="32"/>
          <w:szCs w:val="32"/>
          <w:highlight w:val="none"/>
          <w:lang w:val="en-US" w:eastAsia="zh-CN"/>
        </w:rPr>
        <w:t>3</w:t>
      </w:r>
      <w:r>
        <w:rPr>
          <w:rFonts w:hint="eastAsia" w:ascii="Times New Roman" w:hAnsi="Times New Roman" w:eastAsia="仿宋_GB2312" w:cs="仿宋_GB2312"/>
          <w:b/>
          <w:bCs/>
          <w:color w:val="auto"/>
          <w:spacing w:val="0"/>
          <w:kern w:val="2"/>
          <w:sz w:val="32"/>
          <w:szCs w:val="32"/>
          <w:highlight w:val="none"/>
          <w:lang w:val="en-US" w:eastAsia="zh-CN"/>
        </w:rPr>
        <w:t>.时效指标。</w:t>
      </w:r>
    </w:p>
    <w:p w14:paraId="51563D5E">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eastAsia="zh-CN" w:bidi="ar"/>
        </w:rPr>
        <w:t>据统计，各地市的</w:t>
      </w:r>
      <w:r>
        <w:rPr>
          <w:rFonts w:hint="eastAsia" w:ascii="Times New Roman" w:hAnsi="Times New Roman" w:cs="仿宋_GB2312"/>
          <w:color w:val="auto"/>
          <w:sz w:val="32"/>
          <w:szCs w:val="32"/>
          <w:highlight w:val="none"/>
          <w:lang w:val="en-US" w:eastAsia="zh-CN" w:bidi="ar"/>
        </w:rPr>
        <w:t>项目完成率平均值为92.70%，大于“项目按时完成率≧80%”的指标值。</w:t>
      </w:r>
    </w:p>
    <w:p w14:paraId="63226437">
      <w:pPr>
        <w:numPr>
          <w:ilvl w:val="0"/>
          <w:numId w:val="0"/>
        </w:numPr>
        <w:ind w:firstLine="643" w:firstLineChars="200"/>
        <w:rPr>
          <w:rFonts w:hint="eastAsia" w:ascii="Times New Roman" w:hAnsi="Times New Roman" w:eastAsia="仿宋_GB2312" w:cs="仿宋_GB2312"/>
          <w:b/>
          <w:bCs/>
          <w:color w:val="auto"/>
          <w:spacing w:val="0"/>
          <w:kern w:val="2"/>
          <w:sz w:val="32"/>
          <w:szCs w:val="32"/>
          <w:highlight w:val="none"/>
          <w:lang w:val="en-US" w:eastAsia="zh-CN"/>
        </w:rPr>
      </w:pPr>
      <w:r>
        <w:rPr>
          <w:rFonts w:hint="eastAsia" w:cs="仿宋_GB2312"/>
          <w:b/>
          <w:bCs/>
          <w:color w:val="auto"/>
          <w:spacing w:val="0"/>
          <w:kern w:val="2"/>
          <w:sz w:val="32"/>
          <w:szCs w:val="32"/>
          <w:highlight w:val="none"/>
          <w:lang w:val="en-US" w:eastAsia="zh-CN"/>
        </w:rPr>
        <w:t>4</w:t>
      </w:r>
      <w:r>
        <w:rPr>
          <w:rFonts w:hint="eastAsia" w:ascii="Times New Roman" w:hAnsi="Times New Roman" w:eastAsia="仿宋_GB2312" w:cs="仿宋_GB2312"/>
          <w:b/>
          <w:bCs/>
          <w:color w:val="auto"/>
          <w:spacing w:val="0"/>
          <w:kern w:val="2"/>
          <w:sz w:val="32"/>
          <w:szCs w:val="32"/>
          <w:highlight w:val="none"/>
          <w:lang w:val="en-US" w:eastAsia="zh-CN"/>
        </w:rPr>
        <w:t>.成本指标。</w:t>
      </w:r>
    </w:p>
    <w:p w14:paraId="752C4F67">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6</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根据对项目实施单位的自评材料审核分析，未发现支出超预算指标情况。有关县（市、区）预算执行进度与事项完成进度基本匹配。专项资金项目成本支出基本控制在合理范围，实施项目资金经费均未超出同类项目价格或市场价格，项目成本属于合理范围。</w:t>
      </w:r>
    </w:p>
    <w:p w14:paraId="03EAEE73">
      <w:pPr>
        <w:numPr>
          <w:ilvl w:val="0"/>
          <w:numId w:val="0"/>
        </w:numPr>
        <w:ind w:firstLine="643" w:firstLineChars="200"/>
        <w:outlineLvl w:val="1"/>
        <w:rPr>
          <w:rFonts w:hint="eastAsia" w:ascii="Times New Roman" w:hAnsi="Times New Roman" w:eastAsia="楷体_GB2312" w:cs="仿宋"/>
          <w:b/>
          <w:bCs/>
          <w:color w:val="auto"/>
          <w:kern w:val="0"/>
          <w:sz w:val="32"/>
          <w:szCs w:val="32"/>
          <w:highlight w:val="none"/>
          <w:lang w:val="en-US" w:eastAsia="zh-CN"/>
        </w:rPr>
      </w:pPr>
      <w:bookmarkStart w:id="64" w:name="_Toc32036"/>
      <w:r>
        <w:rPr>
          <w:rFonts w:hint="eastAsia" w:ascii="Times New Roman" w:hAnsi="Times New Roman" w:eastAsia="楷体_GB2312" w:cs="仿宋"/>
          <w:b/>
          <w:bCs/>
          <w:color w:val="auto"/>
          <w:kern w:val="0"/>
          <w:sz w:val="32"/>
          <w:szCs w:val="32"/>
          <w:highlight w:val="none"/>
          <w:lang w:val="en-US" w:eastAsia="zh-CN"/>
        </w:rPr>
        <w:t>（四）效益实现度分析</w:t>
      </w:r>
      <w:bookmarkEnd w:id="59"/>
      <w:bookmarkEnd w:id="60"/>
      <w:bookmarkEnd w:id="61"/>
      <w:bookmarkEnd w:id="62"/>
      <w:bookmarkEnd w:id="63"/>
      <w:bookmarkEnd w:id="64"/>
    </w:p>
    <w:p w14:paraId="58B77CAA">
      <w:pPr>
        <w:numPr>
          <w:ilvl w:val="0"/>
          <w:numId w:val="0"/>
        </w:numPr>
        <w:ind w:firstLine="643" w:firstLineChars="200"/>
        <w:outlineLvl w:val="1"/>
        <w:rPr>
          <w:rFonts w:hint="eastAsia" w:ascii="Times New Roman" w:hAnsi="Times New Roman"/>
          <w:color w:val="auto"/>
          <w:highlight w:val="none"/>
          <w:lang w:val="en-US" w:eastAsia="zh-CN"/>
        </w:rPr>
      </w:pPr>
      <w:bookmarkStart w:id="65" w:name="_Toc13945"/>
      <w:r>
        <w:rPr>
          <w:rFonts w:hint="eastAsia" w:ascii="Times New Roman" w:hAnsi="Times New Roman" w:cs="仿宋_GB2312"/>
          <w:b/>
          <w:bCs/>
          <w:color w:val="auto"/>
          <w:spacing w:val="0"/>
          <w:kern w:val="2"/>
          <w:sz w:val="32"/>
          <w:szCs w:val="32"/>
          <w:highlight w:val="none"/>
          <w:lang w:val="en-US" w:eastAsia="zh-CN"/>
        </w:rPr>
        <w:t>（</w:t>
      </w:r>
      <w:r>
        <w:rPr>
          <w:rFonts w:hint="eastAsia" w:ascii="Times New Roman" w:hAnsi="Times New Roman" w:cs="Times New Roman"/>
          <w:color w:val="auto"/>
          <w:sz w:val="32"/>
          <w:szCs w:val="32"/>
          <w:highlight w:val="none"/>
          <w:lang w:val="en-US" w:eastAsia="zh-CN" w:bidi="ar"/>
        </w:rPr>
        <w:t>海绵城市省级补助资金项目的效益指标完成情况详见附件</w:t>
      </w:r>
      <w:r>
        <w:rPr>
          <w:rFonts w:hint="eastAsia" w:cs="Times New Roman"/>
          <w:color w:val="auto"/>
          <w:sz w:val="32"/>
          <w:szCs w:val="32"/>
          <w:highlight w:val="none"/>
          <w:lang w:val="en-US" w:eastAsia="zh-CN" w:bidi="ar"/>
        </w:rPr>
        <w:t>3、4、5</w:t>
      </w:r>
      <w:r>
        <w:rPr>
          <w:rFonts w:hint="eastAsia" w:ascii="Times New Roman" w:hAnsi="Times New Roman" w:cs="仿宋_GB2312"/>
          <w:b/>
          <w:bCs/>
          <w:color w:val="auto"/>
          <w:spacing w:val="0"/>
          <w:kern w:val="2"/>
          <w:sz w:val="32"/>
          <w:szCs w:val="32"/>
          <w:highlight w:val="none"/>
          <w:lang w:val="en-US" w:eastAsia="zh-CN"/>
        </w:rPr>
        <w:t>）</w:t>
      </w:r>
      <w:bookmarkEnd w:id="65"/>
    </w:p>
    <w:p w14:paraId="0AD5BC31">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30</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29.77</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99.23</w:t>
      </w:r>
      <w:r>
        <w:rPr>
          <w:rFonts w:hint="eastAsia" w:ascii="Times New Roman" w:hAnsi="Times New Roman" w:cs="仿宋_GB2312"/>
          <w:color w:val="auto"/>
          <w:sz w:val="32"/>
          <w:szCs w:val="32"/>
          <w:highlight w:val="none"/>
          <w:lang w:bidi="ar"/>
        </w:rPr>
        <w:t>%。</w:t>
      </w:r>
    </w:p>
    <w:p w14:paraId="333DF4CD">
      <w:pPr>
        <w:numPr>
          <w:ilvl w:val="0"/>
          <w:numId w:val="0"/>
        </w:numPr>
        <w:ind w:firstLine="643" w:firstLineChars="200"/>
        <w:outlineLvl w:val="2"/>
        <w:rPr>
          <w:rFonts w:hint="eastAsia" w:ascii="Times New Roman" w:hAnsi="Times New Roman" w:cs="仿宋_GB2312"/>
          <w:b/>
          <w:bCs/>
          <w:color w:val="auto"/>
          <w:sz w:val="32"/>
          <w:szCs w:val="32"/>
          <w:highlight w:val="none"/>
          <w:lang w:val="en-US" w:eastAsia="zh-CN" w:bidi="ar"/>
        </w:rPr>
      </w:pPr>
      <w:bookmarkStart w:id="66" w:name="_Toc15132"/>
      <w:bookmarkStart w:id="67" w:name="_Toc24933"/>
      <w:bookmarkStart w:id="68" w:name="_Toc18342"/>
      <w:r>
        <w:rPr>
          <w:rFonts w:hint="eastAsia" w:ascii="Times New Roman" w:hAnsi="Times New Roman" w:eastAsia="仿宋_GB2312" w:cs="仿宋_GB2312"/>
          <w:b/>
          <w:bCs/>
          <w:color w:val="auto"/>
          <w:sz w:val="32"/>
          <w:szCs w:val="32"/>
          <w:highlight w:val="none"/>
          <w:lang w:val="en-US" w:eastAsia="zh-CN"/>
        </w:rPr>
        <w:t>1.</w:t>
      </w:r>
      <w:bookmarkEnd w:id="66"/>
      <w:bookmarkEnd w:id="67"/>
      <w:bookmarkEnd w:id="68"/>
      <w:r>
        <w:rPr>
          <w:rFonts w:hint="eastAsia" w:ascii="Times New Roman" w:hAnsi="Times New Roman" w:cs="仿宋_GB2312"/>
          <w:b/>
          <w:bCs/>
          <w:color w:val="auto"/>
          <w:sz w:val="32"/>
          <w:szCs w:val="32"/>
          <w:highlight w:val="none"/>
          <w:lang w:val="en-US" w:eastAsia="zh-CN" w:bidi="ar"/>
        </w:rPr>
        <w:t>生态效益指标。</w:t>
      </w:r>
    </w:p>
    <w:p w14:paraId="65F9C980">
      <w:pPr>
        <w:numPr>
          <w:ilvl w:val="0"/>
          <w:numId w:val="0"/>
        </w:numPr>
        <w:ind w:firstLine="640" w:firstLineChars="200"/>
        <w:outlineLvl w:val="2"/>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15</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14.77</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98.47</w:t>
      </w:r>
      <w:r>
        <w:rPr>
          <w:rFonts w:hint="eastAsia" w:ascii="Times New Roman" w:hAnsi="Times New Roman" w:cs="仿宋_GB2312"/>
          <w:color w:val="auto"/>
          <w:sz w:val="32"/>
          <w:szCs w:val="32"/>
          <w:highlight w:val="none"/>
          <w:lang w:bidi="ar"/>
        </w:rPr>
        <w:t>%。</w:t>
      </w:r>
    </w:p>
    <w:p w14:paraId="215C67D3">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cs="仿宋_GB2312"/>
          <w:color w:val="auto"/>
          <w:sz w:val="32"/>
          <w:szCs w:val="32"/>
          <w:highlight w:val="none"/>
          <w:lang w:eastAsia="zh-CN" w:bidi="ar"/>
        </w:rPr>
        <w:t>（</w:t>
      </w:r>
      <w:r>
        <w:rPr>
          <w:rFonts w:hint="eastAsia" w:cs="仿宋_GB2312"/>
          <w:color w:val="auto"/>
          <w:sz w:val="32"/>
          <w:szCs w:val="32"/>
          <w:highlight w:val="none"/>
          <w:lang w:val="en-US" w:eastAsia="zh-CN" w:bidi="ar"/>
        </w:rPr>
        <w:t>1）</w:t>
      </w:r>
      <w:r>
        <w:rPr>
          <w:rFonts w:hint="eastAsia" w:ascii="Times New Roman" w:hAnsi="Times New Roman" w:cs="仿宋_GB2312"/>
          <w:color w:val="auto"/>
          <w:sz w:val="32"/>
          <w:szCs w:val="32"/>
          <w:highlight w:val="none"/>
          <w:lang w:bidi="ar"/>
        </w:rPr>
        <w:t>城市生活污水集中收集率</w:t>
      </w:r>
      <w:r>
        <w:rPr>
          <w:rFonts w:hint="eastAsia" w:cs="仿宋_GB2312"/>
          <w:color w:val="auto"/>
          <w:sz w:val="32"/>
          <w:szCs w:val="32"/>
          <w:highlight w:val="none"/>
          <w:lang w:eastAsia="zh-CN" w:bidi="ar"/>
        </w:rPr>
        <w:t>。</w:t>
      </w: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7.50</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7.50</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val="en-US" w:eastAsia="zh-CN" w:bidi="ar"/>
        </w:rPr>
        <w:t>2022年城市生活污水集中收集率为49.48%，2021年城市生活污水集中收集率45.34%，2022年较2021年增长9.13%，</w:t>
      </w:r>
      <w:r>
        <w:rPr>
          <w:rFonts w:hint="eastAsia" w:cs="仿宋_GB2312"/>
          <w:color w:val="auto"/>
          <w:sz w:val="32"/>
          <w:szCs w:val="32"/>
          <w:highlight w:val="none"/>
          <w:lang w:val="en-US" w:eastAsia="zh-CN" w:bidi="ar"/>
        </w:rPr>
        <w:t>完成</w:t>
      </w:r>
      <w:r>
        <w:rPr>
          <w:rFonts w:hint="eastAsia" w:ascii="Times New Roman" w:hAnsi="Times New Roman" w:cs="仿宋_GB2312"/>
          <w:color w:val="auto"/>
          <w:sz w:val="32"/>
          <w:szCs w:val="32"/>
          <w:highlight w:val="none"/>
          <w:lang w:val="en-US" w:eastAsia="zh-CN" w:bidi="ar"/>
        </w:rPr>
        <w:t>“城市生活污水集中收集率较上年平均值有所增长”的指标，得满分。</w:t>
      </w:r>
    </w:p>
    <w:p w14:paraId="7B798AC6">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cs="仿宋_GB2312"/>
          <w:color w:val="auto"/>
          <w:sz w:val="32"/>
          <w:szCs w:val="32"/>
          <w:highlight w:val="none"/>
          <w:lang w:eastAsia="zh-CN" w:bidi="ar"/>
        </w:rPr>
        <w:t>（</w:t>
      </w:r>
      <w:r>
        <w:rPr>
          <w:rFonts w:hint="eastAsia" w:cs="仿宋_GB2312"/>
          <w:color w:val="auto"/>
          <w:sz w:val="32"/>
          <w:szCs w:val="32"/>
          <w:highlight w:val="none"/>
          <w:lang w:val="en-US" w:eastAsia="zh-CN" w:bidi="ar"/>
        </w:rPr>
        <w:t>2）</w:t>
      </w:r>
      <w:r>
        <w:rPr>
          <w:rFonts w:hint="eastAsia" w:ascii="Times New Roman" w:hAnsi="Times New Roman" w:cs="仿宋_GB2312"/>
          <w:color w:val="auto"/>
          <w:sz w:val="32"/>
          <w:szCs w:val="32"/>
          <w:highlight w:val="none"/>
          <w:lang w:bidi="ar"/>
        </w:rPr>
        <w:t>城市生活污水处理厂进水BOD浓度（mg/L）</w:t>
      </w:r>
      <w:r>
        <w:rPr>
          <w:rFonts w:hint="eastAsia" w:cs="仿宋_GB2312"/>
          <w:color w:val="auto"/>
          <w:sz w:val="32"/>
          <w:szCs w:val="32"/>
          <w:highlight w:val="none"/>
          <w:lang w:eastAsia="zh-CN" w:bidi="ar"/>
        </w:rPr>
        <w:t>。</w:t>
      </w: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7.50</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7.27</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96.93%</w:t>
      </w:r>
      <w:r>
        <w:rPr>
          <w:rFonts w:hint="eastAsia" w:ascii="Times New Roman" w:hAnsi="Times New Roman" w:cs="仿宋_GB2312"/>
          <w:color w:val="auto"/>
          <w:sz w:val="32"/>
          <w:szCs w:val="32"/>
          <w:highlight w:val="none"/>
          <w:lang w:bidi="ar"/>
        </w:rPr>
        <w:t>。</w:t>
      </w:r>
      <w:r>
        <w:rPr>
          <w:rFonts w:hint="default" w:ascii="Times New Roman" w:hAnsi="Times New Roman" w:cs="仿宋_GB2312"/>
          <w:color w:val="auto"/>
          <w:sz w:val="32"/>
          <w:szCs w:val="32"/>
          <w:highlight w:val="none"/>
          <w:lang w:val="en-US" w:eastAsia="zh-CN" w:bidi="ar"/>
        </w:rPr>
        <w:t>2022年城市生活污水处理厂进水BOD浓度为55.22</w:t>
      </w:r>
      <w:r>
        <w:rPr>
          <w:rFonts w:hint="eastAsia" w:ascii="Times New Roman" w:hAnsi="Times New Roman" w:cs="仿宋_GB2312"/>
          <w:color w:val="auto"/>
          <w:sz w:val="32"/>
          <w:szCs w:val="32"/>
          <w:highlight w:val="none"/>
          <w:lang w:bidi="ar"/>
        </w:rPr>
        <w:t>mg/L</w:t>
      </w:r>
      <w:r>
        <w:rPr>
          <w:rFonts w:hint="default" w:ascii="Times New Roman" w:hAnsi="Times New Roman" w:cs="仿宋_GB2312"/>
          <w:color w:val="auto"/>
          <w:sz w:val="32"/>
          <w:szCs w:val="32"/>
          <w:highlight w:val="none"/>
          <w:lang w:val="en-US" w:eastAsia="zh-CN" w:bidi="ar"/>
        </w:rPr>
        <w:t>，2021年城市生活污水处理厂进水BOD浓度为56.97</w:t>
      </w:r>
      <w:r>
        <w:rPr>
          <w:rFonts w:hint="eastAsia" w:ascii="Times New Roman" w:hAnsi="Times New Roman" w:cs="仿宋_GB2312"/>
          <w:color w:val="auto"/>
          <w:sz w:val="32"/>
          <w:szCs w:val="32"/>
          <w:highlight w:val="none"/>
          <w:lang w:bidi="ar"/>
        </w:rPr>
        <w:t>mg/L</w:t>
      </w:r>
      <w:r>
        <w:rPr>
          <w:rFonts w:hint="default" w:ascii="Times New Roman" w:hAnsi="Times New Roman" w:cs="仿宋_GB2312"/>
          <w:color w:val="auto"/>
          <w:sz w:val="32"/>
          <w:szCs w:val="32"/>
          <w:highlight w:val="none"/>
          <w:lang w:val="en-US" w:eastAsia="zh-CN" w:bidi="ar"/>
        </w:rPr>
        <w:t>，2022年较2021年减少3.06%，未达到要求，按比例扣0.23分。</w:t>
      </w:r>
    </w:p>
    <w:p w14:paraId="5BFAD392">
      <w:pPr>
        <w:pStyle w:val="12"/>
        <w:spacing w:line="360" w:lineRule="auto"/>
        <w:ind w:firstLine="643" w:firstLineChars="200"/>
        <w:rPr>
          <w:rFonts w:hint="eastAsia" w:ascii="Times New Roman" w:hAnsi="Times New Roman" w:cs="仿宋_GB2312"/>
          <w:color w:val="auto"/>
          <w:sz w:val="32"/>
          <w:szCs w:val="32"/>
          <w:highlight w:val="none"/>
          <w:lang w:val="en-US" w:eastAsia="zh-CN" w:bidi="ar"/>
        </w:rPr>
      </w:pPr>
      <w:r>
        <w:rPr>
          <w:rFonts w:hint="eastAsia" w:cs="Times New Roman"/>
          <w:b/>
          <w:bCs/>
          <w:color w:val="auto"/>
          <w:sz w:val="32"/>
          <w:szCs w:val="32"/>
          <w:highlight w:val="none"/>
          <w:lang w:val="en-US" w:eastAsia="zh-CN"/>
        </w:rPr>
        <w:t>2.</w:t>
      </w:r>
      <w:r>
        <w:rPr>
          <w:rFonts w:hint="eastAsia" w:ascii="Times New Roman" w:hAnsi="Times New Roman" w:cs="仿宋_GB2312"/>
          <w:b/>
          <w:bCs/>
          <w:color w:val="auto"/>
          <w:sz w:val="32"/>
          <w:szCs w:val="32"/>
          <w:highlight w:val="none"/>
          <w:lang w:val="en-US" w:eastAsia="zh-CN" w:bidi="ar"/>
        </w:rPr>
        <w:t>可持续影响指标</w:t>
      </w:r>
      <w:r>
        <w:rPr>
          <w:rFonts w:hint="eastAsia" w:ascii="Times New Roman" w:hAnsi="Times New Roman" w:cs="仿宋_GB2312"/>
          <w:color w:val="auto"/>
          <w:sz w:val="32"/>
          <w:szCs w:val="32"/>
          <w:highlight w:val="none"/>
          <w:lang w:val="en-US" w:eastAsia="zh-CN" w:bidi="ar"/>
        </w:rPr>
        <w:t>。</w:t>
      </w:r>
    </w:p>
    <w:p w14:paraId="6A31A57F">
      <w:pPr>
        <w:pStyle w:val="12"/>
        <w:spacing w:line="360" w:lineRule="auto"/>
        <w:ind w:firstLine="640" w:firstLineChars="200"/>
        <w:rPr>
          <w:rFonts w:hint="default" w:ascii="Times New Roman" w:hAnsi="Times New Roman" w:cs="仿宋_GB2312"/>
          <w:b/>
          <w:bCs/>
          <w:color w:val="auto"/>
          <w:sz w:val="32"/>
          <w:szCs w:val="32"/>
          <w:highlight w:val="none"/>
          <w:lang w:val="en-US" w:eastAsia="zh-CN" w:bidi="ar"/>
        </w:rPr>
      </w:pPr>
      <w:r>
        <w:rPr>
          <w:rFonts w:hint="eastAsia" w:ascii="Times New Roman" w:hAnsi="Times New Roman" w:cs="仿宋_GB2312"/>
          <w:color w:val="auto"/>
          <w:sz w:val="32"/>
          <w:szCs w:val="32"/>
          <w:highlight w:val="none"/>
          <w:lang w:bidi="ar"/>
        </w:rPr>
        <w:t>指标</w:t>
      </w:r>
      <w:r>
        <w:rPr>
          <w:rFonts w:hint="eastAsia" w:ascii="Times New Roman" w:hAnsi="Times New Roman" w:cs="仿宋_GB2312"/>
          <w:color w:val="auto"/>
          <w:sz w:val="32"/>
          <w:szCs w:val="32"/>
          <w:highlight w:val="none"/>
          <w:lang w:eastAsia="zh-CN" w:bidi="ar"/>
        </w:rPr>
        <w:t>分值</w:t>
      </w:r>
      <w:r>
        <w:rPr>
          <w:rFonts w:hint="eastAsia" w:ascii="Times New Roman" w:hAnsi="Times New Roman" w:cs="仿宋_GB2312"/>
          <w:color w:val="auto"/>
          <w:sz w:val="32"/>
          <w:szCs w:val="32"/>
          <w:highlight w:val="none"/>
          <w:lang w:val="en-US" w:eastAsia="zh-CN" w:bidi="ar"/>
        </w:rPr>
        <w:t>10</w:t>
      </w:r>
      <w:r>
        <w:rPr>
          <w:rFonts w:hint="eastAsia" w:ascii="Times New Roman" w:hAnsi="Times New Roman" w:cs="仿宋_GB2312"/>
          <w:color w:val="auto"/>
          <w:sz w:val="32"/>
          <w:szCs w:val="32"/>
          <w:highlight w:val="none"/>
          <w:lang w:bidi="ar"/>
        </w:rPr>
        <w:t>分，自评得分</w:t>
      </w:r>
      <w:r>
        <w:rPr>
          <w:rFonts w:hint="eastAsia" w:ascii="Times New Roman" w:hAnsi="Times New Roman" w:cs="仿宋_GB2312"/>
          <w:color w:val="auto"/>
          <w:sz w:val="32"/>
          <w:szCs w:val="32"/>
          <w:highlight w:val="none"/>
          <w:lang w:val="en-US" w:eastAsia="zh-CN" w:bidi="ar"/>
        </w:rPr>
        <w:t>10</w:t>
      </w:r>
      <w:r>
        <w:rPr>
          <w:rFonts w:hint="eastAsia" w:ascii="Times New Roman" w:hAnsi="Times New Roman" w:cs="仿宋_GB2312"/>
          <w:color w:val="auto"/>
          <w:sz w:val="32"/>
          <w:szCs w:val="32"/>
          <w:highlight w:val="none"/>
          <w:lang w:bidi="ar"/>
        </w:rPr>
        <w:t>分，得分率</w:t>
      </w:r>
      <w:r>
        <w:rPr>
          <w:rFonts w:hint="eastAsia" w:ascii="Times New Roman" w:hAnsi="Times New Roman" w:cs="仿宋_GB2312"/>
          <w:color w:val="auto"/>
          <w:sz w:val="32"/>
          <w:szCs w:val="32"/>
          <w:highlight w:val="none"/>
          <w:lang w:val="en-US" w:eastAsia="zh-CN" w:bidi="ar"/>
        </w:rPr>
        <w:t>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val="en-US" w:eastAsia="zh-CN" w:bidi="ar"/>
        </w:rPr>
        <w:t>省级层面和市县层面建立</w:t>
      </w:r>
      <w:r>
        <w:rPr>
          <w:rFonts w:hint="default" w:ascii="Times New Roman" w:hAnsi="Times New Roman" w:cs="仿宋_GB2312"/>
          <w:color w:val="auto"/>
          <w:sz w:val="32"/>
          <w:szCs w:val="32"/>
          <w:highlight w:val="none"/>
          <w:lang w:val="en-US" w:eastAsia="zh-CN" w:bidi="ar"/>
        </w:rPr>
        <w:t>健全</w:t>
      </w:r>
      <w:r>
        <w:rPr>
          <w:rFonts w:hint="eastAsia" w:ascii="Times New Roman" w:hAnsi="Times New Roman" w:cs="仿宋_GB2312"/>
          <w:color w:val="auto"/>
          <w:sz w:val="32"/>
          <w:szCs w:val="32"/>
          <w:highlight w:val="none"/>
          <w:lang w:val="en-US" w:eastAsia="zh-CN" w:bidi="ar"/>
        </w:rPr>
        <w:t>水环境治理</w:t>
      </w:r>
      <w:r>
        <w:rPr>
          <w:rFonts w:hint="default" w:ascii="Times New Roman" w:hAnsi="Times New Roman" w:cs="仿宋_GB2312"/>
          <w:color w:val="auto"/>
          <w:sz w:val="32"/>
          <w:szCs w:val="32"/>
          <w:highlight w:val="none"/>
          <w:lang w:val="en-US" w:eastAsia="zh-CN" w:bidi="ar"/>
        </w:rPr>
        <w:t>建设机制</w:t>
      </w:r>
      <w:r>
        <w:rPr>
          <w:rFonts w:hint="eastAsia" w:ascii="Times New Roman" w:hAnsi="Times New Roman" w:cs="仿宋_GB2312"/>
          <w:color w:val="auto"/>
          <w:sz w:val="32"/>
          <w:szCs w:val="32"/>
          <w:highlight w:val="none"/>
          <w:lang w:val="en-US" w:eastAsia="zh-CN" w:bidi="ar"/>
        </w:rPr>
        <w:t>，大力推动城市水环境治理。如韶关市人民政府办公室《关于印发韶关市深入开展碧水攻坚专项行动工作方案的通知》《韶关市城市排水管理办法》等文件；汕尾市建立排水管网工程质量监管制度、排水管网GIS系统信息动态更新制度、排水管网结构性及功能性检测与评估制度、城镇污水排入排水管网许可等。</w:t>
      </w:r>
      <w:r>
        <w:rPr>
          <w:rFonts w:hint="default" w:ascii="Times New Roman" w:hAnsi="Times New Roman" w:cs="仿宋_GB2312"/>
          <w:color w:val="auto"/>
          <w:sz w:val="32"/>
          <w:szCs w:val="32"/>
          <w:highlight w:val="none"/>
          <w:lang w:val="en-US" w:eastAsia="zh-CN" w:bidi="ar"/>
        </w:rPr>
        <w:t>城市水环境治理</w:t>
      </w:r>
      <w:r>
        <w:rPr>
          <w:rFonts w:hint="eastAsia" w:ascii="Times New Roman" w:hAnsi="Times New Roman" w:cs="仿宋_GB2312"/>
          <w:color w:val="auto"/>
          <w:sz w:val="32"/>
          <w:szCs w:val="32"/>
          <w:highlight w:val="none"/>
          <w:lang w:val="en-US" w:eastAsia="zh-CN" w:bidi="ar"/>
        </w:rPr>
        <w:t>“</w:t>
      </w:r>
      <w:r>
        <w:rPr>
          <w:rFonts w:hint="default" w:ascii="Times New Roman" w:hAnsi="Times New Roman" w:cs="仿宋_GB2312"/>
          <w:color w:val="auto"/>
          <w:sz w:val="32"/>
          <w:szCs w:val="32"/>
          <w:highlight w:val="none"/>
          <w:lang w:val="en-US" w:eastAsia="zh-CN" w:bidi="ar"/>
        </w:rPr>
        <w:t>建设机制健全</w:t>
      </w:r>
      <w:r>
        <w:rPr>
          <w:rFonts w:hint="eastAsia" w:ascii="Times New Roman" w:hAnsi="Times New Roman" w:cs="仿宋_GB2312"/>
          <w:color w:val="auto"/>
          <w:sz w:val="32"/>
          <w:szCs w:val="32"/>
          <w:highlight w:val="none"/>
          <w:lang w:val="en-US" w:eastAsia="zh-CN" w:bidi="ar"/>
        </w:rPr>
        <w:t>性”指标100</w:t>
      </w:r>
      <w:r>
        <w:rPr>
          <w:rFonts w:hint="eastAsia" w:ascii="Times New Roman" w:hAnsi="Times New Roman" w:cs="仿宋_GB2312"/>
          <w:color w:val="auto"/>
          <w:sz w:val="32"/>
          <w:szCs w:val="32"/>
          <w:highlight w:val="none"/>
          <w:lang w:bidi="ar"/>
        </w:rPr>
        <w:t>%</w:t>
      </w:r>
      <w:r>
        <w:rPr>
          <w:rFonts w:hint="eastAsia" w:ascii="Times New Roman" w:hAnsi="Times New Roman" w:cs="仿宋_GB2312"/>
          <w:color w:val="auto"/>
          <w:sz w:val="32"/>
          <w:szCs w:val="32"/>
          <w:highlight w:val="none"/>
          <w:lang w:val="en-US" w:eastAsia="zh-CN" w:bidi="ar"/>
        </w:rPr>
        <w:t>完成。</w:t>
      </w:r>
    </w:p>
    <w:p w14:paraId="49825879">
      <w:pPr>
        <w:numPr>
          <w:ilvl w:val="0"/>
          <w:numId w:val="0"/>
        </w:numPr>
        <w:ind w:firstLine="643" w:firstLineChars="200"/>
        <w:outlineLvl w:val="2"/>
        <w:rPr>
          <w:rFonts w:hint="eastAsia" w:ascii="Times New Roman" w:hAnsi="Times New Roman" w:eastAsia="仿宋_GB2312" w:cs="仿宋_GB2312"/>
          <w:b/>
          <w:bCs/>
          <w:color w:val="auto"/>
          <w:spacing w:val="-6"/>
          <w:kern w:val="0"/>
          <w:sz w:val="32"/>
          <w:szCs w:val="32"/>
          <w:highlight w:val="none"/>
          <w:lang w:val="en-US" w:eastAsia="zh-CN"/>
        </w:rPr>
      </w:pPr>
      <w:bookmarkStart w:id="69" w:name="_Toc26599"/>
      <w:bookmarkStart w:id="70" w:name="_Toc8379"/>
      <w:bookmarkStart w:id="71" w:name="_Toc11247"/>
      <w:r>
        <w:rPr>
          <w:rFonts w:hint="eastAsia" w:cs="仿宋_GB2312"/>
          <w:b/>
          <w:bCs/>
          <w:color w:val="auto"/>
          <w:sz w:val="32"/>
          <w:szCs w:val="32"/>
          <w:highlight w:val="none"/>
          <w:lang w:val="en-US" w:eastAsia="zh-CN"/>
        </w:rPr>
        <w:t>3.</w:t>
      </w:r>
      <w:r>
        <w:rPr>
          <w:rFonts w:hint="eastAsia" w:ascii="Times New Roman" w:hAnsi="Times New Roman" w:cs="仿宋_GB2312"/>
          <w:b/>
          <w:bCs/>
          <w:color w:val="auto"/>
          <w:sz w:val="32"/>
          <w:szCs w:val="32"/>
          <w:highlight w:val="none"/>
          <w:lang w:val="en-US" w:eastAsia="zh-CN" w:bidi="ar"/>
        </w:rPr>
        <w:t>满意度指标</w:t>
      </w:r>
      <w:r>
        <w:rPr>
          <w:rFonts w:hint="eastAsia" w:ascii="Times New Roman" w:hAnsi="Times New Roman" w:eastAsia="仿宋_GB2312" w:cs="仿宋_GB2312"/>
          <w:b/>
          <w:bCs/>
          <w:color w:val="auto"/>
          <w:spacing w:val="-6"/>
          <w:kern w:val="0"/>
          <w:sz w:val="32"/>
          <w:szCs w:val="32"/>
          <w:highlight w:val="none"/>
          <w:lang w:val="en-US" w:eastAsia="zh-CN"/>
        </w:rPr>
        <w:t>。</w:t>
      </w:r>
      <w:bookmarkEnd w:id="33"/>
      <w:bookmarkEnd w:id="69"/>
      <w:bookmarkEnd w:id="70"/>
      <w:bookmarkEnd w:id="71"/>
      <w:bookmarkStart w:id="72" w:name="_Toc18153"/>
      <w:bookmarkStart w:id="73" w:name="_Toc512491981"/>
      <w:bookmarkStart w:id="74" w:name="_Toc13565"/>
      <w:bookmarkStart w:id="75" w:name="_Toc5769"/>
    </w:p>
    <w:p w14:paraId="55D0B93D">
      <w:pPr>
        <w:pStyle w:val="12"/>
        <w:spacing w:line="360" w:lineRule="auto"/>
        <w:ind w:firstLine="640" w:firstLineChars="200"/>
        <w:rPr>
          <w:rFonts w:hint="eastAsia" w:ascii="Times New Roman" w:hAnsi="Times New Roman" w:cs="仿宋_GB2312"/>
          <w:color w:val="auto"/>
          <w:sz w:val="32"/>
          <w:szCs w:val="32"/>
          <w:highlight w:val="none"/>
          <w:lang w:val="en-US" w:eastAsia="zh-CN" w:bidi="ar"/>
        </w:rPr>
      </w:pPr>
      <w:r>
        <w:rPr>
          <w:rFonts w:hint="eastAsia" w:ascii="Times New Roman" w:hAnsi="Times New Roman" w:cs="仿宋_GB2312"/>
          <w:color w:val="auto"/>
          <w:sz w:val="32"/>
          <w:szCs w:val="32"/>
          <w:highlight w:val="none"/>
          <w:lang w:val="en-US" w:eastAsia="zh-CN" w:bidi="ar"/>
        </w:rPr>
        <w:t>群众投诉城市水环境治理次数</w:t>
      </w:r>
      <w:r>
        <w:rPr>
          <w:rFonts w:hint="eastAsia" w:cs="仿宋_GB2312"/>
          <w:color w:val="auto"/>
          <w:sz w:val="32"/>
          <w:szCs w:val="32"/>
          <w:highlight w:val="none"/>
          <w:lang w:val="en-US" w:eastAsia="zh-CN" w:bidi="ar"/>
        </w:rPr>
        <w:t>。</w:t>
      </w:r>
      <w:r>
        <w:rPr>
          <w:rFonts w:hint="eastAsia" w:ascii="Times New Roman" w:hAnsi="Times New Roman" w:cs="仿宋_GB2312"/>
          <w:color w:val="auto"/>
          <w:sz w:val="32"/>
          <w:szCs w:val="32"/>
          <w:highlight w:val="none"/>
          <w:lang w:val="en-US" w:eastAsia="zh-CN" w:bidi="ar"/>
        </w:rPr>
        <w:t>指标分值5分，自评得分5分，得分率100%。根据各市报送的自评材料，2022年云浮市各县群众投诉次数为5.5次，河源市本级2次，韶关市≦10次，其余地市为0次。完成“群众投诉情况≦10次/年”的指标值。</w:t>
      </w:r>
    </w:p>
    <w:p w14:paraId="18555A84">
      <w:pPr>
        <w:numPr>
          <w:ilvl w:val="0"/>
          <w:numId w:val="0"/>
        </w:numPr>
        <w:ind w:firstLine="640" w:firstLineChars="200"/>
        <w:outlineLvl w:val="0"/>
        <w:rPr>
          <w:rFonts w:hint="eastAsia" w:ascii="Times New Roman" w:hAnsi="Times New Roman"/>
          <w:color w:val="auto"/>
          <w:highlight w:val="none"/>
          <w:lang w:val="en-US" w:eastAsia="zh-CN"/>
        </w:rPr>
      </w:pPr>
      <w:bookmarkStart w:id="76" w:name="_Toc17654"/>
      <w:r>
        <w:rPr>
          <w:rFonts w:hint="eastAsia" w:ascii="Times New Roman" w:hAnsi="Times New Roman" w:eastAsia="黑体" w:cs="Times New Roman"/>
          <w:b w:val="0"/>
          <w:bCs w:val="0"/>
          <w:color w:val="auto"/>
          <w:kern w:val="0"/>
          <w:sz w:val="32"/>
          <w:szCs w:val="32"/>
          <w:highlight w:val="none"/>
          <w:lang w:val="en-US" w:eastAsia="zh-CN"/>
        </w:rPr>
        <w:t>五、主要绩效</w:t>
      </w:r>
      <w:bookmarkEnd w:id="72"/>
      <w:bookmarkEnd w:id="73"/>
      <w:bookmarkEnd w:id="74"/>
      <w:bookmarkEnd w:id="75"/>
      <w:bookmarkEnd w:id="76"/>
      <w:bookmarkStart w:id="77" w:name="_Toc6266"/>
      <w:bookmarkStart w:id="78" w:name="_Toc4184"/>
      <w:bookmarkStart w:id="79" w:name="_Toc32041"/>
      <w:bookmarkStart w:id="80" w:name="_Toc512491983"/>
    </w:p>
    <w:p w14:paraId="6C228914">
      <w:pPr>
        <w:keepNext/>
        <w:keepLines/>
        <w:pageBreakBefore w:val="0"/>
        <w:widowControl w:val="0"/>
        <w:kinsoku/>
        <w:wordWrap/>
        <w:overflowPunct/>
        <w:topLinePunct w:val="0"/>
        <w:autoSpaceDE/>
        <w:autoSpaceDN/>
        <w:bidi w:val="0"/>
        <w:adjustRightInd/>
        <w:snapToGrid w:val="0"/>
        <w:spacing w:before="157" w:beforeLines="50" w:line="360" w:lineRule="auto"/>
        <w:ind w:leftChars="0" w:firstLine="643"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81" w:name="_Toc2544"/>
      <w:bookmarkStart w:id="82" w:name="_Toc7439"/>
      <w:r>
        <w:rPr>
          <w:rFonts w:hint="eastAsia" w:ascii="Times New Roman" w:hAnsi="Times New Roman" w:eastAsia="楷体_GB2312" w:cs="仿宋"/>
          <w:b/>
          <w:bCs/>
          <w:color w:val="auto"/>
          <w:kern w:val="0"/>
          <w:sz w:val="32"/>
          <w:szCs w:val="32"/>
          <w:highlight w:val="none"/>
          <w:lang w:val="en-US" w:eastAsia="zh-CN"/>
        </w:rPr>
        <w:t>（一）推进海绵城市建设，城市功能品质提升</w:t>
      </w:r>
      <w:bookmarkEnd w:id="81"/>
      <w:bookmarkEnd w:id="82"/>
    </w:p>
    <w:p w14:paraId="2C162996">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eastAsia="仿宋_GB2312" w:cs="仿宋_GB2312"/>
          <w:b w:val="0"/>
          <w:bCs w:val="0"/>
          <w:color w:val="auto"/>
          <w:kern w:val="2"/>
          <w:sz w:val="32"/>
          <w:szCs w:val="24"/>
          <w:highlight w:val="none"/>
          <w:lang w:val="en-US" w:eastAsia="zh-CN" w:bidi="ar-SA"/>
        </w:rPr>
      </w:pPr>
      <w:r>
        <w:rPr>
          <w:rFonts w:hint="eastAsia" w:ascii="Times New Roman" w:hAnsi="Times New Roman" w:eastAsia="仿宋_GB2312" w:cs="仿宋_GB2312"/>
          <w:b/>
          <w:bCs/>
          <w:color w:val="auto"/>
          <w:kern w:val="2"/>
          <w:sz w:val="32"/>
          <w:szCs w:val="24"/>
          <w:highlight w:val="none"/>
          <w:lang w:val="en-US" w:eastAsia="zh-CN" w:bidi="ar-SA"/>
        </w:rPr>
        <w:t>1.达标海绵建设标准面积占建成区面积比例有所增长。</w:t>
      </w:r>
      <w:r>
        <w:rPr>
          <w:rFonts w:hint="eastAsia" w:ascii="Times New Roman" w:hAnsi="Times New Roman" w:eastAsia="仿宋_GB2312" w:cs="仿宋_GB2312"/>
          <w:b w:val="0"/>
          <w:bCs w:val="0"/>
          <w:color w:val="auto"/>
          <w:kern w:val="2"/>
          <w:sz w:val="32"/>
          <w:szCs w:val="24"/>
          <w:highlight w:val="none"/>
          <w:lang w:val="en-US" w:eastAsia="zh-CN" w:bidi="ar-SA"/>
        </w:rPr>
        <w:t>达标海绵建设标准面积占建成区面积比例较2021年有所增长，</w:t>
      </w:r>
      <w:r>
        <w:rPr>
          <w:rFonts w:hint="eastAsia" w:cs="仿宋_GB2312"/>
          <w:b w:val="0"/>
          <w:bCs w:val="0"/>
          <w:color w:val="auto"/>
          <w:kern w:val="2"/>
          <w:sz w:val="32"/>
          <w:szCs w:val="24"/>
          <w:highlight w:val="none"/>
          <w:lang w:val="en-US" w:eastAsia="zh-CN" w:bidi="ar-SA"/>
        </w:rPr>
        <w:t>截至2022年底</w:t>
      </w:r>
      <w:r>
        <w:rPr>
          <w:rFonts w:hint="eastAsia" w:ascii="Times New Roman" w:hAnsi="Times New Roman" w:eastAsia="仿宋_GB2312" w:cs="仿宋_GB2312"/>
          <w:b w:val="0"/>
          <w:bCs w:val="0"/>
          <w:color w:val="auto"/>
          <w:kern w:val="2"/>
          <w:sz w:val="32"/>
          <w:szCs w:val="24"/>
          <w:highlight w:val="none"/>
          <w:lang w:val="en-US" w:eastAsia="zh-CN" w:bidi="ar-SA"/>
        </w:rPr>
        <w:t>，</w:t>
      </w:r>
      <w:r>
        <w:rPr>
          <w:rFonts w:hint="eastAsia" w:cs="仿宋_GB2312"/>
          <w:b w:val="0"/>
          <w:bCs w:val="0"/>
          <w:color w:val="auto"/>
          <w:kern w:val="2"/>
          <w:sz w:val="32"/>
          <w:szCs w:val="24"/>
          <w:highlight w:val="none"/>
          <w:lang w:val="en-US" w:eastAsia="zh-CN" w:bidi="ar-SA"/>
        </w:rPr>
        <w:t>3个省级海绵示范市的</w:t>
      </w:r>
      <w:r>
        <w:rPr>
          <w:rFonts w:hint="eastAsia" w:ascii="Times New Roman" w:hAnsi="Times New Roman" w:cs="仿宋_GB2312"/>
          <w:color w:val="auto"/>
          <w:sz w:val="32"/>
          <w:szCs w:val="32"/>
          <w:highlight w:val="none"/>
          <w:lang w:val="en-US" w:eastAsia="zh-CN" w:bidi="ar"/>
        </w:rPr>
        <w:t>海绵城市建成面积达城市建成区面积</w:t>
      </w:r>
      <w:r>
        <w:rPr>
          <w:rFonts w:hint="eastAsia" w:cs="仿宋_GB2312"/>
          <w:color w:val="auto"/>
          <w:sz w:val="32"/>
          <w:szCs w:val="32"/>
          <w:highlight w:val="none"/>
          <w:lang w:val="en-US" w:eastAsia="zh-CN" w:bidi="ar"/>
        </w:rPr>
        <w:t>比例平均为38.98%</w:t>
      </w:r>
      <w:r>
        <w:rPr>
          <w:rFonts w:hint="eastAsia" w:ascii="Times New Roman" w:hAnsi="Times New Roman" w:eastAsia="仿宋_GB2312" w:cs="仿宋_GB2312"/>
          <w:b w:val="0"/>
          <w:bCs w:val="0"/>
          <w:color w:val="auto"/>
          <w:kern w:val="2"/>
          <w:sz w:val="32"/>
          <w:szCs w:val="24"/>
          <w:highlight w:val="none"/>
          <w:lang w:val="en-US" w:eastAsia="zh-CN" w:bidi="ar-SA"/>
        </w:rPr>
        <w:t>。在适应环境变化和应对自然灾害等方面具有</w:t>
      </w:r>
      <w:r>
        <w:rPr>
          <w:rFonts w:hint="eastAsia" w:ascii="Times New Roman" w:hAnsi="Times New Roman" w:cs="仿宋_GB2312"/>
          <w:b w:val="0"/>
          <w:bCs w:val="0"/>
          <w:color w:val="auto"/>
          <w:kern w:val="2"/>
          <w:sz w:val="32"/>
          <w:szCs w:val="24"/>
          <w:highlight w:val="none"/>
          <w:lang w:val="en-US" w:eastAsia="zh-CN" w:bidi="ar-SA"/>
        </w:rPr>
        <w:t>更</w:t>
      </w:r>
      <w:r>
        <w:rPr>
          <w:rFonts w:hint="eastAsia" w:ascii="Times New Roman" w:hAnsi="Times New Roman" w:eastAsia="仿宋_GB2312" w:cs="仿宋_GB2312"/>
          <w:b w:val="0"/>
          <w:bCs w:val="0"/>
          <w:color w:val="auto"/>
          <w:kern w:val="2"/>
          <w:sz w:val="32"/>
          <w:szCs w:val="24"/>
          <w:highlight w:val="none"/>
          <w:lang w:val="en-US" w:eastAsia="zh-CN" w:bidi="ar-SA"/>
        </w:rPr>
        <w:t>好的“弹性”</w:t>
      </w:r>
      <w:r>
        <w:rPr>
          <w:rFonts w:hint="eastAsia" w:ascii="Times New Roman" w:hAnsi="Times New Roman" w:cs="仿宋_GB2312"/>
          <w:b w:val="0"/>
          <w:bCs w:val="0"/>
          <w:color w:val="auto"/>
          <w:kern w:val="2"/>
          <w:sz w:val="32"/>
          <w:szCs w:val="24"/>
          <w:highlight w:val="none"/>
          <w:lang w:val="en-US" w:eastAsia="zh-CN" w:bidi="ar-SA"/>
        </w:rPr>
        <w:t>。</w:t>
      </w:r>
    </w:p>
    <w:p w14:paraId="67725D69">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eastAsia="仿宋_GB2312" w:cs="仿宋_GB2312"/>
          <w:b w:val="0"/>
          <w:bCs w:val="0"/>
          <w:color w:val="auto"/>
          <w:kern w:val="2"/>
          <w:sz w:val="32"/>
          <w:szCs w:val="24"/>
          <w:highlight w:val="none"/>
          <w:lang w:val="en-US" w:eastAsia="zh-CN" w:bidi="ar-SA"/>
        </w:rPr>
      </w:pPr>
      <w:r>
        <w:rPr>
          <w:rFonts w:hint="eastAsia" w:ascii="Times New Roman" w:hAnsi="Times New Roman" w:eastAsia="仿宋_GB2312" w:cs="仿宋_GB2312"/>
          <w:b/>
          <w:bCs/>
          <w:color w:val="auto"/>
          <w:kern w:val="2"/>
          <w:sz w:val="32"/>
          <w:szCs w:val="24"/>
          <w:highlight w:val="none"/>
          <w:lang w:val="en-US" w:eastAsia="zh-CN" w:bidi="ar-SA"/>
        </w:rPr>
        <w:t>2.海绵城市</w:t>
      </w:r>
      <w:r>
        <w:rPr>
          <w:rFonts w:hint="eastAsia" w:cs="仿宋_GB2312"/>
          <w:b/>
          <w:bCs/>
          <w:color w:val="auto"/>
          <w:kern w:val="2"/>
          <w:sz w:val="32"/>
          <w:szCs w:val="24"/>
          <w:highlight w:val="none"/>
          <w:lang w:val="en-US" w:eastAsia="zh-CN" w:bidi="ar-SA"/>
        </w:rPr>
        <w:t>建设示范市</w:t>
      </w:r>
      <w:r>
        <w:rPr>
          <w:rFonts w:hint="eastAsia" w:ascii="Times New Roman" w:hAnsi="Times New Roman" w:eastAsia="仿宋_GB2312" w:cs="仿宋_GB2312"/>
          <w:b/>
          <w:bCs/>
          <w:color w:val="auto"/>
          <w:kern w:val="2"/>
          <w:sz w:val="32"/>
          <w:szCs w:val="24"/>
          <w:highlight w:val="none"/>
          <w:lang w:val="en-US" w:eastAsia="zh-CN" w:bidi="ar-SA"/>
        </w:rPr>
        <w:t>比例提高。</w:t>
      </w:r>
      <w:r>
        <w:rPr>
          <w:rFonts w:hint="eastAsia" w:ascii="Times New Roman" w:hAnsi="Times New Roman" w:eastAsia="仿宋_GB2312" w:cs="仿宋_GB2312"/>
          <w:b w:val="0"/>
          <w:bCs w:val="0"/>
          <w:color w:val="auto"/>
          <w:kern w:val="2"/>
          <w:sz w:val="32"/>
          <w:szCs w:val="24"/>
          <w:highlight w:val="none"/>
          <w:lang w:val="en-US" w:eastAsia="zh-CN" w:bidi="ar-SA"/>
        </w:rPr>
        <w:t>继广州、汕头</w:t>
      </w:r>
      <w:r>
        <w:rPr>
          <w:rFonts w:hint="eastAsia" w:cs="仿宋_GB2312"/>
          <w:b w:val="0"/>
          <w:bCs w:val="0"/>
          <w:color w:val="auto"/>
          <w:kern w:val="2"/>
          <w:sz w:val="32"/>
          <w:szCs w:val="24"/>
          <w:highlight w:val="none"/>
          <w:lang w:val="en-US" w:eastAsia="zh-CN" w:bidi="ar-SA"/>
        </w:rPr>
        <w:t>市</w:t>
      </w:r>
      <w:r>
        <w:rPr>
          <w:rFonts w:hint="eastAsia" w:ascii="Times New Roman" w:hAnsi="Times New Roman" w:eastAsia="仿宋_GB2312" w:cs="仿宋_GB2312"/>
          <w:b w:val="0"/>
          <w:bCs w:val="0"/>
          <w:color w:val="auto"/>
          <w:kern w:val="2"/>
          <w:sz w:val="32"/>
          <w:szCs w:val="24"/>
          <w:highlight w:val="none"/>
          <w:lang w:val="en-US" w:eastAsia="zh-CN" w:bidi="ar-SA"/>
        </w:rPr>
        <w:t>被评为国家海绵城市建设示范市后，中山市成功入选国家示范市，我省</w:t>
      </w:r>
      <w:r>
        <w:rPr>
          <w:rFonts w:hint="eastAsia" w:cs="仿宋_GB2312"/>
          <w:b w:val="0"/>
          <w:bCs w:val="0"/>
          <w:color w:val="auto"/>
          <w:kern w:val="2"/>
          <w:sz w:val="32"/>
          <w:szCs w:val="24"/>
          <w:highlight w:val="none"/>
          <w:lang w:val="en-US" w:eastAsia="zh-CN" w:bidi="ar-SA"/>
        </w:rPr>
        <w:t>国家海绵城市建设</w:t>
      </w:r>
      <w:r>
        <w:rPr>
          <w:rFonts w:hint="eastAsia" w:ascii="Times New Roman" w:hAnsi="Times New Roman" w:eastAsia="仿宋_GB2312" w:cs="仿宋_GB2312"/>
          <w:b w:val="0"/>
          <w:bCs w:val="0"/>
          <w:color w:val="auto"/>
          <w:kern w:val="2"/>
          <w:sz w:val="32"/>
          <w:szCs w:val="24"/>
          <w:highlight w:val="none"/>
          <w:lang w:val="en-US" w:eastAsia="zh-CN" w:bidi="ar-SA"/>
        </w:rPr>
        <w:t>示范市数量、获得中央财政资金补助为全国最多的4个省份之一；完成两批省级示范市评选，东莞、中山、梅州、佛山、茂名、江门6市被评为省级示范市，各获得省级财政资金补助3000万元。</w:t>
      </w:r>
    </w:p>
    <w:p w14:paraId="195D73FD">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eastAsia="仿宋_GB2312" w:cs="仿宋_GB2312"/>
          <w:b w:val="0"/>
          <w:bCs w:val="0"/>
          <w:color w:val="auto"/>
          <w:kern w:val="2"/>
          <w:sz w:val="32"/>
          <w:szCs w:val="24"/>
          <w:highlight w:val="none"/>
          <w:lang w:val="en-US" w:eastAsia="zh-CN" w:bidi="ar-SA"/>
        </w:rPr>
      </w:pPr>
      <w:r>
        <w:rPr>
          <w:rFonts w:hint="eastAsia" w:ascii="Times New Roman" w:hAnsi="Times New Roman" w:eastAsia="仿宋_GB2312" w:cs="仿宋_GB2312"/>
          <w:b/>
          <w:bCs/>
          <w:color w:val="auto"/>
          <w:kern w:val="2"/>
          <w:sz w:val="32"/>
          <w:szCs w:val="24"/>
          <w:highlight w:val="none"/>
          <w:lang w:val="en-US" w:eastAsia="zh-CN" w:bidi="ar-SA"/>
        </w:rPr>
        <w:t>3.海绵城市理念得到全面、有效落实。</w:t>
      </w:r>
      <w:r>
        <w:rPr>
          <w:rFonts w:hint="eastAsia" w:ascii="Times New Roman" w:hAnsi="Times New Roman" w:eastAsia="仿宋_GB2312" w:cs="仿宋_GB2312"/>
          <w:b w:val="0"/>
          <w:bCs w:val="0"/>
          <w:color w:val="auto"/>
          <w:kern w:val="2"/>
          <w:sz w:val="32"/>
          <w:szCs w:val="24"/>
          <w:highlight w:val="none"/>
          <w:lang w:val="en-US" w:eastAsia="zh-CN" w:bidi="ar-SA"/>
        </w:rPr>
        <w:t>我厅印发实施《广东省系统化全域推进海绵城市建设工作方案（2022-2025年）》，编制《海绵城市建设技术规程》等地方标准、指引。</w:t>
      </w:r>
    </w:p>
    <w:p w14:paraId="137FF5DA">
      <w:pPr>
        <w:keepNext/>
        <w:keepLines/>
        <w:pageBreakBefore w:val="0"/>
        <w:widowControl w:val="0"/>
        <w:kinsoku/>
        <w:wordWrap/>
        <w:overflowPunct/>
        <w:topLinePunct w:val="0"/>
        <w:autoSpaceDE/>
        <w:autoSpaceDN/>
        <w:bidi w:val="0"/>
        <w:adjustRightInd/>
        <w:snapToGrid w:val="0"/>
        <w:spacing w:before="157" w:beforeLines="50" w:line="360" w:lineRule="auto"/>
        <w:ind w:leftChars="0" w:firstLine="643" w:firstLineChars="200"/>
        <w:textAlignment w:val="auto"/>
        <w:outlineLvl w:val="1"/>
        <w:rPr>
          <w:rFonts w:hint="default" w:ascii="Times New Roman" w:hAnsi="Times New Roman" w:eastAsia="楷体_GB2312" w:cs="仿宋"/>
          <w:b/>
          <w:bCs/>
          <w:color w:val="auto"/>
          <w:kern w:val="0"/>
          <w:sz w:val="32"/>
          <w:szCs w:val="32"/>
          <w:highlight w:val="none"/>
          <w:lang w:val="en-US" w:eastAsia="zh-CN"/>
        </w:rPr>
      </w:pPr>
      <w:bookmarkStart w:id="83" w:name="_Toc23427"/>
      <w:bookmarkStart w:id="84" w:name="_Toc21300"/>
      <w:r>
        <w:rPr>
          <w:rFonts w:hint="eastAsia" w:ascii="Times New Roman" w:hAnsi="Times New Roman" w:eastAsia="楷体_GB2312" w:cs="仿宋"/>
          <w:b/>
          <w:bCs/>
          <w:color w:val="auto"/>
          <w:kern w:val="0"/>
          <w:sz w:val="32"/>
          <w:szCs w:val="32"/>
          <w:highlight w:val="none"/>
          <w:lang w:val="en-US" w:eastAsia="zh-CN"/>
        </w:rPr>
        <w:t>（二）编制系统化实施方案，城市内涝治理水平提高</w:t>
      </w:r>
      <w:bookmarkEnd w:id="83"/>
      <w:bookmarkEnd w:id="84"/>
    </w:p>
    <w:p w14:paraId="5903C004">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b/>
          <w:bCs/>
          <w:color w:val="auto"/>
          <w:kern w:val="2"/>
          <w:sz w:val="32"/>
          <w:szCs w:val="24"/>
          <w:highlight w:val="none"/>
          <w:lang w:val="en-US" w:eastAsia="zh-CN" w:bidi="ar-SA"/>
        </w:rPr>
        <w:t>1.完善城市内涝治理系统化实施方案。</w:t>
      </w:r>
      <w:r>
        <w:rPr>
          <w:rFonts w:hint="eastAsia" w:ascii="Times New Roman" w:hAnsi="Times New Roman" w:eastAsia="仿宋_GB2312" w:cs="仿宋_GB2312"/>
          <w:b w:val="0"/>
          <w:bCs w:val="0"/>
          <w:color w:val="auto"/>
          <w:kern w:val="2"/>
          <w:sz w:val="32"/>
          <w:szCs w:val="24"/>
          <w:highlight w:val="none"/>
          <w:lang w:val="en-US" w:eastAsia="zh-CN" w:bidi="ar-SA"/>
        </w:rPr>
        <w:t>成立城市内涝治理省级工作专班，印发《广东省城市内涝治理实施方案（2021</w:t>
      </w:r>
      <w:r>
        <w:rPr>
          <w:rFonts w:hint="eastAsia" w:ascii="Times New Roman" w:hAnsi="Times New Roman" w:cs="仿宋_GB2312"/>
          <w:b w:val="0"/>
          <w:bCs w:val="0"/>
          <w:color w:val="auto"/>
          <w:kern w:val="2"/>
          <w:sz w:val="32"/>
          <w:szCs w:val="24"/>
          <w:highlight w:val="none"/>
          <w:lang w:val="en-US" w:eastAsia="zh-CN" w:bidi="ar-SA"/>
        </w:rPr>
        <w:t>-</w:t>
      </w:r>
      <w:r>
        <w:rPr>
          <w:rFonts w:hint="eastAsia" w:ascii="Times New Roman" w:hAnsi="Times New Roman" w:eastAsia="仿宋_GB2312" w:cs="仿宋_GB2312"/>
          <w:b w:val="0"/>
          <w:bCs w:val="0"/>
          <w:color w:val="auto"/>
          <w:kern w:val="2"/>
          <w:sz w:val="32"/>
          <w:szCs w:val="24"/>
          <w:highlight w:val="none"/>
          <w:lang w:val="en-US" w:eastAsia="zh-CN" w:bidi="ar-SA"/>
        </w:rPr>
        <w:t>2025年）》。</w:t>
      </w:r>
      <w:r>
        <w:rPr>
          <w:rFonts w:hint="eastAsia" w:ascii="Times New Roman" w:hAnsi="Times New Roman" w:cs="仿宋_GB2312"/>
          <w:b w:val="0"/>
          <w:bCs w:val="0"/>
          <w:color w:val="auto"/>
          <w:kern w:val="2"/>
          <w:sz w:val="32"/>
          <w:szCs w:val="24"/>
          <w:highlight w:val="none"/>
          <w:lang w:val="en-US" w:eastAsia="zh-CN" w:bidi="ar-SA"/>
        </w:rPr>
        <w:t>各</w:t>
      </w:r>
      <w:r>
        <w:rPr>
          <w:rFonts w:hint="eastAsia" w:ascii="Times New Roman" w:hAnsi="Times New Roman" w:cs="仿宋_GB2312"/>
          <w:color w:val="auto"/>
          <w:kern w:val="0"/>
          <w:sz w:val="32"/>
          <w:szCs w:val="32"/>
          <w:highlight w:val="none"/>
          <w:lang w:val="en-US" w:eastAsia="zh-CN" w:bidi="ar"/>
        </w:rPr>
        <w:t>地级以上城市编制并深化城市内涝治理系统化实施方案共15份，加上各市县编制配套实施方案共25份：如《汕尾市中心城区城市内涝治理系统化实施方案》、《陆丰市城市内涝治理系统化实施方案（2021-2025年）》等。</w:t>
      </w:r>
    </w:p>
    <w:p w14:paraId="410A78E7">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b/>
          <w:bCs/>
          <w:color w:val="auto"/>
          <w:kern w:val="2"/>
          <w:sz w:val="32"/>
          <w:szCs w:val="24"/>
          <w:highlight w:val="none"/>
          <w:lang w:val="en-US" w:eastAsia="zh-CN" w:bidi="ar-SA"/>
        </w:rPr>
        <w:t>2.城市内涝治理水平提升。</w:t>
      </w:r>
      <w:r>
        <w:rPr>
          <w:rFonts w:hint="eastAsia" w:ascii="Times New Roman" w:hAnsi="Times New Roman" w:eastAsia="仿宋_GB2312" w:cs="仿宋_GB2312"/>
          <w:b w:val="0"/>
          <w:bCs w:val="0"/>
          <w:color w:val="auto"/>
          <w:kern w:val="2"/>
          <w:sz w:val="32"/>
          <w:szCs w:val="24"/>
          <w:highlight w:val="none"/>
          <w:lang w:val="en-US" w:eastAsia="zh-CN" w:bidi="ar-SA"/>
        </w:rPr>
        <w:t>指导各地加强项目储备，梳理“十四五”期间城市排水防涝项目建设投资约566亿元</w:t>
      </w:r>
      <w:r>
        <w:rPr>
          <w:rFonts w:hint="eastAsia" w:ascii="Times New Roman" w:hAnsi="Times New Roman" w:cs="仿宋_GB2312"/>
          <w:b w:val="0"/>
          <w:bCs w:val="0"/>
          <w:color w:val="auto"/>
          <w:kern w:val="2"/>
          <w:sz w:val="32"/>
          <w:szCs w:val="24"/>
          <w:highlight w:val="none"/>
          <w:lang w:val="en-US" w:eastAsia="zh-CN" w:bidi="ar-SA"/>
        </w:rPr>
        <w:t>。据不完全统计，</w:t>
      </w:r>
      <w:r>
        <w:rPr>
          <w:rFonts w:hint="eastAsia" w:ascii="Times New Roman" w:hAnsi="Times New Roman" w:eastAsia="仿宋_GB2312" w:cs="仿宋_GB2312"/>
          <w:b w:val="0"/>
          <w:bCs w:val="0"/>
          <w:color w:val="auto"/>
          <w:kern w:val="2"/>
          <w:sz w:val="32"/>
          <w:szCs w:val="24"/>
          <w:highlight w:val="none"/>
          <w:lang w:val="en-US" w:eastAsia="zh-CN" w:bidi="ar-SA"/>
        </w:rPr>
        <w:t>全省共有专业抢险人员</w:t>
      </w:r>
      <w:r>
        <w:rPr>
          <w:rFonts w:hint="eastAsia" w:ascii="Times New Roman" w:hAnsi="Times New Roman" w:cs="仿宋_GB2312"/>
          <w:b w:val="0"/>
          <w:bCs w:val="0"/>
          <w:color w:val="auto"/>
          <w:kern w:val="2"/>
          <w:sz w:val="32"/>
          <w:szCs w:val="24"/>
          <w:highlight w:val="none"/>
          <w:lang w:val="en-US" w:eastAsia="zh-CN" w:bidi="ar-SA"/>
        </w:rPr>
        <w:t>约</w:t>
      </w:r>
      <w:r>
        <w:rPr>
          <w:rFonts w:hint="eastAsia" w:ascii="Times New Roman" w:hAnsi="Times New Roman" w:eastAsia="仿宋_GB2312" w:cs="仿宋_GB2312"/>
          <w:b w:val="0"/>
          <w:bCs w:val="0"/>
          <w:color w:val="auto"/>
          <w:kern w:val="2"/>
          <w:sz w:val="32"/>
          <w:szCs w:val="24"/>
          <w:highlight w:val="none"/>
          <w:lang w:val="en-US" w:eastAsia="zh-CN" w:bidi="ar-SA"/>
        </w:rPr>
        <w:t>7</w:t>
      </w:r>
      <w:r>
        <w:rPr>
          <w:rFonts w:hint="eastAsia" w:ascii="Times New Roman" w:hAnsi="Times New Roman" w:cs="仿宋_GB2312"/>
          <w:b w:val="0"/>
          <w:bCs w:val="0"/>
          <w:color w:val="auto"/>
          <w:kern w:val="2"/>
          <w:sz w:val="32"/>
          <w:szCs w:val="24"/>
          <w:highlight w:val="none"/>
          <w:lang w:val="en-US" w:eastAsia="zh-CN" w:bidi="ar-SA"/>
        </w:rPr>
        <w:t>,</w:t>
      </w:r>
      <w:r>
        <w:rPr>
          <w:rFonts w:hint="eastAsia" w:ascii="Times New Roman" w:hAnsi="Times New Roman" w:eastAsia="仿宋_GB2312" w:cs="仿宋_GB2312"/>
          <w:b w:val="0"/>
          <w:bCs w:val="0"/>
          <w:color w:val="auto"/>
          <w:kern w:val="2"/>
          <w:sz w:val="32"/>
          <w:szCs w:val="24"/>
          <w:highlight w:val="none"/>
          <w:lang w:val="en-US" w:eastAsia="zh-CN" w:bidi="ar-SA"/>
        </w:rPr>
        <w:t>0</w:t>
      </w:r>
      <w:r>
        <w:rPr>
          <w:rFonts w:hint="eastAsia" w:ascii="Times New Roman" w:hAnsi="Times New Roman" w:cs="仿宋_GB2312"/>
          <w:b w:val="0"/>
          <w:bCs w:val="0"/>
          <w:color w:val="auto"/>
          <w:kern w:val="2"/>
          <w:sz w:val="32"/>
          <w:szCs w:val="24"/>
          <w:highlight w:val="none"/>
          <w:lang w:val="en-US" w:eastAsia="zh-CN" w:bidi="ar-SA"/>
        </w:rPr>
        <w:t>00</w:t>
      </w:r>
      <w:r>
        <w:rPr>
          <w:rFonts w:hint="eastAsia" w:ascii="Times New Roman" w:hAnsi="Times New Roman" w:eastAsia="仿宋_GB2312" w:cs="仿宋_GB2312"/>
          <w:b w:val="0"/>
          <w:bCs w:val="0"/>
          <w:color w:val="auto"/>
          <w:kern w:val="2"/>
          <w:sz w:val="32"/>
          <w:szCs w:val="24"/>
          <w:highlight w:val="none"/>
          <w:lang w:val="en-US" w:eastAsia="zh-CN" w:bidi="ar-SA"/>
        </w:rPr>
        <w:t>人、抢险车辆设备</w:t>
      </w:r>
      <w:r>
        <w:rPr>
          <w:rFonts w:hint="eastAsia" w:ascii="Times New Roman" w:hAnsi="Times New Roman" w:cs="仿宋_GB2312"/>
          <w:b w:val="0"/>
          <w:bCs w:val="0"/>
          <w:color w:val="auto"/>
          <w:kern w:val="2"/>
          <w:sz w:val="32"/>
          <w:szCs w:val="24"/>
          <w:highlight w:val="none"/>
          <w:lang w:val="en-US" w:eastAsia="zh-CN" w:bidi="ar-SA"/>
        </w:rPr>
        <w:t>约3,000辆（</w:t>
      </w:r>
      <w:r>
        <w:rPr>
          <w:rFonts w:hint="eastAsia" w:ascii="Times New Roman" w:hAnsi="Times New Roman" w:eastAsia="仿宋_GB2312" w:cs="仿宋_GB2312"/>
          <w:b w:val="0"/>
          <w:bCs w:val="0"/>
          <w:color w:val="auto"/>
          <w:kern w:val="2"/>
          <w:sz w:val="32"/>
          <w:szCs w:val="24"/>
          <w:highlight w:val="none"/>
          <w:lang w:val="en-US" w:eastAsia="zh-CN" w:bidi="ar-SA"/>
        </w:rPr>
        <w:t>台</w:t>
      </w:r>
      <w:r>
        <w:rPr>
          <w:rFonts w:hint="eastAsia" w:ascii="Times New Roman" w:hAnsi="Times New Roman" w:cs="仿宋_GB2312"/>
          <w:b w:val="0"/>
          <w:bCs w:val="0"/>
          <w:color w:val="auto"/>
          <w:kern w:val="2"/>
          <w:sz w:val="32"/>
          <w:szCs w:val="24"/>
          <w:highlight w:val="none"/>
          <w:lang w:val="en-US" w:eastAsia="zh-CN" w:bidi="ar-SA"/>
        </w:rPr>
        <w:t>），累计建成</w:t>
      </w:r>
      <w:r>
        <w:rPr>
          <w:rFonts w:hint="eastAsia" w:ascii="Times New Roman" w:hAnsi="Times New Roman" w:cs="仿宋_GB2312"/>
          <w:color w:val="auto"/>
          <w:sz w:val="32"/>
          <w:highlight w:val="none"/>
          <w:lang w:val="en-US" w:eastAsia="zh-CN"/>
        </w:rPr>
        <w:t>城市排水管网约13.80万千米</w:t>
      </w:r>
      <w:r>
        <w:rPr>
          <w:rFonts w:hint="eastAsia" w:ascii="Times New Roman" w:hAnsi="Times New Roman" w:cs="仿宋_GB2312"/>
          <w:b w:val="0"/>
          <w:bCs w:val="0"/>
          <w:color w:val="auto"/>
          <w:kern w:val="2"/>
          <w:sz w:val="32"/>
          <w:szCs w:val="24"/>
          <w:highlight w:val="none"/>
          <w:lang w:val="en-US" w:eastAsia="zh-CN" w:bidi="ar-SA"/>
        </w:rPr>
        <w:t>。举行2022年全省城市排水防涝应急演练，各地开展应急演练245次，摸排易涝点557个，整治完成190个。</w:t>
      </w:r>
      <w:r>
        <w:rPr>
          <w:rFonts w:hint="eastAsia" w:ascii="Times New Roman" w:hAnsi="Times New Roman" w:eastAsia="仿宋_GB2312" w:cs="仿宋_GB2312"/>
          <w:b w:val="0"/>
          <w:bCs w:val="0"/>
          <w:color w:val="auto"/>
          <w:kern w:val="2"/>
          <w:sz w:val="32"/>
          <w:szCs w:val="24"/>
          <w:highlight w:val="none"/>
          <w:lang w:val="en-US" w:eastAsia="zh-CN" w:bidi="ar-SA"/>
        </w:rPr>
        <w:t>成功应对“5·10”强降雨期</w:t>
      </w:r>
      <w:r>
        <w:rPr>
          <w:rFonts w:hint="eastAsia" w:ascii="Times New Roman" w:hAnsi="Times New Roman" w:cs="仿宋_GB2312"/>
          <w:b w:val="0"/>
          <w:bCs w:val="0"/>
          <w:color w:val="auto"/>
          <w:kern w:val="2"/>
          <w:sz w:val="32"/>
          <w:szCs w:val="24"/>
          <w:highlight w:val="none"/>
          <w:lang w:val="en-US" w:eastAsia="zh-CN" w:bidi="ar-SA"/>
        </w:rPr>
        <w:t>间</w:t>
      </w:r>
      <w:r>
        <w:rPr>
          <w:rFonts w:hint="eastAsia" w:ascii="Times New Roman" w:hAnsi="Times New Roman" w:eastAsia="仿宋_GB2312" w:cs="仿宋_GB2312"/>
          <w:b w:val="0"/>
          <w:bCs w:val="0"/>
          <w:color w:val="auto"/>
          <w:kern w:val="2"/>
          <w:sz w:val="32"/>
          <w:szCs w:val="24"/>
          <w:highlight w:val="none"/>
          <w:lang w:val="en-US" w:eastAsia="zh-CN" w:bidi="ar-SA"/>
        </w:rPr>
        <w:t>城市</w:t>
      </w:r>
      <w:r>
        <w:rPr>
          <w:rFonts w:hint="eastAsia" w:ascii="Times New Roman" w:hAnsi="Times New Roman" w:cs="仿宋_GB2312"/>
          <w:b w:val="0"/>
          <w:bCs w:val="0"/>
          <w:color w:val="auto"/>
          <w:kern w:val="2"/>
          <w:sz w:val="32"/>
          <w:szCs w:val="24"/>
          <w:highlight w:val="none"/>
          <w:lang w:val="en-US" w:eastAsia="zh-CN" w:bidi="ar-SA"/>
        </w:rPr>
        <w:t>内涝；面对</w:t>
      </w:r>
      <w:r>
        <w:rPr>
          <w:rFonts w:hint="eastAsia" w:ascii="Times New Roman" w:hAnsi="Times New Roman" w:eastAsia="仿宋_GB2312" w:cs="仿宋_GB2312"/>
          <w:b w:val="0"/>
          <w:bCs w:val="0"/>
          <w:color w:val="auto"/>
          <w:kern w:val="2"/>
          <w:sz w:val="32"/>
          <w:szCs w:val="24"/>
          <w:highlight w:val="none"/>
          <w:lang w:val="en-US" w:eastAsia="zh-CN" w:bidi="ar-SA"/>
        </w:rPr>
        <w:t>6月粤北特大洪水，迅速组织广州、深圳</w:t>
      </w:r>
      <w:r>
        <w:rPr>
          <w:rFonts w:hint="eastAsia" w:ascii="Times New Roman" w:hAnsi="Times New Roman" w:cs="仿宋_GB2312"/>
          <w:b w:val="0"/>
          <w:bCs w:val="0"/>
          <w:color w:val="auto"/>
          <w:kern w:val="2"/>
          <w:sz w:val="32"/>
          <w:szCs w:val="24"/>
          <w:highlight w:val="none"/>
          <w:lang w:val="en-US" w:eastAsia="zh-CN" w:bidi="ar-SA"/>
        </w:rPr>
        <w:t>、</w:t>
      </w:r>
      <w:r>
        <w:rPr>
          <w:rFonts w:hint="eastAsia" w:ascii="Times New Roman" w:hAnsi="Times New Roman" w:eastAsia="仿宋_GB2312" w:cs="仿宋_GB2312"/>
          <w:b w:val="0"/>
          <w:bCs w:val="0"/>
          <w:color w:val="auto"/>
          <w:kern w:val="2"/>
          <w:sz w:val="32"/>
          <w:szCs w:val="24"/>
          <w:highlight w:val="none"/>
          <w:lang w:val="en-US" w:eastAsia="zh-CN" w:bidi="ar-SA"/>
        </w:rPr>
        <w:t>东莞等市救援队伍</w:t>
      </w:r>
      <w:r>
        <w:rPr>
          <w:rFonts w:hint="eastAsia" w:cs="仿宋_GB2312"/>
          <w:b w:val="0"/>
          <w:bCs w:val="0"/>
          <w:color w:val="auto"/>
          <w:kern w:val="2"/>
          <w:sz w:val="32"/>
          <w:szCs w:val="24"/>
          <w:highlight w:val="none"/>
          <w:lang w:val="en-US" w:eastAsia="zh-CN" w:bidi="ar-SA"/>
        </w:rPr>
        <w:t>，</w:t>
      </w:r>
      <w:r>
        <w:rPr>
          <w:rFonts w:hint="eastAsia" w:ascii="Times New Roman" w:hAnsi="Times New Roman" w:eastAsia="仿宋_GB2312" w:cs="仿宋_GB2312"/>
          <w:b w:val="0"/>
          <w:bCs w:val="0"/>
          <w:color w:val="auto"/>
          <w:kern w:val="2"/>
          <w:sz w:val="32"/>
          <w:szCs w:val="24"/>
          <w:highlight w:val="none"/>
          <w:lang w:val="en-US" w:eastAsia="zh-CN" w:bidi="ar-SA"/>
        </w:rPr>
        <w:t>调配相应救援物资</w:t>
      </w:r>
      <w:r>
        <w:rPr>
          <w:rFonts w:hint="eastAsia" w:ascii="Times New Roman" w:hAnsi="Times New Roman" w:cs="仿宋_GB2312"/>
          <w:b w:val="0"/>
          <w:bCs w:val="0"/>
          <w:color w:val="auto"/>
          <w:kern w:val="2"/>
          <w:sz w:val="32"/>
          <w:szCs w:val="24"/>
          <w:highlight w:val="none"/>
          <w:lang w:val="en-US" w:eastAsia="zh-CN" w:bidi="ar-SA"/>
        </w:rPr>
        <w:t>驰援韶关、清远市，全力以赴保障安全度汛。</w:t>
      </w:r>
    </w:p>
    <w:p w14:paraId="1AD75125">
      <w:pPr>
        <w:keepNext/>
        <w:keepLines/>
        <w:pageBreakBefore w:val="0"/>
        <w:widowControl w:val="0"/>
        <w:kinsoku/>
        <w:wordWrap/>
        <w:overflowPunct/>
        <w:topLinePunct w:val="0"/>
        <w:autoSpaceDE/>
        <w:autoSpaceDN/>
        <w:bidi w:val="0"/>
        <w:adjustRightInd/>
        <w:snapToGrid w:val="0"/>
        <w:spacing w:before="157" w:beforeLines="50" w:line="360" w:lineRule="auto"/>
        <w:ind w:leftChars="0" w:firstLine="643"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85" w:name="_Toc20027"/>
      <w:bookmarkStart w:id="86" w:name="_Toc26429"/>
      <w:r>
        <w:rPr>
          <w:rFonts w:hint="eastAsia" w:ascii="Times New Roman" w:hAnsi="Times New Roman" w:eastAsia="楷体_GB2312" w:cs="仿宋"/>
          <w:b/>
          <w:bCs/>
          <w:color w:val="auto"/>
          <w:kern w:val="0"/>
          <w:sz w:val="32"/>
          <w:szCs w:val="32"/>
          <w:highlight w:val="none"/>
          <w:lang w:val="en-US" w:eastAsia="zh-CN"/>
        </w:rPr>
        <w:t>（三）加强城市生活污水处理与黑臭水体治理，有效改善生态环境</w:t>
      </w:r>
      <w:bookmarkEnd w:id="85"/>
      <w:bookmarkEnd w:id="86"/>
    </w:p>
    <w:p w14:paraId="2FCAB723">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b/>
          <w:bCs/>
          <w:color w:val="auto"/>
          <w:kern w:val="0"/>
          <w:sz w:val="32"/>
          <w:szCs w:val="32"/>
          <w:highlight w:val="none"/>
          <w:lang w:val="en-US" w:eastAsia="zh-CN" w:bidi="ar"/>
        </w:rPr>
        <w:t>1.城市污水管网排查与改造。</w:t>
      </w:r>
    </w:p>
    <w:p w14:paraId="34EC009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生活污水收集效能、生活污水集中收集率提升。印发《2021-2022年城市生活污水收集处理设施建设计划》，我厅联合省发展改革委、生态环境厅组织开展城市生活污水处理“双转变、双提升”提质增效评估，联合省相关部门开展城市污水处理提质增效专项检查，建立城市生活污水处理设施建设月调度及季度通报机制。全省累计建成城市生活污水管网7.</w:t>
      </w:r>
      <w:r>
        <w:rPr>
          <w:rFonts w:hint="eastAsia" w:cs="仿宋_GB2312"/>
          <w:b w:val="0"/>
          <w:bCs w:val="0"/>
          <w:color w:val="auto"/>
          <w:sz w:val="32"/>
          <w:szCs w:val="32"/>
          <w:highlight w:val="none"/>
          <w:lang w:val="en-US" w:eastAsia="zh-CN"/>
        </w:rPr>
        <w:t>7</w:t>
      </w:r>
      <w:r>
        <w:rPr>
          <w:rFonts w:hint="eastAsia" w:ascii="Times New Roman" w:hAnsi="Times New Roman" w:cs="仿宋_GB2312"/>
          <w:b w:val="0"/>
          <w:bCs w:val="0"/>
          <w:color w:val="auto"/>
          <w:sz w:val="32"/>
          <w:szCs w:val="32"/>
          <w:highlight w:val="none"/>
          <w:lang w:val="en-US" w:eastAsia="zh-CN"/>
        </w:rPr>
        <w:t>万公里，建成污水处理厂42</w:t>
      </w:r>
      <w:r>
        <w:rPr>
          <w:rFonts w:hint="eastAsia" w:cs="仿宋_GB2312"/>
          <w:b w:val="0"/>
          <w:bCs w:val="0"/>
          <w:color w:val="auto"/>
          <w:sz w:val="32"/>
          <w:szCs w:val="32"/>
          <w:highlight w:val="none"/>
          <w:lang w:val="en-US" w:eastAsia="zh-CN"/>
        </w:rPr>
        <w:t>2</w:t>
      </w:r>
      <w:r>
        <w:rPr>
          <w:rFonts w:hint="eastAsia" w:ascii="Times New Roman" w:hAnsi="Times New Roman" w:cs="仿宋_GB2312"/>
          <w:b w:val="0"/>
          <w:bCs w:val="0"/>
          <w:color w:val="auto"/>
          <w:sz w:val="32"/>
          <w:szCs w:val="32"/>
          <w:highlight w:val="none"/>
          <w:lang w:val="en-US" w:eastAsia="zh-CN"/>
        </w:rPr>
        <w:t>座，总处理能力达</w:t>
      </w:r>
      <w:r>
        <w:rPr>
          <w:rFonts w:hint="eastAsia" w:cs="仿宋_GB2312"/>
          <w:b w:val="0"/>
          <w:bCs w:val="0"/>
          <w:color w:val="auto"/>
          <w:sz w:val="32"/>
          <w:szCs w:val="32"/>
          <w:highlight w:val="none"/>
          <w:lang w:val="en-US" w:eastAsia="zh-CN"/>
        </w:rPr>
        <w:t>3019</w:t>
      </w:r>
      <w:r>
        <w:rPr>
          <w:rFonts w:hint="eastAsia" w:ascii="Times New Roman" w:hAnsi="Times New Roman" w:cs="仿宋_GB2312"/>
          <w:b w:val="0"/>
          <w:bCs w:val="0"/>
          <w:color w:val="auto"/>
          <w:sz w:val="32"/>
          <w:szCs w:val="32"/>
          <w:highlight w:val="none"/>
          <w:lang w:val="en-US" w:eastAsia="zh-CN"/>
        </w:rPr>
        <w:t>万吨/日。</w:t>
      </w:r>
    </w:p>
    <w:p w14:paraId="1398BDD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城市市政雨污管网混错接改造更新取得显著成效。</w:t>
      </w:r>
      <w:r>
        <w:rPr>
          <w:rFonts w:hint="eastAsia" w:ascii="Times New Roman" w:hAnsi="Times New Roman" w:cs="仿宋_GB2312"/>
          <w:b w:val="0"/>
          <w:bCs w:val="0"/>
          <w:color w:val="auto"/>
          <w:sz w:val="32"/>
          <w:szCs w:val="32"/>
          <w:highlight w:val="none"/>
          <w:lang w:val="en-US" w:eastAsia="zh-CN"/>
        </w:rPr>
        <w:t>印发《广东省城镇生活污水处理厂污泥处理处置管理办法》，完善污泥监管总体布局。督促地市加快补齐城市再生水利用和污泥处置设施短板，积极推动再生水利用配置试点申报。全省建成污泥处置设施118座，污泥处置能力达到4.68万吨/日，无害化处置率达到95.04%。全省再生水利用率为39.35%，缺水型城市再生水利用率为43.92%。城市污泥无害化处理和污水资源化利用水平逐步提升。</w:t>
      </w:r>
    </w:p>
    <w:p w14:paraId="17E3F427">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cs="仿宋_GB2312"/>
          <w:b/>
          <w:bCs/>
          <w:color w:val="auto"/>
          <w:kern w:val="0"/>
          <w:sz w:val="32"/>
          <w:szCs w:val="32"/>
          <w:highlight w:val="none"/>
          <w:lang w:val="en-US" w:eastAsia="zh-CN" w:bidi="ar"/>
        </w:rPr>
      </w:pPr>
      <w:r>
        <w:rPr>
          <w:rFonts w:hint="eastAsia" w:ascii="Times New Roman" w:hAnsi="Times New Roman" w:cs="仿宋_GB2312"/>
          <w:b/>
          <w:bCs/>
          <w:color w:val="auto"/>
          <w:kern w:val="0"/>
          <w:sz w:val="32"/>
          <w:szCs w:val="32"/>
          <w:highlight w:val="none"/>
          <w:lang w:val="en-US" w:eastAsia="zh-CN" w:bidi="ar"/>
        </w:rPr>
        <w:t>2.全面消除黑臭水体。</w:t>
      </w:r>
    </w:p>
    <w:p w14:paraId="4B8D6D8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cs="仿宋_GB2312"/>
          <w:b w:val="0"/>
          <w:bCs w:val="0"/>
          <w:color w:val="auto"/>
          <w:sz w:val="32"/>
          <w:szCs w:val="32"/>
          <w:highlight w:val="none"/>
          <w:lang w:val="en-US" w:eastAsia="zh-CN"/>
        </w:rPr>
      </w:pPr>
      <w:r>
        <w:rPr>
          <w:rFonts w:hint="eastAsia" w:cs="仿宋_GB2312"/>
          <w:b w:val="0"/>
          <w:bCs w:val="0"/>
          <w:color w:val="auto"/>
          <w:sz w:val="32"/>
          <w:szCs w:val="32"/>
          <w:highlight w:val="none"/>
          <w:lang w:val="en-US" w:eastAsia="zh-CN"/>
        </w:rPr>
        <w:t>我厅</w:t>
      </w:r>
      <w:r>
        <w:rPr>
          <w:rFonts w:hint="eastAsia" w:ascii="Times New Roman" w:hAnsi="Times New Roman" w:cs="仿宋_GB2312"/>
          <w:b w:val="0"/>
          <w:bCs w:val="0"/>
          <w:color w:val="auto"/>
          <w:sz w:val="32"/>
          <w:szCs w:val="32"/>
          <w:highlight w:val="none"/>
          <w:lang w:val="en-US" w:eastAsia="zh-CN"/>
        </w:rPr>
        <w:t>联合省级四部门印发《广东省深入打好城市黑臭水体治理攻坚战工作方案》。进一步推进城市黑臭水体治理向县级城市拓展。每季度开展城市黑臭水体治理“一对一”明察暗访全覆盖，每月调度县级城市黑臭水体治理月报工作进展。2022年地级以上城市建成区黑臭水体基本消除。</w:t>
      </w:r>
    </w:p>
    <w:p w14:paraId="1AD006F3">
      <w:pPr>
        <w:numPr>
          <w:ilvl w:val="0"/>
          <w:numId w:val="0"/>
        </w:numPr>
        <w:ind w:firstLine="640" w:firstLineChars="200"/>
        <w:outlineLvl w:val="0"/>
        <w:rPr>
          <w:rFonts w:hint="eastAsia" w:ascii="Times New Roman" w:hAnsi="Times New Roman" w:eastAsia="黑体" w:cs="Times New Roman"/>
          <w:b w:val="0"/>
          <w:bCs w:val="0"/>
          <w:color w:val="auto"/>
          <w:kern w:val="0"/>
          <w:sz w:val="32"/>
          <w:szCs w:val="32"/>
          <w:highlight w:val="none"/>
          <w:lang w:val="en-US" w:eastAsia="zh-CN"/>
        </w:rPr>
      </w:pPr>
      <w:bookmarkStart w:id="87" w:name="_Toc29264"/>
      <w:r>
        <w:rPr>
          <w:rFonts w:hint="eastAsia" w:ascii="Times New Roman" w:hAnsi="Times New Roman" w:eastAsia="黑体" w:cs="Times New Roman"/>
          <w:b w:val="0"/>
          <w:bCs w:val="0"/>
          <w:color w:val="auto"/>
          <w:kern w:val="0"/>
          <w:sz w:val="32"/>
          <w:szCs w:val="32"/>
          <w:highlight w:val="none"/>
          <w:lang w:val="en-US" w:eastAsia="zh-CN"/>
        </w:rPr>
        <w:t>六、存在问题</w:t>
      </w:r>
      <w:bookmarkEnd w:id="77"/>
      <w:bookmarkEnd w:id="78"/>
      <w:bookmarkEnd w:id="79"/>
      <w:bookmarkEnd w:id="87"/>
    </w:p>
    <w:p w14:paraId="21E16E3C">
      <w:pPr>
        <w:spacing w:line="360" w:lineRule="auto"/>
        <w:ind w:firstLine="643" w:firstLineChars="200"/>
        <w:outlineLvl w:val="1"/>
        <w:rPr>
          <w:rFonts w:ascii="Times New Roman" w:hAnsi="Times New Roman" w:eastAsia="楷体_GB2312" w:cs="楷体_GB2312"/>
          <w:b/>
          <w:bCs/>
          <w:color w:val="auto"/>
          <w:sz w:val="32"/>
          <w:szCs w:val="32"/>
          <w:highlight w:val="none"/>
        </w:rPr>
      </w:pPr>
      <w:bookmarkStart w:id="88" w:name="_Toc8458"/>
      <w:bookmarkStart w:id="89" w:name="_Toc23093"/>
      <w:bookmarkStart w:id="90" w:name="_Toc104847469"/>
      <w:bookmarkStart w:id="91" w:name="_Toc104847144"/>
      <w:bookmarkStart w:id="92" w:name="_Toc30589"/>
      <w:r>
        <w:rPr>
          <w:rFonts w:hint="eastAsia" w:ascii="Times New Roman" w:hAnsi="Times New Roman" w:eastAsia="楷体_GB2312" w:cs="楷体_GB2312"/>
          <w:b/>
          <w:bCs/>
          <w:color w:val="auto"/>
          <w:sz w:val="32"/>
          <w:szCs w:val="32"/>
          <w:highlight w:val="none"/>
        </w:rPr>
        <w:t>（一）个别项目资金支出率低，项目支出率差异较大</w:t>
      </w:r>
      <w:bookmarkEnd w:id="88"/>
      <w:bookmarkEnd w:id="89"/>
      <w:bookmarkEnd w:id="90"/>
      <w:bookmarkEnd w:id="91"/>
      <w:bookmarkEnd w:id="92"/>
    </w:p>
    <w:p w14:paraId="2AAFABF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2022年省财政共安排专项资金28,000万元，总体支出17,401.10万元，支出率62.15%。其中肇庆市、梅州市、湛江市等地市支出率较低，分别为10.64%、18.97%、21.76%。如肇庆市端州城区雨污管网和城市排水防涝系统排查项目、梅州市梅县区海绵城市建设项目、湛江市霞山区水务中心项目、韶关市浈江区五里亭片区碧桂园五湾公路内涝治理工程等多个项目未发生支出。又如汕头市中心城区新河沟、星湖公园、上游三条暗渠清污分流改造项目资金支出率仅为1.21%。</w:t>
      </w:r>
    </w:p>
    <w:p w14:paraId="0696685A">
      <w:pPr>
        <w:spacing w:line="360" w:lineRule="auto"/>
        <w:ind w:firstLine="643" w:firstLineChars="200"/>
        <w:outlineLvl w:val="1"/>
        <w:rPr>
          <w:rFonts w:hint="eastAsia" w:ascii="Times New Roman" w:hAnsi="Times New Roman" w:eastAsia="楷体_GB2312" w:cs="楷体_GB2312"/>
          <w:b/>
          <w:bCs/>
          <w:color w:val="auto"/>
          <w:sz w:val="32"/>
          <w:szCs w:val="32"/>
          <w:highlight w:val="none"/>
          <w:lang w:val="en-US" w:eastAsia="zh-CN"/>
        </w:rPr>
      </w:pPr>
      <w:bookmarkStart w:id="93" w:name="_Toc19235"/>
      <w:bookmarkStart w:id="94" w:name="_Toc16631"/>
      <w:r>
        <w:rPr>
          <w:rFonts w:hint="eastAsia" w:ascii="Times New Roman" w:hAnsi="Times New Roman" w:eastAsia="楷体_GB2312" w:cs="楷体_GB2312"/>
          <w:b/>
          <w:bCs/>
          <w:color w:val="auto"/>
          <w:sz w:val="32"/>
          <w:szCs w:val="32"/>
          <w:highlight w:val="none"/>
          <w:lang w:val="en-US" w:eastAsia="zh-CN"/>
        </w:rPr>
        <w:t>（二）城市生活污水处理厂进水BOD浓度偏低</w:t>
      </w:r>
      <w:bookmarkEnd w:id="93"/>
      <w:bookmarkEnd w:id="94"/>
    </w:p>
    <w:p w14:paraId="4591CAE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cs="仿宋_GB2312"/>
          <w:color w:val="auto"/>
          <w:kern w:val="0"/>
          <w:sz w:val="32"/>
          <w:szCs w:val="32"/>
          <w:highlight w:val="none"/>
          <w:lang w:val="en-US" w:eastAsia="zh-CN" w:bidi="ar"/>
        </w:rPr>
      </w:pPr>
      <w:r>
        <w:rPr>
          <w:rFonts w:hint="eastAsia" w:ascii="Times New Roman" w:hAnsi="Times New Roman" w:cs="仿宋_GB2312"/>
          <w:color w:val="auto"/>
          <w:kern w:val="0"/>
          <w:sz w:val="32"/>
          <w:szCs w:val="32"/>
          <w:highlight w:val="none"/>
          <w:lang w:val="en-US" w:eastAsia="zh-CN" w:bidi="ar"/>
        </w:rPr>
        <w:t>2022年城市生活污水处理厂进水BOD浓度总体低于2021年城市生活污水处理厂进水BOD浓度，未达标准。如汕头、韶关、梅州、汕尾、江门、阳江、茂名、肇庆、清远、东莞市等地市，2022年城市生活污水处理厂进水BOD浓度总体低于2021年城市生活污水处理厂进水BOD浓度。其中</w:t>
      </w:r>
      <w:r>
        <w:rPr>
          <w:rFonts w:hint="default" w:ascii="Times New Roman" w:hAnsi="Times New Roman" w:cs="仿宋_GB2312"/>
          <w:color w:val="auto"/>
          <w:kern w:val="0"/>
          <w:sz w:val="32"/>
          <w:szCs w:val="32"/>
          <w:highlight w:val="none"/>
          <w:lang w:val="en-US" w:eastAsia="zh-CN" w:bidi="ar"/>
        </w:rPr>
        <w:t>韶关市区受2022年5至6月超历史极值“龙舟水”影响</w:t>
      </w:r>
      <w:r>
        <w:rPr>
          <w:rFonts w:hint="eastAsia" w:cs="仿宋_GB2312"/>
          <w:color w:val="auto"/>
          <w:kern w:val="0"/>
          <w:sz w:val="32"/>
          <w:szCs w:val="32"/>
          <w:highlight w:val="none"/>
          <w:lang w:val="en-US" w:eastAsia="zh-CN" w:bidi="ar"/>
        </w:rPr>
        <w:t>，</w:t>
      </w:r>
      <w:r>
        <w:rPr>
          <w:rFonts w:hint="default" w:ascii="Times New Roman" w:hAnsi="Times New Roman" w:cs="仿宋_GB2312"/>
          <w:color w:val="auto"/>
          <w:kern w:val="0"/>
          <w:sz w:val="32"/>
          <w:szCs w:val="32"/>
          <w:highlight w:val="none"/>
          <w:lang w:val="en-US" w:eastAsia="zh-CN" w:bidi="ar"/>
        </w:rPr>
        <w:t>市区海关泵站、韶关学院污水处理站、曲江区鑫田污水处理厂等污水收集处理设施水毁分别停运4个月、5个月、2个月</w:t>
      </w:r>
      <w:r>
        <w:rPr>
          <w:rFonts w:hint="eastAsia" w:ascii="Times New Roman" w:hAnsi="Times New Roman" w:cs="仿宋_GB2312"/>
          <w:color w:val="auto"/>
          <w:kern w:val="0"/>
          <w:sz w:val="32"/>
          <w:szCs w:val="32"/>
          <w:highlight w:val="none"/>
          <w:lang w:val="en-US" w:eastAsia="zh-CN" w:bidi="ar"/>
        </w:rPr>
        <w:t>，</w:t>
      </w:r>
      <w:r>
        <w:rPr>
          <w:rFonts w:hint="default" w:ascii="Times New Roman" w:hAnsi="Times New Roman" w:cs="仿宋_GB2312"/>
          <w:color w:val="auto"/>
          <w:kern w:val="0"/>
          <w:sz w:val="32"/>
          <w:szCs w:val="32"/>
          <w:highlight w:val="none"/>
          <w:lang w:val="en-US" w:eastAsia="zh-CN" w:bidi="ar"/>
        </w:rPr>
        <w:t>2022年下半年市区污水处理厂进水平均浓度、污水收集率逐月下跌</w:t>
      </w:r>
      <w:r>
        <w:rPr>
          <w:rFonts w:hint="eastAsia" w:ascii="Times New Roman" w:hAnsi="Times New Roman" w:cs="仿宋_GB2312"/>
          <w:color w:val="auto"/>
          <w:kern w:val="0"/>
          <w:sz w:val="32"/>
          <w:szCs w:val="32"/>
          <w:highlight w:val="none"/>
          <w:lang w:val="en-US" w:eastAsia="zh-CN" w:bidi="ar"/>
        </w:rPr>
        <w:t>，</w:t>
      </w:r>
      <w:r>
        <w:rPr>
          <w:rFonts w:hint="default" w:ascii="Times New Roman" w:hAnsi="Times New Roman" w:cs="仿宋_GB2312"/>
          <w:color w:val="auto"/>
          <w:kern w:val="0"/>
          <w:sz w:val="32"/>
          <w:szCs w:val="32"/>
          <w:highlight w:val="none"/>
          <w:lang w:val="en-US" w:eastAsia="zh-CN" w:bidi="ar"/>
        </w:rPr>
        <w:t>直至11月方企稳回升。</w:t>
      </w:r>
    </w:p>
    <w:p w14:paraId="593A6A80">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ind w:leftChars="200" w:firstLine="0" w:firstLineChars="0"/>
        <w:textAlignment w:val="auto"/>
        <w:outlineLvl w:val="0"/>
        <w:rPr>
          <w:rFonts w:hint="eastAsia" w:ascii="Times New Roman" w:hAnsi="Times New Roman" w:eastAsia="黑体" w:cs="黑体"/>
          <w:b w:val="0"/>
          <w:bCs/>
          <w:color w:val="auto"/>
          <w:kern w:val="2"/>
          <w:sz w:val="32"/>
          <w:szCs w:val="32"/>
          <w:highlight w:val="none"/>
          <w:lang w:val="en-US" w:eastAsia="zh-CN" w:bidi="ar"/>
        </w:rPr>
      </w:pPr>
      <w:bookmarkStart w:id="95" w:name="_Toc13560"/>
      <w:r>
        <w:rPr>
          <w:rFonts w:hint="eastAsia" w:ascii="Times New Roman" w:hAnsi="Times New Roman" w:eastAsia="黑体" w:cs="Times New Roman"/>
          <w:b w:val="0"/>
          <w:bCs w:val="0"/>
          <w:color w:val="auto"/>
          <w:kern w:val="0"/>
          <w:sz w:val="32"/>
          <w:szCs w:val="32"/>
          <w:highlight w:val="none"/>
          <w:lang w:val="en-US" w:eastAsia="zh-CN"/>
        </w:rPr>
        <w:t>七、</w:t>
      </w:r>
      <w:r>
        <w:rPr>
          <w:rFonts w:hint="eastAsia" w:ascii="Times New Roman" w:hAnsi="Times New Roman" w:eastAsia="黑体" w:cs="黑体"/>
          <w:b w:val="0"/>
          <w:bCs/>
          <w:color w:val="auto"/>
          <w:kern w:val="2"/>
          <w:sz w:val="32"/>
          <w:szCs w:val="32"/>
          <w:highlight w:val="none"/>
          <w:lang w:val="en-US" w:eastAsia="zh-CN" w:bidi="ar"/>
        </w:rPr>
        <w:t>下一步工作计划</w:t>
      </w:r>
      <w:bookmarkEnd w:id="80"/>
      <w:bookmarkEnd w:id="95"/>
    </w:p>
    <w:p w14:paraId="22BF971D">
      <w:pPr>
        <w:spacing w:line="360" w:lineRule="auto"/>
        <w:ind w:firstLine="643" w:firstLineChars="200"/>
        <w:outlineLvl w:val="1"/>
        <w:rPr>
          <w:rFonts w:hint="eastAsia" w:ascii="Times New Roman" w:hAnsi="Times New Roman" w:eastAsia="楷体_GB2312" w:cs="楷体_GB2312"/>
          <w:b/>
          <w:bCs/>
          <w:color w:val="auto"/>
          <w:sz w:val="32"/>
          <w:szCs w:val="32"/>
          <w:highlight w:val="none"/>
          <w:lang w:val="en-US" w:eastAsia="zh-CN"/>
        </w:rPr>
      </w:pPr>
      <w:bookmarkStart w:id="96" w:name="_Toc5461"/>
      <w:bookmarkStart w:id="97" w:name="_Toc27471"/>
      <w:r>
        <w:rPr>
          <w:rFonts w:hint="eastAsia" w:ascii="Times New Roman" w:hAnsi="Times New Roman" w:eastAsia="楷体_GB2312" w:cs="楷体_GB2312"/>
          <w:b/>
          <w:bCs/>
          <w:color w:val="auto"/>
          <w:sz w:val="32"/>
          <w:szCs w:val="32"/>
          <w:highlight w:val="none"/>
          <w:lang w:val="en-US" w:eastAsia="zh-CN"/>
        </w:rPr>
        <w:t>（一）</w:t>
      </w:r>
      <w:r>
        <w:rPr>
          <w:rFonts w:hint="eastAsia" w:ascii="Times New Roman" w:hAnsi="Times New Roman" w:eastAsia="楷体_GB2312" w:cs="Times New Roman"/>
          <w:b/>
          <w:bCs/>
          <w:color w:val="auto"/>
          <w:kern w:val="44"/>
          <w:sz w:val="32"/>
          <w:szCs w:val="44"/>
          <w:highlight w:val="none"/>
          <w:lang w:val="en-US" w:eastAsia="zh-CN"/>
        </w:rPr>
        <w:t>提高财政资金使用绩效</w:t>
      </w:r>
      <w:bookmarkEnd w:id="96"/>
      <w:bookmarkEnd w:id="97"/>
    </w:p>
    <w:p w14:paraId="526EEAEA">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Times New Roman" w:hAnsi="Times New Roman" w:cs="仿宋_GB2312"/>
          <w:color w:val="auto"/>
          <w:kern w:val="0"/>
          <w:sz w:val="32"/>
          <w:szCs w:val="32"/>
          <w:highlight w:val="none"/>
          <w:lang w:val="en-US" w:eastAsia="zh-CN" w:bidi="ar"/>
        </w:rPr>
      </w:pPr>
      <w:r>
        <w:rPr>
          <w:rFonts w:hint="eastAsia" w:ascii="Times New Roman" w:hAnsi="Times New Roman" w:cs="仿宋_GB2312"/>
          <w:b/>
          <w:bCs/>
          <w:color w:val="auto"/>
          <w:kern w:val="0"/>
          <w:sz w:val="32"/>
          <w:szCs w:val="32"/>
          <w:highlight w:val="none"/>
          <w:lang w:val="en-US" w:eastAsia="zh-CN" w:bidi="ar"/>
        </w:rPr>
        <w:t>一是</w:t>
      </w:r>
      <w:r>
        <w:rPr>
          <w:rFonts w:hint="eastAsia" w:ascii="Times New Roman" w:hAnsi="Times New Roman" w:cs="仿宋_GB2312"/>
          <w:color w:val="auto"/>
          <w:kern w:val="0"/>
          <w:sz w:val="32"/>
          <w:szCs w:val="32"/>
          <w:highlight w:val="none"/>
          <w:lang w:val="en-US" w:eastAsia="zh-CN" w:bidi="ar"/>
        </w:rPr>
        <w:t>加强相关业务管理人员培训，提高工作效率。做好相关项目实施人员及财务管理人员的岗位培训，孰悉项目管理流程，提高工作人员财务知识水平和报账能力。加强新系统数据录入的培训，提高系统数据录入工作效率。</w:t>
      </w:r>
      <w:r>
        <w:rPr>
          <w:rFonts w:hint="eastAsia" w:ascii="Times New Roman" w:hAnsi="Times New Roman" w:cs="仿宋_GB2312"/>
          <w:b/>
          <w:bCs/>
          <w:color w:val="auto"/>
          <w:kern w:val="0"/>
          <w:sz w:val="32"/>
          <w:szCs w:val="32"/>
          <w:highlight w:val="none"/>
          <w:lang w:val="en-US" w:eastAsia="zh-CN" w:bidi="ar"/>
        </w:rPr>
        <w:t>二是</w:t>
      </w:r>
      <w:r>
        <w:rPr>
          <w:rFonts w:hint="eastAsia" w:ascii="Times New Roman" w:hAnsi="Times New Roman" w:cs="仿宋_GB2312"/>
          <w:color w:val="auto"/>
          <w:kern w:val="0"/>
          <w:sz w:val="32"/>
          <w:szCs w:val="32"/>
          <w:highlight w:val="none"/>
          <w:lang w:val="en-US" w:eastAsia="zh-CN" w:bidi="ar"/>
        </w:rPr>
        <w:t>加强对市县业务指导，督促有关市县按照《中共广东省委 广东省人民政府关于全面实施预算绩效管理的若干意见》要求，提高绩效管理意识，严格执行《广东省人民政府关于印发广东省省级财政专项资金管理办法（试行）的通知》《关于印发〈广东省住房和城乡建设厅预算绩效管理办法〉的通知》《广东省财政厅 广东省住房和城乡建设厅关于印发广东省住房和城乡建设领域专项资金管理办法的通知》等管理制度，规范管理和使用专项资金，认真开展绩效运行监控，做好预算执行，重视绩效评价，强化绩效结果应用。切实提高预算执行率和专项资金使用效益。</w:t>
      </w:r>
    </w:p>
    <w:p w14:paraId="11F5A22D">
      <w:pPr>
        <w:spacing w:line="360" w:lineRule="auto"/>
        <w:ind w:firstLine="643" w:firstLineChars="200"/>
        <w:outlineLvl w:val="1"/>
        <w:rPr>
          <w:rFonts w:hint="eastAsia" w:ascii="Times New Roman" w:hAnsi="Times New Roman" w:eastAsia="楷体_GB2312" w:cs="楷体_GB2312"/>
          <w:b/>
          <w:bCs/>
          <w:color w:val="auto"/>
          <w:sz w:val="32"/>
          <w:szCs w:val="32"/>
          <w:highlight w:val="none"/>
          <w:lang w:val="en-US" w:eastAsia="zh-CN"/>
        </w:rPr>
      </w:pPr>
      <w:bookmarkStart w:id="98" w:name="_Toc30219"/>
      <w:bookmarkStart w:id="99" w:name="_Toc21417"/>
      <w:r>
        <w:rPr>
          <w:rFonts w:hint="eastAsia" w:ascii="Times New Roman" w:hAnsi="Times New Roman" w:eastAsia="楷体_GB2312" w:cs="楷体_GB2312"/>
          <w:b/>
          <w:bCs/>
          <w:color w:val="auto"/>
          <w:sz w:val="32"/>
          <w:szCs w:val="32"/>
          <w:highlight w:val="none"/>
          <w:lang w:val="en-US" w:eastAsia="zh-CN"/>
        </w:rPr>
        <w:t>（二）注重开展管网水质浓度提升工作</w:t>
      </w:r>
      <w:bookmarkEnd w:id="98"/>
      <w:bookmarkEnd w:id="99"/>
    </w:p>
    <w:p w14:paraId="2253268B">
      <w:pPr>
        <w:pStyle w:val="15"/>
        <w:rPr>
          <w:rFonts w:hint="eastAsia" w:ascii="Times New Roman" w:hAnsi="Times New Roman" w:eastAsia="仿宋_GB2312" w:cs="仿宋_GB2312"/>
          <w:color w:val="auto"/>
          <w:kern w:val="2"/>
          <w:sz w:val="32"/>
          <w:highlight w:val="none"/>
          <w:lang w:val="en-US" w:eastAsia="zh-CN"/>
        </w:rPr>
      </w:pPr>
      <w:r>
        <w:rPr>
          <w:rFonts w:hint="eastAsia" w:ascii="Times New Roman" w:hAnsi="Times New Roman" w:eastAsia="仿宋_GB2312" w:cs="仿宋_GB2312"/>
          <w:color w:val="auto"/>
          <w:kern w:val="2"/>
          <w:sz w:val="32"/>
          <w:highlight w:val="none"/>
          <w:lang w:val="en-US" w:eastAsia="zh-CN"/>
        </w:rPr>
        <w:t>注重提升城市生活污水处理厂进水BOD浓度。城市污水处理厂进水浓度偏低的问题受到行业的高度关注，沉积衰减、氧化还原衰减及非生活污水挤占管网和污水处理厂容积导致的污水溢流排放是城市生活污水集中收集率偏低的重要原因，今后工作中要注重开展管网水质浓度提升工作，提升污水处理厂进水水质浓度。一是设立关键点位检测管网水质。对市区污水处理厂服务范围内管网水质进行抽样检测，对浓度低的点位，开展溯源排查并处置。污水收集管网的非生活污水治理应作为现阶段浓度和效能提升的重点工作；二是严控施工排水入管。按污水处理厂服务区域拉网式排查建设工地，查清施工排水去向，在雨污分流制区域，杜绝工地排水进入污水管网；三是严控河道口门漏水。对各污水处理厂服务片区内的河道闸门进行封闭性排查，对闸门封闭不严导致河道水渗流、溢流入管的口门进行处置。</w:t>
      </w:r>
    </w:p>
    <w:p w14:paraId="2C9D220A">
      <w:pPr>
        <w:spacing w:line="360" w:lineRule="auto"/>
        <w:ind w:firstLine="643" w:firstLineChars="200"/>
        <w:outlineLvl w:val="1"/>
        <w:rPr>
          <w:rFonts w:hint="eastAsia" w:ascii="Times New Roman" w:hAnsi="Times New Roman" w:eastAsia="楷体_GB2312" w:cs="楷体_GB2312"/>
          <w:b/>
          <w:bCs/>
          <w:color w:val="auto"/>
          <w:sz w:val="32"/>
          <w:szCs w:val="32"/>
          <w:highlight w:val="none"/>
          <w:lang w:val="en-US" w:eastAsia="zh-CN"/>
        </w:rPr>
      </w:pPr>
      <w:bookmarkStart w:id="100" w:name="_Toc27059"/>
      <w:bookmarkStart w:id="101" w:name="_Toc1008"/>
      <w:r>
        <w:rPr>
          <w:rFonts w:hint="eastAsia" w:ascii="Times New Roman" w:hAnsi="Times New Roman" w:eastAsia="楷体_GB2312" w:cs="楷体_GB2312"/>
          <w:b/>
          <w:bCs/>
          <w:color w:val="auto"/>
          <w:sz w:val="32"/>
          <w:szCs w:val="32"/>
          <w:highlight w:val="none"/>
          <w:lang w:val="en-US" w:eastAsia="zh-CN"/>
        </w:rPr>
        <w:t>（三）系统推进水环境综合治理</w:t>
      </w:r>
      <w:bookmarkEnd w:id="100"/>
      <w:bookmarkEnd w:id="101"/>
    </w:p>
    <w:p w14:paraId="6D3075B4">
      <w:pPr>
        <w:pStyle w:val="15"/>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Hans"/>
        </w:rPr>
        <w:t>深入打好城市黑臭水体治理攻坚战</w:t>
      </w: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Hans"/>
        </w:rPr>
        <w:t>督促指导各地</w:t>
      </w:r>
      <w:r>
        <w:rPr>
          <w:rFonts w:hint="eastAsia" w:ascii="Times New Roman" w:hAnsi="Times New Roman" w:eastAsia="仿宋_GB2312" w:cs="仿宋_GB2312"/>
          <w:color w:val="auto"/>
          <w:sz w:val="32"/>
          <w:szCs w:val="32"/>
          <w:highlight w:val="none"/>
          <w:lang w:val="en-US" w:eastAsia="zh-CN"/>
        </w:rPr>
        <w:t>统筹好城市黑臭水体治理和生活污水处理提质增效，</w:t>
      </w:r>
      <w:r>
        <w:rPr>
          <w:rFonts w:hint="eastAsia" w:ascii="Times New Roman" w:hAnsi="Times New Roman" w:eastAsia="仿宋_GB2312" w:cs="仿宋_GB2312"/>
          <w:color w:val="auto"/>
          <w:sz w:val="32"/>
          <w:szCs w:val="32"/>
          <w:highlight w:val="none"/>
          <w:lang w:val="en-US" w:eastAsia="zh-Hans"/>
        </w:rPr>
        <w:t>巩固地级及以上城市黑臭水体治理成效</w:t>
      </w:r>
      <w:r>
        <w:rPr>
          <w:rFonts w:hint="default" w:ascii="Times New Roman" w:hAnsi="Times New Roman" w:eastAsia="仿宋_GB2312" w:cs="仿宋_GB2312"/>
          <w:color w:val="auto"/>
          <w:sz w:val="32"/>
          <w:szCs w:val="32"/>
          <w:highlight w:val="none"/>
          <w:lang w:eastAsia="zh-Hans"/>
        </w:rPr>
        <w:t>，</w:t>
      </w:r>
      <w:r>
        <w:rPr>
          <w:rFonts w:hint="eastAsia" w:ascii="Times New Roman" w:hAnsi="Times New Roman" w:eastAsia="仿宋_GB2312" w:cs="仿宋_GB2312"/>
          <w:color w:val="auto"/>
          <w:sz w:val="32"/>
          <w:szCs w:val="32"/>
          <w:highlight w:val="none"/>
          <w:lang w:val="en-US" w:eastAsia="zh-Hans"/>
        </w:rPr>
        <w:t>加快</w:t>
      </w:r>
      <w:r>
        <w:rPr>
          <w:rFonts w:hint="default" w:ascii="Times New Roman" w:hAnsi="Times New Roman" w:eastAsia="仿宋_GB2312" w:cs="仿宋_GB2312"/>
          <w:color w:val="auto"/>
          <w:sz w:val="32"/>
          <w:szCs w:val="32"/>
          <w:highlight w:val="none"/>
          <w:lang w:eastAsia="zh-Hans"/>
        </w:rPr>
        <w:t>26</w:t>
      </w:r>
      <w:r>
        <w:rPr>
          <w:rFonts w:hint="eastAsia" w:ascii="Times New Roman" w:hAnsi="Times New Roman" w:eastAsia="仿宋_GB2312" w:cs="仿宋_GB2312"/>
          <w:color w:val="auto"/>
          <w:sz w:val="32"/>
          <w:szCs w:val="32"/>
          <w:highlight w:val="none"/>
          <w:lang w:val="en-US" w:eastAsia="zh-Hans"/>
        </w:rPr>
        <w:t>条县级城市黑臭水体整治</w:t>
      </w:r>
      <w:r>
        <w:rPr>
          <w:rFonts w:hint="default" w:ascii="Times New Roman" w:hAnsi="Times New Roman" w:eastAsia="仿宋_GB2312" w:cs="仿宋_GB2312"/>
          <w:color w:val="auto"/>
          <w:sz w:val="32"/>
          <w:szCs w:val="32"/>
          <w:highlight w:val="none"/>
          <w:lang w:eastAsia="zh-Hans"/>
        </w:rPr>
        <w:t>，</w:t>
      </w:r>
      <w:r>
        <w:rPr>
          <w:rFonts w:hint="eastAsia" w:ascii="Times New Roman" w:hAnsi="Times New Roman" w:eastAsia="仿宋_GB2312" w:cs="仿宋_GB2312"/>
          <w:color w:val="auto"/>
          <w:sz w:val="32"/>
          <w:szCs w:val="32"/>
          <w:highlight w:val="none"/>
          <w:lang w:val="en-US" w:eastAsia="zh-Hans"/>
        </w:rPr>
        <w:t>确保在</w:t>
      </w:r>
      <w:r>
        <w:rPr>
          <w:rFonts w:hint="default" w:ascii="Times New Roman" w:hAnsi="Times New Roman" w:eastAsia="仿宋_GB2312" w:cs="仿宋_GB2312"/>
          <w:color w:val="auto"/>
          <w:sz w:val="32"/>
          <w:szCs w:val="32"/>
          <w:highlight w:val="none"/>
          <w:lang w:eastAsia="zh-Hans"/>
        </w:rPr>
        <w:t>2023</w:t>
      </w:r>
      <w:r>
        <w:rPr>
          <w:rFonts w:hint="eastAsia" w:ascii="Times New Roman" w:hAnsi="Times New Roman" w:eastAsia="仿宋_GB2312" w:cs="仿宋_GB2312"/>
          <w:color w:val="auto"/>
          <w:sz w:val="32"/>
          <w:szCs w:val="32"/>
          <w:highlight w:val="none"/>
          <w:lang w:val="en-US" w:eastAsia="zh-Hans"/>
        </w:rPr>
        <w:t>年底前消除比例达到</w:t>
      </w:r>
      <w:r>
        <w:rPr>
          <w:rFonts w:hint="default" w:ascii="Times New Roman" w:hAnsi="Times New Roman" w:eastAsia="仿宋_GB2312" w:cs="仿宋_GB2312"/>
          <w:color w:val="auto"/>
          <w:sz w:val="32"/>
          <w:szCs w:val="32"/>
          <w:highlight w:val="none"/>
          <w:lang w:eastAsia="zh-Hans"/>
        </w:rPr>
        <w:t>60%</w:t>
      </w:r>
      <w:r>
        <w:rPr>
          <w:rFonts w:hint="eastAsia" w:ascii="Times New Roman" w:hAnsi="Times New Roman" w:eastAsia="仿宋_GB2312" w:cs="仿宋_GB2312"/>
          <w:color w:val="auto"/>
          <w:sz w:val="32"/>
          <w:szCs w:val="32"/>
          <w:highlight w:val="none"/>
          <w:lang w:val="en-US" w:eastAsia="zh-Hans"/>
        </w:rPr>
        <w:t>以上</w:t>
      </w:r>
      <w:r>
        <w:rPr>
          <w:rFonts w:hint="default" w:ascii="Times New Roman" w:hAnsi="Times New Roman" w:eastAsia="仿宋_GB2312" w:cs="仿宋_GB2312"/>
          <w:color w:val="auto"/>
          <w:sz w:val="32"/>
          <w:szCs w:val="32"/>
          <w:highlight w:val="none"/>
          <w:lang w:eastAsia="zh-Hans"/>
        </w:rPr>
        <w:t>。</w:t>
      </w:r>
      <w:r>
        <w:rPr>
          <w:rFonts w:hint="eastAsia" w:ascii="Times New Roman" w:hAnsi="Times New Roman" w:eastAsia="仿宋_GB2312" w:cs="仿宋_GB2312"/>
          <w:color w:val="auto"/>
          <w:sz w:val="32"/>
          <w:szCs w:val="32"/>
          <w:highlight w:val="none"/>
          <w:lang w:val="en-US" w:eastAsia="zh-CN"/>
        </w:rPr>
        <w:t>实施生活污水处理提质增效3年攻坚，继续加大力度补齐生活污水处理设施能力缺口，深入推进生活污水处理“双转变、双提升”提质增效。系统化全域推进海绵城市建设，积极开展海绵城市示范创建。建立城市排水防涝工作管理系统，督促指导地市加快实施城市排水防涝工程、城市易涝风险点整治工程等项目，保障城市排水系统正常运行。加强城市污泥无害化处置和再生水利用设施建设，积极推动再生水配置试点建设。</w:t>
      </w:r>
    </w:p>
    <w:p w14:paraId="28C01F70">
      <w:pPr>
        <w:pStyle w:val="15"/>
        <w:rPr>
          <w:rFonts w:hint="eastAsia" w:ascii="Times New Roman" w:hAnsi="Times New Roman" w:eastAsia="仿宋_GB2312" w:cs="仿宋_GB2312"/>
          <w:color w:val="auto"/>
          <w:sz w:val="32"/>
          <w:szCs w:val="32"/>
          <w:highlight w:val="none"/>
          <w:lang w:val="en-US" w:eastAsia="zh-CN"/>
        </w:rPr>
      </w:pPr>
    </w:p>
    <w:p w14:paraId="3CFD9CF2">
      <w:pPr>
        <w:pStyle w:val="15"/>
        <w:ind w:left="0" w:leftChars="0"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附件：1.2022年城市水环境治理资金支出情况汇总表</w:t>
      </w:r>
    </w:p>
    <w:p w14:paraId="0468800B">
      <w:pPr>
        <w:pStyle w:val="15"/>
        <w:ind w:left="2230" w:leftChars="530" w:hanging="640" w:hanging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2.2022年城市水环境治理资金绩效指标完成情况汇总表</w:t>
      </w:r>
    </w:p>
    <w:p w14:paraId="2FD0B6C4">
      <w:pPr>
        <w:pStyle w:val="15"/>
        <w:ind w:left="2236" w:leftChars="212" w:hanging="1600" w:hangingChars="5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3.2022年东莞市海绵城市省级补助资金绩效指标完成情况表</w:t>
      </w:r>
    </w:p>
    <w:p w14:paraId="10406D99">
      <w:pPr>
        <w:pStyle w:val="15"/>
        <w:ind w:left="2236" w:leftChars="212" w:hanging="1600" w:hangingChars="5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4.2022年梅州市海绵城市省级补助资金绩效指标完成情况表</w:t>
      </w:r>
    </w:p>
    <w:p w14:paraId="33ABCC0C">
      <w:pPr>
        <w:pStyle w:val="15"/>
        <w:ind w:left="2236" w:leftChars="212" w:hanging="1600" w:hangingChars="5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      5.2022年中山市海绵城市省级补助资金绩效指标完成情况表</w:t>
      </w:r>
    </w:p>
    <w:p w14:paraId="1340AA47">
      <w:pPr>
        <w:widowControl w:val="0"/>
        <w:spacing w:line="360" w:lineRule="auto"/>
        <w:ind w:firstLine="640" w:firstLineChars="200"/>
        <w:jc w:val="both"/>
        <w:textAlignment w:val="baseline"/>
        <w:rPr>
          <w:rFonts w:hint="eastAsia" w:ascii="Times New Roman" w:hAnsi="Times New Roman" w:eastAsia="仿宋_GB2312" w:cs="仿宋_GB2312"/>
          <w:bCs/>
          <w:color w:val="auto"/>
          <w:kern w:val="2"/>
          <w:sz w:val="32"/>
          <w:szCs w:val="32"/>
          <w:highlight w:val="none"/>
          <w:lang w:val="en-US" w:eastAsia="zh-CN" w:bidi="ar"/>
        </w:rPr>
      </w:pPr>
    </w:p>
    <w:p w14:paraId="7ECD8A46">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eastAsia" w:ascii="Times New Roman" w:hAnsi="Times New Roman" w:eastAsia="黑体" w:cs="黑体"/>
          <w:b w:val="0"/>
          <w:bCs/>
          <w:color w:val="auto"/>
          <w:kern w:val="2"/>
          <w:sz w:val="32"/>
          <w:szCs w:val="32"/>
          <w:highlight w:val="none"/>
          <w:lang w:val="en-US" w:eastAsia="zh-CN" w:bidi="ar"/>
        </w:rPr>
        <w:sectPr>
          <w:footerReference r:id="rId3" w:type="default"/>
          <w:pgSz w:w="11906" w:h="16838"/>
          <w:pgMar w:top="1644" w:right="1474" w:bottom="1417"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02" w:name="_Toc28472"/>
      <w:bookmarkStart w:id="103" w:name="_Toc3585"/>
      <w:bookmarkStart w:id="104" w:name="_Toc104847476"/>
    </w:p>
    <w:p w14:paraId="25AC6EA7">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default" w:ascii="Times New Roman" w:hAnsi="Times New Roman" w:eastAsia="黑体" w:cs="黑体"/>
          <w:b w:val="0"/>
          <w:bCs/>
          <w:color w:val="auto"/>
          <w:kern w:val="2"/>
          <w:sz w:val="32"/>
          <w:szCs w:val="32"/>
          <w:highlight w:val="none"/>
          <w:lang w:val="en-US" w:eastAsia="zh-CN" w:bidi="ar"/>
        </w:rPr>
      </w:pPr>
      <w:bookmarkStart w:id="105" w:name="_Toc15314"/>
      <w:r>
        <w:rPr>
          <w:rFonts w:hint="eastAsia" w:ascii="Times New Roman" w:hAnsi="Times New Roman" w:eastAsia="黑体" w:cs="黑体"/>
          <w:b w:val="0"/>
          <w:bCs/>
          <w:color w:val="auto"/>
          <w:kern w:val="2"/>
          <w:sz w:val="32"/>
          <w:szCs w:val="32"/>
          <w:highlight w:val="none"/>
          <w:lang w:val="en-US" w:eastAsia="zh-CN" w:bidi="ar"/>
        </w:rPr>
        <w:t>附件</w:t>
      </w:r>
      <w:bookmarkEnd w:id="102"/>
      <w:bookmarkEnd w:id="103"/>
      <w:bookmarkEnd w:id="104"/>
      <w:r>
        <w:rPr>
          <w:rFonts w:hint="eastAsia" w:ascii="Times New Roman" w:hAnsi="Times New Roman" w:eastAsia="黑体" w:cs="黑体"/>
          <w:b w:val="0"/>
          <w:bCs/>
          <w:color w:val="auto"/>
          <w:kern w:val="2"/>
          <w:sz w:val="32"/>
          <w:szCs w:val="32"/>
          <w:highlight w:val="none"/>
          <w:lang w:val="en-US" w:eastAsia="zh-CN" w:bidi="ar"/>
        </w:rPr>
        <w:t>1</w:t>
      </w:r>
      <w:bookmarkEnd w:id="105"/>
    </w:p>
    <w:p w14:paraId="58E498AE">
      <w:pPr>
        <w:pStyle w:val="18"/>
        <w:ind w:firstLine="562"/>
        <w:jc w:val="center"/>
        <w:rPr>
          <w:rFonts w:hint="eastAsia" w:ascii="Times New Roman" w:hAnsi="Times New Roman" w:eastAsia="黑体"/>
          <w:b/>
          <w:bCs/>
          <w:color w:val="auto"/>
          <w:sz w:val="28"/>
          <w:highlight w:val="none"/>
        </w:rPr>
      </w:pPr>
      <w:r>
        <w:rPr>
          <w:rFonts w:hint="eastAsia" w:ascii="Times New Roman" w:hAnsi="Times New Roman" w:eastAsia="黑体"/>
          <w:b/>
          <w:bCs/>
          <w:color w:val="auto"/>
          <w:sz w:val="28"/>
          <w:highlight w:val="none"/>
        </w:rPr>
        <w:t>2022年城市水环境治理资金支出情况汇总表</w:t>
      </w:r>
    </w:p>
    <w:p w14:paraId="78528D48">
      <w:pPr>
        <w:keepNext w:val="0"/>
        <w:keepLines w:val="0"/>
        <w:widowControl/>
        <w:suppressLineNumbers w:val="0"/>
        <w:jc w:val="right"/>
        <w:textAlignment w:val="center"/>
        <w:rPr>
          <w:rFonts w:hint="default" w:ascii="Times New Roman" w:hAnsi="Times New Roman" w:eastAsia="仿宋_GB2312" w:cs="仿宋_GB2312"/>
          <w:b w:val="0"/>
          <w:bCs w:val="0"/>
          <w:i w:val="0"/>
          <w:iCs w:val="0"/>
          <w:color w:val="auto"/>
          <w:kern w:val="0"/>
          <w:sz w:val="22"/>
          <w:szCs w:val="22"/>
          <w:highlight w:val="none"/>
          <w:u w:val="none"/>
          <w:lang w:val="en-US" w:eastAsia="zh-CN" w:bidi="ar"/>
        </w:rPr>
      </w:pPr>
      <w:r>
        <w:rPr>
          <w:rFonts w:hint="eastAsia" w:ascii="Times New Roman" w:hAnsi="Times New Roman" w:eastAsia="仿宋_GB2312" w:cs="仿宋_GB2312"/>
          <w:b w:val="0"/>
          <w:bCs w:val="0"/>
          <w:i w:val="0"/>
          <w:iCs w:val="0"/>
          <w:color w:val="auto"/>
          <w:kern w:val="0"/>
          <w:sz w:val="22"/>
          <w:szCs w:val="22"/>
          <w:highlight w:val="none"/>
          <w:u w:val="none"/>
          <w:lang w:val="en-US" w:eastAsia="zh-CN" w:bidi="ar"/>
        </w:rPr>
        <w:t>金额：万元</w:t>
      </w:r>
    </w:p>
    <w:tbl>
      <w:tblPr>
        <w:tblStyle w:val="13"/>
        <w:tblW w:w="15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854"/>
        <w:gridCol w:w="1160"/>
        <w:gridCol w:w="1119"/>
        <w:gridCol w:w="1081"/>
        <w:gridCol w:w="853"/>
        <w:gridCol w:w="800"/>
        <w:gridCol w:w="1004"/>
        <w:gridCol w:w="984"/>
        <w:gridCol w:w="984"/>
        <w:gridCol w:w="984"/>
        <w:gridCol w:w="1080"/>
        <w:gridCol w:w="984"/>
        <w:gridCol w:w="1006"/>
        <w:gridCol w:w="1120"/>
        <w:gridCol w:w="1234"/>
      </w:tblGrid>
      <w:tr w14:paraId="358FF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432" w:type="dxa"/>
            <w:vMerge w:val="restart"/>
            <w:tcBorders>
              <w:bottom w:val="single" w:color="000000" w:sz="4" w:space="0"/>
              <w:right w:val="single" w:color="000000" w:sz="4" w:space="0"/>
            </w:tcBorders>
            <w:shd w:val="clear" w:color="auto" w:fill="auto"/>
            <w:vAlign w:val="center"/>
          </w:tcPr>
          <w:p w14:paraId="329B4CD4">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序号</w:t>
            </w:r>
          </w:p>
        </w:tc>
        <w:tc>
          <w:tcPr>
            <w:tcW w:w="854" w:type="dxa"/>
            <w:vMerge w:val="restart"/>
            <w:tcBorders>
              <w:left w:val="single" w:color="000000" w:sz="4" w:space="0"/>
              <w:bottom w:val="single" w:color="000000" w:sz="4" w:space="0"/>
              <w:right w:val="single" w:color="000000" w:sz="4" w:space="0"/>
            </w:tcBorders>
            <w:shd w:val="clear" w:color="auto" w:fill="auto"/>
            <w:vAlign w:val="center"/>
          </w:tcPr>
          <w:p w14:paraId="40CD01AB">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地市</w:t>
            </w:r>
          </w:p>
        </w:tc>
        <w:tc>
          <w:tcPr>
            <w:tcW w:w="3360" w:type="dxa"/>
            <w:gridSpan w:val="3"/>
            <w:tcBorders>
              <w:left w:val="single" w:color="000000" w:sz="4" w:space="0"/>
              <w:bottom w:val="single" w:color="000000" w:sz="4" w:space="0"/>
              <w:right w:val="single" w:color="000000" w:sz="4" w:space="0"/>
            </w:tcBorders>
            <w:shd w:val="clear" w:color="auto" w:fill="auto"/>
            <w:vAlign w:val="center"/>
          </w:tcPr>
          <w:p w14:paraId="1095477B">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合计</w:t>
            </w:r>
          </w:p>
        </w:tc>
        <w:tc>
          <w:tcPr>
            <w:tcW w:w="2657" w:type="dxa"/>
            <w:gridSpan w:val="3"/>
            <w:tcBorders>
              <w:left w:val="single" w:color="000000" w:sz="4" w:space="0"/>
              <w:bottom w:val="single" w:color="000000" w:sz="4" w:space="0"/>
              <w:right w:val="single" w:color="000000" w:sz="4" w:space="0"/>
            </w:tcBorders>
            <w:shd w:val="clear" w:color="auto" w:fill="auto"/>
            <w:vAlign w:val="center"/>
          </w:tcPr>
          <w:p w14:paraId="4D3878F1">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省级财政资金</w:t>
            </w:r>
          </w:p>
        </w:tc>
        <w:tc>
          <w:tcPr>
            <w:tcW w:w="2952" w:type="dxa"/>
            <w:gridSpan w:val="3"/>
            <w:tcBorders>
              <w:left w:val="single" w:color="000000" w:sz="4" w:space="0"/>
              <w:bottom w:val="single" w:color="000000" w:sz="4" w:space="0"/>
              <w:right w:val="single" w:color="000000" w:sz="4" w:space="0"/>
            </w:tcBorders>
            <w:shd w:val="clear" w:color="auto" w:fill="auto"/>
            <w:vAlign w:val="center"/>
          </w:tcPr>
          <w:p w14:paraId="1EB76B45">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中央财政资金</w:t>
            </w:r>
          </w:p>
        </w:tc>
        <w:tc>
          <w:tcPr>
            <w:tcW w:w="3070" w:type="dxa"/>
            <w:gridSpan w:val="3"/>
            <w:tcBorders>
              <w:left w:val="single" w:color="000000" w:sz="4" w:space="0"/>
              <w:bottom w:val="single" w:color="000000" w:sz="4" w:space="0"/>
              <w:right w:val="single" w:color="000000" w:sz="4" w:space="0"/>
            </w:tcBorders>
            <w:shd w:val="clear" w:color="auto" w:fill="auto"/>
            <w:vAlign w:val="center"/>
          </w:tcPr>
          <w:p w14:paraId="6483AFEA">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市县财政资金</w:t>
            </w:r>
          </w:p>
        </w:tc>
        <w:tc>
          <w:tcPr>
            <w:tcW w:w="2354" w:type="dxa"/>
            <w:gridSpan w:val="2"/>
            <w:tcBorders>
              <w:left w:val="single" w:color="000000" w:sz="4" w:space="0"/>
              <w:bottom w:val="nil"/>
            </w:tcBorders>
            <w:shd w:val="clear" w:color="auto" w:fill="auto"/>
            <w:vAlign w:val="center"/>
          </w:tcPr>
          <w:p w14:paraId="5A90612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投资总额</w:t>
            </w:r>
          </w:p>
        </w:tc>
      </w:tr>
      <w:tr w14:paraId="7B1BD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jc w:val="center"/>
        </w:trPr>
        <w:tc>
          <w:tcPr>
            <w:tcW w:w="432" w:type="dxa"/>
            <w:vMerge w:val="continue"/>
            <w:tcBorders>
              <w:top w:val="single" w:color="000000" w:sz="4" w:space="0"/>
              <w:bottom w:val="single" w:color="000000" w:sz="4" w:space="0"/>
              <w:right w:val="single" w:color="000000" w:sz="4" w:space="0"/>
            </w:tcBorders>
            <w:shd w:val="clear" w:color="auto" w:fill="auto"/>
            <w:vAlign w:val="center"/>
          </w:tcPr>
          <w:p w14:paraId="008ADC03">
            <w:pPr>
              <w:jc w:val="center"/>
              <w:rPr>
                <w:rFonts w:hint="eastAsia" w:ascii="Times New Roman" w:hAnsi="Times New Roman" w:eastAsia="仿宋_GB2312" w:cs="仿宋_GB2312"/>
                <w:b/>
                <w:bCs/>
                <w:i w:val="0"/>
                <w:iCs w:val="0"/>
                <w:color w:val="auto"/>
                <w:sz w:val="20"/>
                <w:szCs w:val="20"/>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9173">
            <w:pPr>
              <w:jc w:val="center"/>
              <w:rPr>
                <w:rFonts w:hint="eastAsia" w:ascii="Times New Roman" w:hAnsi="Times New Roman" w:eastAsia="仿宋_GB2312" w:cs="仿宋_GB2312"/>
                <w:b/>
                <w:bCs/>
                <w:i w:val="0"/>
                <w:iCs w:val="0"/>
                <w:color w:val="auto"/>
                <w:sz w:val="20"/>
                <w:szCs w:val="20"/>
                <w:highlight w:val="none"/>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066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预算指标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194">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到位资金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C4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实际支出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CA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预算指标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4D4A">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到位资金</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C5D">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实际支出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03DE">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预算指标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B57C">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到位资金</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2B53">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实际支出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532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预算指标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1DC2">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到位资金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A98">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实际支出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05AC">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计划数</w:t>
            </w:r>
          </w:p>
        </w:tc>
        <w:tc>
          <w:tcPr>
            <w:tcW w:w="1234" w:type="dxa"/>
            <w:tcBorders>
              <w:top w:val="single" w:color="000000" w:sz="4" w:space="0"/>
              <w:left w:val="single" w:color="000000" w:sz="4" w:space="0"/>
              <w:bottom w:val="single" w:color="000000" w:sz="4" w:space="0"/>
            </w:tcBorders>
            <w:shd w:val="clear" w:color="auto" w:fill="auto"/>
            <w:vAlign w:val="center"/>
          </w:tcPr>
          <w:p w14:paraId="3A4737E2">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0"/>
                <w:szCs w:val="20"/>
                <w:highlight w:val="none"/>
                <w:u w:val="none"/>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累计完成数</w:t>
            </w:r>
          </w:p>
        </w:tc>
      </w:tr>
      <w:tr w14:paraId="0757D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blHeader/>
          <w:jc w:val="center"/>
        </w:trPr>
        <w:tc>
          <w:tcPr>
            <w:tcW w:w="432" w:type="dxa"/>
            <w:vMerge w:val="continue"/>
            <w:tcBorders>
              <w:top w:val="single" w:color="000000" w:sz="4" w:space="0"/>
              <w:bottom w:val="single" w:color="000000" w:sz="4" w:space="0"/>
              <w:right w:val="single" w:color="000000" w:sz="4" w:space="0"/>
            </w:tcBorders>
            <w:shd w:val="clear" w:color="auto" w:fill="auto"/>
            <w:vAlign w:val="center"/>
          </w:tcPr>
          <w:p w14:paraId="1CC77F2F">
            <w:pPr>
              <w:jc w:val="center"/>
              <w:rPr>
                <w:rFonts w:hint="eastAsia" w:ascii="Times New Roman" w:hAnsi="Times New Roman" w:eastAsia="仿宋_GB2312" w:cs="仿宋_GB2312"/>
                <w:b/>
                <w:bCs/>
                <w:i w:val="0"/>
                <w:iCs w:val="0"/>
                <w:color w:val="auto"/>
                <w:sz w:val="20"/>
                <w:szCs w:val="20"/>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5449D">
            <w:pPr>
              <w:jc w:val="center"/>
              <w:rPr>
                <w:rFonts w:hint="eastAsia" w:ascii="Times New Roman" w:hAnsi="Times New Roman" w:eastAsia="仿宋_GB2312" w:cs="仿宋_GB2312"/>
                <w:b/>
                <w:bCs/>
                <w:i w:val="0"/>
                <w:iCs w:val="0"/>
                <w:color w:val="auto"/>
                <w:sz w:val="20"/>
                <w:szCs w:val="20"/>
                <w:highlight w:val="none"/>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4D7B">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DA47">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208E">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E51E">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201B">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37E5">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E98F">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D0F9">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E7C4">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5291">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07D">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1D2">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502">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15</w:t>
            </w:r>
          </w:p>
        </w:tc>
        <w:tc>
          <w:tcPr>
            <w:tcW w:w="1234" w:type="dxa"/>
            <w:tcBorders>
              <w:top w:val="single" w:color="000000" w:sz="4" w:space="0"/>
              <w:left w:val="single" w:color="000000" w:sz="4" w:space="0"/>
              <w:bottom w:val="single" w:color="000000" w:sz="4" w:space="0"/>
            </w:tcBorders>
            <w:shd w:val="clear" w:color="auto" w:fill="auto"/>
            <w:vAlign w:val="center"/>
          </w:tcPr>
          <w:p w14:paraId="4D1257E9">
            <w:pPr>
              <w:keepNext w:val="0"/>
              <w:keepLines w:val="0"/>
              <w:widowControl/>
              <w:suppressLineNumbers w:val="0"/>
              <w:jc w:val="center"/>
              <w:textAlignment w:val="center"/>
              <w:rPr>
                <w:rFonts w:hint="eastAsia" w:ascii="Times New Roman" w:hAnsi="Times New Roman" w:eastAsia="仿宋_GB2312" w:cs="仿宋_GB2312"/>
                <w:i w:val="0"/>
                <w:iCs w:val="0"/>
                <w:color w:val="auto"/>
                <w:sz w:val="20"/>
                <w:szCs w:val="20"/>
                <w:highlight w:val="none"/>
                <w:u w:val="none"/>
              </w:rPr>
            </w:pPr>
            <w:r>
              <w:rPr>
                <w:rFonts w:hint="eastAsia" w:ascii="Times New Roman" w:hAnsi="Times New Roman" w:eastAsia="仿宋_GB2312" w:cs="仿宋_GB2312"/>
                <w:i w:val="0"/>
                <w:iCs w:val="0"/>
                <w:color w:val="auto"/>
                <w:kern w:val="0"/>
                <w:sz w:val="20"/>
                <w:szCs w:val="20"/>
                <w:highlight w:val="none"/>
                <w:u w:val="none"/>
                <w:lang w:val="en-US" w:eastAsia="zh-CN" w:bidi="ar"/>
              </w:rPr>
              <w:t>16</w:t>
            </w:r>
          </w:p>
        </w:tc>
      </w:tr>
      <w:tr w14:paraId="31D2F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286" w:type="dxa"/>
            <w:gridSpan w:val="2"/>
            <w:tcBorders>
              <w:top w:val="single" w:color="000000" w:sz="4" w:space="0"/>
              <w:bottom w:val="single" w:color="000000" w:sz="4" w:space="0"/>
              <w:right w:val="single" w:color="000000" w:sz="4" w:space="0"/>
            </w:tcBorders>
            <w:shd w:val="clear" w:color="auto" w:fill="auto"/>
            <w:vAlign w:val="center"/>
          </w:tcPr>
          <w:p w14:paraId="6A0632F2">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合计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605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160,282.73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A452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140,147.46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8586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114,003.98</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B02E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28,000</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2289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28,000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4F42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17,401.10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481A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22,307.16</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EEBE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22,307.16</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2383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22,307.16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C9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109,975.57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2E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89,840.30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3C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74,295.72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870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167,198.44</w:t>
            </w:r>
          </w:p>
        </w:tc>
        <w:tc>
          <w:tcPr>
            <w:tcW w:w="1234" w:type="dxa"/>
            <w:tcBorders>
              <w:top w:val="single" w:color="000000" w:sz="4" w:space="0"/>
              <w:left w:val="single" w:color="000000" w:sz="4" w:space="0"/>
              <w:bottom w:val="single" w:color="000000" w:sz="4" w:space="0"/>
            </w:tcBorders>
            <w:shd w:val="clear" w:color="auto" w:fill="auto"/>
            <w:vAlign w:val="center"/>
          </w:tcPr>
          <w:p w14:paraId="11BC300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104,318.55</w:t>
            </w:r>
          </w:p>
        </w:tc>
      </w:tr>
      <w:tr w14:paraId="42CB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16856586">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w:t>
            </w:r>
          </w:p>
        </w:tc>
        <w:tc>
          <w:tcPr>
            <w:tcW w:w="854" w:type="dxa"/>
            <w:tcBorders>
              <w:top w:val="nil"/>
              <w:left w:val="single" w:color="000000" w:sz="4" w:space="0"/>
              <w:bottom w:val="single" w:color="000000" w:sz="4" w:space="0"/>
              <w:right w:val="nil"/>
            </w:tcBorders>
            <w:shd w:val="clear" w:color="auto" w:fill="auto"/>
            <w:vAlign w:val="center"/>
          </w:tcPr>
          <w:p w14:paraId="36990929">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省本级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85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336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E67B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336</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A6E43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306</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1098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336</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4971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336</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94C6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306</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731F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1FCA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1BDB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F88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98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0F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EB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bottom w:val="single" w:color="000000" w:sz="4" w:space="0"/>
            </w:tcBorders>
            <w:shd w:val="clear" w:color="auto" w:fill="auto"/>
            <w:vAlign w:val="center"/>
          </w:tcPr>
          <w:p w14:paraId="2D5E314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r>
      <w:tr w14:paraId="086A9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14D6D900">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2</w:t>
            </w:r>
          </w:p>
        </w:tc>
        <w:tc>
          <w:tcPr>
            <w:tcW w:w="854" w:type="dxa"/>
            <w:tcBorders>
              <w:top w:val="nil"/>
              <w:left w:val="single" w:color="000000" w:sz="4" w:space="0"/>
              <w:bottom w:val="single" w:color="000000" w:sz="4" w:space="0"/>
              <w:right w:val="single" w:color="000000" w:sz="4" w:space="0"/>
            </w:tcBorders>
            <w:shd w:val="clear" w:color="auto" w:fill="auto"/>
            <w:vAlign w:val="center"/>
          </w:tcPr>
          <w:p w14:paraId="49974DE0">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汕头市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EEB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1,459.00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5F77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1,459.00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EEBE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824.10</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7E24C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1,459</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BE8E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1,459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8C20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824.10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4025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3D08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C2F6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67B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B2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EBF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15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bottom w:val="single" w:color="000000" w:sz="4" w:space="0"/>
            </w:tcBorders>
            <w:shd w:val="clear" w:color="auto" w:fill="auto"/>
            <w:vAlign w:val="center"/>
          </w:tcPr>
          <w:p w14:paraId="2F4546B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r>
      <w:tr w14:paraId="77DE4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7BAA2E08">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36B">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韶关市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86C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21,359.00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199B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21,359.00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D92E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20,886.75</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1F0F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1,359</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AFC4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1,359</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10BC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886.75</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01A2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3739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8BCD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8B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7A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20,000.00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E73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3D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23,253.00</w:t>
            </w:r>
          </w:p>
        </w:tc>
        <w:tc>
          <w:tcPr>
            <w:tcW w:w="1234" w:type="dxa"/>
            <w:tcBorders>
              <w:top w:val="single" w:color="000000" w:sz="4" w:space="0"/>
              <w:left w:val="single" w:color="000000" w:sz="4" w:space="0"/>
              <w:bottom w:val="single" w:color="000000" w:sz="4" w:space="0"/>
            </w:tcBorders>
            <w:shd w:val="clear" w:color="auto" w:fill="auto"/>
            <w:vAlign w:val="center"/>
          </w:tcPr>
          <w:p w14:paraId="7C7D712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22,706.61</w:t>
            </w:r>
          </w:p>
        </w:tc>
      </w:tr>
      <w:tr w14:paraId="126B5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60C5212A">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4102">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eastAsia" w:ascii="Times New Roman" w:hAnsi="Times New Roman" w:eastAsia="仿宋_GB2312" w:cs="仿宋_GB2312"/>
                <w:b/>
                <w:bCs/>
                <w:i w:val="0"/>
                <w:iCs w:val="0"/>
                <w:color w:val="auto"/>
                <w:kern w:val="0"/>
                <w:sz w:val="20"/>
                <w:szCs w:val="20"/>
                <w:highlight w:val="none"/>
                <w:u w:val="none"/>
                <w:lang w:val="en-US" w:eastAsia="zh-CN" w:bidi="ar"/>
              </w:rPr>
              <w:t>河源市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23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3,097.93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07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2,470.00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94C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566.96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3A1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5C7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3A5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566.96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CD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722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FD2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26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2,027.93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0B2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1,400.00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CA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5FF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3,097.93</w:t>
            </w:r>
          </w:p>
        </w:tc>
        <w:tc>
          <w:tcPr>
            <w:tcW w:w="1234" w:type="dxa"/>
            <w:tcBorders>
              <w:top w:val="single" w:color="000000" w:sz="4" w:space="0"/>
              <w:left w:val="single" w:color="000000" w:sz="4" w:space="0"/>
              <w:bottom w:val="single" w:color="000000" w:sz="4" w:space="0"/>
            </w:tcBorders>
            <w:shd w:val="clear" w:color="auto" w:fill="auto"/>
            <w:vAlign w:val="center"/>
          </w:tcPr>
          <w:p w14:paraId="3379C0E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866.96</w:t>
            </w:r>
          </w:p>
        </w:tc>
      </w:tr>
      <w:tr w14:paraId="65EDC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786EB4C3">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091">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梅州市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EF7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4,534.00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C2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4,534.00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F7C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859.95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634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4,534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0CD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4,534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947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859.95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29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43E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3F8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06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1F5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7C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83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26,732.49</w:t>
            </w:r>
          </w:p>
        </w:tc>
        <w:tc>
          <w:tcPr>
            <w:tcW w:w="1234" w:type="dxa"/>
            <w:tcBorders>
              <w:top w:val="single" w:color="000000" w:sz="4" w:space="0"/>
              <w:left w:val="single" w:color="000000" w:sz="4" w:space="0"/>
              <w:bottom w:val="single" w:color="000000" w:sz="4" w:space="0"/>
            </w:tcBorders>
            <w:shd w:val="clear" w:color="auto" w:fill="auto"/>
            <w:vAlign w:val="center"/>
          </w:tcPr>
          <w:p w14:paraId="3BB4A8A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859.95</w:t>
            </w:r>
          </w:p>
        </w:tc>
      </w:tr>
      <w:tr w14:paraId="56FB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199D51C1">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ED0B">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惠州市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6AD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1,012.17</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322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1,012.17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7DB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924.00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FD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55C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924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F5C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924.00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E31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76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F9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0B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88.17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C0E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88.17</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F14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001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1,012.17</w:t>
            </w:r>
          </w:p>
        </w:tc>
        <w:tc>
          <w:tcPr>
            <w:tcW w:w="1234" w:type="dxa"/>
            <w:tcBorders>
              <w:top w:val="single" w:color="000000" w:sz="4" w:space="0"/>
              <w:left w:val="single" w:color="000000" w:sz="4" w:space="0"/>
              <w:bottom w:val="single" w:color="000000" w:sz="4" w:space="0"/>
            </w:tcBorders>
            <w:shd w:val="clear" w:color="auto" w:fill="auto"/>
            <w:vAlign w:val="center"/>
          </w:tcPr>
          <w:p w14:paraId="69C3DBF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924.00</w:t>
            </w:r>
          </w:p>
        </w:tc>
      </w:tr>
      <w:tr w14:paraId="34105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24B5C8B6">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BD7">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汕尾市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E6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1,653.00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D78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1,653.00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9C0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1,126.46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2F4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97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CB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1,126.46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002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7C8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EB4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91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24A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89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1EE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1,653.00</w:t>
            </w:r>
          </w:p>
        </w:tc>
        <w:tc>
          <w:tcPr>
            <w:tcW w:w="1234" w:type="dxa"/>
            <w:tcBorders>
              <w:top w:val="single" w:color="000000" w:sz="4" w:space="0"/>
              <w:left w:val="single" w:color="000000" w:sz="4" w:space="0"/>
              <w:bottom w:val="single" w:color="000000" w:sz="4" w:space="0"/>
            </w:tcBorders>
            <w:shd w:val="clear" w:color="auto" w:fill="auto"/>
            <w:vAlign w:val="center"/>
          </w:tcPr>
          <w:p w14:paraId="3960901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1,268.76</w:t>
            </w:r>
          </w:p>
        </w:tc>
      </w:tr>
      <w:tr w14:paraId="0E407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44925930">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0A9">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江门市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40F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22,692.04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ED8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21,227.39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57E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21,130.84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CE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1,194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E15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1,194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E7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1,097.45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2A6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14,871.44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B08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14,871.44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05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14,871.44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E1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6,626.60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536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5,161.95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CA6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5,161.95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4E8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17,657.33</w:t>
            </w:r>
          </w:p>
        </w:tc>
        <w:tc>
          <w:tcPr>
            <w:tcW w:w="1234" w:type="dxa"/>
            <w:tcBorders>
              <w:top w:val="single" w:color="000000" w:sz="4" w:space="0"/>
              <w:left w:val="single" w:color="000000" w:sz="4" w:space="0"/>
              <w:bottom w:val="single" w:color="000000" w:sz="4" w:space="0"/>
            </w:tcBorders>
            <w:shd w:val="clear" w:color="auto" w:fill="auto"/>
            <w:vAlign w:val="center"/>
          </w:tcPr>
          <w:p w14:paraId="74F0D11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11,385.00</w:t>
            </w:r>
          </w:p>
        </w:tc>
      </w:tr>
      <w:tr w14:paraId="40C24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28F224AF">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CC3">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阳江市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C6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1,278.29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099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1,235.60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F93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780.78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FB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32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606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713.65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FD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8B5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ED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F2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208.29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3DA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165.60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3B5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67.13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70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1,278.29</w:t>
            </w:r>
          </w:p>
        </w:tc>
        <w:tc>
          <w:tcPr>
            <w:tcW w:w="1234" w:type="dxa"/>
            <w:tcBorders>
              <w:top w:val="single" w:color="000000" w:sz="4" w:space="0"/>
              <w:left w:val="single" w:color="000000" w:sz="4" w:space="0"/>
              <w:bottom w:val="single" w:color="000000" w:sz="4" w:space="0"/>
            </w:tcBorders>
            <w:shd w:val="clear" w:color="auto" w:fill="auto"/>
            <w:vAlign w:val="center"/>
          </w:tcPr>
          <w:p w14:paraId="10724AD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780.78</w:t>
            </w:r>
          </w:p>
        </w:tc>
      </w:tr>
      <w:tr w14:paraId="24628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078E5DC2">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671">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湛江市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C2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1,053.00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C5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1,053.00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8E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229.13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89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4F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A3B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229.13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4A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E0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B67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C6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F0F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A5E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75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1,053.00</w:t>
            </w:r>
          </w:p>
        </w:tc>
        <w:tc>
          <w:tcPr>
            <w:tcW w:w="1234" w:type="dxa"/>
            <w:tcBorders>
              <w:top w:val="single" w:color="000000" w:sz="4" w:space="0"/>
              <w:left w:val="single" w:color="000000" w:sz="4" w:space="0"/>
              <w:bottom w:val="single" w:color="000000" w:sz="4" w:space="0"/>
            </w:tcBorders>
            <w:shd w:val="clear" w:color="auto" w:fill="auto"/>
            <w:vAlign w:val="center"/>
          </w:tcPr>
          <w:p w14:paraId="5B4F238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229.09</w:t>
            </w:r>
          </w:p>
        </w:tc>
      </w:tr>
      <w:tr w14:paraId="18B1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03E815C1">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376">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茂名市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EB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48,922.72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140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30,922.72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944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29,035.37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025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1,167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01C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1,167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0B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799.65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04F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7,435.72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866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7,435.72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EF6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7,435.72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7B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40,320.00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540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22,320.00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792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20,800.00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571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1,167.00</w:t>
            </w:r>
          </w:p>
        </w:tc>
        <w:tc>
          <w:tcPr>
            <w:tcW w:w="1234" w:type="dxa"/>
            <w:tcBorders>
              <w:top w:val="single" w:color="000000" w:sz="4" w:space="0"/>
              <w:left w:val="single" w:color="000000" w:sz="4" w:space="0"/>
              <w:bottom w:val="single" w:color="000000" w:sz="4" w:space="0"/>
            </w:tcBorders>
            <w:shd w:val="clear" w:color="auto" w:fill="auto"/>
            <w:vAlign w:val="center"/>
          </w:tcPr>
          <w:p w14:paraId="160B41A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799.65</w:t>
            </w:r>
          </w:p>
        </w:tc>
      </w:tr>
      <w:tr w14:paraId="2E5CB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35D9A4BA">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A38B">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肇庆市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B99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CAF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FA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113.90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F7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9F6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0E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113.90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F00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23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1C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531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F9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D3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91D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2,707.65</w:t>
            </w:r>
          </w:p>
        </w:tc>
        <w:tc>
          <w:tcPr>
            <w:tcW w:w="1234" w:type="dxa"/>
            <w:tcBorders>
              <w:top w:val="single" w:color="000000" w:sz="4" w:space="0"/>
              <w:left w:val="single" w:color="000000" w:sz="4" w:space="0"/>
              <w:bottom w:val="single" w:color="000000" w:sz="4" w:space="0"/>
            </w:tcBorders>
            <w:shd w:val="clear" w:color="auto" w:fill="auto"/>
            <w:vAlign w:val="center"/>
          </w:tcPr>
          <w:p w14:paraId="2DF96D4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1,709.33</w:t>
            </w:r>
          </w:p>
        </w:tc>
      </w:tr>
      <w:tr w14:paraId="7400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1EE2C73A">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CF5">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清远市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6F7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C9B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ED5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1,050.46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4A0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36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1,270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6B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1,050.46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0E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FC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3D4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D65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18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8C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48E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bottom w:val="single" w:color="000000" w:sz="4" w:space="0"/>
            </w:tcBorders>
            <w:shd w:val="clear" w:color="auto" w:fill="auto"/>
            <w:vAlign w:val="center"/>
          </w:tcPr>
          <w:p w14:paraId="1838827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r>
      <w:tr w14:paraId="7C228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54236D4F">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57A">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潮州市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249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1,604.00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3DA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1,604.00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E0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906.35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1DD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1,604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262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1,604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85E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906.35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48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F6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265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66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745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DC0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9D0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bottom w:val="single" w:color="000000" w:sz="4" w:space="0"/>
            </w:tcBorders>
            <w:shd w:val="clear" w:color="auto" w:fill="auto"/>
            <w:vAlign w:val="center"/>
          </w:tcPr>
          <w:p w14:paraId="66F7C4B8">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r>
      <w:tr w14:paraId="4C928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69FACA41">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A045">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揭阳市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D65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1,962.58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BA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1,962.58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F7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1,134.49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162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CB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1,070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A96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543.85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A8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98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1FD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B5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892.58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0FD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892.58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28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590.64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E8E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1,962.58</w:t>
            </w:r>
          </w:p>
        </w:tc>
        <w:tc>
          <w:tcPr>
            <w:tcW w:w="1234" w:type="dxa"/>
            <w:tcBorders>
              <w:top w:val="single" w:color="000000" w:sz="4" w:space="0"/>
              <w:left w:val="single" w:color="000000" w:sz="4" w:space="0"/>
              <w:bottom w:val="single" w:color="000000" w:sz="4" w:space="0"/>
            </w:tcBorders>
            <w:shd w:val="clear" w:color="auto" w:fill="auto"/>
            <w:vAlign w:val="center"/>
          </w:tcPr>
          <w:p w14:paraId="03D05CE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1,436.43</w:t>
            </w:r>
          </w:p>
        </w:tc>
      </w:tr>
      <w:tr w14:paraId="61837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47428579">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C16">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云浮市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88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1,167.00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ED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1,167.00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884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452.45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42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1,167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925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1,167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1CE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452.45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B88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9D9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BF2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0D66">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B3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91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FD3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bottom w:val="single" w:color="000000" w:sz="4" w:space="0"/>
            </w:tcBorders>
            <w:shd w:val="clear" w:color="auto" w:fill="auto"/>
            <w:vAlign w:val="center"/>
          </w:tcPr>
          <w:p w14:paraId="4E6BB393">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t>0</w:t>
            </w:r>
          </w:p>
        </w:tc>
      </w:tr>
      <w:tr w14:paraId="1D3D7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32" w:type="dxa"/>
            <w:tcBorders>
              <w:top w:val="single" w:color="000000" w:sz="4" w:space="0"/>
              <w:bottom w:val="single" w:color="000000" w:sz="4" w:space="0"/>
              <w:right w:val="single" w:color="000000" w:sz="4" w:space="0"/>
            </w:tcBorders>
            <w:shd w:val="clear" w:color="auto" w:fill="auto"/>
            <w:vAlign w:val="center"/>
          </w:tcPr>
          <w:p w14:paraId="51F9A1C4">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13F">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东莞市</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B75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42,812.00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6B4F">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42,812.00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8E3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30,676.00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2B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F14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89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A3E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CA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04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CBCD">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39,812.00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F2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39,812.00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AF3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27,676.00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63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85,624.00</w:t>
            </w:r>
          </w:p>
        </w:tc>
        <w:tc>
          <w:tcPr>
            <w:tcW w:w="1234" w:type="dxa"/>
            <w:tcBorders>
              <w:top w:val="single" w:color="000000" w:sz="4" w:space="0"/>
              <w:left w:val="single" w:color="000000" w:sz="4" w:space="0"/>
              <w:bottom w:val="single" w:color="000000" w:sz="4" w:space="0"/>
            </w:tcBorders>
            <w:shd w:val="clear" w:color="auto" w:fill="auto"/>
            <w:vAlign w:val="center"/>
          </w:tcPr>
          <w:p w14:paraId="650D453E">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61,352.00</w:t>
            </w:r>
          </w:p>
        </w:tc>
      </w:tr>
      <w:tr w14:paraId="4D412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32" w:type="dxa"/>
            <w:tcBorders>
              <w:top w:val="single" w:color="000000" w:sz="4" w:space="0"/>
              <w:right w:val="single" w:color="000000" w:sz="4" w:space="0"/>
            </w:tcBorders>
            <w:shd w:val="clear" w:color="auto" w:fill="auto"/>
            <w:vAlign w:val="center"/>
          </w:tcPr>
          <w:p w14:paraId="26897FFE">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18</w:t>
            </w:r>
          </w:p>
        </w:tc>
        <w:tc>
          <w:tcPr>
            <w:tcW w:w="854" w:type="dxa"/>
            <w:tcBorders>
              <w:top w:val="single" w:color="000000" w:sz="4" w:space="0"/>
              <w:left w:val="single" w:color="000000" w:sz="4" w:space="0"/>
              <w:right w:val="single" w:color="000000" w:sz="4" w:space="0"/>
            </w:tcBorders>
            <w:shd w:val="clear" w:color="auto" w:fill="auto"/>
            <w:vAlign w:val="center"/>
          </w:tcPr>
          <w:p w14:paraId="2D0CF31D">
            <w:pPr>
              <w:keepNext w:val="0"/>
              <w:keepLines w:val="0"/>
              <w:widowControl/>
              <w:suppressLineNumbers w:val="0"/>
              <w:jc w:val="center"/>
              <w:textAlignment w:val="center"/>
              <w:rPr>
                <w:rFonts w:hint="eastAsia" w:ascii="Times New Roman" w:hAnsi="Times New Roman" w:eastAsia="仿宋_GB2312" w:cs="仿宋_GB2312"/>
                <w:b/>
                <w:bCs/>
                <w:i w:val="0"/>
                <w:iCs w:val="0"/>
                <w:color w:val="auto"/>
                <w:kern w:val="0"/>
                <w:sz w:val="20"/>
                <w:szCs w:val="20"/>
                <w:highlight w:val="none"/>
                <w:u w:val="none"/>
                <w:lang w:val="en-US" w:eastAsia="zh-CN" w:bidi="ar"/>
              </w:rPr>
            </w:pPr>
            <w:r>
              <w:rPr>
                <w:rFonts w:hint="default" w:ascii="Times New Roman" w:hAnsi="Times New Roman" w:eastAsia="仿宋_GB2312" w:cs="仿宋_GB2312"/>
                <w:b/>
                <w:bCs/>
                <w:i w:val="0"/>
                <w:iCs w:val="0"/>
                <w:color w:val="auto"/>
                <w:kern w:val="0"/>
                <w:sz w:val="20"/>
                <w:szCs w:val="20"/>
                <w:highlight w:val="none"/>
                <w:u w:val="none"/>
                <w:lang w:val="en-US" w:eastAsia="zh-CN" w:bidi="ar"/>
              </w:rPr>
              <w:t>中山市</w:t>
            </w:r>
          </w:p>
        </w:tc>
        <w:tc>
          <w:tcPr>
            <w:tcW w:w="1160" w:type="dxa"/>
            <w:tcBorders>
              <w:top w:val="single" w:color="000000" w:sz="4" w:space="0"/>
              <w:left w:val="single" w:color="000000" w:sz="4" w:space="0"/>
              <w:right w:val="single" w:color="000000" w:sz="4" w:space="0"/>
            </w:tcBorders>
            <w:shd w:val="clear" w:color="auto" w:fill="auto"/>
            <w:vAlign w:val="center"/>
          </w:tcPr>
          <w:p w14:paraId="415D079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3,000.00</w:t>
            </w:r>
          </w:p>
        </w:tc>
        <w:tc>
          <w:tcPr>
            <w:tcW w:w="1119" w:type="dxa"/>
            <w:tcBorders>
              <w:top w:val="single" w:color="000000" w:sz="4" w:space="0"/>
              <w:left w:val="single" w:color="000000" w:sz="4" w:space="0"/>
              <w:right w:val="single" w:color="000000" w:sz="4" w:space="0"/>
            </w:tcBorders>
            <w:shd w:val="clear" w:color="auto" w:fill="auto"/>
            <w:vAlign w:val="center"/>
          </w:tcPr>
          <w:p w14:paraId="5C2D500B">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3,000.00</w:t>
            </w:r>
          </w:p>
        </w:tc>
        <w:tc>
          <w:tcPr>
            <w:tcW w:w="1081" w:type="dxa"/>
            <w:tcBorders>
              <w:top w:val="single" w:color="000000" w:sz="4" w:space="0"/>
              <w:left w:val="single" w:color="000000" w:sz="4" w:space="0"/>
              <w:right w:val="single" w:color="000000" w:sz="4" w:space="0"/>
            </w:tcBorders>
            <w:shd w:val="clear" w:color="auto" w:fill="auto"/>
            <w:vAlign w:val="center"/>
          </w:tcPr>
          <w:p w14:paraId="2BA7C60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3,000.00</w:t>
            </w:r>
          </w:p>
        </w:tc>
        <w:tc>
          <w:tcPr>
            <w:tcW w:w="853" w:type="dxa"/>
            <w:tcBorders>
              <w:top w:val="single" w:color="000000" w:sz="4" w:space="0"/>
              <w:left w:val="single" w:color="000000" w:sz="4" w:space="0"/>
              <w:right w:val="single" w:color="000000" w:sz="4" w:space="0"/>
            </w:tcBorders>
            <w:shd w:val="clear" w:color="auto" w:fill="auto"/>
            <w:vAlign w:val="center"/>
          </w:tcPr>
          <w:p w14:paraId="1FFF854C">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w:t>
            </w:r>
          </w:p>
        </w:tc>
        <w:tc>
          <w:tcPr>
            <w:tcW w:w="800" w:type="dxa"/>
            <w:tcBorders>
              <w:top w:val="single" w:color="000000" w:sz="4" w:space="0"/>
              <w:left w:val="single" w:color="000000" w:sz="4" w:space="0"/>
              <w:right w:val="single" w:color="000000" w:sz="4" w:space="0"/>
            </w:tcBorders>
            <w:shd w:val="clear" w:color="auto" w:fill="auto"/>
            <w:vAlign w:val="center"/>
          </w:tcPr>
          <w:p w14:paraId="48A32404">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w:t>
            </w:r>
          </w:p>
        </w:tc>
        <w:tc>
          <w:tcPr>
            <w:tcW w:w="1004" w:type="dxa"/>
            <w:tcBorders>
              <w:top w:val="single" w:color="000000" w:sz="4" w:space="0"/>
              <w:left w:val="single" w:color="000000" w:sz="4" w:space="0"/>
              <w:right w:val="single" w:color="000000" w:sz="4" w:space="0"/>
            </w:tcBorders>
            <w:shd w:val="clear" w:color="auto" w:fill="auto"/>
            <w:vAlign w:val="center"/>
          </w:tcPr>
          <w:p w14:paraId="6C1E78D9">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3,000.00</w:t>
            </w:r>
          </w:p>
        </w:tc>
        <w:tc>
          <w:tcPr>
            <w:tcW w:w="984" w:type="dxa"/>
            <w:tcBorders>
              <w:top w:val="single" w:color="000000" w:sz="4" w:space="0"/>
              <w:left w:val="single" w:color="000000" w:sz="4" w:space="0"/>
              <w:right w:val="single" w:color="000000" w:sz="4" w:space="0"/>
            </w:tcBorders>
            <w:shd w:val="clear" w:color="auto" w:fill="auto"/>
            <w:vAlign w:val="center"/>
          </w:tcPr>
          <w:p w14:paraId="7F8447F5">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right w:val="single" w:color="000000" w:sz="4" w:space="0"/>
            </w:tcBorders>
            <w:shd w:val="clear" w:color="auto" w:fill="auto"/>
            <w:vAlign w:val="center"/>
          </w:tcPr>
          <w:p w14:paraId="0EDFB30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right w:val="single" w:color="000000" w:sz="4" w:space="0"/>
            </w:tcBorders>
            <w:shd w:val="clear" w:color="auto" w:fill="auto"/>
            <w:vAlign w:val="center"/>
          </w:tcPr>
          <w:p w14:paraId="5E2C5C22">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80" w:type="dxa"/>
            <w:tcBorders>
              <w:top w:val="single" w:color="000000" w:sz="4" w:space="0"/>
              <w:left w:val="single" w:color="000000" w:sz="4" w:space="0"/>
              <w:right w:val="single" w:color="000000" w:sz="4" w:space="0"/>
            </w:tcBorders>
            <w:shd w:val="clear" w:color="auto" w:fill="auto"/>
            <w:vAlign w:val="center"/>
          </w:tcPr>
          <w:p w14:paraId="359CDD4A">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984" w:type="dxa"/>
            <w:tcBorders>
              <w:top w:val="single" w:color="000000" w:sz="4" w:space="0"/>
              <w:left w:val="single" w:color="000000" w:sz="4" w:space="0"/>
              <w:right w:val="single" w:color="000000" w:sz="4" w:space="0"/>
            </w:tcBorders>
            <w:shd w:val="clear" w:color="auto" w:fill="auto"/>
            <w:vAlign w:val="center"/>
          </w:tcPr>
          <w:p w14:paraId="283D194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006" w:type="dxa"/>
            <w:tcBorders>
              <w:top w:val="single" w:color="000000" w:sz="4" w:space="0"/>
              <w:left w:val="single" w:color="000000" w:sz="4" w:space="0"/>
              <w:right w:val="single" w:color="000000" w:sz="4" w:space="0"/>
            </w:tcBorders>
            <w:shd w:val="clear" w:color="auto" w:fill="auto"/>
            <w:vAlign w:val="center"/>
          </w:tcPr>
          <w:p w14:paraId="0CD2F351">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120" w:type="dxa"/>
            <w:tcBorders>
              <w:top w:val="single" w:color="000000" w:sz="4" w:space="0"/>
              <w:left w:val="single" w:color="000000" w:sz="4" w:space="0"/>
              <w:right w:val="single" w:color="000000" w:sz="4" w:space="0"/>
            </w:tcBorders>
            <w:shd w:val="clear" w:color="auto" w:fill="auto"/>
            <w:vAlign w:val="center"/>
          </w:tcPr>
          <w:p w14:paraId="1FCE2B77">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c>
          <w:tcPr>
            <w:tcW w:w="1234" w:type="dxa"/>
            <w:tcBorders>
              <w:top w:val="single" w:color="000000" w:sz="4" w:space="0"/>
              <w:left w:val="single" w:color="000000" w:sz="4" w:space="0"/>
            </w:tcBorders>
            <w:shd w:val="clear" w:color="auto" w:fill="auto"/>
            <w:vAlign w:val="center"/>
          </w:tcPr>
          <w:p w14:paraId="0D1C5340">
            <w:pPr>
              <w:keepNext w:val="0"/>
              <w:keepLines w:val="0"/>
              <w:widowControl/>
              <w:suppressLineNumbers w:val="0"/>
              <w:jc w:val="right"/>
              <w:textAlignment w:val="center"/>
              <w:rPr>
                <w:rFonts w:hint="eastAsia" w:ascii="Times New Roman" w:hAnsi="Times New Roman" w:eastAsia="仿宋_GB2312" w:cs="仿宋_GB2312"/>
                <w:b w:val="0"/>
                <w:bCs w:val="0"/>
                <w:i w:val="0"/>
                <w:iCs w:val="0"/>
                <w:color w:val="auto"/>
                <w:kern w:val="0"/>
                <w:sz w:val="19"/>
                <w:szCs w:val="19"/>
                <w:highlight w:val="none"/>
                <w:u w:val="none"/>
                <w:lang w:val="en-US" w:eastAsia="zh-CN" w:bidi="ar"/>
              </w:rPr>
            </w:pPr>
            <w:r>
              <w:rPr>
                <w:rFonts w:hint="default" w:ascii="Times New Roman" w:hAnsi="Times New Roman" w:eastAsia="仿宋_GB2312" w:cs="仿宋_GB2312"/>
                <w:b w:val="0"/>
                <w:bCs w:val="0"/>
                <w:i w:val="0"/>
                <w:iCs w:val="0"/>
                <w:color w:val="auto"/>
                <w:kern w:val="0"/>
                <w:sz w:val="19"/>
                <w:szCs w:val="19"/>
                <w:highlight w:val="none"/>
                <w:u w:val="none"/>
                <w:lang w:val="en-US" w:eastAsia="zh-CN" w:bidi="ar"/>
              </w:rPr>
              <w:t>0</w:t>
            </w:r>
          </w:p>
        </w:tc>
      </w:tr>
    </w:tbl>
    <w:p w14:paraId="410544F7">
      <w:pPr>
        <w:pStyle w:val="11"/>
        <w:rPr>
          <w:rFonts w:ascii="Times New Roman" w:hAnsi="Times New Roman"/>
          <w:color w:val="auto"/>
          <w:highlight w:val="none"/>
        </w:rPr>
      </w:pPr>
    </w:p>
    <w:p w14:paraId="6C6C6F65">
      <w:pPr>
        <w:rPr>
          <w:rFonts w:ascii="Times New Roman" w:hAnsi="Times New Roman"/>
          <w:color w:val="auto"/>
          <w:highlight w:val="none"/>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83E9BDF">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eastAsia" w:ascii="Times New Roman" w:hAnsi="Times New Roman" w:eastAsia="黑体" w:cs="黑体"/>
          <w:b w:val="0"/>
          <w:bCs/>
          <w:color w:val="auto"/>
          <w:kern w:val="2"/>
          <w:sz w:val="32"/>
          <w:szCs w:val="32"/>
          <w:highlight w:val="none"/>
          <w:lang w:val="en-US" w:eastAsia="zh-CN" w:bidi="ar"/>
        </w:rPr>
      </w:pPr>
      <w:bookmarkStart w:id="106" w:name="_Toc13029"/>
      <w:r>
        <w:rPr>
          <w:rFonts w:hint="eastAsia" w:ascii="Times New Roman" w:hAnsi="Times New Roman" w:eastAsia="黑体" w:cs="黑体"/>
          <w:b w:val="0"/>
          <w:bCs/>
          <w:color w:val="auto"/>
          <w:kern w:val="2"/>
          <w:sz w:val="32"/>
          <w:szCs w:val="32"/>
          <w:highlight w:val="none"/>
          <w:lang w:val="en-US" w:eastAsia="zh-CN" w:bidi="ar"/>
        </w:rPr>
        <w:t>附件2</w:t>
      </w:r>
      <w:bookmarkEnd w:id="106"/>
    </w:p>
    <w:p w14:paraId="0D3AEA27">
      <w:pPr>
        <w:pStyle w:val="18"/>
        <w:ind w:firstLine="562"/>
        <w:jc w:val="center"/>
        <w:rPr>
          <w:rFonts w:hint="eastAsia" w:ascii="Times New Roman" w:hAnsi="Times New Roman" w:eastAsia="黑体"/>
          <w:b/>
          <w:bCs/>
          <w:color w:val="auto"/>
          <w:sz w:val="28"/>
          <w:highlight w:val="none"/>
          <w:lang w:val="en-US" w:eastAsia="zh-CN"/>
        </w:rPr>
      </w:pPr>
      <w:r>
        <w:rPr>
          <w:rFonts w:hint="eastAsia" w:ascii="Times New Roman" w:hAnsi="Times New Roman" w:eastAsia="黑体"/>
          <w:b/>
          <w:bCs/>
          <w:color w:val="auto"/>
          <w:sz w:val="28"/>
          <w:highlight w:val="none"/>
          <w:lang w:val="en-US" w:eastAsia="zh-CN"/>
        </w:rPr>
        <w:t>2022年城市水环境治理资金绩效指标完成情况汇总表</w:t>
      </w:r>
    </w:p>
    <w:tbl>
      <w:tblPr>
        <w:tblStyle w:val="13"/>
        <w:tblW w:w="14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33"/>
        <w:gridCol w:w="907"/>
        <w:gridCol w:w="1003"/>
        <w:gridCol w:w="1000"/>
        <w:gridCol w:w="860"/>
        <w:gridCol w:w="960"/>
        <w:gridCol w:w="920"/>
        <w:gridCol w:w="1020"/>
        <w:gridCol w:w="1100"/>
        <w:gridCol w:w="920"/>
        <w:gridCol w:w="1040"/>
        <w:gridCol w:w="1000"/>
        <w:gridCol w:w="1060"/>
        <w:gridCol w:w="940"/>
        <w:gridCol w:w="1005"/>
      </w:tblGrid>
      <w:tr w14:paraId="3378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blHeader/>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AE215">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序号</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E41D4">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地市</w:t>
            </w:r>
          </w:p>
        </w:tc>
        <w:tc>
          <w:tcPr>
            <w:tcW w:w="778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9991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基本信息</w:t>
            </w:r>
          </w:p>
        </w:tc>
        <w:tc>
          <w:tcPr>
            <w:tcW w:w="504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82D8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补充信息</w:t>
            </w:r>
          </w:p>
        </w:tc>
      </w:tr>
      <w:tr w14:paraId="3580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74" w:hRule="atLeast"/>
          <w:tblHeader/>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D0365">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F1200">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9ECE9">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已编制本地《城市内涝治理系统化实施方案》数量（份）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00D80">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地级以上城市建成区黑臭水体是否基本消除</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EA59C">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项目完成及时率%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80954">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2021年城市生活污水集中收集率%</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4033C">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2022年城市生活污水集中收集率%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EFED2">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2021年城市生活污水处理厂进水BOD浓度</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A83BE">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2022年城市生活污水处理厂进水BOD浓度</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41405">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2022年群众投诉城市水环境治理次数</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4A83E">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2021年</w:t>
            </w:r>
            <w:r>
              <w:rPr>
                <w:rFonts w:hint="eastAsia" w:cs="仿宋_GB2312"/>
                <w:i w:val="0"/>
                <w:iCs w:val="0"/>
                <w:color w:val="auto"/>
                <w:kern w:val="0"/>
                <w:sz w:val="22"/>
                <w:szCs w:val="22"/>
                <w:highlight w:val="none"/>
                <w:u w:val="none"/>
                <w:lang w:val="en-US" w:eastAsia="zh-CN" w:bidi="ar"/>
              </w:rPr>
              <w:t>符合</w:t>
            </w:r>
            <w:r>
              <w:rPr>
                <w:rFonts w:hint="default" w:ascii="Times New Roman" w:hAnsi="Times New Roman" w:eastAsia="仿宋_GB2312" w:cs="仿宋_GB2312"/>
                <w:i w:val="0"/>
                <w:iCs w:val="0"/>
                <w:color w:val="auto"/>
                <w:kern w:val="0"/>
                <w:sz w:val="22"/>
                <w:szCs w:val="22"/>
                <w:highlight w:val="none"/>
                <w:u w:val="none"/>
                <w:lang w:val="en-US" w:eastAsia="zh-CN" w:bidi="ar"/>
              </w:rPr>
              <w:t>海绵建设标准面积占建成区面积比例(%)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DD7A4">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2022年</w:t>
            </w:r>
            <w:r>
              <w:rPr>
                <w:rFonts w:hint="eastAsia" w:cs="仿宋_GB2312"/>
                <w:i w:val="0"/>
                <w:iCs w:val="0"/>
                <w:color w:val="auto"/>
                <w:kern w:val="0"/>
                <w:sz w:val="22"/>
                <w:szCs w:val="22"/>
                <w:highlight w:val="none"/>
                <w:u w:val="none"/>
                <w:lang w:val="en-US" w:eastAsia="zh-CN" w:bidi="ar"/>
              </w:rPr>
              <w:t>符合</w:t>
            </w:r>
            <w:r>
              <w:rPr>
                <w:rFonts w:hint="default" w:ascii="Times New Roman" w:hAnsi="Times New Roman" w:eastAsia="仿宋_GB2312" w:cs="仿宋_GB2312"/>
                <w:i w:val="0"/>
                <w:iCs w:val="0"/>
                <w:color w:val="auto"/>
                <w:kern w:val="0"/>
                <w:sz w:val="22"/>
                <w:szCs w:val="22"/>
                <w:highlight w:val="none"/>
                <w:u w:val="none"/>
                <w:lang w:val="en-US" w:eastAsia="zh-CN" w:bidi="ar"/>
              </w:rPr>
              <w:t>海绵建设标准面积占建成区面积比例(%)</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6A916">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城市污水管网排查与改造数量（公里）</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E508F">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项目区域常住人口数（万人）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F92A7">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排查整治历史上严重影响生活秩序的易涝积水点个数（个）</w:t>
            </w:r>
          </w:p>
        </w:tc>
      </w:tr>
      <w:tr w14:paraId="324D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tblHeader/>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D9013">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86B93">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47144">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E093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7A124">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88FC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561F8">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52DBB">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E98DA">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7</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C947E">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7539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0BB5F">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6C1C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11</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736D7">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7130A">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13</w:t>
            </w:r>
          </w:p>
        </w:tc>
      </w:tr>
      <w:tr w14:paraId="62B0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2517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合计</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AEA595">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247AC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17</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BA33A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92.07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67D7F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45.34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DE1CF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49.48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92ED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56.97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EF5FE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55.22</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54586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均≤10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0ABB1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29.74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9039B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38.98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58455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1910.47</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C408E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1756.69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8A8F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137.00</w:t>
            </w:r>
          </w:p>
        </w:tc>
      </w:tr>
      <w:tr w14:paraId="4BA4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7158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D43FF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汕头市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EC26A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17F15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06480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889B6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57.50</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9A394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61.12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83352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74.25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7DFDE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71.61</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69F52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33FB8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6B4F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5C34D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456.59</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09874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134.34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75334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0532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7C84B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A9A9F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韶关市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1607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CDF9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5280E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87.50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528D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27.15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1D390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26.72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56340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35.76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4ED0A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31.32</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6E64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77514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8BA34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EEC5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85.23</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611C1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669.68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BA289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15.00</w:t>
            </w:r>
          </w:p>
        </w:tc>
      </w:tr>
      <w:tr w14:paraId="63B3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F3512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87320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河源市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3B593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AD54C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C5EF5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A8796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39.00</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D8EE6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03B959">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45.30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C2229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52.20</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AD311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8F6C8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8FF9E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778929">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31.80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A561B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28.60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88395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14.00</w:t>
            </w:r>
          </w:p>
        </w:tc>
      </w:tr>
      <w:tr w14:paraId="0AF7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6797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62A7F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梅州市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FDF67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41611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1CBB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90.00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E8610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36.55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92E24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40.05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D6F0A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39.33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B79F3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38.53</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D18F6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45DD5C">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22.06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5A3515">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28.06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8B69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4.70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D94D8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41.39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A1205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w:t>
            </w:r>
          </w:p>
        </w:tc>
      </w:tr>
      <w:tr w14:paraId="7B5C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3A0FA5">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445AC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惠州市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FFAC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7B39C">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2204B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7669A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69.74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227A3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83.13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F8195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64.50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B5655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62.33</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6EAD1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EFA40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465A7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90C1C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408.74</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4E42A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110.18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C91EC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2.00</w:t>
            </w:r>
          </w:p>
        </w:tc>
      </w:tr>
      <w:tr w14:paraId="0A65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2EA0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02B3F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汕尾市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5A375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B26D3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E38AD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87.50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44EBB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30.35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50748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34.35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EC802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60.57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20FF4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59.61</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42F02C">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AA4D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8FA3C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18D3F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5B3F1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AA00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4EF6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4F4D5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09987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江门市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E90F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C4FEBC">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4E9A1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95.80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4866B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72.55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B6E7E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66.90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0104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75.21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11B8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66.97</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905A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E127B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BA898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517E5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197.00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E930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110.87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AF8EB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18.00</w:t>
            </w:r>
          </w:p>
        </w:tc>
      </w:tr>
      <w:tr w14:paraId="3734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5E519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BBC37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阳江市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9CE84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DC8F6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0AD43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564D3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49.25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14DB7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51.71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5EA01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53.96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B62CA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48.85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9ED83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B4EF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0328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9777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E4B2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3CE3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6876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77EC7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3F88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湛江市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890D1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7B3E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484D0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72.17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428D7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71.25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8C4D3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80.29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47DC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99.40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0A2A8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103.22</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8E465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124F9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1A82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851C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35.23</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A45D1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174.10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07BDE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564A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6E34A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B675B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茂名市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ECCF7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C665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32030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0BE0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33.18</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0A0F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34.68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650BB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72.65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8727D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66.95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B70B3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47D67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77D22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60F45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77.43</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7EA22B">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117.28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2AF1F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12.00</w:t>
            </w:r>
          </w:p>
        </w:tc>
      </w:tr>
      <w:tr w14:paraId="133B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17ECE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F304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肇庆市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DCC7C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66CE0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4F7C7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1640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51.46</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E61EB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57.25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52962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55.90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03FE8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53.77</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1B5FA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63F5A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A50555">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24E49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212.20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7227B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28AFC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35.00</w:t>
            </w:r>
          </w:p>
        </w:tc>
      </w:tr>
      <w:tr w14:paraId="0D89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F4F98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B0BA1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清远市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F18D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BEAFB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BEDD8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98.00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EA16A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58.85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3A03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60.51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0FC8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60.33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E6109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58.32</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7243D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73D63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66818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BFFB0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54.85</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2B38A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60.83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1DE1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28.00</w:t>
            </w:r>
          </w:p>
        </w:tc>
      </w:tr>
      <w:tr w14:paraId="486B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6BA5A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C046C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潮州市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245D6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39D6A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33096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70.95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E3C06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40.59</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85B08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47.30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7B2C9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38.72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648E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41.24</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CBDEB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3272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FEFA0">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C0E4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C8DB3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0A773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65E6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34FCF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AEC46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揭阳市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2449F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969D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63AEA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E6BC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5217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23.40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944ED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41.72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D29E6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37.00</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C84566">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1D8EB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A3C8EA">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6CCC0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F983B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FD2E2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r w14:paraId="6012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74F45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B7289D">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云浮市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A5B6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18BD0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809C7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83.33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8E24C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17.65</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21DEE9">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23.77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CED50">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36.88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155405">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36.42</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97B0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BAD08E">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1DE85">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457B1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41.64</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8705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22.53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DB3E47">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2.00</w:t>
            </w:r>
          </w:p>
        </w:tc>
      </w:tr>
      <w:tr w14:paraId="78DA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BCB8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16</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D2234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东莞市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D91E8">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58252">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275A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B7208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0BFE4A">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EA3C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983E9">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C018C">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978711">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45.63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2F8FB4">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58.30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849E14">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305.06</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4D334C">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278.61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4668D">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w:t>
            </w:r>
          </w:p>
        </w:tc>
      </w:tr>
      <w:tr w14:paraId="752B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C19093">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17</w:t>
            </w:r>
          </w:p>
        </w:tc>
        <w:tc>
          <w:tcPr>
            <w:tcW w:w="9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419989">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中山市</w:t>
            </w:r>
          </w:p>
        </w:tc>
        <w:tc>
          <w:tcPr>
            <w:tcW w:w="10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1B5BA8">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87DE9B">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是</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D124C9">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436A06">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C56FF2">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294D41">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4254F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16C12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仿宋_GB2312"/>
                <w:i w:val="0"/>
                <w:iCs w:val="0"/>
                <w:color w:val="auto"/>
                <w:kern w:val="0"/>
                <w:sz w:val="22"/>
                <w:szCs w:val="22"/>
                <w:highlight w:val="none"/>
                <w:u w:val="none"/>
                <w:lang w:val="en-US" w:eastAsia="zh-CN" w:bidi="ar"/>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B41EAF">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21.53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53F667">
            <w:pPr>
              <w:keepNext w:val="0"/>
              <w:keepLines w:val="0"/>
              <w:widowControl/>
              <w:suppressLineNumbers w:val="0"/>
              <w:jc w:val="center"/>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30.57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ECFA53">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58C26E">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3B2DAF">
            <w:pPr>
              <w:keepNext w:val="0"/>
              <w:keepLines w:val="0"/>
              <w:widowControl/>
              <w:suppressLineNumbers w:val="0"/>
              <w:jc w:val="right"/>
              <w:textAlignment w:val="center"/>
              <w:rPr>
                <w:rFonts w:hint="eastAsia" w:ascii="Times New Roman" w:hAnsi="Times New Roman" w:eastAsia="仿宋_GB2312" w:cs="仿宋_GB2312"/>
                <w:i w:val="0"/>
                <w:iCs w:val="0"/>
                <w:color w:val="auto"/>
                <w:kern w:val="0"/>
                <w:sz w:val="22"/>
                <w:szCs w:val="22"/>
                <w:highlight w:val="none"/>
                <w:u w:val="none"/>
                <w:lang w:val="en-US" w:eastAsia="zh-CN" w:bidi="ar"/>
              </w:rPr>
            </w:pPr>
            <w:r>
              <w:rPr>
                <w:rFonts w:hint="eastAsia" w:ascii="Times New Roman" w:hAnsi="Times New Roman" w:eastAsia="仿宋_GB2312" w:cs="仿宋_GB2312"/>
                <w:i w:val="0"/>
                <w:iCs w:val="0"/>
                <w:color w:val="auto"/>
                <w:kern w:val="0"/>
                <w:sz w:val="22"/>
                <w:szCs w:val="22"/>
                <w:highlight w:val="none"/>
                <w:u w:val="none"/>
                <w:lang w:val="en-US" w:eastAsia="zh-CN" w:bidi="ar"/>
              </w:rPr>
              <w:t>0.00</w:t>
            </w:r>
          </w:p>
        </w:tc>
      </w:tr>
    </w:tbl>
    <w:p w14:paraId="765467D1">
      <w:pPr>
        <w:pStyle w:val="11"/>
        <w:rPr>
          <w:rFonts w:hint="default" w:ascii="Times New Roman" w:hAnsi="Times New Roman"/>
          <w:color w:val="auto"/>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12F1739">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default" w:ascii="Times New Roman" w:hAnsi="Times New Roman" w:eastAsia="黑体" w:cs="黑体"/>
          <w:b w:val="0"/>
          <w:bCs/>
          <w:color w:val="auto"/>
          <w:kern w:val="2"/>
          <w:sz w:val="32"/>
          <w:szCs w:val="32"/>
          <w:highlight w:val="none"/>
          <w:lang w:val="en-US" w:eastAsia="zh-CN" w:bidi="ar"/>
        </w:rPr>
      </w:pPr>
      <w:bookmarkStart w:id="107" w:name="_Toc26443"/>
      <w:r>
        <w:rPr>
          <w:rFonts w:hint="eastAsia" w:ascii="Times New Roman" w:hAnsi="Times New Roman" w:eastAsia="黑体" w:cs="黑体"/>
          <w:b w:val="0"/>
          <w:bCs/>
          <w:color w:val="auto"/>
          <w:kern w:val="2"/>
          <w:sz w:val="32"/>
          <w:szCs w:val="32"/>
          <w:highlight w:val="none"/>
          <w:lang w:val="en-US" w:eastAsia="zh-CN" w:bidi="ar"/>
        </w:rPr>
        <w:t>附件3</w:t>
      </w:r>
      <w:bookmarkEnd w:id="107"/>
    </w:p>
    <w:p w14:paraId="1333DE83">
      <w:pPr>
        <w:jc w:val="center"/>
        <w:rPr>
          <w:rFonts w:hint="eastAsia" w:ascii="Times New Roman" w:hAnsi="Times New Roman" w:eastAsia="黑体"/>
          <w:b w:val="0"/>
          <w:bCs w:val="0"/>
          <w:color w:val="auto"/>
          <w:sz w:val="28"/>
          <w:highlight w:val="none"/>
          <w:lang w:val="en-US" w:eastAsia="zh-CN"/>
        </w:rPr>
      </w:pPr>
      <w:r>
        <w:rPr>
          <w:rFonts w:hint="eastAsia" w:ascii="Times New Roman" w:hAnsi="Times New Roman" w:eastAsia="黑体"/>
          <w:b w:val="0"/>
          <w:bCs w:val="0"/>
          <w:color w:val="auto"/>
          <w:sz w:val="28"/>
          <w:highlight w:val="none"/>
        </w:rPr>
        <w:t>2022年东莞市海绵城市省级补助资金和中央基建配套资金绩效指标完成情况</w:t>
      </w:r>
      <w:r>
        <w:rPr>
          <w:rFonts w:hint="eastAsia" w:ascii="Times New Roman" w:hAnsi="Times New Roman" w:eastAsia="黑体"/>
          <w:b w:val="0"/>
          <w:bCs w:val="0"/>
          <w:color w:val="auto"/>
          <w:sz w:val="28"/>
          <w:highlight w:val="none"/>
          <w:lang w:val="en-US" w:eastAsia="zh-CN"/>
        </w:rPr>
        <w:t>表</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457"/>
        <w:gridCol w:w="656"/>
        <w:gridCol w:w="1405"/>
        <w:gridCol w:w="1822"/>
        <w:gridCol w:w="2861"/>
        <w:gridCol w:w="866"/>
      </w:tblGrid>
      <w:tr w14:paraId="1A8A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EB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项目名称</w:t>
            </w:r>
          </w:p>
        </w:tc>
        <w:tc>
          <w:tcPr>
            <w:tcW w:w="44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A39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打好污染防治攻坚战专项资金-污染防治-城市水环境治理-海绵城市建设示范城市</w:t>
            </w:r>
          </w:p>
        </w:tc>
      </w:tr>
      <w:tr w14:paraId="09D4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111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省级主管部门</w:t>
            </w:r>
          </w:p>
        </w:tc>
        <w:tc>
          <w:tcPr>
            <w:tcW w:w="1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A96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广东省住房和城乡建设厅</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2CD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地方主管部门</w:t>
            </w:r>
          </w:p>
        </w:tc>
        <w:tc>
          <w:tcPr>
            <w:tcW w:w="2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A7A6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b/>
                <w:bCs/>
                <w:i w:val="0"/>
                <w:iCs w:val="0"/>
                <w:color w:val="auto"/>
                <w:sz w:val="20"/>
                <w:szCs w:val="20"/>
                <w:highlight w:val="none"/>
                <w:u w:val="none"/>
              </w:rPr>
            </w:pPr>
            <w:r>
              <w:rPr>
                <w:rFonts w:hint="default" w:ascii="Times New Roman" w:hAnsi="Times New Roman" w:eastAsia="仿宋_GB2312" w:cs="仿宋_GB2312"/>
                <w:b w:val="0"/>
                <w:bCs w:val="0"/>
                <w:i w:val="0"/>
                <w:iCs w:val="0"/>
                <w:color w:val="auto"/>
                <w:kern w:val="0"/>
                <w:sz w:val="20"/>
                <w:szCs w:val="20"/>
                <w:highlight w:val="none"/>
                <w:u w:val="none"/>
                <w:lang w:val="en-US" w:eastAsia="zh-CN" w:bidi="ar"/>
              </w:rPr>
              <w:t>东莞市水务局</w:t>
            </w:r>
          </w:p>
        </w:tc>
      </w:tr>
      <w:tr w14:paraId="1D32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D2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资金需求</w:t>
            </w:r>
          </w:p>
        </w:tc>
        <w:tc>
          <w:tcPr>
            <w:tcW w:w="44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ACF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3000万元</w:t>
            </w:r>
          </w:p>
        </w:tc>
      </w:tr>
      <w:tr w14:paraId="34E4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4E84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支出内容</w:t>
            </w:r>
          </w:p>
        </w:tc>
        <w:tc>
          <w:tcPr>
            <w:tcW w:w="44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3A3F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w:t>
            </w:r>
          </w:p>
        </w:tc>
      </w:tr>
      <w:tr w14:paraId="59BE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C77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总体绩效目标</w:t>
            </w:r>
          </w:p>
        </w:tc>
        <w:tc>
          <w:tcPr>
            <w:tcW w:w="2278"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CAED15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通过示范创建，促进示范城市防洪排涝能力及非常规水资源利用水平明显提升，生态环境显著改善，海绵城市理念得到全面、有效落实，推动全省海绵城市建设迈上新台阶。应制定全域开展海绵城市建设工作方案，在示范期内建立与系统化全域推进海绵城市建设相适应的长效机制，完善法规制度、规划标准、投融资机制及相关配套政策，结合开展城市防洪排涝设施建设、黑臭水体治理、老旧小区改造等，全域系统化建设海绵城市。</w:t>
            </w:r>
          </w:p>
        </w:tc>
        <w:tc>
          <w:tcPr>
            <w:tcW w:w="1678" w:type="pct"/>
            <w:tcBorders>
              <w:top w:val="single" w:color="000000" w:sz="4" w:space="0"/>
              <w:left w:val="single" w:color="auto" w:sz="4" w:space="0"/>
              <w:bottom w:val="single" w:color="000000" w:sz="4" w:space="0"/>
              <w:right w:val="single" w:color="auto" w:sz="4" w:space="0"/>
            </w:tcBorders>
            <w:shd w:val="clear" w:color="auto" w:fill="auto"/>
            <w:vAlign w:val="center"/>
          </w:tcPr>
          <w:p w14:paraId="74E1D7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eastAsia" w:cs="仿宋_GB2312"/>
                <w:i w:val="0"/>
                <w:iCs w:val="0"/>
                <w:color w:val="auto"/>
                <w:kern w:val="0"/>
                <w:sz w:val="20"/>
                <w:szCs w:val="20"/>
                <w:highlight w:val="none"/>
                <w:u w:val="none"/>
                <w:lang w:val="en-US" w:eastAsia="zh-CN" w:bidi="ar"/>
              </w:rPr>
              <w:t>完成情况</w:t>
            </w:r>
          </w:p>
        </w:tc>
        <w:tc>
          <w:tcPr>
            <w:tcW w:w="508" w:type="pct"/>
            <w:tcBorders>
              <w:top w:val="single" w:color="000000" w:sz="4" w:space="0"/>
              <w:left w:val="single" w:color="auto" w:sz="4" w:space="0"/>
              <w:bottom w:val="single" w:color="000000" w:sz="4" w:space="0"/>
              <w:right w:val="single" w:color="000000" w:sz="4" w:space="0"/>
            </w:tcBorders>
            <w:shd w:val="clear" w:color="auto" w:fill="auto"/>
            <w:vAlign w:val="center"/>
          </w:tcPr>
          <w:p w14:paraId="45EDFF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完成率100%</w:t>
            </w:r>
          </w:p>
        </w:tc>
      </w:tr>
      <w:tr w14:paraId="5C4E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3E15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绩效指标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E1B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C9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二级指标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AF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三级指标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1EB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指标值</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92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完成情况</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1B4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w:t>
            </w:r>
          </w:p>
        </w:tc>
      </w:tr>
      <w:tr w14:paraId="5AB8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A8AA">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1C00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产出指标</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89E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数量指标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15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拟完立法数量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1D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A3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《东莞市排水条例》已纳入立法规划和计划，目前已制定一审的送审稿。</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07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7F9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2020">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E13F">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225E">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BAB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拟建立的长效机制数量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36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4</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EA0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关于推进海绵城市建设的实施意见》；2.《东莞市海绵城市规划建设管理暂行办法》；3.《东莞市人民政府办公室关于调整东莞市海绵城市建设工作领导小组的通知》；4.《东莞市海绵城市建设管控豁免清单(2023年版)》。</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8E0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919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665B">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B00F">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594D">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B3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雨水资源化利用</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731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0.5（自来水代替比例）</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096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用于道路浇洒、园林绿地灌溉、市政杂用、工农业生产、冷却等的雨水总量占全市自来水总量的1%。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D5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677A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3840">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E848">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73E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质量指标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574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内涝积水区段消除比例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B4B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EF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全市20个易涝点，目前已完成15个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14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75%</w:t>
            </w:r>
          </w:p>
        </w:tc>
      </w:tr>
      <w:tr w14:paraId="3B1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FF1E">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2DCB">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B056">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AF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内涝防治标准（重现期）</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48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50年一遇</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2A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目前内涝防治标准能够达到20年一遇</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A9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40%</w:t>
            </w:r>
          </w:p>
        </w:tc>
      </w:tr>
      <w:tr w14:paraId="5AE9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E5DA">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0F06">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7483">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57A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内涝防治标准（对应降雨量）</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26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362.6毫米/天</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A6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294毫米/天</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87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81.10%</w:t>
            </w:r>
          </w:p>
        </w:tc>
      </w:tr>
      <w:tr w14:paraId="09BE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6F3C">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B0A3">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E93F">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8D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城市黑臭水体消除比例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B40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9A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城市建成区22条黑臭水体在2020年已全部消黑。2022年稳定实现“长制久清”，未发生返黑返臭情况。</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0B9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4607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71D4">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BF3C">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6E41">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6EB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地下水埋深变化（地下水/潜水平均埋深变化）</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B9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保持不变</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9C8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保持不变</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22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6553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FD0A">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3B29">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C0FF1">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F09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再生水利用率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447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25%以上</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0D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36.82%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AB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185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B7C9">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C3F2">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875A">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8C6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天然水域面积比例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03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31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10.11%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51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C05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73B1">
            <w:pPr>
              <w:keepNext w:val="0"/>
              <w:keepLines w:val="0"/>
              <w:pageBreakBefore w:val="0"/>
              <w:widowControl/>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68E1">
            <w:pPr>
              <w:keepNext w:val="0"/>
              <w:keepLines w:val="0"/>
              <w:pageBreakBefore w:val="0"/>
              <w:widowControl/>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31F6">
            <w:pPr>
              <w:keepNext w:val="0"/>
              <w:keepLines w:val="0"/>
              <w:pageBreakBefore w:val="0"/>
              <w:widowControl/>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4D2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可透水地面面积比例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C7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45%</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854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39.88%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57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bidi="ar"/>
              </w:rPr>
            </w:pPr>
            <w:r>
              <w:rPr>
                <w:rFonts w:hint="default" w:cs="仿宋_GB2312"/>
                <w:i w:val="0"/>
                <w:iCs w:val="0"/>
                <w:color w:val="auto"/>
                <w:kern w:val="0"/>
                <w:sz w:val="20"/>
                <w:szCs w:val="20"/>
                <w:highlight w:val="none"/>
                <w:u w:val="none"/>
                <w:lang w:val="en-US" w:eastAsia="zh-CN" w:bidi="ar"/>
              </w:rPr>
              <w:t>88.6</w:t>
            </w:r>
            <w:r>
              <w:rPr>
                <w:rFonts w:hint="default" w:ascii="Times New Roman" w:hAnsi="Times New Roman" w:eastAsia="仿宋_GB2312" w:cs="仿宋_GB2312"/>
                <w:i w:val="0"/>
                <w:iCs w:val="0"/>
                <w:color w:val="auto"/>
                <w:kern w:val="0"/>
                <w:sz w:val="20"/>
                <w:szCs w:val="20"/>
                <w:highlight w:val="none"/>
                <w:u w:val="none"/>
                <w:lang w:val="en-US" w:eastAsia="zh-CN" w:bidi="ar"/>
              </w:rPr>
              <w:t>%</w:t>
            </w:r>
          </w:p>
        </w:tc>
      </w:tr>
      <w:tr w14:paraId="5060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6421">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661D">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3E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时效指标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92F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到示范期末内涝点消除比例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5ED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5F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全市20个易涝点，目前已完成15个</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00A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75%</w:t>
            </w:r>
          </w:p>
        </w:tc>
      </w:tr>
      <w:tr w14:paraId="061E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CDC1D">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8DE6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社会效益</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5C4E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生态效益扌曰标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459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新建片区年径流总量控制率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E2C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70%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18F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70%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A0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745E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B637">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84BE">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1276">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D4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生态岸线比例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C31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47.50%</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D4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截至2022年底建成碧道420公里，规划的需要开展生态岸线恢复的比例超过47.5%。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61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F9A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A115">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46EE">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DC0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可持续影响</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B5C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新建项目全面落实海绵城市建设理念</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28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是</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3F0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编制并落实《东莞市海绵城市规划建设管理暂行办法》，新建项目全部落实海绵城市建设理念，已经实行建设流程全链条管理。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E9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DE2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D721">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685C">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ACA3">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65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海绵城市建设与城市内涝治理工作充分结合</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69E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是</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F8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我市将海绵城市建设作为缓解城市内涝的重要举措，各项工作已将海绵城市建设与城市内涝治理工作充分结合。</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50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064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4B10">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65339">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FB85">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F2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项目谋划和实施的系统性整体性</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381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强</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079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充分考虑项目谋划和实施的系统性整体性。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09F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A93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CC47">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1B11">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8CA3">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599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工作谋划的整体性（流域区域、城市、社区、设施等各个方面、各层</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C9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全面落实</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408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编制并落实《东莞市系统化全域推进海绵城市建设省级示范行动方案(2022-2024)》，统筹考虑各层级的整体性。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161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5E4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22CB">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E4E0">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D477">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B5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海绵城市建设理念是否落实在规划建设管理全过程</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76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全面落实</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E6D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编制并落实《东莞市海绵城市规划建设管理暂行办法》。</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23CC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88D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1B22">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4F0C0">
            <w:pPr>
              <w:keepNext w:val="0"/>
              <w:keepLines w:val="0"/>
              <w:pageBreakBefore w:val="0"/>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361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服务对象满意度指标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1E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人民群众满意度</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236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生态效益、环境效益和社会效益不断显现，人民群众获得感、幸福感、安全感明显增强</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78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满意度调查结果显示人民群众获得感、幸福感、安全感明显增强。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837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bl>
    <w:p w14:paraId="0547680B">
      <w:pPr>
        <w:pStyle w:val="11"/>
        <w:rPr>
          <w:rFonts w:hint="default" w:ascii="Times New Roman" w:hAnsi="Times New Roman"/>
          <w:color w:val="auto"/>
          <w:highlight w:val="none"/>
          <w:lang w:val="en-US" w:eastAsia="zh-CN"/>
        </w:rPr>
      </w:pPr>
    </w:p>
    <w:p w14:paraId="730B2039">
      <w:pPr>
        <w:rPr>
          <w:rFonts w:hint="default" w:ascii="Times New Roman" w:hAnsi="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16722B9">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default" w:ascii="Times New Roman" w:hAnsi="Times New Roman" w:eastAsia="黑体" w:cs="黑体"/>
          <w:b w:val="0"/>
          <w:bCs/>
          <w:color w:val="auto"/>
          <w:kern w:val="2"/>
          <w:sz w:val="32"/>
          <w:szCs w:val="32"/>
          <w:highlight w:val="none"/>
          <w:lang w:val="en-US" w:eastAsia="zh-CN" w:bidi="ar"/>
        </w:rPr>
      </w:pPr>
      <w:bookmarkStart w:id="108" w:name="_Toc5990"/>
      <w:r>
        <w:rPr>
          <w:rFonts w:hint="eastAsia" w:ascii="Times New Roman" w:hAnsi="Times New Roman" w:eastAsia="黑体" w:cs="黑体"/>
          <w:b w:val="0"/>
          <w:bCs/>
          <w:color w:val="auto"/>
          <w:kern w:val="2"/>
          <w:sz w:val="32"/>
          <w:szCs w:val="32"/>
          <w:highlight w:val="none"/>
          <w:lang w:val="en-US" w:eastAsia="zh-CN" w:bidi="ar"/>
        </w:rPr>
        <w:t>附件</w:t>
      </w:r>
      <w:bookmarkEnd w:id="108"/>
      <w:r>
        <w:rPr>
          <w:rFonts w:hint="eastAsia" w:eastAsia="黑体" w:cs="黑体"/>
          <w:b w:val="0"/>
          <w:bCs/>
          <w:color w:val="auto"/>
          <w:kern w:val="2"/>
          <w:sz w:val="32"/>
          <w:szCs w:val="32"/>
          <w:highlight w:val="none"/>
          <w:lang w:val="en-US" w:eastAsia="zh-CN" w:bidi="ar"/>
        </w:rPr>
        <w:t>4</w:t>
      </w:r>
    </w:p>
    <w:p w14:paraId="33AD8FD3">
      <w:pPr>
        <w:jc w:val="center"/>
        <w:rPr>
          <w:rFonts w:hint="eastAsia" w:ascii="Times New Roman" w:hAnsi="Times New Roman" w:eastAsia="黑体"/>
          <w:b w:val="0"/>
          <w:bCs w:val="0"/>
          <w:color w:val="auto"/>
          <w:sz w:val="28"/>
          <w:highlight w:val="none"/>
          <w:lang w:val="en-US" w:eastAsia="zh-CN"/>
        </w:rPr>
      </w:pPr>
      <w:r>
        <w:rPr>
          <w:rFonts w:hint="eastAsia" w:ascii="Times New Roman" w:hAnsi="Times New Roman" w:eastAsia="黑体"/>
          <w:b w:val="0"/>
          <w:bCs w:val="0"/>
          <w:color w:val="auto"/>
          <w:sz w:val="28"/>
          <w:highlight w:val="none"/>
        </w:rPr>
        <w:t>2022年梅州市海绵城市省级补助资金绩效指标完成情况</w:t>
      </w:r>
      <w:r>
        <w:rPr>
          <w:rFonts w:hint="eastAsia" w:ascii="Times New Roman" w:hAnsi="Times New Roman" w:eastAsia="黑体"/>
          <w:b w:val="0"/>
          <w:bCs w:val="0"/>
          <w:color w:val="auto"/>
          <w:sz w:val="28"/>
          <w:highlight w:val="none"/>
          <w:lang w:val="en-US" w:eastAsia="zh-CN"/>
        </w:rPr>
        <w:t>表</w:t>
      </w:r>
    </w:p>
    <w:tbl>
      <w:tblPr>
        <w:tblStyle w:val="1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600"/>
        <w:gridCol w:w="501"/>
        <w:gridCol w:w="1911"/>
        <w:gridCol w:w="2726"/>
        <w:gridCol w:w="9"/>
        <w:gridCol w:w="1570"/>
        <w:gridCol w:w="787"/>
      </w:tblGrid>
      <w:tr w14:paraId="60BF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E7DE">
            <w:pPr>
              <w:keepNext w:val="0"/>
              <w:keepLines w:val="0"/>
              <w:widowControl/>
              <w:suppressLineNumbers w:val="0"/>
              <w:jc w:val="center"/>
              <w:textAlignment w:val="bottom"/>
              <w:rPr>
                <w:rFonts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项目名称</w:t>
            </w:r>
          </w:p>
        </w:tc>
        <w:tc>
          <w:tcPr>
            <w:tcW w:w="44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136BC">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打好污染防治攻坚战专项资金-污染防治-城市水环境治理-海绵城市建设示范城市</w:t>
            </w:r>
          </w:p>
        </w:tc>
      </w:tr>
      <w:tr w14:paraId="3B79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1F29">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省级主管部门</w:t>
            </w:r>
          </w:p>
        </w:tc>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43353">
            <w:pPr>
              <w:keepNext w:val="0"/>
              <w:keepLines w:val="0"/>
              <w:widowControl/>
              <w:suppressLineNumbers w:val="0"/>
              <w:ind w:firstLineChars="10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广东省住房和城乡建设厅</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86C4">
            <w:pPr>
              <w:keepNext w:val="0"/>
              <w:keepLines w:val="0"/>
              <w:widowControl/>
              <w:suppressLineNumbers w:val="0"/>
              <w:ind w:firstLineChars="10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地方主管部门</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D7094">
            <w:pPr>
              <w:keepNext w:val="0"/>
              <w:keepLines w:val="0"/>
              <w:widowControl/>
              <w:suppressLineNumbers w:val="0"/>
              <w:jc w:val="center"/>
              <w:textAlignment w:val="bottom"/>
              <w:rPr>
                <w:rFonts w:hint="default" w:ascii="Times New Roman" w:hAnsi="Times New Roman" w:eastAsia="仿宋_GB2312" w:cs="仿宋_GB2312"/>
                <w:b/>
                <w:bCs/>
                <w:i w:val="0"/>
                <w:iCs w:val="0"/>
                <w:color w:val="auto"/>
                <w:sz w:val="20"/>
                <w:szCs w:val="20"/>
                <w:highlight w:val="none"/>
                <w:u w:val="none"/>
              </w:rPr>
            </w:pPr>
            <w:r>
              <w:rPr>
                <w:rFonts w:hint="default" w:ascii="Times New Roman" w:hAnsi="Times New Roman" w:eastAsia="仿宋_GB2312" w:cs="仿宋_GB2312"/>
                <w:b w:val="0"/>
                <w:bCs w:val="0"/>
                <w:i w:val="0"/>
                <w:iCs w:val="0"/>
                <w:color w:val="auto"/>
                <w:kern w:val="0"/>
                <w:sz w:val="20"/>
                <w:szCs w:val="20"/>
                <w:highlight w:val="none"/>
                <w:u w:val="none"/>
                <w:lang w:val="en-US" w:eastAsia="zh-CN" w:bidi="ar"/>
              </w:rPr>
              <w:t>梅州市住房和城乡建设局</w:t>
            </w:r>
          </w:p>
        </w:tc>
      </w:tr>
      <w:tr w14:paraId="1170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CB564">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资金需求</w:t>
            </w:r>
          </w:p>
        </w:tc>
        <w:tc>
          <w:tcPr>
            <w:tcW w:w="44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FF639A">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3000万元</w:t>
            </w:r>
          </w:p>
        </w:tc>
      </w:tr>
      <w:tr w14:paraId="7A6B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7A13">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支出内容</w:t>
            </w:r>
          </w:p>
        </w:tc>
        <w:tc>
          <w:tcPr>
            <w:tcW w:w="44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727AB">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w:t>
            </w:r>
          </w:p>
        </w:tc>
      </w:tr>
      <w:tr w14:paraId="4C5A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3653B">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总体绩效目标</w:t>
            </w:r>
          </w:p>
        </w:tc>
        <w:tc>
          <w:tcPr>
            <w:tcW w:w="3051"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6423B3A">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通过示范创建，促进示范城市防洪排涝能力及地下空间建设水平明显提升，生态环境显著改善，海绵城市理念得到全面、有效落实，推动全省海绵城市建设迈上新台阶。应制定全域开展海绵城市建设工作方案，在示范期内建立与系统化全域推进海绵城市建设相适应的长效机制，完善法规制度、规划标准、投融资机制及相关配套政策，结合开展城市防洪排涝设施建设、地下空间建设、老旧小区改造等，全域系统化建设海绵城市。</w:t>
            </w:r>
          </w:p>
        </w:tc>
        <w:tc>
          <w:tcPr>
            <w:tcW w:w="934" w:type="pct"/>
            <w:tcBorders>
              <w:top w:val="single" w:color="auto" w:sz="4" w:space="0"/>
              <w:left w:val="single" w:color="auto" w:sz="4" w:space="0"/>
              <w:bottom w:val="single" w:color="000000" w:sz="4" w:space="0"/>
              <w:right w:val="single" w:color="auto" w:sz="4" w:space="0"/>
            </w:tcBorders>
            <w:shd w:val="clear" w:color="auto" w:fill="auto"/>
            <w:vAlign w:val="center"/>
          </w:tcPr>
          <w:p w14:paraId="4C27944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eastAsia" w:cs="仿宋_GB2312"/>
                <w:i w:val="0"/>
                <w:iCs w:val="0"/>
                <w:color w:val="auto"/>
                <w:kern w:val="0"/>
                <w:sz w:val="20"/>
                <w:szCs w:val="20"/>
                <w:highlight w:val="none"/>
                <w:u w:val="none"/>
                <w:lang w:val="en-US" w:eastAsia="zh-CN" w:bidi="ar"/>
              </w:rPr>
              <w:t>完成情况</w:t>
            </w:r>
          </w:p>
        </w:tc>
        <w:tc>
          <w:tcPr>
            <w:tcW w:w="470" w:type="pct"/>
            <w:tcBorders>
              <w:top w:val="single" w:color="auto" w:sz="4" w:space="0"/>
              <w:left w:val="single" w:color="auto" w:sz="4" w:space="0"/>
              <w:bottom w:val="single" w:color="000000" w:sz="4" w:space="0"/>
              <w:right w:val="single" w:color="000000" w:sz="4" w:space="0"/>
            </w:tcBorders>
            <w:shd w:val="clear" w:color="auto" w:fill="auto"/>
            <w:vAlign w:val="center"/>
          </w:tcPr>
          <w:p w14:paraId="50D7892D">
            <w:pPr>
              <w:keepNext w:val="0"/>
              <w:keepLines w:val="0"/>
              <w:widowControl/>
              <w:suppressLineNumbers w:val="0"/>
              <w:jc w:val="center"/>
              <w:textAlignment w:val="center"/>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完成率100%</w:t>
            </w:r>
          </w:p>
        </w:tc>
      </w:tr>
      <w:tr w14:paraId="0342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25A01">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绩效指标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21A4">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一级指标</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ACBC">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二级指标</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CF3E">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三级指标</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8669">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指标值</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292D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完成情况</w:t>
            </w:r>
          </w:p>
        </w:tc>
        <w:tc>
          <w:tcPr>
            <w:tcW w:w="470" w:type="pct"/>
            <w:tcBorders>
              <w:top w:val="nil"/>
              <w:left w:val="nil"/>
              <w:bottom w:val="nil"/>
              <w:right w:val="single" w:color="auto" w:sz="4" w:space="0"/>
            </w:tcBorders>
            <w:shd w:val="clear" w:color="auto" w:fill="auto"/>
            <w:vAlign w:val="center"/>
          </w:tcPr>
          <w:p w14:paraId="3D05823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w:t>
            </w:r>
          </w:p>
        </w:tc>
      </w:tr>
      <w:tr w14:paraId="5960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7B4FC">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06DF5">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产出指标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47BAE">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数量指标</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562C">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拟完立法数量</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5E06">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EDDB">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市政府已提请市人大审议《梅州市海绵城市建设管理条例》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B88B">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6AD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9E72">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CCCF">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708D">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4F41">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拟建立的立法长效机制数量</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55F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B5708">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市政府已提请市人大审议《梅州市海绵城市建设管理条例》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8AED">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E30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B0F03">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3435">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25A40">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FAA6">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雨水资源化利用</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49AD">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雨水利用率不低于5%</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3262A">
            <w:pPr>
              <w:keepNext w:val="0"/>
              <w:keepLines w:val="0"/>
              <w:widowControl/>
              <w:suppressLineNumbers w:val="0"/>
              <w:jc w:val="center"/>
              <w:textAlignment w:val="center"/>
              <w:rPr>
                <w:rFonts w:ascii="Times New Roman" w:hAnsi="Times New Roman" w:eastAsia="宋体" w:cs="宋体"/>
                <w:i w:val="0"/>
                <w:iCs w:val="0"/>
                <w:color w:val="auto"/>
                <w:sz w:val="22"/>
                <w:szCs w:val="22"/>
                <w:highlight w:val="none"/>
                <w:u w:val="none"/>
              </w:rPr>
            </w:pPr>
            <w:r>
              <w:rPr>
                <w:rFonts w:ascii="Times New Roman" w:hAnsi="Times New Roman" w:eastAsia="宋体" w:cs="宋体"/>
                <w:i w:val="0"/>
                <w:iCs w:val="0"/>
                <w:color w:val="auto"/>
                <w:kern w:val="0"/>
                <w:sz w:val="22"/>
                <w:szCs w:val="22"/>
                <w:highlight w:val="none"/>
                <w:u w:val="none"/>
                <w:lang w:val="en-US" w:eastAsia="zh-CN" w:bidi="ar"/>
              </w:rPr>
              <w:t>≧</w:t>
            </w:r>
            <w:r>
              <w:rPr>
                <w:rStyle w:val="27"/>
                <w:rFonts w:ascii="Times New Roman" w:hAnsi="Times New Roman"/>
                <w:color w:val="auto"/>
                <w:highlight w:val="none"/>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9DF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785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E46D5">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AA84B">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B4C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质量指标</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D492">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内涝积水区段消除比例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C8F2">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8019">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F35E">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E01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D92A">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FD57">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E34B">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FD80">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内涝防治标准（重现期）</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FD7D">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30年一遇</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ACE3E">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30年一遇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533B">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139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180D">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4275">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3E2C">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BFE5">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内涝防治标准（对应降雨量）</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132F">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2h(86.53mm)、6h(133.14mm)、12h(164.70mm)、24h(196.27mm)、72h(266.65mm)</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A3ED2">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196.27毫米/24H</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9A0D">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37D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8FEB">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EF7E">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C6E3">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A2F4">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城市防洪标准</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200C">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100年一遇</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A2E0D">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100年一遇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83E5">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4BF9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C6626">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D17F">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FD01">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AA81">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黑臭水体消除比例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847A">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E036">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7321">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682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E91C">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78E4">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A555D">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BB65">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地表水水质达标比例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1C7E">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地表水水质优良（达到或优于III类）比例达到100%以上</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47224">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地表水水质优良比例100%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2396">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BF2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DA57">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B0EC">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9F41">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20B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地下水达标率</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6F4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地下水质量维持稳定</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8AD58">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地下水质量维持稳定</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E9DC">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F31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02AB">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41E3">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C4A4">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18C7">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地下水埋深变化（地下水/潜水平均埋深变化）</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802E">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无变化</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7E294">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无变化</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36F9">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7F81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FFD2">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0FDD">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0BAF">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83D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再生水利用率</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5B23">
            <w:pPr>
              <w:keepNext w:val="0"/>
              <w:keepLines w:val="0"/>
              <w:widowControl/>
              <w:suppressLineNumbers w:val="0"/>
              <w:ind w:firstLineChars="10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城市污水再生利用率不低于20%,雨水利用率不低于5%。</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37426">
            <w:pPr>
              <w:keepNext w:val="0"/>
              <w:keepLines w:val="0"/>
              <w:widowControl/>
              <w:suppressLineNumbers w:val="0"/>
              <w:jc w:val="center"/>
              <w:textAlignment w:val="center"/>
              <w:rPr>
                <w:rFonts w:hint="eastAsia" w:ascii="Times New Roman" w:hAnsi="Times New Roman" w:eastAsia="宋体" w:cs="宋体"/>
                <w:i w:val="0"/>
                <w:iCs w:val="0"/>
                <w:color w:val="auto"/>
                <w:sz w:val="22"/>
                <w:szCs w:val="22"/>
                <w:highlight w:val="none"/>
                <w:u w:val="none"/>
              </w:rPr>
            </w:pPr>
            <w:r>
              <w:rPr>
                <w:rFonts w:hint="eastAsia" w:ascii="Times New Roman" w:hAnsi="Times New Roman" w:eastAsia="宋体" w:cs="宋体"/>
                <w:i w:val="0"/>
                <w:iCs w:val="0"/>
                <w:color w:val="auto"/>
                <w:kern w:val="0"/>
                <w:sz w:val="22"/>
                <w:szCs w:val="22"/>
                <w:highlight w:val="none"/>
                <w:u w:val="none"/>
                <w:lang w:val="en-US" w:eastAsia="zh-CN" w:bidi="ar"/>
              </w:rPr>
              <w:t>≧</w:t>
            </w:r>
            <w:r>
              <w:rPr>
                <w:rStyle w:val="27"/>
                <w:rFonts w:ascii="Times New Roman" w:hAnsi="Times New Roman"/>
                <w:color w:val="auto"/>
                <w:highlight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AFD1">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68CA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4BE2">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F3FB">
            <w:pPr>
              <w:jc w:val="center"/>
              <w:rPr>
                <w:rFonts w:hint="default" w:ascii="Times New Roman" w:hAnsi="Times New Roman" w:eastAsia="仿宋_GB2312" w:cs="仿宋_GB2312"/>
                <w:i w:val="0"/>
                <w:iCs w:val="0"/>
                <w:color w:val="auto"/>
                <w:sz w:val="20"/>
                <w:szCs w:val="20"/>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E72B">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BC8F">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天然水域面积比例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7F22">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水域面积不低于6%</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C8A03">
            <w:pPr>
              <w:keepNext w:val="0"/>
              <w:keepLines w:val="0"/>
              <w:widowControl/>
              <w:suppressLineNumbers w:val="0"/>
              <w:jc w:val="center"/>
              <w:textAlignment w:val="center"/>
              <w:rPr>
                <w:rFonts w:hint="eastAsia" w:ascii="Times New Roman" w:hAnsi="Times New Roman" w:eastAsia="宋体" w:cs="宋体"/>
                <w:i w:val="0"/>
                <w:iCs w:val="0"/>
                <w:color w:val="auto"/>
                <w:sz w:val="22"/>
                <w:szCs w:val="22"/>
                <w:highlight w:val="none"/>
                <w:u w:val="none"/>
              </w:rPr>
            </w:pPr>
            <w:r>
              <w:rPr>
                <w:rFonts w:hint="eastAsia" w:ascii="Times New Roman" w:hAnsi="Times New Roman" w:eastAsia="宋体" w:cs="宋体"/>
                <w:i w:val="0"/>
                <w:iCs w:val="0"/>
                <w:color w:val="auto"/>
                <w:kern w:val="0"/>
                <w:sz w:val="22"/>
                <w:szCs w:val="22"/>
                <w:highlight w:val="none"/>
                <w:u w:val="none"/>
                <w:lang w:val="en-US" w:eastAsia="zh-CN" w:bidi="ar"/>
              </w:rPr>
              <w:t>≧</w:t>
            </w:r>
            <w:r>
              <w:rPr>
                <w:rStyle w:val="27"/>
                <w:rFonts w:ascii="Times New Roman" w:hAnsi="Times New Roman"/>
                <w:color w:val="auto"/>
                <w:highlight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105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4698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F1E6">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4AFC2">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6C054">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66D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可透水地面面积比例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351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透水地面面积率达46%以上</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94ACA">
            <w:pPr>
              <w:keepNext w:val="0"/>
              <w:keepLines w:val="0"/>
              <w:widowControl/>
              <w:suppressLineNumbers w:val="0"/>
              <w:jc w:val="center"/>
              <w:textAlignment w:val="center"/>
              <w:rPr>
                <w:rFonts w:hint="eastAsia" w:ascii="Times New Roman" w:hAnsi="Times New Roman" w:eastAsia="宋体" w:cs="宋体"/>
                <w:i w:val="0"/>
                <w:iCs w:val="0"/>
                <w:color w:val="auto"/>
                <w:sz w:val="22"/>
                <w:szCs w:val="22"/>
                <w:highlight w:val="none"/>
                <w:u w:val="none"/>
              </w:rPr>
            </w:pPr>
            <w:r>
              <w:rPr>
                <w:rFonts w:hint="eastAsia" w:ascii="Times New Roman" w:hAnsi="Times New Roman" w:eastAsia="宋体" w:cs="宋体"/>
                <w:i w:val="0"/>
                <w:iCs w:val="0"/>
                <w:color w:val="auto"/>
                <w:kern w:val="0"/>
                <w:sz w:val="22"/>
                <w:szCs w:val="22"/>
                <w:highlight w:val="none"/>
                <w:u w:val="none"/>
                <w:lang w:val="en-US" w:eastAsia="zh-CN" w:bidi="ar"/>
              </w:rPr>
              <w:t>≧</w:t>
            </w:r>
            <w:r>
              <w:rPr>
                <w:rStyle w:val="27"/>
                <w:rFonts w:ascii="Times New Roman" w:hAnsi="Times New Roman"/>
                <w:color w:val="auto"/>
                <w:highlight w:val="none"/>
                <w:lang w:val="en-US" w:eastAsia="zh-CN" w:bidi="ar"/>
              </w:rPr>
              <w:t>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9FD9">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7DE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F8CB">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96C0">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BF4D">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476D">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完成投资</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AD31">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1亿元</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7D075">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1亿元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ED3C">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BFB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695A">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90988">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CEAF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社会效益指标</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8095">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海绵城市建设理念是否落实在规划建设管理全过程</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3E4A">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是</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32005">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通过颁布海绵城市相关规划建设法规办法落实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0832">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7BCF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EBE9">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37E9A">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53B51">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E12E">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工作谋划的整体性（流域区域、城市、社区、设施等各个方面、各层面之间充分衔接，具有系统考虑和安排）</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249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梅州将结合山区城市特点，统筹城乡一体化发展，在流域、城市、设施、社区方面</w:t>
            </w:r>
            <w:r>
              <w:rPr>
                <w:rFonts w:hint="eastAsia" w:cs="仿宋_GB2312"/>
                <w:i w:val="0"/>
                <w:iCs w:val="0"/>
                <w:color w:val="auto"/>
                <w:kern w:val="0"/>
                <w:sz w:val="20"/>
                <w:szCs w:val="20"/>
                <w:highlight w:val="none"/>
                <w:u w:val="none"/>
                <w:lang w:val="en-US" w:eastAsia="zh-CN" w:bidi="ar"/>
              </w:rPr>
              <w:t>采取</w:t>
            </w:r>
            <w:r>
              <w:rPr>
                <w:rFonts w:hint="default" w:ascii="Times New Roman" w:hAnsi="Times New Roman" w:eastAsia="仿宋_GB2312" w:cs="仿宋_GB2312"/>
                <w:i w:val="0"/>
                <w:iCs w:val="0"/>
                <w:color w:val="auto"/>
                <w:kern w:val="0"/>
                <w:sz w:val="20"/>
                <w:szCs w:val="20"/>
                <w:highlight w:val="none"/>
                <w:u w:val="none"/>
                <w:lang w:val="en-US" w:eastAsia="zh-CN" w:bidi="ar"/>
              </w:rPr>
              <w:t>措施，努力探索一条有别于平原城市、沿海城市的山区系统化全域推进海绵城市建设道路。</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D05EC">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强</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32FA">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6DC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BAD0B">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9C43">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1303">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9DB9">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新建项目全面落实海绵城市建设理念</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1D9B">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通过颁布海绵城市相关规划建设法规办法，对新建项目全周期落实海绵城市建设理念</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C299A">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通过颁布海绵城市相关规划建设法规办法落实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2C7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013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38499">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D5AB">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BE81">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9EF6">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海绵城市建设与城市更新、防洪排涝设施、地下空间建设、老旧小区改造等工作充分结合</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878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围绕2024年建成区符合海绵城市标准面积占比要达到40%以上的目标，撬动间接投资100亿元以上，其中包含市级内涝系统化治理项目、城区房地产涉海绵建设项目、老旧小区改造项目、市政基础设施项目、防洪项目等，以投资带动苏区振兴发展。</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80127">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50A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2E9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77A0">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A9C5">
            <w:pPr>
              <w:jc w:val="center"/>
              <w:rPr>
                <w:rFonts w:hint="default" w:ascii="Times New Roman" w:hAnsi="Times New Roman" w:eastAsia="仿宋_GB2312" w:cs="仿宋_GB2312"/>
                <w:i w:val="0"/>
                <w:iCs w:val="0"/>
                <w:color w:val="auto"/>
                <w:sz w:val="20"/>
                <w:szCs w:val="20"/>
                <w:highlight w:val="none"/>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8E40">
            <w:pPr>
              <w:jc w:val="center"/>
              <w:rPr>
                <w:rFonts w:hint="default" w:ascii="Times New Roman" w:hAnsi="Times New Roman" w:eastAsia="仿宋_GB2312" w:cs="仿宋_GB2312"/>
                <w:i w:val="0"/>
                <w:iCs w:val="0"/>
                <w:color w:val="auto"/>
                <w:sz w:val="20"/>
                <w:szCs w:val="20"/>
                <w:highlight w:val="none"/>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4B48">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项目谋划和实施的系统性整体性</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B31F">
            <w:pPr>
              <w:keepNext w:val="0"/>
              <w:keepLines w:val="0"/>
              <w:widowControl/>
              <w:suppressLineNumbers w:val="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提升以群山基质为主体的海绵绿围和山塘水库蓄水能力；2.加快实施老旧管网改造，高标准建设城市新区排水管网，构建连续完整的雨洪行泄通道，建立智慧排水管理系统；3.加快老旧小区海绵城市改造，重塑历史城区海绵城市功能，全面构建新型海绵完整社区</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28C1">
            <w:pPr>
              <w:keepNext w:val="0"/>
              <w:keepLines w:val="0"/>
              <w:widowControl/>
              <w:suppressLineNumbers w:val="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结合山区城市特点，努力探索山区系统化全域推进海绵城市建设道路。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8387">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425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AC01">
            <w:pPr>
              <w:jc w:val="center"/>
              <w:rPr>
                <w:rFonts w:hint="default" w:ascii="Times New Roman" w:hAnsi="Times New Roman" w:eastAsia="仿宋_GB2312" w:cs="仿宋_GB2312"/>
                <w:i w:val="0"/>
                <w:iCs w:val="0"/>
                <w:color w:val="auto"/>
                <w:sz w:val="20"/>
                <w:szCs w:val="20"/>
                <w:highlight w:val="none"/>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6FA5E">
            <w:pPr>
              <w:jc w:val="center"/>
              <w:rPr>
                <w:rFonts w:hint="default" w:ascii="Times New Roman" w:hAnsi="Times New Roman" w:eastAsia="仿宋_GB2312" w:cs="仿宋_GB2312"/>
                <w:i w:val="0"/>
                <w:iCs w:val="0"/>
                <w:color w:val="auto"/>
                <w:sz w:val="20"/>
                <w:szCs w:val="20"/>
                <w:highlight w:val="none"/>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EC74">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服务对象感知度指标</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D963">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人民群众满意度</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1279">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95%以上</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DBAF7">
            <w:pPr>
              <w:keepNext w:val="0"/>
              <w:keepLines w:val="0"/>
              <w:widowControl/>
              <w:suppressLineNumbers w:val="0"/>
              <w:jc w:val="center"/>
              <w:textAlignment w:val="center"/>
              <w:rPr>
                <w:rFonts w:hint="eastAsia" w:ascii="Times New Roman" w:hAnsi="Times New Roman" w:eastAsia="宋体" w:cs="宋体"/>
                <w:i w:val="0"/>
                <w:iCs w:val="0"/>
                <w:color w:val="auto"/>
                <w:sz w:val="22"/>
                <w:szCs w:val="22"/>
                <w:highlight w:val="none"/>
                <w:u w:val="none"/>
              </w:rPr>
            </w:pPr>
            <w:r>
              <w:rPr>
                <w:rFonts w:hint="eastAsia" w:ascii="Times New Roman" w:hAnsi="Times New Roman" w:eastAsia="宋体" w:cs="宋体"/>
                <w:i w:val="0"/>
                <w:iCs w:val="0"/>
                <w:color w:val="auto"/>
                <w:kern w:val="0"/>
                <w:sz w:val="22"/>
                <w:szCs w:val="22"/>
                <w:highlight w:val="none"/>
                <w:u w:val="none"/>
                <w:lang w:val="en-US" w:eastAsia="zh-CN" w:bidi="ar"/>
              </w:rPr>
              <w:t>≧</w:t>
            </w:r>
            <w:r>
              <w:rPr>
                <w:rStyle w:val="27"/>
                <w:rFonts w:ascii="Times New Roman" w:hAnsi="Times New Roman"/>
                <w:color w:val="auto"/>
                <w:highlight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2CC0">
            <w:pPr>
              <w:keepNext w:val="0"/>
              <w:keepLines w:val="0"/>
              <w:widowControl/>
              <w:suppressLineNumbers w:val="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bl>
    <w:p w14:paraId="49CBB19B">
      <w:pPr>
        <w:spacing w:line="94" w:lineRule="exact"/>
        <w:rPr>
          <w:rFonts w:ascii="Times New Roman" w:hAnsi="Times New Roman"/>
          <w:color w:val="auto"/>
          <w:highlight w:val="none"/>
        </w:rPr>
      </w:pPr>
    </w:p>
    <w:p w14:paraId="7397D242">
      <w:pPr>
        <w:pStyle w:val="11"/>
        <w:rPr>
          <w:rFonts w:hint="default" w:ascii="Times New Roman" w:hAnsi="Times New Roman"/>
          <w:color w:val="auto"/>
          <w:highlight w:val="none"/>
          <w:lang w:val="en-US" w:eastAsia="zh-CN"/>
        </w:rPr>
      </w:pPr>
    </w:p>
    <w:p w14:paraId="0D5CE483">
      <w:pPr>
        <w:rPr>
          <w:rFonts w:hint="default" w:ascii="Times New Roman" w:hAnsi="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F8CAD19">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textAlignment w:val="auto"/>
        <w:outlineLvl w:val="0"/>
        <w:rPr>
          <w:rFonts w:hint="default" w:ascii="Times New Roman" w:hAnsi="Times New Roman" w:eastAsia="黑体" w:cs="黑体"/>
          <w:b w:val="0"/>
          <w:bCs/>
          <w:color w:val="auto"/>
          <w:kern w:val="2"/>
          <w:sz w:val="32"/>
          <w:szCs w:val="32"/>
          <w:highlight w:val="none"/>
          <w:lang w:val="en-US" w:eastAsia="zh-CN" w:bidi="ar"/>
        </w:rPr>
      </w:pPr>
      <w:bookmarkStart w:id="109" w:name="_Toc4254"/>
      <w:r>
        <w:rPr>
          <w:rFonts w:hint="eastAsia" w:ascii="Times New Roman" w:hAnsi="Times New Roman" w:eastAsia="黑体" w:cs="黑体"/>
          <w:b w:val="0"/>
          <w:bCs/>
          <w:color w:val="auto"/>
          <w:kern w:val="2"/>
          <w:sz w:val="32"/>
          <w:szCs w:val="32"/>
          <w:highlight w:val="none"/>
          <w:lang w:val="en-US" w:eastAsia="zh-CN" w:bidi="ar"/>
        </w:rPr>
        <w:t>附件</w:t>
      </w:r>
      <w:bookmarkEnd w:id="109"/>
      <w:r>
        <w:rPr>
          <w:rFonts w:hint="eastAsia" w:eastAsia="黑体" w:cs="黑体"/>
          <w:b w:val="0"/>
          <w:bCs/>
          <w:color w:val="auto"/>
          <w:kern w:val="2"/>
          <w:sz w:val="32"/>
          <w:szCs w:val="32"/>
          <w:highlight w:val="none"/>
          <w:lang w:val="en-US" w:eastAsia="zh-CN" w:bidi="ar"/>
        </w:rPr>
        <w:t>5</w:t>
      </w:r>
    </w:p>
    <w:p w14:paraId="38BCC794">
      <w:pPr>
        <w:jc w:val="center"/>
        <w:rPr>
          <w:rFonts w:hint="eastAsia" w:ascii="Times New Roman" w:hAnsi="Times New Roman" w:eastAsia="黑体"/>
          <w:b w:val="0"/>
          <w:bCs w:val="0"/>
          <w:color w:val="auto"/>
          <w:sz w:val="28"/>
          <w:highlight w:val="none"/>
          <w:lang w:val="en-US" w:eastAsia="zh-CN"/>
        </w:rPr>
      </w:pPr>
      <w:r>
        <w:rPr>
          <w:rFonts w:hint="eastAsia" w:ascii="Times New Roman" w:hAnsi="Times New Roman" w:eastAsia="黑体"/>
          <w:b w:val="0"/>
          <w:bCs w:val="0"/>
          <w:color w:val="auto"/>
          <w:sz w:val="28"/>
          <w:highlight w:val="none"/>
        </w:rPr>
        <w:t>2022年</w:t>
      </w:r>
      <w:r>
        <w:rPr>
          <w:rFonts w:hint="eastAsia" w:ascii="Times New Roman" w:hAnsi="Times New Roman" w:eastAsia="黑体"/>
          <w:b w:val="0"/>
          <w:bCs w:val="0"/>
          <w:color w:val="auto"/>
          <w:sz w:val="28"/>
          <w:highlight w:val="none"/>
          <w:lang w:val="en-US" w:eastAsia="zh-CN"/>
        </w:rPr>
        <w:t>中山</w:t>
      </w:r>
      <w:r>
        <w:rPr>
          <w:rFonts w:hint="eastAsia" w:ascii="Times New Roman" w:hAnsi="Times New Roman" w:eastAsia="黑体"/>
          <w:b w:val="0"/>
          <w:bCs w:val="0"/>
          <w:color w:val="auto"/>
          <w:sz w:val="28"/>
          <w:highlight w:val="none"/>
        </w:rPr>
        <w:t>市海绵城市省级补助资金绩效指标完成情况</w:t>
      </w:r>
      <w:r>
        <w:rPr>
          <w:rFonts w:hint="eastAsia" w:ascii="Times New Roman" w:hAnsi="Times New Roman" w:eastAsia="黑体"/>
          <w:b w:val="0"/>
          <w:bCs w:val="0"/>
          <w:color w:val="auto"/>
          <w:sz w:val="28"/>
          <w:highlight w:val="none"/>
          <w:lang w:val="en-US" w:eastAsia="zh-CN"/>
        </w:rPr>
        <w:t>表</w:t>
      </w:r>
    </w:p>
    <w:tbl>
      <w:tblPr>
        <w:tblStyle w:val="1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54"/>
        <w:gridCol w:w="525"/>
        <w:gridCol w:w="1398"/>
        <w:gridCol w:w="1304"/>
        <w:gridCol w:w="2717"/>
        <w:gridCol w:w="922"/>
        <w:gridCol w:w="684"/>
      </w:tblGrid>
      <w:tr w14:paraId="73E6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5E4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项目名称</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D906F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打好污染防治攻坚战专项资金-污染防治-城市水环境治理-海绵城市建设示范城市</w:t>
            </w:r>
          </w:p>
        </w:tc>
      </w:tr>
      <w:tr w14:paraId="3880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D3AB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省级主管部门</w:t>
            </w:r>
          </w:p>
        </w:tc>
        <w:tc>
          <w:tcPr>
            <w:tcW w:w="11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6E71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广东省住房和城乡建设厅</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47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地方主管部门</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9D94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b/>
                <w:bCs/>
                <w:i w:val="0"/>
                <w:iCs w:val="0"/>
                <w:color w:val="auto"/>
                <w:sz w:val="20"/>
                <w:szCs w:val="20"/>
                <w:highlight w:val="none"/>
                <w:u w:val="none"/>
              </w:rPr>
            </w:pPr>
            <w:r>
              <w:rPr>
                <w:rFonts w:hint="default" w:ascii="Times New Roman" w:hAnsi="Times New Roman" w:eastAsia="仿宋_GB2312" w:cs="仿宋_GB2312"/>
                <w:b w:val="0"/>
                <w:bCs w:val="0"/>
                <w:i w:val="0"/>
                <w:iCs w:val="0"/>
                <w:color w:val="auto"/>
                <w:kern w:val="0"/>
                <w:sz w:val="20"/>
                <w:szCs w:val="20"/>
                <w:highlight w:val="none"/>
                <w:u w:val="none"/>
                <w:lang w:val="en-US" w:eastAsia="zh-CN" w:bidi="ar"/>
              </w:rPr>
              <w:t>中山市住房和城乡建设局</w:t>
            </w:r>
          </w:p>
        </w:tc>
      </w:tr>
      <w:tr w14:paraId="43F5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BD4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资金需求</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8E00C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3000万元</w:t>
            </w:r>
          </w:p>
        </w:tc>
      </w:tr>
      <w:tr w14:paraId="598D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1A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支出内容</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7E45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w:t>
            </w:r>
          </w:p>
        </w:tc>
      </w:tr>
      <w:tr w14:paraId="0D89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F884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总体绩效目标</w:t>
            </w:r>
          </w:p>
        </w:tc>
        <w:tc>
          <w:tcPr>
            <w:tcW w:w="3551"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561DE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通过海绵城市示范城市创建，促进海绵城市理念全面落实、防洪排涝设施建设不断提升、生态环境持续改善。完善体制机制，逐步建立与系统化全域推进海绵城市建设相适应的长效机制。</w:t>
            </w:r>
          </w:p>
        </w:tc>
        <w:tc>
          <w:tcPr>
            <w:tcW w:w="556" w:type="pct"/>
            <w:tcBorders>
              <w:top w:val="single" w:color="auto" w:sz="4" w:space="0"/>
              <w:left w:val="single" w:color="auto" w:sz="4" w:space="0"/>
              <w:bottom w:val="single" w:color="000000" w:sz="4" w:space="0"/>
              <w:right w:val="single" w:color="auto" w:sz="4" w:space="0"/>
            </w:tcBorders>
            <w:shd w:val="clear" w:color="auto" w:fill="auto"/>
            <w:vAlign w:val="center"/>
          </w:tcPr>
          <w:p w14:paraId="47F6C70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eastAsia" w:cs="仿宋_GB2312"/>
                <w:i w:val="0"/>
                <w:iCs w:val="0"/>
                <w:color w:val="auto"/>
                <w:kern w:val="0"/>
                <w:sz w:val="20"/>
                <w:szCs w:val="20"/>
                <w:highlight w:val="none"/>
                <w:u w:val="none"/>
                <w:lang w:val="en-US" w:eastAsia="zh-CN" w:bidi="ar"/>
              </w:rPr>
              <w:t>完成情况</w:t>
            </w:r>
          </w:p>
        </w:tc>
        <w:tc>
          <w:tcPr>
            <w:tcW w:w="385" w:type="pct"/>
            <w:tcBorders>
              <w:top w:val="single" w:color="auto" w:sz="4" w:space="0"/>
              <w:left w:val="single" w:color="auto" w:sz="4" w:space="0"/>
              <w:bottom w:val="single" w:color="000000" w:sz="4" w:space="0"/>
              <w:right w:val="single" w:color="000000" w:sz="4" w:space="0"/>
            </w:tcBorders>
            <w:shd w:val="clear" w:color="auto" w:fill="auto"/>
            <w:vAlign w:val="center"/>
          </w:tcPr>
          <w:p w14:paraId="7913C8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kern w:val="0"/>
                <w:sz w:val="20"/>
                <w:szCs w:val="20"/>
                <w:highlight w:val="none"/>
                <w:u w:val="none"/>
                <w:lang w:val="en-US" w:eastAsia="zh-CN" w:bidi="ar"/>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完成率100%</w:t>
            </w:r>
          </w:p>
        </w:tc>
      </w:tr>
      <w:tr w14:paraId="7524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307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绩效指标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C4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一级指标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081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二级指标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1E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三级指标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B4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指标值</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0DFB99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完成情况</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8F4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完成率</w:t>
            </w:r>
          </w:p>
        </w:tc>
      </w:tr>
      <w:tr w14:paraId="0804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8DF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E94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A52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数量指标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C5F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拟完成的立法数量（含新制定或修订，无立法权的城市无需填写）</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332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1项海绵城市相关立法纳入立法规划</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75E75E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中山市持续推进《中山市海绵城市建设管理条例》立法工作，已将《中山市海绵城市建设管理条例》纳入到《2022-2026地方性法规制定规划》（中山委〔2016〕8号），达到1项海绵城市相关立法纳入立法规划的指标值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C17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46E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71B9">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1B36">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EEC6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07D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拟建立的长效机制数量（以出台的制度文件或规章数量计）</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913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3个及以上</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4BAFE3E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中山市印发了《中山市系统化全域推进海绵城市建设工作方案（2022-2025年）》、《中山市海绵城市建设绩效考评办法（试行）》和《中山市系统化全域推进海绵城市建设示范行动计划（2022-2024年）》等3个长效机制文件。满足拟建立的长效机制数量不少于3项的绩效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9D3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A96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83A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FBF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8C3A">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C3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雨水资源化利用</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B19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90万吨/年</w:t>
            </w:r>
          </w:p>
        </w:tc>
        <w:tc>
          <w:tcPr>
            <w:tcW w:w="2166" w:type="pct"/>
            <w:gridSpan w:val="2"/>
            <w:tcBorders>
              <w:top w:val="nil"/>
              <w:left w:val="nil"/>
              <w:bottom w:val="nil"/>
              <w:right w:val="nil"/>
            </w:tcBorders>
            <w:shd w:val="clear" w:color="auto" w:fill="auto"/>
            <w:vAlign w:val="center"/>
          </w:tcPr>
          <w:p w14:paraId="35D471C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2022年中山市实现雨水资源利用量47.59万吨/年，达到年度雨水资源化利用量不低于37万吨的目标要求。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3AD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E5E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6DC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D84D">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0BE3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质量指标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93C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不内涝的城市建成区面积占比</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6C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80%</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529B67C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中山市城市建成区达到30年一遇内涝防治标准面积约71.72平方公里，占城市建成区面积86.6%，满足不内涝的城市建成区面积占比80%的要求。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8E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4AF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4850">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916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8DA3">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B0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城市内涝防治标准（重现期）</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62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top"/>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城市建成区40%以上面积达到30年一遇</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4C8DF03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截至2022年底，城市建成区49.4%的面积满足30年一遇的内涝防治标准，满足城市建成区40%以上面积达到30年一遇的目标要求。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3B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55B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6D7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129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B89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B0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城市内涝防治标准（对应降雨量）</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02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343mm/24h</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0E9FDFE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城市建成区49.4%的面积满足30年一遇（343mm/24小时）的内涝防治标准，满足目标要求。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863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E91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4F9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E73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C0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0C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城市防洪标准</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E14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重要地段达到100年一遇</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1403D8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中山市城区所在的中顺大围防洪标准已达到100年一遇，符合城市重要地段达到100年一遇防洪标准的目标要求。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56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4D65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36235">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D463">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8604">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852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16条城市黑臭水体消除比例</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EF6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33AF9C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纳入全国城市黑臭水体整治监管平台的城市黑臭水体共16条，经治理后已于2020年全部消除黑臭。2022年度16条城市黑臭水体水质监测数据表明，16条城市黑臭水体保持不黑不臭状态。满足城市黑臭水体消除比例100%，新发现城市黑臭水体及时消除的绩效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0CE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980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8D78">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8C7A">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B9D5">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22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地去水达到或好于山类水体比例（国控断面）</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3AD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51A6FF4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2022年中山市四个国控断面地表水水质均为Ⅱ类水体，地表水水质达到或好于Ⅲ类水体比例达到100%，满足目标要求。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0C0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816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063A">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647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B42B">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63B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地下水埋深变化（地下水（潜水）平均埋深变化）</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A5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保持不变</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1CF5E18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根据住建部发布的相关要求，超过1000mm的地区不对地下水位指标进行评价。中山市年均降雨量超过1000mm，不对地下水位指标进行评价。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BA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4583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A598">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C01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3F43">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08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城市再生水利用率（污水再生后用于工业企业、市政杂用、灌溉、景观、河道生态补水的总量占污水处理厂污水处理量的比例）</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4C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22%</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18597F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中山市2022年城市污水处理总量为11920万立方米，城市再生水利用总量为5794万立方米，再生水利用率为48.6%，满足目标要求。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A1E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6795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8DD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396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652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9F9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天然水域面积比例（海绵城市建设前后，天然水域面积不宜减少，或应达到相关规划的蓝线绿线等管控要求）</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52E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保持不变</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219B9E5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2022年中山市未进行任何会导致天然水域面积缩减的建设行为，2022年天然水域面积比例不低于2021年天然水域面积比例，满足目标要求。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89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723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FDDA">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337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0309">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1D4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可透水地面面积比例（城市建成区范围内，砂石、绿地等自然地面和可透水铺装的地面面积占建成区面积比例）</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0ED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30%</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7A3C97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中山市城市建成区公园绿地、防护绿地、广场绿地、附属绿地占城市建成区的面积为45.87%，在不计入水域及其他可透水地面面积的情况下，可透水地面面积比例大于30%，满足目标要求。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D6C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94A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2"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B855">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955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效益指标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9B6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经济效益指标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4E8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完成投资</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13D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10.5亿</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50B3A71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2022年度中山市完成海绵投资14.95亿元，其中中央及省级奖补资金2.50亿元，地方配套资金10.92亿元，社会投资资金1.53亿元。中央及省级奖补资金的投入充分带动了中山市地方财政及社会资金投入，有效地保障了海绵城市各项目有序推进</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BA9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07CD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2E4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A6E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0BF0">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DCD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资金使用规范</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B09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规范使用</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68C4B7F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根据《中山市海绵城市建设专项资金管理暂行办法》等文件，中山市严格将海绵城市省级补助资金3000万元下达至儿童公园和金钟湖公园改造提升工程项目建设单位，有力支撑了儿童公园等2个海绵城市项目建设。</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1E9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3143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4346">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39EF">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3D9D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社会效益指标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DDF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海绵城市建设理念是否落实在规划建设管理全过程</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06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全面落实</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26401E1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已印发规划建设管控制度相关文件16部，初步形成了以规划条件、设计审查、建设施工、竣工验收为关键管控节点的海绵城市建设全流程规划建设管控制度，新建建设项目全面落实海绵城市建设理念与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DAF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77E9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24D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61E5">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EA3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763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工作谋划的整体性系统性（流域区域、城市、社区、设施等各个层面、各层面之间充分衔接，具有系统考虑和安排）</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792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全面落实</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7BC5274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在近期重点开展的村镇低效工业园改造升级（工改）、老旧小区改造、防洪排涝设施建设等重点工作充分融合，并针对近期重点开展的老旧小区改造和源头小区正本清源改造工作，专门出台了《中山市老旧小区海绵化改造设计指引》，加强对设计及建设指导。</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754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159E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F379">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6D45">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ABE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70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示范城市建设以来，新建项目全面落实海绵城市建设理念</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784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是</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3A85662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采用系统方法，统筹考虑治污与治涝、区域防洪治理与片区内涝整治、海绵设施建设与地下空间开发利用等的关系，综合运用灰色、绿色、蓝色海绵城市措施，整体开展项目谋划与实施。组织编制了《中山市系统化全域推进海绵城市建设示范城市实施方案》、《中山市十四五时期系统化全域推进海绵城市建设实施方案》，系统全面开展项目谋划与实施。</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2AA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5A12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BFB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B034">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C462">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E55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海绵城市建设是否与城市更新、防洪排涝设施建设、地下空间建设、老旧小区改造等工作充分结合</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874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是</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0D97CE1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采用统筹的方法，在区域流域层面加强蓝线、绿线等生态空间的保护，在城市设施层面强化区域性排水防涝、重点设施建设，在社区层面全面落实源头海绵城市规划建设管控。2022年印发实施了《中山市系统化全域推进海绵城市建设工作方案（2022-2025年）》（中府办函〔2022〕70号）、《中山市系统化全域推进海绵城市建设示范行动计划（2022-2024年）》（中府办〔2022〕42号），加强区域流域、城市设施、社区等各层面及之间工作的衔接与整合。</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CF2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29B1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9617">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63D0">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7059">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B60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项目谋划和实施的系统性整体性（防洪与排涝统筹、地上与地下统筹、蓝绿融合、绿灰结合、排涝和治污统筹等）</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D0D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强</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733B40B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中山市已印发《中山市海绵城市规划建设管理办法（试行）》等规划建设管控制度相关文件14部，初步形成了以规划设计、建设施工、竣工验收、运营维护为关键管控节点的海绵城市建设全流程规划建设管控制度，并在各环节严格执行海绵城市建设管控制度。目前在海绵城市建设理念与要求已在规划建设管理全过程中落实。</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87D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r w14:paraId="6382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50C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仿宋_GB2312" w:cs="仿宋_GB2312"/>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533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感知度指标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AB0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服务对象感知度指标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792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bottom"/>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人民群众满意度（从人民群众获得感幸福感安全感角度进行文字描述）</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09A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显著提升</w:t>
            </w:r>
          </w:p>
        </w:tc>
        <w:tc>
          <w:tcPr>
            <w:tcW w:w="2166" w:type="pct"/>
            <w:gridSpan w:val="2"/>
            <w:tcBorders>
              <w:top w:val="single" w:color="000000" w:sz="4" w:space="0"/>
              <w:left w:val="single" w:color="000000" w:sz="4" w:space="0"/>
              <w:bottom w:val="single" w:color="000000" w:sz="4" w:space="0"/>
              <w:right w:val="nil"/>
            </w:tcBorders>
            <w:shd w:val="clear" w:color="auto" w:fill="auto"/>
            <w:vAlign w:val="center"/>
          </w:tcPr>
          <w:p w14:paraId="0C8DA4E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2"/>
                <w:szCs w:val="22"/>
                <w:highlight w:val="none"/>
                <w:u w:val="none"/>
              </w:rPr>
            </w:pPr>
            <w:r>
              <w:rPr>
                <w:rFonts w:hint="default" w:ascii="Times New Roman" w:hAnsi="Times New Roman" w:eastAsia="仿宋_GB2312" w:cs="仿宋_GB2312"/>
                <w:i w:val="0"/>
                <w:iCs w:val="0"/>
                <w:color w:val="auto"/>
                <w:kern w:val="0"/>
                <w:sz w:val="22"/>
                <w:szCs w:val="22"/>
                <w:highlight w:val="none"/>
                <w:u w:val="none"/>
                <w:lang w:val="en-US" w:eastAsia="zh-CN" w:bidi="ar"/>
              </w:rPr>
              <w:t>根据群众满意度调查数据，群众对中山市海绵城市建设的整体满意度较高，达到95.1%，满足目标要求。</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F2F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仿宋_GB2312" w:cs="仿宋_GB2312"/>
                <w:i w:val="0"/>
                <w:iCs w:val="0"/>
                <w:color w:val="auto"/>
                <w:sz w:val="20"/>
                <w:szCs w:val="20"/>
                <w:highlight w:val="none"/>
                <w:u w:val="none"/>
              </w:rPr>
            </w:pPr>
            <w:r>
              <w:rPr>
                <w:rFonts w:hint="default" w:ascii="Times New Roman" w:hAnsi="Times New Roman" w:eastAsia="仿宋_GB2312" w:cs="仿宋_GB2312"/>
                <w:i w:val="0"/>
                <w:iCs w:val="0"/>
                <w:color w:val="auto"/>
                <w:kern w:val="0"/>
                <w:sz w:val="20"/>
                <w:szCs w:val="20"/>
                <w:highlight w:val="none"/>
                <w:u w:val="none"/>
                <w:lang w:val="en-US" w:eastAsia="zh-CN" w:bidi="ar"/>
              </w:rPr>
              <w:t>100%</w:t>
            </w:r>
          </w:p>
        </w:tc>
      </w:tr>
    </w:tbl>
    <w:p w14:paraId="51A183B4">
      <w:pPr>
        <w:pStyle w:val="11"/>
        <w:ind w:left="0" w:leftChars="0" w:firstLine="0" w:firstLineChars="0"/>
        <w:rPr>
          <w:rFonts w:hint="default" w:ascii="Times New Roman" w:hAnsi="Times New Roman"/>
          <w:color w:val="auto"/>
          <w:highlight w:val="none"/>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25C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1FC8E">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81FC8E">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40D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F53D7">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3F53D7">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8B06">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B8F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00B8F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753E4"/>
    <w:multiLevelType w:val="singleLevel"/>
    <w:tmpl w:val="3B2753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FjMTU2ZGRhZjk0NjM2NDcwY2M2Nzg4OGY5MTAifQ=="/>
  </w:docVars>
  <w:rsids>
    <w:rsidRoot w:val="2ABF650E"/>
    <w:rsid w:val="00283B40"/>
    <w:rsid w:val="004F1218"/>
    <w:rsid w:val="00522102"/>
    <w:rsid w:val="00702968"/>
    <w:rsid w:val="0087167F"/>
    <w:rsid w:val="00DD5AB3"/>
    <w:rsid w:val="01785B98"/>
    <w:rsid w:val="019A2A5E"/>
    <w:rsid w:val="01DF1EAC"/>
    <w:rsid w:val="01F3017A"/>
    <w:rsid w:val="020B07BA"/>
    <w:rsid w:val="02597332"/>
    <w:rsid w:val="028A1BF1"/>
    <w:rsid w:val="02AF0AF2"/>
    <w:rsid w:val="03A67865"/>
    <w:rsid w:val="03F13ECF"/>
    <w:rsid w:val="04E716C3"/>
    <w:rsid w:val="04F707FD"/>
    <w:rsid w:val="05131110"/>
    <w:rsid w:val="058727A8"/>
    <w:rsid w:val="0651076B"/>
    <w:rsid w:val="065A1D10"/>
    <w:rsid w:val="06744775"/>
    <w:rsid w:val="069B2C1F"/>
    <w:rsid w:val="069D3172"/>
    <w:rsid w:val="06A83220"/>
    <w:rsid w:val="07133C6D"/>
    <w:rsid w:val="07E81898"/>
    <w:rsid w:val="07FC2BEE"/>
    <w:rsid w:val="089450F6"/>
    <w:rsid w:val="08D94AC8"/>
    <w:rsid w:val="091B5142"/>
    <w:rsid w:val="092B1742"/>
    <w:rsid w:val="09704F43"/>
    <w:rsid w:val="09FD1E6C"/>
    <w:rsid w:val="0A121772"/>
    <w:rsid w:val="0A324AD7"/>
    <w:rsid w:val="0A607408"/>
    <w:rsid w:val="0B642CE9"/>
    <w:rsid w:val="0B9669D2"/>
    <w:rsid w:val="0BF53AC8"/>
    <w:rsid w:val="0C4F2E6F"/>
    <w:rsid w:val="0CA31213"/>
    <w:rsid w:val="0E772366"/>
    <w:rsid w:val="0ED16964"/>
    <w:rsid w:val="0EF45D81"/>
    <w:rsid w:val="0EF645A0"/>
    <w:rsid w:val="0EFB5712"/>
    <w:rsid w:val="0F156190"/>
    <w:rsid w:val="0F543075"/>
    <w:rsid w:val="0F751969"/>
    <w:rsid w:val="0F8704DA"/>
    <w:rsid w:val="0FA20284"/>
    <w:rsid w:val="0FC768E6"/>
    <w:rsid w:val="102313C5"/>
    <w:rsid w:val="10CB29C9"/>
    <w:rsid w:val="113B682A"/>
    <w:rsid w:val="115B409D"/>
    <w:rsid w:val="11765524"/>
    <w:rsid w:val="11AA4801"/>
    <w:rsid w:val="11C6025A"/>
    <w:rsid w:val="12320E62"/>
    <w:rsid w:val="127F0CDB"/>
    <w:rsid w:val="1297339E"/>
    <w:rsid w:val="12E92C46"/>
    <w:rsid w:val="13657CB9"/>
    <w:rsid w:val="136E7F4E"/>
    <w:rsid w:val="13E62CE7"/>
    <w:rsid w:val="141D41B0"/>
    <w:rsid w:val="1423284F"/>
    <w:rsid w:val="150317C5"/>
    <w:rsid w:val="15426F48"/>
    <w:rsid w:val="15A16328"/>
    <w:rsid w:val="15C62573"/>
    <w:rsid w:val="16370002"/>
    <w:rsid w:val="1698658B"/>
    <w:rsid w:val="16B07251"/>
    <w:rsid w:val="17347B09"/>
    <w:rsid w:val="175D24F3"/>
    <w:rsid w:val="17CE0331"/>
    <w:rsid w:val="1876382A"/>
    <w:rsid w:val="18875EF5"/>
    <w:rsid w:val="18F13CF3"/>
    <w:rsid w:val="19DE0A73"/>
    <w:rsid w:val="1A163D48"/>
    <w:rsid w:val="1AD551B0"/>
    <w:rsid w:val="1B5441BC"/>
    <w:rsid w:val="1B5C578B"/>
    <w:rsid w:val="1B826FFA"/>
    <w:rsid w:val="1BB82986"/>
    <w:rsid w:val="1BBD091F"/>
    <w:rsid w:val="1C3F5422"/>
    <w:rsid w:val="1C890801"/>
    <w:rsid w:val="1CDB6167"/>
    <w:rsid w:val="1CDF74BF"/>
    <w:rsid w:val="1CE64EF6"/>
    <w:rsid w:val="1D022362"/>
    <w:rsid w:val="1D8A013B"/>
    <w:rsid w:val="1DA1419D"/>
    <w:rsid w:val="1DA4489F"/>
    <w:rsid w:val="1DB7314C"/>
    <w:rsid w:val="1E302B54"/>
    <w:rsid w:val="1E6908EA"/>
    <w:rsid w:val="1E6B1F46"/>
    <w:rsid w:val="1FB423B2"/>
    <w:rsid w:val="1FBB4966"/>
    <w:rsid w:val="1FCB46CB"/>
    <w:rsid w:val="1FE11574"/>
    <w:rsid w:val="20403748"/>
    <w:rsid w:val="209E23A2"/>
    <w:rsid w:val="212A0862"/>
    <w:rsid w:val="215E0285"/>
    <w:rsid w:val="21AE0756"/>
    <w:rsid w:val="21B60677"/>
    <w:rsid w:val="22D14CB0"/>
    <w:rsid w:val="23C10881"/>
    <w:rsid w:val="23F73FD9"/>
    <w:rsid w:val="241412AC"/>
    <w:rsid w:val="246B4C91"/>
    <w:rsid w:val="252202D5"/>
    <w:rsid w:val="25366A7A"/>
    <w:rsid w:val="25E31261"/>
    <w:rsid w:val="261A54D2"/>
    <w:rsid w:val="264B24E8"/>
    <w:rsid w:val="26504BF7"/>
    <w:rsid w:val="26A336EE"/>
    <w:rsid w:val="26B02E2F"/>
    <w:rsid w:val="26EE0F6E"/>
    <w:rsid w:val="26EF0C02"/>
    <w:rsid w:val="26F71427"/>
    <w:rsid w:val="273568A4"/>
    <w:rsid w:val="274175D9"/>
    <w:rsid w:val="27707112"/>
    <w:rsid w:val="27A44677"/>
    <w:rsid w:val="28013942"/>
    <w:rsid w:val="285A67DC"/>
    <w:rsid w:val="28757CF8"/>
    <w:rsid w:val="28B27332"/>
    <w:rsid w:val="28C511C3"/>
    <w:rsid w:val="291C5459"/>
    <w:rsid w:val="294E56DF"/>
    <w:rsid w:val="296E4071"/>
    <w:rsid w:val="298A7967"/>
    <w:rsid w:val="298D4A36"/>
    <w:rsid w:val="29B34659"/>
    <w:rsid w:val="29BB3FC4"/>
    <w:rsid w:val="29E31555"/>
    <w:rsid w:val="29E318C0"/>
    <w:rsid w:val="29F0497A"/>
    <w:rsid w:val="29F14408"/>
    <w:rsid w:val="29F23CDD"/>
    <w:rsid w:val="2A6A2196"/>
    <w:rsid w:val="2A817374"/>
    <w:rsid w:val="2AA00035"/>
    <w:rsid w:val="2AAA6513"/>
    <w:rsid w:val="2ABF650E"/>
    <w:rsid w:val="2AF43C32"/>
    <w:rsid w:val="2AF84D34"/>
    <w:rsid w:val="2B2966E6"/>
    <w:rsid w:val="2BE95FAD"/>
    <w:rsid w:val="2BF07F72"/>
    <w:rsid w:val="2BFC2739"/>
    <w:rsid w:val="2C520C10"/>
    <w:rsid w:val="2C5A7BC2"/>
    <w:rsid w:val="2C913DA5"/>
    <w:rsid w:val="2D5704A8"/>
    <w:rsid w:val="2D6C6C60"/>
    <w:rsid w:val="2D7A1628"/>
    <w:rsid w:val="2DBD47AF"/>
    <w:rsid w:val="2DDB69E3"/>
    <w:rsid w:val="2DEC0BF0"/>
    <w:rsid w:val="2E941FEB"/>
    <w:rsid w:val="2F3A62BC"/>
    <w:rsid w:val="2F3B040D"/>
    <w:rsid w:val="2F621D96"/>
    <w:rsid w:val="2FA7476A"/>
    <w:rsid w:val="2FA87094"/>
    <w:rsid w:val="2FB63264"/>
    <w:rsid w:val="2FC07A03"/>
    <w:rsid w:val="303A5CA4"/>
    <w:rsid w:val="3148438F"/>
    <w:rsid w:val="31A664A0"/>
    <w:rsid w:val="31E278F0"/>
    <w:rsid w:val="328665D1"/>
    <w:rsid w:val="32B3444F"/>
    <w:rsid w:val="32BA12BD"/>
    <w:rsid w:val="32FD11AA"/>
    <w:rsid w:val="33096E5B"/>
    <w:rsid w:val="3538471B"/>
    <w:rsid w:val="356A1E08"/>
    <w:rsid w:val="3582057C"/>
    <w:rsid w:val="35DB3C61"/>
    <w:rsid w:val="361549B1"/>
    <w:rsid w:val="36476DD6"/>
    <w:rsid w:val="36694216"/>
    <w:rsid w:val="36F952B1"/>
    <w:rsid w:val="370F790F"/>
    <w:rsid w:val="378D51F2"/>
    <w:rsid w:val="37CF0B1A"/>
    <w:rsid w:val="37DE6A62"/>
    <w:rsid w:val="383C4522"/>
    <w:rsid w:val="384E39DC"/>
    <w:rsid w:val="386E3E1F"/>
    <w:rsid w:val="39296809"/>
    <w:rsid w:val="395578A5"/>
    <w:rsid w:val="39D877FB"/>
    <w:rsid w:val="3A3F6B21"/>
    <w:rsid w:val="3A8A3C6B"/>
    <w:rsid w:val="3A93702F"/>
    <w:rsid w:val="3B6536D7"/>
    <w:rsid w:val="3BC9015E"/>
    <w:rsid w:val="3BD604A5"/>
    <w:rsid w:val="3BDD1D91"/>
    <w:rsid w:val="3BE430DC"/>
    <w:rsid w:val="3C2547F3"/>
    <w:rsid w:val="3C752089"/>
    <w:rsid w:val="3C795240"/>
    <w:rsid w:val="3C906C91"/>
    <w:rsid w:val="3CDA60EA"/>
    <w:rsid w:val="3CF56637"/>
    <w:rsid w:val="3D070E25"/>
    <w:rsid w:val="3D136A23"/>
    <w:rsid w:val="3D275B97"/>
    <w:rsid w:val="3D3B392A"/>
    <w:rsid w:val="3DC46860"/>
    <w:rsid w:val="3E163F20"/>
    <w:rsid w:val="3E3824EF"/>
    <w:rsid w:val="3EA17002"/>
    <w:rsid w:val="3EC138D5"/>
    <w:rsid w:val="3EF6762C"/>
    <w:rsid w:val="3F2B22AD"/>
    <w:rsid w:val="3F2F0935"/>
    <w:rsid w:val="3F5672FF"/>
    <w:rsid w:val="3F9F0DEF"/>
    <w:rsid w:val="3FC63871"/>
    <w:rsid w:val="3FE61C22"/>
    <w:rsid w:val="3FF04B62"/>
    <w:rsid w:val="40A67324"/>
    <w:rsid w:val="41230D16"/>
    <w:rsid w:val="41B21056"/>
    <w:rsid w:val="41D164A3"/>
    <w:rsid w:val="424419FB"/>
    <w:rsid w:val="43051625"/>
    <w:rsid w:val="431C567C"/>
    <w:rsid w:val="4334069B"/>
    <w:rsid w:val="43394EDE"/>
    <w:rsid w:val="43B467CA"/>
    <w:rsid w:val="43C006FD"/>
    <w:rsid w:val="441F0A36"/>
    <w:rsid w:val="442073EE"/>
    <w:rsid w:val="44543B55"/>
    <w:rsid w:val="44557097"/>
    <w:rsid w:val="446B4198"/>
    <w:rsid w:val="44AC5AE9"/>
    <w:rsid w:val="45552589"/>
    <w:rsid w:val="46431172"/>
    <w:rsid w:val="465D72C6"/>
    <w:rsid w:val="468C48C7"/>
    <w:rsid w:val="47160F4D"/>
    <w:rsid w:val="47237081"/>
    <w:rsid w:val="478F2344"/>
    <w:rsid w:val="479779C7"/>
    <w:rsid w:val="479E529B"/>
    <w:rsid w:val="4864183A"/>
    <w:rsid w:val="48665BDE"/>
    <w:rsid w:val="487F17BC"/>
    <w:rsid w:val="48C24501"/>
    <w:rsid w:val="49121DAA"/>
    <w:rsid w:val="49132400"/>
    <w:rsid w:val="49135467"/>
    <w:rsid w:val="4A253048"/>
    <w:rsid w:val="4A73577E"/>
    <w:rsid w:val="4A7674C6"/>
    <w:rsid w:val="4A872429"/>
    <w:rsid w:val="4ABB39CC"/>
    <w:rsid w:val="4ADA311C"/>
    <w:rsid w:val="4B1C13E2"/>
    <w:rsid w:val="4B7A73E4"/>
    <w:rsid w:val="4B7D38CB"/>
    <w:rsid w:val="4B921486"/>
    <w:rsid w:val="4BE01CBF"/>
    <w:rsid w:val="4BF92D90"/>
    <w:rsid w:val="4C053748"/>
    <w:rsid w:val="4C7914AA"/>
    <w:rsid w:val="4CAE2E94"/>
    <w:rsid w:val="4D020D5C"/>
    <w:rsid w:val="4D022BD1"/>
    <w:rsid w:val="4D3F78EF"/>
    <w:rsid w:val="4EAB0005"/>
    <w:rsid w:val="4EBA2D91"/>
    <w:rsid w:val="4F126276"/>
    <w:rsid w:val="4F2A08C3"/>
    <w:rsid w:val="4F3049F6"/>
    <w:rsid w:val="4FBD37C3"/>
    <w:rsid w:val="4FD712A8"/>
    <w:rsid w:val="4FE85264"/>
    <w:rsid w:val="50301DD9"/>
    <w:rsid w:val="50B11060"/>
    <w:rsid w:val="50F43794"/>
    <w:rsid w:val="516066DB"/>
    <w:rsid w:val="51BA678C"/>
    <w:rsid w:val="51C370F3"/>
    <w:rsid w:val="520A20F3"/>
    <w:rsid w:val="521D5527"/>
    <w:rsid w:val="522A5477"/>
    <w:rsid w:val="52E921F0"/>
    <w:rsid w:val="531C4DAC"/>
    <w:rsid w:val="53530C46"/>
    <w:rsid w:val="537D6E41"/>
    <w:rsid w:val="53F005F3"/>
    <w:rsid w:val="546078CA"/>
    <w:rsid w:val="54E87AB4"/>
    <w:rsid w:val="552D36BF"/>
    <w:rsid w:val="55570917"/>
    <w:rsid w:val="55937A20"/>
    <w:rsid w:val="55E464CD"/>
    <w:rsid w:val="56334D5F"/>
    <w:rsid w:val="56AA5F0C"/>
    <w:rsid w:val="56B2617A"/>
    <w:rsid w:val="570C0B9E"/>
    <w:rsid w:val="572528F9"/>
    <w:rsid w:val="57546DC1"/>
    <w:rsid w:val="575E6A88"/>
    <w:rsid w:val="57C81506"/>
    <w:rsid w:val="57CE0F24"/>
    <w:rsid w:val="57E00F16"/>
    <w:rsid w:val="58076959"/>
    <w:rsid w:val="58094E28"/>
    <w:rsid w:val="584074D0"/>
    <w:rsid w:val="585C56FA"/>
    <w:rsid w:val="58AE19B5"/>
    <w:rsid w:val="59936587"/>
    <w:rsid w:val="59B81CC8"/>
    <w:rsid w:val="59E52B83"/>
    <w:rsid w:val="59ED3476"/>
    <w:rsid w:val="5A3410A5"/>
    <w:rsid w:val="5A644234"/>
    <w:rsid w:val="5A700F6C"/>
    <w:rsid w:val="5A7871E4"/>
    <w:rsid w:val="5AA12BDF"/>
    <w:rsid w:val="5AD33E57"/>
    <w:rsid w:val="5AE75DC0"/>
    <w:rsid w:val="5B1B70E8"/>
    <w:rsid w:val="5B6E1F1C"/>
    <w:rsid w:val="5B6F05E7"/>
    <w:rsid w:val="5B8D2D21"/>
    <w:rsid w:val="5BD20B76"/>
    <w:rsid w:val="5C0F47B3"/>
    <w:rsid w:val="5C4E6D61"/>
    <w:rsid w:val="5CCD5E8E"/>
    <w:rsid w:val="5D3640B5"/>
    <w:rsid w:val="5DD50C3D"/>
    <w:rsid w:val="5E15112E"/>
    <w:rsid w:val="5E1B071D"/>
    <w:rsid w:val="5EA62893"/>
    <w:rsid w:val="5EC72ACE"/>
    <w:rsid w:val="5EE404C5"/>
    <w:rsid w:val="5EFD5F0A"/>
    <w:rsid w:val="5F1A3AB9"/>
    <w:rsid w:val="5F3D552F"/>
    <w:rsid w:val="5F9A5E4E"/>
    <w:rsid w:val="606727AB"/>
    <w:rsid w:val="60B116A2"/>
    <w:rsid w:val="60BD4A64"/>
    <w:rsid w:val="60FB1DF8"/>
    <w:rsid w:val="611E0E03"/>
    <w:rsid w:val="613C6465"/>
    <w:rsid w:val="61706E67"/>
    <w:rsid w:val="61AB2CC8"/>
    <w:rsid w:val="620A1069"/>
    <w:rsid w:val="625C605A"/>
    <w:rsid w:val="62980125"/>
    <w:rsid w:val="63543E93"/>
    <w:rsid w:val="639E415F"/>
    <w:rsid w:val="641D732B"/>
    <w:rsid w:val="6424610D"/>
    <w:rsid w:val="64805613"/>
    <w:rsid w:val="64847F0B"/>
    <w:rsid w:val="64A6314A"/>
    <w:rsid w:val="65A9703A"/>
    <w:rsid w:val="660A5DDE"/>
    <w:rsid w:val="661A1A97"/>
    <w:rsid w:val="66200FAC"/>
    <w:rsid w:val="666A3345"/>
    <w:rsid w:val="66B56A30"/>
    <w:rsid w:val="66C86279"/>
    <w:rsid w:val="66EF2FFE"/>
    <w:rsid w:val="674072DB"/>
    <w:rsid w:val="6774062B"/>
    <w:rsid w:val="67F7228C"/>
    <w:rsid w:val="68470119"/>
    <w:rsid w:val="68521D51"/>
    <w:rsid w:val="685755C8"/>
    <w:rsid w:val="68675C25"/>
    <w:rsid w:val="68CA0D5A"/>
    <w:rsid w:val="68D31032"/>
    <w:rsid w:val="68E24BB9"/>
    <w:rsid w:val="69750844"/>
    <w:rsid w:val="6A0C3D78"/>
    <w:rsid w:val="6A2A37E1"/>
    <w:rsid w:val="6A4C0A7B"/>
    <w:rsid w:val="6A500C38"/>
    <w:rsid w:val="6A911080"/>
    <w:rsid w:val="6B3F3E52"/>
    <w:rsid w:val="6BA77F7C"/>
    <w:rsid w:val="6BF3491C"/>
    <w:rsid w:val="6C515B0E"/>
    <w:rsid w:val="6CD51C5E"/>
    <w:rsid w:val="6D0107FB"/>
    <w:rsid w:val="6D1C037E"/>
    <w:rsid w:val="6D273F5D"/>
    <w:rsid w:val="6D7C36BA"/>
    <w:rsid w:val="6D82697A"/>
    <w:rsid w:val="6DE52764"/>
    <w:rsid w:val="6E9006DF"/>
    <w:rsid w:val="6EC20116"/>
    <w:rsid w:val="6EF249D7"/>
    <w:rsid w:val="6F0244CC"/>
    <w:rsid w:val="6F44649E"/>
    <w:rsid w:val="6F5953DE"/>
    <w:rsid w:val="6F5A2F04"/>
    <w:rsid w:val="6F715E6C"/>
    <w:rsid w:val="6FF12F9F"/>
    <w:rsid w:val="7048670A"/>
    <w:rsid w:val="70705916"/>
    <w:rsid w:val="70815BA3"/>
    <w:rsid w:val="7082711C"/>
    <w:rsid w:val="70C3664D"/>
    <w:rsid w:val="71285068"/>
    <w:rsid w:val="72A51C4F"/>
    <w:rsid w:val="72D27981"/>
    <w:rsid w:val="7355584B"/>
    <w:rsid w:val="735D2272"/>
    <w:rsid w:val="737B4817"/>
    <w:rsid w:val="74E07077"/>
    <w:rsid w:val="7549248C"/>
    <w:rsid w:val="75F15AA2"/>
    <w:rsid w:val="75FB00A2"/>
    <w:rsid w:val="7606418B"/>
    <w:rsid w:val="761E4C8C"/>
    <w:rsid w:val="764D1914"/>
    <w:rsid w:val="76944229"/>
    <w:rsid w:val="76961A62"/>
    <w:rsid w:val="76A15D65"/>
    <w:rsid w:val="76A27DBA"/>
    <w:rsid w:val="76FE0619"/>
    <w:rsid w:val="776C177B"/>
    <w:rsid w:val="779A3242"/>
    <w:rsid w:val="7836235A"/>
    <w:rsid w:val="79A436FA"/>
    <w:rsid w:val="79E25534"/>
    <w:rsid w:val="79E87A8A"/>
    <w:rsid w:val="7A002CCD"/>
    <w:rsid w:val="7A234A4C"/>
    <w:rsid w:val="7A6C637A"/>
    <w:rsid w:val="7A755C23"/>
    <w:rsid w:val="7A855EAF"/>
    <w:rsid w:val="7AB1214E"/>
    <w:rsid w:val="7ACA3DAA"/>
    <w:rsid w:val="7B0B276E"/>
    <w:rsid w:val="7B5C38F7"/>
    <w:rsid w:val="7B764779"/>
    <w:rsid w:val="7BAD5CE0"/>
    <w:rsid w:val="7CC7607D"/>
    <w:rsid w:val="7D0E09B5"/>
    <w:rsid w:val="7D462E0D"/>
    <w:rsid w:val="7D4C390B"/>
    <w:rsid w:val="7D8D7597"/>
    <w:rsid w:val="7D955719"/>
    <w:rsid w:val="7E1503B0"/>
    <w:rsid w:val="7E7044F2"/>
    <w:rsid w:val="7E815F22"/>
    <w:rsid w:val="7EB24D50"/>
    <w:rsid w:val="7F323556"/>
    <w:rsid w:val="7F3F7150"/>
    <w:rsid w:val="7F5F43B0"/>
    <w:rsid w:val="7F8D608D"/>
    <w:rsid w:val="7FD83D23"/>
    <w:rsid w:val="7FEC423B"/>
    <w:rsid w:val="FF7F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等线" w:hAnsi="Courier New" w:eastAsia="等线" w:cs="Times New Roman"/>
      <w:szCs w:val="22"/>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paragraph" w:customStyle="1" w:styleId="15">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6">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17">
    <w:name w:val="正文首行缩进 21"/>
    <w:basedOn w:val="18"/>
    <w:qFormat/>
    <w:uiPriority w:val="0"/>
    <w:pPr>
      <w:spacing w:line="360" w:lineRule="auto"/>
    </w:pPr>
    <w:rPr>
      <w:rFonts w:eastAsia="宋体"/>
      <w:sz w:val="24"/>
    </w:rPr>
  </w:style>
  <w:style w:type="paragraph" w:customStyle="1" w:styleId="18">
    <w:name w:val="正文文本缩进1"/>
    <w:basedOn w:val="1"/>
    <w:qFormat/>
    <w:uiPriority w:val="0"/>
    <w:pPr>
      <w:spacing w:line="150" w:lineRule="atLeast"/>
      <w:ind w:firstLine="420" w:firstLineChars="200"/>
      <w:textAlignment w:val="baseline"/>
    </w:p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paragraph" w:customStyle="1" w:styleId="21">
    <w:name w:val="WPSOffice手动目录 3"/>
    <w:qFormat/>
    <w:uiPriority w:val="0"/>
    <w:pPr>
      <w:ind w:leftChars="400"/>
    </w:pPr>
    <w:rPr>
      <w:rFonts w:asciiTheme="minorHAnsi" w:hAnsiTheme="minorHAnsi" w:eastAsiaTheme="minorEastAsia" w:cstheme="minorBidi"/>
      <w:sz w:val="20"/>
      <w:szCs w:val="20"/>
    </w:rPr>
  </w:style>
  <w:style w:type="paragraph" w:customStyle="1" w:styleId="22">
    <w:name w:val="列出段落1"/>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character" w:customStyle="1" w:styleId="23">
    <w:name w:val="NormalCharacter"/>
    <w:qFormat/>
    <w:uiPriority w:val="0"/>
    <w:rPr>
      <w:rFonts w:ascii="Calibri" w:hAnsi="Calibri" w:eastAsia="宋体" w:cs="Times New Roman"/>
      <w:kern w:val="2"/>
      <w:sz w:val="21"/>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11"/>
    <w:basedOn w:val="14"/>
    <w:qFormat/>
    <w:uiPriority w:val="0"/>
    <w:rPr>
      <w:rFonts w:hint="default" w:ascii="仿宋_GB2312" w:eastAsia="仿宋_GB2312" w:cs="仿宋_GB2312"/>
      <w:color w:val="000000"/>
      <w:sz w:val="22"/>
      <w:szCs w:val="22"/>
      <w:u w:val="none"/>
    </w:rPr>
  </w:style>
  <w:style w:type="character" w:customStyle="1" w:styleId="26">
    <w:name w:val="font31"/>
    <w:basedOn w:val="14"/>
    <w:qFormat/>
    <w:uiPriority w:val="0"/>
    <w:rPr>
      <w:rFonts w:hint="default" w:ascii="仿宋_GB2312" w:eastAsia="仿宋_GB2312" w:cs="仿宋_GB2312"/>
      <w:b/>
      <w:bCs/>
      <w:color w:val="000000"/>
      <w:sz w:val="22"/>
      <w:szCs w:val="22"/>
      <w:u w:val="none"/>
    </w:rPr>
  </w:style>
  <w:style w:type="character" w:customStyle="1" w:styleId="27">
    <w:name w:val="font21"/>
    <w:basedOn w:val="1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6690</Words>
  <Characters>7650</Characters>
  <Lines>0</Lines>
  <Paragraphs>0</Paragraphs>
  <TotalTime>59</TotalTime>
  <ScaleCrop>false</ScaleCrop>
  <LinksUpToDate>false</LinksUpToDate>
  <CharactersWithSpaces>7810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2022-04-14T17:03:00Z</dcterms:created>
  <dc:creator>王小玉</dc:creator>
  <cp:lastModifiedBy>鸡蛋饼b</cp:lastModifiedBy>
  <dcterms:modified xsi:type="dcterms:W3CDTF">2025-01-23T09:16:53Z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3C78640AE0E64F7082126D10448A2091_13</vt:lpwstr>
  </property>
  <property fmtid="{D5CDD505-2E9C-101B-9397-08002B2CF9AE}" pid="4" name="KSOTemplateDocerSaveRecord">
    <vt:lpwstr>eyJoZGlkIjoiY2QyZDYzZjBiMmU3NWRjZWExODk4YjZlZWQ5MTZlODYiLCJ1c2VySWQiOiI5NzU4MDM1ODMifQ==</vt:lpwstr>
  </property>
</Properties>
</file>