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102C">
      <w:pPr>
        <w:jc w:val="both"/>
        <w:rPr>
          <w:rFonts w:cs="Microsoft JhengHei"/>
          <w:sz w:val="44"/>
          <w:szCs w:val="44"/>
          <w:highlight w:val="none"/>
        </w:rPr>
      </w:pPr>
      <w:r>
        <w:rPr>
          <w:rFonts w:cs="Microsoft JhengHei"/>
          <w:sz w:val="44"/>
          <w:szCs w:val="44"/>
          <w:highlight w:val="none"/>
        </w:rPr>
        <w:drawing>
          <wp:anchor distT="0" distB="0" distL="114300" distR="114300" simplePos="0" relativeHeight="251663360" behindDoc="0" locked="0" layoutInCell="1" allowOverlap="1">
            <wp:simplePos x="0" y="0"/>
            <wp:positionH relativeFrom="page">
              <wp:posOffset>4436745</wp:posOffset>
            </wp:positionH>
            <wp:positionV relativeFrom="page">
              <wp:posOffset>1032510</wp:posOffset>
            </wp:positionV>
            <wp:extent cx="1720215" cy="800100"/>
            <wp:effectExtent l="0" t="0" r="1905" b="7620"/>
            <wp:wrapNone/>
            <wp:docPr id="6"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GD"/>
                    <pic:cNvPicPr>
                      <a:picLocks noChangeAspect="1"/>
                    </pic:cNvPicPr>
                  </pic:nvPicPr>
                  <pic:blipFill>
                    <a:blip r:embed="rId18"/>
                    <a:stretch>
                      <a:fillRect/>
                    </a:stretch>
                  </pic:blipFill>
                  <pic:spPr>
                    <a:xfrm>
                      <a:off x="0" y="0"/>
                      <a:ext cx="1720215" cy="800100"/>
                    </a:xfrm>
                    <a:prstGeom prst="rect">
                      <a:avLst/>
                    </a:prstGeom>
                    <a:noFill/>
                    <a:ln>
                      <a:noFill/>
                    </a:ln>
                  </pic:spPr>
                </pic:pic>
              </a:graphicData>
            </a:graphic>
          </wp:anchor>
        </w:drawing>
      </w:r>
    </w:p>
    <w:p w14:paraId="765C997E">
      <w:pPr>
        <w:pStyle w:val="2"/>
        <w:rPr>
          <w:rFonts w:hint="eastAsia"/>
          <w:highlight w:val="none"/>
          <w:lang w:val="en-US" w:eastAsia="zh-CN"/>
        </w:rPr>
      </w:pPr>
    </w:p>
    <w:p w14:paraId="40342F7E">
      <w:pPr>
        <w:jc w:val="both"/>
        <w:rPr>
          <w:rFonts w:eastAsia="MS Gothic"/>
          <w:b/>
          <w:sz w:val="84"/>
          <w:szCs w:val="84"/>
          <w:highlight w:val="none"/>
        </w:rPr>
      </w:pPr>
      <w:r>
        <w:rPr>
          <w:rFonts w:hint="eastAsia" w:eastAsia="黑体"/>
          <w:sz w:val="32"/>
          <w:szCs w:val="32"/>
          <w:highlight w:val="none"/>
          <w:lang w:val="en-US" w:eastAsia="zh-CN"/>
        </w:rPr>
        <w:t xml:space="preserve">         </w:t>
      </w:r>
      <w:r>
        <w:rPr>
          <w:rFonts w:eastAsia="黑体"/>
          <w:spacing w:val="28"/>
          <w:sz w:val="48"/>
          <w:szCs w:val="48"/>
          <w:highlight w:val="none"/>
        </w:rPr>
        <w:t>广东省标准</w:t>
      </w:r>
      <w:r>
        <w:rPr>
          <w:rFonts w:eastAsia="黑体"/>
          <w:sz w:val="32"/>
          <w:szCs w:val="32"/>
          <w:highlight w:val="none"/>
        </w:rPr>
        <w:t xml:space="preserve">            </w:t>
      </w:r>
      <w:r>
        <w:rPr>
          <w:rFonts w:hint="eastAsia"/>
          <w:color w:val="000000"/>
          <w:sz w:val="52"/>
          <w:highlight w:val="none"/>
        </w:rPr>
        <w:t xml:space="preserve">   </w:t>
      </w:r>
    </w:p>
    <w:p w14:paraId="2060B85D">
      <w:pPr>
        <w:rPr>
          <w:rFonts w:hint="eastAsia"/>
          <w:highlight w:val="none"/>
        </w:rPr>
      </w:pPr>
      <w:r>
        <w:rPr>
          <w:highlight w:val="none"/>
        </w:rPr>
        <w:t xml:space="preserve">                              </w:t>
      </w:r>
      <w:bookmarkStart w:id="0" w:name="_Toc337542810"/>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p>
    <w:p w14:paraId="373C64F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highlight w:val="none"/>
          <w:lang w:val="en-US" w:eastAsia="zh-CN"/>
        </w:rPr>
      </w:pPr>
      <w:r>
        <w:rPr>
          <w:rFonts w:hint="eastAsia"/>
          <w:highlight w:val="none"/>
          <w:lang w:val="en-US" w:eastAsia="zh-CN"/>
        </w:rPr>
        <w:t xml:space="preserve">                                                      </w:t>
      </w:r>
      <w:r>
        <w:rPr>
          <w:rFonts w:hint="eastAsia"/>
          <w:highlight w:val="none"/>
        </w:rPr>
        <w:t xml:space="preserve"> </w:t>
      </w:r>
      <w:r>
        <w:rPr>
          <w:spacing w:val="23"/>
          <w:sz w:val="30"/>
          <w:szCs w:val="30"/>
          <w:highlight w:val="none"/>
        </w:rPr>
        <w:t>DBJ</w:t>
      </w:r>
      <w:r>
        <w:rPr>
          <w:rFonts w:hint="eastAsia"/>
          <w:spacing w:val="23"/>
          <w:sz w:val="30"/>
          <w:szCs w:val="30"/>
          <w:highlight w:val="none"/>
          <w:lang w:val="en-US" w:eastAsia="zh-CN"/>
        </w:rPr>
        <w:t>/T 15</w:t>
      </w:r>
      <w:r>
        <w:rPr>
          <w:spacing w:val="23"/>
          <w:sz w:val="30"/>
          <w:szCs w:val="30"/>
          <w:highlight w:val="none"/>
        </w:rPr>
        <w:t>-</w:t>
      </w:r>
      <w:r>
        <w:rPr>
          <w:rFonts w:hint="eastAsia" w:ascii="黑体" w:hAnsi="黑体" w:eastAsia="黑体"/>
          <w:sz w:val="28"/>
          <w:szCs w:val="28"/>
          <w:highlight w:val="none"/>
          <w:lang w:val="en-US" w:eastAsia="zh-CN"/>
        </w:rPr>
        <w:t>XX</w:t>
      </w:r>
      <w:r>
        <w:rPr>
          <w:spacing w:val="23"/>
          <w:sz w:val="30"/>
          <w:szCs w:val="30"/>
          <w:highlight w:val="none"/>
        </w:rPr>
        <w:t>-</w:t>
      </w:r>
      <w:bookmarkEnd w:id="0"/>
      <w:r>
        <w:rPr>
          <w:spacing w:val="0"/>
          <w:sz w:val="30"/>
          <w:szCs w:val="30"/>
          <w:highlight w:val="none"/>
        </w:rPr>
        <w:t>20</w:t>
      </w:r>
      <w:r>
        <w:rPr>
          <w:rFonts w:hint="eastAsia" w:ascii="黑体" w:hAnsi="黑体" w:eastAsia="黑体"/>
          <w:sz w:val="28"/>
          <w:szCs w:val="28"/>
          <w:highlight w:val="none"/>
          <w:lang w:val="en-US" w:eastAsia="zh-CN"/>
        </w:rPr>
        <w:t>XX</w:t>
      </w:r>
    </w:p>
    <w:p w14:paraId="585E69A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highlight w:val="none"/>
        </w:rPr>
      </w:pPr>
      <w:r>
        <w:rPr>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4605"/>
                <wp:wrapNone/>
                <wp:docPr id="4" name="直线 4"/>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FpJ1AAAAAcBAAAPAAAAAAAAAAEAIAAAACIAAABkcnMvZG93bnJldi54bWxQSwECFAAU&#10;AAAACACHTuJAI8fTFfUBAADpAwAADgAAAAAAAAABACAAAAAjAQAAZHJzL2Uyb0RvYy54bWxQSwUG&#10;AAAAAAYABgBZAQAAigUAAAAA&#10;">
                <v:fill on="f" focussize="0,0"/>
                <v:stroke color="#000000" joinstyle="round"/>
                <v:imagedata o:title=""/>
                <o:lock v:ext="edit" aspectratio="f"/>
              </v:line>
            </w:pict>
          </mc:Fallback>
        </mc:AlternateContent>
      </w:r>
      <w:r>
        <w:rPr>
          <w:rFonts w:hint="eastAsia"/>
          <w:sz w:val="28"/>
          <w:szCs w:val="28"/>
          <w:highlight w:val="none"/>
          <w:lang w:val="en-US" w:eastAsia="zh-CN"/>
        </w:rPr>
        <w:t xml:space="preserve">                                        </w:t>
      </w:r>
      <w:r>
        <w:rPr>
          <w:rFonts w:hint="eastAsia" w:ascii="黑体" w:hAnsi="黑体" w:eastAsia="黑体"/>
          <w:sz w:val="28"/>
          <w:szCs w:val="28"/>
          <w:highlight w:val="none"/>
        </w:rPr>
        <w:t xml:space="preserve">备案号 J </w:t>
      </w:r>
      <w:r>
        <w:rPr>
          <w:rFonts w:hint="eastAsia" w:ascii="黑体" w:hAnsi="黑体" w:eastAsia="黑体"/>
          <w:sz w:val="28"/>
          <w:szCs w:val="28"/>
          <w:highlight w:val="none"/>
          <w:lang w:val="en-US" w:eastAsia="zh-CN"/>
        </w:rPr>
        <w:t>XXXXX</w:t>
      </w:r>
      <w:r>
        <w:rPr>
          <w:rFonts w:hint="eastAsia" w:ascii="黑体" w:hAnsi="黑体" w:eastAsia="黑体"/>
          <w:sz w:val="28"/>
          <w:szCs w:val="28"/>
          <w:highlight w:val="none"/>
        </w:rPr>
        <w:t>-20</w:t>
      </w:r>
      <w:r>
        <w:rPr>
          <w:rFonts w:hint="eastAsia" w:ascii="黑体" w:hAnsi="黑体" w:eastAsia="黑体"/>
          <w:sz w:val="28"/>
          <w:szCs w:val="28"/>
          <w:highlight w:val="none"/>
          <w:lang w:val="en-US" w:eastAsia="zh-CN"/>
        </w:rPr>
        <w:t>XX</w:t>
      </w:r>
    </w:p>
    <w:p w14:paraId="4F15369B">
      <w:pPr>
        <w:jc w:val="center"/>
        <w:rPr>
          <w:rFonts w:ascii="宋体" w:hAnsi="宋体"/>
          <w:b/>
          <w:sz w:val="48"/>
          <w:szCs w:val="48"/>
          <w:highlight w:val="none"/>
        </w:rPr>
      </w:pPr>
    </w:p>
    <w:p w14:paraId="5E1E3316">
      <w:pPr>
        <w:jc w:val="center"/>
        <w:outlineLvl w:val="9"/>
        <w:rPr>
          <w:rFonts w:hint="eastAsia" w:ascii="宋体" w:hAnsi="宋体"/>
          <w:b/>
          <w:sz w:val="48"/>
          <w:szCs w:val="48"/>
          <w:highlight w:val="none"/>
        </w:rPr>
      </w:pPr>
      <w:bookmarkStart w:id="1" w:name="_Toc375640674"/>
    </w:p>
    <w:bookmarkEnd w:id="1"/>
    <w:p w14:paraId="4B2D5CA5">
      <w:pPr>
        <w:keepNext w:val="0"/>
        <w:keepLines w:val="0"/>
        <w:widowControl/>
        <w:suppressLineNumbers w:val="0"/>
        <w:jc w:val="center"/>
        <w:outlineLvl w:val="0"/>
        <w:rPr>
          <w:rFonts w:ascii="宋体" w:hAnsi="宋体"/>
          <w:b/>
          <w:sz w:val="48"/>
          <w:szCs w:val="48"/>
          <w:highlight w:val="none"/>
        </w:rPr>
      </w:pPr>
      <w:bookmarkStart w:id="2" w:name="_Toc375640675"/>
      <w:bookmarkStart w:id="3" w:name="_Toc30271"/>
      <w:bookmarkStart w:id="4" w:name="_Toc29499"/>
      <w:r>
        <w:rPr>
          <w:rFonts w:hint="eastAsia" w:ascii="宋体" w:hAnsi="宋体" w:eastAsia="宋体" w:cs="Times New Roman"/>
          <w:b/>
          <w:sz w:val="48"/>
          <w:szCs w:val="48"/>
          <w:highlight w:val="none"/>
          <w:lang w:val="en-US" w:eastAsia="zh-CN"/>
        </w:rPr>
        <w:t>电力工业物业管理服务</w:t>
      </w:r>
      <w:bookmarkEnd w:id="2"/>
      <w:r>
        <w:rPr>
          <w:rFonts w:hint="eastAsia" w:ascii="宋体" w:hAnsi="宋体" w:cs="Times New Roman"/>
          <w:b/>
          <w:sz w:val="48"/>
          <w:szCs w:val="48"/>
          <w:highlight w:val="none"/>
          <w:lang w:val="en-US" w:eastAsia="zh-CN"/>
        </w:rPr>
        <w:t>标准</w:t>
      </w:r>
      <w:bookmarkEnd w:id="3"/>
      <w:bookmarkEnd w:id="4"/>
    </w:p>
    <w:p w14:paraId="28DEBB40">
      <w:pPr>
        <w:rPr>
          <w:highlight w:val="none"/>
        </w:rPr>
      </w:pPr>
    </w:p>
    <w:p w14:paraId="27EEC3CE">
      <w:pPr>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Service standard for property management in the electric power industry</w:t>
      </w:r>
    </w:p>
    <w:p w14:paraId="44B07970">
      <w:pPr>
        <w:jc w:val="center"/>
        <w:rPr>
          <w:b/>
          <w:color w:val="000000"/>
          <w:sz w:val="30"/>
          <w:szCs w:val="30"/>
          <w:highlight w:val="none"/>
        </w:rPr>
      </w:pPr>
      <w:r>
        <w:rPr>
          <w:rFonts w:hint="eastAsia"/>
          <w:b/>
          <w:color w:val="000000"/>
          <w:sz w:val="30"/>
          <w:szCs w:val="30"/>
          <w:highlight w:val="none"/>
        </w:rPr>
        <w:t>(</w:t>
      </w:r>
      <w:r>
        <w:rPr>
          <w:rFonts w:hint="eastAsia"/>
          <w:b/>
          <w:color w:val="000000"/>
          <w:sz w:val="30"/>
          <w:szCs w:val="30"/>
          <w:highlight w:val="none"/>
          <w:lang w:val="en-US" w:eastAsia="zh-CN"/>
        </w:rPr>
        <w:t>送审稿</w:t>
      </w:r>
      <w:r>
        <w:rPr>
          <w:rFonts w:hint="eastAsia"/>
          <w:b/>
          <w:color w:val="000000"/>
          <w:sz w:val="30"/>
          <w:szCs w:val="30"/>
          <w:highlight w:val="none"/>
        </w:rPr>
        <w:t>)</w:t>
      </w:r>
    </w:p>
    <w:p w14:paraId="148F1419">
      <w:pPr>
        <w:rPr>
          <w:highlight w:val="none"/>
        </w:rPr>
      </w:pPr>
    </w:p>
    <w:p w14:paraId="1C8BF293">
      <w:pPr>
        <w:rPr>
          <w:highlight w:val="none"/>
        </w:rPr>
      </w:pPr>
    </w:p>
    <w:p w14:paraId="67C97C7D">
      <w:pPr>
        <w:rPr>
          <w:highlight w:val="none"/>
        </w:rPr>
      </w:pPr>
    </w:p>
    <w:p w14:paraId="769B6328">
      <w:pPr>
        <w:rPr>
          <w:highlight w:val="none"/>
        </w:rPr>
      </w:pPr>
    </w:p>
    <w:p w14:paraId="746CF264">
      <w:pPr>
        <w:rPr>
          <w:highlight w:val="none"/>
        </w:rPr>
      </w:pPr>
    </w:p>
    <w:p w14:paraId="6A1FAB04">
      <w:pPr>
        <w:rPr>
          <w:highlight w:val="none"/>
        </w:rPr>
      </w:pPr>
    </w:p>
    <w:p w14:paraId="7D47CE09">
      <w:pPr>
        <w:rPr>
          <w:highlight w:val="none"/>
        </w:rPr>
      </w:pPr>
    </w:p>
    <w:p w14:paraId="0B44C529">
      <w:pPr>
        <w:rPr>
          <w:highlight w:val="none"/>
        </w:rPr>
      </w:pPr>
    </w:p>
    <w:p w14:paraId="73034B06">
      <w:pPr>
        <w:rPr>
          <w:highlight w:val="none"/>
        </w:rPr>
      </w:pPr>
    </w:p>
    <w:p w14:paraId="6F260B30">
      <w:pPr>
        <w:rPr>
          <w:highlight w:val="none"/>
        </w:rPr>
      </w:pPr>
    </w:p>
    <w:p w14:paraId="7FFC66C3">
      <w:pPr>
        <w:rPr>
          <w:highlight w:val="none"/>
        </w:rPr>
      </w:pPr>
    </w:p>
    <w:p w14:paraId="1FA22D62">
      <w:pPr>
        <w:rPr>
          <w:highlight w:val="none"/>
        </w:rPr>
      </w:pPr>
    </w:p>
    <w:p w14:paraId="29867132">
      <w:pPr>
        <w:rPr>
          <w:highlight w:val="none"/>
        </w:rPr>
      </w:pPr>
    </w:p>
    <w:p w14:paraId="50DE9086">
      <w:pPr>
        <w:rPr>
          <w:highlight w:val="none"/>
        </w:rPr>
      </w:pPr>
    </w:p>
    <w:p w14:paraId="134E168B">
      <w:pPr>
        <w:rPr>
          <w:highlight w:val="none"/>
        </w:rPr>
      </w:pPr>
    </w:p>
    <w:p w14:paraId="29391C58">
      <w:pPr>
        <w:rPr>
          <w:rFonts w:eastAsia="黑体"/>
          <w:sz w:val="28"/>
          <w:szCs w:val="28"/>
          <w:highlight w:val="none"/>
        </w:rPr>
      </w:pPr>
      <w:r>
        <w:rPr>
          <w:b/>
          <w:bCs/>
          <w:sz w:val="32"/>
          <w:highlight w:val="none"/>
        </w:rPr>
        <w:t xml:space="preserve">  </w:t>
      </w:r>
      <w:r>
        <w:rPr>
          <w:rFonts w:eastAsia="黑体"/>
          <w:sz w:val="28"/>
          <w:szCs w:val="28"/>
          <w:highlight w:val="none"/>
        </w:rPr>
        <w:t>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 xml:space="preserve">  发布                  </w:t>
      </w:r>
      <w:r>
        <w:rPr>
          <w:rFonts w:hint="eastAsia" w:eastAsia="黑体"/>
          <w:sz w:val="28"/>
          <w:szCs w:val="28"/>
          <w:highlight w:val="none"/>
          <w:lang w:val="en-US" w:eastAsia="zh-CN"/>
        </w:rPr>
        <w:t xml:space="preserve">           </w:t>
      </w:r>
      <w:r>
        <w:rPr>
          <w:rFonts w:eastAsia="黑体"/>
          <w:sz w:val="28"/>
          <w:szCs w:val="28"/>
          <w:highlight w:val="none"/>
        </w:rPr>
        <w:t xml:space="preserve"> 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hint="eastAsia" w:eastAsia="黑体"/>
          <w:sz w:val="28"/>
          <w:szCs w:val="28"/>
          <w:highlight w:val="none"/>
        </w:rPr>
        <w:t xml:space="preserve">  </w:t>
      </w:r>
      <w:r>
        <w:rPr>
          <w:rFonts w:eastAsia="黑体"/>
          <w:sz w:val="28"/>
          <w:szCs w:val="28"/>
          <w:highlight w:val="none"/>
        </w:rPr>
        <w:t>实施</w:t>
      </w:r>
    </w:p>
    <w:p w14:paraId="7D1F4816">
      <w:pPr>
        <w:tabs>
          <w:tab w:val="left" w:pos="8235"/>
        </w:tabs>
        <w:rPr>
          <w:rFonts w:eastAsia="黑体"/>
          <w:b/>
          <w:sz w:val="28"/>
          <w:szCs w:val="28"/>
          <w:highlight w:val="none"/>
        </w:rPr>
      </w:pPr>
      <w:r>
        <w:rPr>
          <w:rFonts w:eastAsia="黑体"/>
          <w:b/>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69850</wp:posOffset>
                </wp:positionV>
                <wp:extent cx="5600700" cy="26670"/>
                <wp:effectExtent l="0" t="4445" r="7620" b="14605"/>
                <wp:wrapNone/>
                <wp:docPr id="5" name="直线 5"/>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2pt;margin-top:5.5pt;height:2.1pt;width:441pt;z-index:251662336;mso-width-relative:page;mso-height-relative:page;" filled="f" stroked="t" coordsize="21600,21600" o:gfxdata="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v1&#10;VdUAAAAIAQAADwAAAAAAAAABACAAAAAiAAAAZHJzL2Rvd25yZXYueG1sUEsBAhQAFAAAAAgAh07i&#10;QODbSObsAQAA3wMAAA4AAAAAAAAAAQAgAAAAJAEAAGRycy9lMm9Eb2MueG1sUEsFBgAAAAAGAAYA&#10;WQEAAIIFAAAAAA==&#10;">
                <v:fill on="f" focussize="0,0"/>
                <v:stroke color="#000000" joinstyle="round"/>
                <v:imagedata o:title=""/>
                <o:lock v:ext="edit" aspectratio="f"/>
              </v:line>
            </w:pict>
          </mc:Fallback>
        </mc:AlternateContent>
      </w:r>
      <w:r>
        <w:rPr>
          <w:rFonts w:eastAsia="黑体"/>
          <w:b/>
          <w:sz w:val="28"/>
          <w:szCs w:val="28"/>
          <w:highlight w:val="none"/>
        </w:rPr>
        <w:tab/>
      </w:r>
    </w:p>
    <w:p w14:paraId="4A51921A">
      <w:pPr>
        <w:jc w:val="center"/>
        <w:outlineLvl w:val="0"/>
        <w:rPr>
          <w:highlight w:val="none"/>
        </w:rPr>
      </w:pPr>
      <w:bookmarkStart w:id="5" w:name="_Toc28429"/>
      <w:bookmarkStart w:id="6" w:name="_Toc28113"/>
      <w:r>
        <w:rPr>
          <w:rFonts w:eastAsia="黑体"/>
          <w:sz w:val="32"/>
          <w:szCs w:val="32"/>
          <w:highlight w:val="none"/>
        </w:rPr>
        <w:t>广东省住房和城乡建设厅</w:t>
      </w:r>
      <w:r>
        <w:rPr>
          <w:rFonts w:hint="eastAsia" w:eastAsia="黑体"/>
          <w:sz w:val="32"/>
          <w:szCs w:val="32"/>
          <w:highlight w:val="none"/>
          <w:lang w:val="en-US" w:eastAsia="zh-CN"/>
        </w:rPr>
        <w:t xml:space="preserve">  广东省市场监督管理局</w:t>
      </w:r>
      <w:bookmarkEnd w:id="5"/>
      <w:bookmarkEnd w:id="6"/>
    </w:p>
    <w:p w14:paraId="330A7690">
      <w:pPr>
        <w:jc w:val="right"/>
        <w:rPr>
          <w:highlight w:val="none"/>
        </w:rPr>
      </w:pPr>
      <w:r>
        <w:rPr>
          <w:rFonts w:hint="eastAsia" w:eastAsia="黑体"/>
          <w:spacing w:val="20"/>
          <w:sz w:val="28"/>
          <w:szCs w:val="28"/>
          <w:highlight w:val="none"/>
          <w:lang w:val="en-US" w:eastAsia="zh-CN"/>
        </w:rPr>
        <w:t>联合发布</w:t>
      </w:r>
    </w:p>
    <w:p w14:paraId="31279799">
      <w:pPr>
        <w:pStyle w:val="57"/>
        <w:jc w:val="right"/>
        <w:rPr>
          <w:color w:val="auto"/>
          <w:highlight w:val="none"/>
        </w:rPr>
      </w:pPr>
      <w:r>
        <w:rPr>
          <w:rFonts w:hint="eastAsia"/>
          <w:highlight w:val="none"/>
          <w:lang w:eastAsia="zh-CN"/>
        </w:rPr>
        <w:t>本标准不涉及专利</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2"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700pt;height:0pt;width:482pt;z-index:25166028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Dfv7VAAAA&#10;CgEAAA8AAAAAAAAAAQAgAAAAIgAAAGRycy9kb3ducmV2LnhtbFBLAQIUABQAAAAIAIdO4kDkYEgL&#10;5wEAANwDAAAOAAAAAAAAAAEAIAAAACQBAABkcnMvZTJvRG9jLnhtbFBLBQYAAAAABgAGAFkBAAB9&#10;BQAAAAA=&#10;">
                <v:fill on="f" focussize="0,0"/>
                <v:stroke weight="1pt" color="#000000" joinstyle="round"/>
                <v:imagedata o:title=""/>
                <o:lock v:ext="edit" aspectratio="f"/>
              </v:line>
            </w:pict>
          </mc:Fallback>
        </mc:AlternateContent>
      </w:r>
    </w:p>
    <w:p w14:paraId="69A89D9E">
      <w:pPr>
        <w:rPr>
          <w:color w:val="auto"/>
          <w:highlight w:val="none"/>
        </w:rPr>
      </w:pPr>
    </w:p>
    <w:p w14:paraId="3270097C">
      <w:pPr>
        <w:rPr>
          <w:rFonts w:hint="eastAsia"/>
          <w:color w:val="auto"/>
          <w:highlight w:val="none"/>
        </w:rPr>
        <w:sectPr>
          <w:headerReference r:id="rId5" w:type="first"/>
          <w:footerReference r:id="rId6" w:type="first"/>
          <w:headerReference r:id="rId3" w:type="default"/>
          <w:headerReference r:id="rId4" w:type="even"/>
          <w:pgSz w:w="11907" w:h="16839"/>
          <w:pgMar w:top="142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1609725</wp:posOffset>
                </wp:positionV>
                <wp:extent cx="6121400" cy="0"/>
                <wp:effectExtent l="0" t="6350" r="0" b="6350"/>
                <wp:wrapNone/>
                <wp:docPr id="1"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26.75pt;height:0pt;width:482pt;z-index:251659264;mso-width-relative:page;mso-height-relative:page;" filled="f" stroked="t" coordsize="21600,21600" o:gfxdata="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8hb21wAA&#10;AAgBAAAPAAAAAAAAAAEAIAAAACIAAABkcnMvZG93bnJldi54bWxQSwECFAAUAAAACACHTuJA1v61&#10;NeYBAADcAwAADgAAAAAAAAABACAAAAAmAQAAZHJzL2Uyb0RvYy54bWxQSwUGAAAAAAYABgBZAQAA&#10;fgUAAAAA&#10;">
                <v:fill on="f" focussize="0,0"/>
                <v:stroke weight="1pt" color="#000000" joinstyle="round"/>
                <v:imagedata o:title=""/>
                <o:lock v:ext="edit" aspectratio="f"/>
              </v:line>
            </w:pict>
          </mc:Fallback>
        </mc:AlternateContent>
      </w:r>
    </w:p>
    <w:p w14:paraId="0EFE1DEA">
      <w:pPr>
        <w:pStyle w:val="4"/>
        <w:bidi w:val="0"/>
        <w:jc w:val="center"/>
        <w:rPr>
          <w:rFonts w:hint="eastAsia"/>
          <w:color w:val="auto"/>
          <w:sz w:val="44"/>
          <w:szCs w:val="44"/>
          <w:highlight w:val="none"/>
        </w:rPr>
      </w:pPr>
      <w:bookmarkStart w:id="7" w:name="_Toc5699"/>
      <w:bookmarkStart w:id="8" w:name="_Toc30495"/>
      <w:r>
        <w:rPr>
          <w:rFonts w:hint="eastAsia"/>
          <w:sz w:val="44"/>
          <w:szCs w:val="44"/>
          <w:highlight w:val="none"/>
        </w:rPr>
        <w:t>广东省住房和城乡建设厅关于发布广东省标准《</w:t>
      </w:r>
      <w:r>
        <w:rPr>
          <w:rFonts w:hint="eastAsia"/>
          <w:sz w:val="44"/>
          <w:szCs w:val="44"/>
          <w:highlight w:val="none"/>
          <w:lang w:val="en-US" w:eastAsia="zh-CN"/>
        </w:rPr>
        <w:t>电力工业物业管理服务标准</w:t>
      </w:r>
      <w:r>
        <w:rPr>
          <w:rFonts w:hint="eastAsia"/>
          <w:sz w:val="44"/>
          <w:szCs w:val="44"/>
          <w:highlight w:val="none"/>
        </w:rPr>
        <w:t>》的公告</w:t>
      </w:r>
      <w:bookmarkEnd w:id="7"/>
      <w:bookmarkEnd w:id="8"/>
    </w:p>
    <w:p w14:paraId="22B3704B">
      <w:pPr>
        <w:pStyle w:val="59"/>
        <w:tabs>
          <w:tab w:val="center" w:pos="4201"/>
          <w:tab w:val="right" w:leader="dot" w:pos="9298"/>
        </w:tabs>
        <w:ind w:left="0" w:leftChars="0" w:firstLine="0" w:firstLineChars="0"/>
        <w:jc w:val="center"/>
        <w:outlineLvl w:val="0"/>
        <w:rPr>
          <w:rFonts w:hint="eastAsia" w:ascii="黑体" w:hAnsi="黑体" w:eastAsia="黑体" w:cs="黑体"/>
          <w:color w:val="auto"/>
          <w:highlight w:val="none"/>
        </w:rPr>
      </w:pPr>
      <w:bookmarkStart w:id="9" w:name="_Toc1830"/>
      <w:bookmarkStart w:id="10" w:name="_Toc8637"/>
      <w:r>
        <w:rPr>
          <w:rFonts w:hint="eastAsia" w:ascii="宋体" w:hAnsi="宋体" w:eastAsia="宋体" w:cs="宋体"/>
          <w:color w:val="auto"/>
          <w:sz w:val="24"/>
          <w:szCs w:val="24"/>
          <w:highlight w:val="none"/>
        </w:rPr>
        <w:t>粤建公告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XX]XX</w:t>
      </w:r>
      <w:r>
        <w:rPr>
          <w:rFonts w:hint="eastAsia" w:ascii="宋体" w:hAnsi="宋体" w:eastAsia="宋体" w:cs="宋体"/>
          <w:color w:val="auto"/>
          <w:sz w:val="24"/>
          <w:szCs w:val="24"/>
          <w:highlight w:val="none"/>
        </w:rPr>
        <w:t>号</w:t>
      </w:r>
      <w:bookmarkEnd w:id="9"/>
      <w:bookmarkEnd w:id="10"/>
    </w:p>
    <w:p w14:paraId="3992FE34">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75FC673D">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778CD93F">
      <w:pPr>
        <w:pStyle w:val="59"/>
        <w:tabs>
          <w:tab w:val="center" w:pos="4201"/>
          <w:tab w:val="right" w:leader="dot" w:pos="9298"/>
        </w:tabs>
        <w:autoSpaceDE/>
        <w:autoSpaceDN/>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经组织专家委员会审查，现批准《电力工业物业管理服务标准》为广东省地方标准，编号为DBJ/T</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XXX</w:t>
      </w:r>
      <w:r>
        <w:rPr>
          <w:rFonts w:hint="eastAsia" w:hAnsi="宋体" w:cs="宋体"/>
          <w:color w:val="auto"/>
          <w:sz w:val="24"/>
          <w:szCs w:val="24"/>
          <w:highlight w:val="none"/>
        </w:rPr>
        <w:t>。本标准自20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日起实施</w:t>
      </w:r>
      <w:r>
        <w:rPr>
          <w:rFonts w:hint="eastAsia" w:hAnsi="宋体" w:cs="宋体"/>
          <w:color w:val="auto"/>
          <w:sz w:val="24"/>
          <w:szCs w:val="24"/>
          <w:highlight w:val="none"/>
          <w:lang w:eastAsia="zh-CN"/>
        </w:rPr>
        <w:t>。</w:t>
      </w:r>
    </w:p>
    <w:p w14:paraId="5899E79B">
      <w:pPr>
        <w:pStyle w:val="59"/>
        <w:tabs>
          <w:tab w:val="center" w:pos="4201"/>
          <w:tab w:val="right" w:leader="dot" w:pos="9298"/>
        </w:tabs>
        <w:autoSpaceDE/>
        <w:autoSpaceDN/>
        <w:spacing w:line="360" w:lineRule="auto"/>
        <w:rPr>
          <w:rFonts w:hint="eastAsia" w:hAnsi="宋体" w:cs="宋体"/>
          <w:color w:val="auto"/>
          <w:sz w:val="24"/>
          <w:szCs w:val="24"/>
          <w:highlight w:val="none"/>
        </w:rPr>
      </w:pPr>
      <w:r>
        <w:rPr>
          <w:rFonts w:hint="eastAsia" w:hAnsi="宋体" w:cs="宋体"/>
          <w:color w:val="auto"/>
          <w:sz w:val="24"/>
          <w:szCs w:val="24"/>
          <w:highlight w:val="none"/>
        </w:rPr>
        <w:t>本标准由广东省住房和城乡建设厅负责管理，由</w:t>
      </w:r>
      <w:r>
        <w:rPr>
          <w:rFonts w:hint="eastAsia"/>
          <w:color w:val="auto"/>
          <w:sz w:val="24"/>
          <w:szCs w:val="24"/>
          <w:highlight w:val="none"/>
        </w:rPr>
        <w:t>广东省物业管理行业协会、南网物业管理（广州）有限责任公司</w:t>
      </w:r>
      <w:r>
        <w:rPr>
          <w:rFonts w:hint="eastAsia" w:hAnsi="宋体" w:cs="宋体"/>
          <w:color w:val="auto"/>
          <w:sz w:val="24"/>
          <w:szCs w:val="24"/>
          <w:highlight w:val="none"/>
        </w:rPr>
        <w:t>负责具体技术内容的解释，并在广东省住房和城乡建设厅门户网站(h</w:t>
      </w:r>
      <w:r>
        <w:rPr>
          <w:rFonts w:hint="eastAsia" w:hAnsi="宋体" w:cs="宋体"/>
          <w:color w:val="auto"/>
          <w:sz w:val="24"/>
          <w:szCs w:val="24"/>
          <w:highlight w:val="none"/>
          <w:lang w:val="en-US" w:eastAsia="zh-CN"/>
        </w:rPr>
        <w:t>tt</w:t>
      </w:r>
      <w:r>
        <w:rPr>
          <w:rFonts w:hint="eastAsia" w:hAnsi="宋体" w:cs="宋体"/>
          <w:color w:val="auto"/>
          <w:sz w:val="24"/>
          <w:szCs w:val="24"/>
          <w:highlight w:val="none"/>
        </w:rPr>
        <w:t>p://zfcxjst.gd.gov.cn)公开。</w:t>
      </w:r>
    </w:p>
    <w:p w14:paraId="4D683B77">
      <w:pPr>
        <w:pStyle w:val="59"/>
        <w:tabs>
          <w:tab w:val="center" w:pos="4201"/>
          <w:tab w:val="right" w:leader="dot" w:pos="9298"/>
        </w:tabs>
        <w:autoSpaceDE/>
        <w:autoSpaceDN/>
        <w:rPr>
          <w:rFonts w:hint="eastAsia" w:hAnsi="宋体" w:cs="宋体"/>
          <w:color w:val="auto"/>
          <w:szCs w:val="21"/>
          <w:highlight w:val="none"/>
        </w:rPr>
      </w:pPr>
    </w:p>
    <w:p w14:paraId="084289C8">
      <w:pPr>
        <w:pStyle w:val="59"/>
        <w:tabs>
          <w:tab w:val="center" w:pos="4201"/>
          <w:tab w:val="right" w:leader="dot" w:pos="9298"/>
        </w:tabs>
        <w:autoSpaceDE/>
        <w:autoSpaceDN/>
        <w:rPr>
          <w:rFonts w:hint="eastAsia" w:hAnsi="宋体" w:cs="宋体"/>
          <w:color w:val="auto"/>
          <w:szCs w:val="21"/>
          <w:highlight w:val="none"/>
        </w:rPr>
      </w:pPr>
    </w:p>
    <w:p w14:paraId="699FEF34">
      <w:pPr>
        <w:pStyle w:val="59"/>
        <w:tabs>
          <w:tab w:val="center" w:pos="4201"/>
          <w:tab w:val="right" w:leader="dot" w:pos="9298"/>
        </w:tabs>
        <w:autoSpaceDE/>
        <w:autoSpaceDN/>
        <w:rPr>
          <w:rFonts w:hint="eastAsia" w:hAnsi="宋体" w:cs="宋体"/>
          <w:color w:val="auto"/>
          <w:szCs w:val="21"/>
          <w:highlight w:val="none"/>
        </w:rPr>
      </w:pPr>
    </w:p>
    <w:p w14:paraId="43853A7B">
      <w:pPr>
        <w:pStyle w:val="59"/>
        <w:tabs>
          <w:tab w:val="center" w:pos="4201"/>
          <w:tab w:val="right" w:leader="dot" w:pos="9298"/>
        </w:tabs>
        <w:autoSpaceDE/>
        <w:autoSpaceDN/>
        <w:rPr>
          <w:rFonts w:hint="eastAsia" w:hAnsi="宋体" w:cs="宋体"/>
          <w:color w:val="auto"/>
          <w:szCs w:val="21"/>
          <w:highlight w:val="none"/>
        </w:rPr>
      </w:pPr>
    </w:p>
    <w:p w14:paraId="75565710">
      <w:pPr>
        <w:pStyle w:val="59"/>
        <w:tabs>
          <w:tab w:val="center" w:pos="4201"/>
          <w:tab w:val="right" w:leader="dot" w:pos="9298"/>
        </w:tabs>
        <w:autoSpaceDE/>
        <w:autoSpaceDN/>
        <w:rPr>
          <w:rFonts w:hint="eastAsia" w:hAnsi="宋体" w:cs="宋体"/>
          <w:color w:val="auto"/>
          <w:szCs w:val="21"/>
          <w:highlight w:val="none"/>
        </w:rPr>
      </w:pPr>
    </w:p>
    <w:p w14:paraId="19C01970">
      <w:pPr>
        <w:pStyle w:val="59"/>
        <w:tabs>
          <w:tab w:val="center" w:pos="4201"/>
          <w:tab w:val="right" w:leader="dot" w:pos="9298"/>
        </w:tabs>
        <w:autoSpaceDE/>
        <w:autoSpaceDN/>
        <w:rPr>
          <w:rFonts w:hint="eastAsia" w:hAnsi="宋体" w:cs="宋体"/>
          <w:color w:val="auto"/>
          <w:szCs w:val="21"/>
          <w:highlight w:val="none"/>
        </w:rPr>
      </w:pPr>
    </w:p>
    <w:p w14:paraId="73FB77B3">
      <w:pPr>
        <w:pStyle w:val="59"/>
        <w:tabs>
          <w:tab w:val="center" w:pos="4201"/>
          <w:tab w:val="right" w:leader="dot" w:pos="9298"/>
        </w:tabs>
        <w:autoSpaceDE/>
        <w:autoSpaceDN/>
        <w:spacing w:line="360" w:lineRule="auto"/>
        <w:jc w:val="right"/>
        <w:outlineLvl w:val="0"/>
        <w:rPr>
          <w:rFonts w:hint="eastAsia" w:hAnsi="宋体" w:cs="宋体"/>
          <w:color w:val="auto"/>
          <w:sz w:val="24"/>
          <w:szCs w:val="24"/>
          <w:highlight w:val="none"/>
        </w:rPr>
      </w:pPr>
      <w:bookmarkStart w:id="11" w:name="_Toc18570"/>
      <w:bookmarkStart w:id="12" w:name="_Toc8014"/>
      <w:r>
        <w:rPr>
          <w:rFonts w:hint="eastAsia" w:hAnsi="宋体" w:cs="宋体"/>
          <w:color w:val="auto"/>
          <w:sz w:val="24"/>
          <w:szCs w:val="24"/>
          <w:highlight w:val="none"/>
        </w:rPr>
        <w:t>广东省住房和城乡建设厅</w:t>
      </w:r>
      <w:bookmarkEnd w:id="11"/>
      <w:bookmarkEnd w:id="12"/>
    </w:p>
    <w:p w14:paraId="00DB5CE2">
      <w:pPr>
        <w:pStyle w:val="59"/>
        <w:tabs>
          <w:tab w:val="center" w:pos="4201"/>
          <w:tab w:val="right" w:leader="dot" w:pos="9298"/>
        </w:tabs>
        <w:autoSpaceDE/>
        <w:autoSpaceDN/>
        <w:spacing w:line="360" w:lineRule="auto"/>
        <w:jc w:val="right"/>
        <w:outlineLvl w:val="0"/>
        <w:rPr>
          <w:rFonts w:hint="eastAsia" w:hAnsi="宋体" w:cs="宋体"/>
          <w:color w:val="auto"/>
          <w:sz w:val="24"/>
          <w:szCs w:val="24"/>
          <w:highlight w:val="none"/>
        </w:rPr>
        <w:sectPr>
          <w:footerReference r:id="rId7" w:type="default"/>
          <w:footerReference r:id="rId8" w:type="even"/>
          <w:pgSz w:w="11906" w:h="16838"/>
          <w:pgMar w:top="1417" w:right="1134" w:bottom="1134" w:left="1416"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bookmarkStart w:id="13" w:name="_Toc12648"/>
      <w:bookmarkStart w:id="14" w:name="_Toc31564"/>
      <w:r>
        <w:rPr>
          <w:rFonts w:hint="eastAsia" w:hAnsi="宋体" w:cs="宋体"/>
          <w:color w:val="auto"/>
          <w:sz w:val="24"/>
          <w:szCs w:val="24"/>
          <w:highlight w:val="none"/>
        </w:rPr>
        <w:t>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w:t>
      </w:r>
      <w:bookmarkEnd w:id="13"/>
      <w:bookmarkEnd w:id="14"/>
    </w:p>
    <w:p w14:paraId="30FF2EBB">
      <w:pPr>
        <w:pStyle w:val="58"/>
        <w:spacing w:before="850" w:after="680"/>
        <w:rPr>
          <w:rFonts w:hint="eastAsia" w:asciiTheme="majorEastAsia" w:hAnsiTheme="majorEastAsia" w:eastAsiaTheme="majorEastAsia" w:cstheme="majorEastAsia"/>
          <w:b/>
          <w:bCs/>
          <w:color w:val="auto"/>
          <w:sz w:val="28"/>
          <w:szCs w:val="28"/>
          <w:highlight w:val="none"/>
        </w:rPr>
      </w:pPr>
      <w:bookmarkStart w:id="15" w:name="_Toc16989"/>
      <w:bookmarkStart w:id="16" w:name="_Toc29747"/>
      <w:r>
        <w:rPr>
          <w:rFonts w:hint="eastAsia" w:asciiTheme="majorEastAsia" w:hAnsiTheme="majorEastAsia" w:eastAsiaTheme="majorEastAsia" w:cstheme="majorEastAsia"/>
          <w:b/>
          <w:bCs/>
          <w:color w:val="auto"/>
          <w:sz w:val="28"/>
          <w:szCs w:val="28"/>
          <w:highlight w:val="none"/>
        </w:rPr>
        <w:t>前    言</w:t>
      </w:r>
      <w:bookmarkEnd w:id="15"/>
      <w:bookmarkEnd w:id="16"/>
    </w:p>
    <w:p w14:paraId="2F4E6BD5">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根据广东省市场监督管理局《关于批准下达2023年第二批广东省地方标准制修订计划的通知》(粤市监标准 【2023】 591号)文的要求，编制组经广泛调查研究，认真总结实践经验，参考有关国内外标准，并在广泛征求意见的基础上，制定了本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w:t>
      </w:r>
    </w:p>
    <w:p w14:paraId="70377361">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本标准的主要内容:</w:t>
      </w:r>
      <w:r>
        <w:rPr>
          <w:rFonts w:hint="eastAsia" w:ascii="宋体" w:hAnsi="宋体" w:eastAsia="宋体" w:cs="宋体"/>
          <w:color w:val="auto"/>
          <w:sz w:val="24"/>
          <w:szCs w:val="24"/>
          <w:highlight w:val="none"/>
          <w:lang w:eastAsia="zh-CN"/>
        </w:rPr>
        <w:t>电力工业物业管理服</w:t>
      </w:r>
      <w:r>
        <w:rPr>
          <w:rFonts w:hint="eastAsia" w:ascii="宋体" w:hAnsi="宋体" w:eastAsia="宋体" w:cs="宋体"/>
          <w:color w:val="auto"/>
          <w:sz w:val="24"/>
          <w:szCs w:val="24"/>
          <w:highlight w:val="none"/>
          <w:lang w:val="en-US" w:eastAsia="zh-CN"/>
        </w:rPr>
        <w:t>务</w:t>
      </w:r>
      <w:r>
        <w:rPr>
          <w:rFonts w:hint="eastAsia" w:ascii="宋体" w:hAnsi="宋体" w:eastAsia="宋体" w:cs="宋体"/>
          <w:color w:val="auto"/>
          <w:sz w:val="24"/>
          <w:szCs w:val="24"/>
          <w:highlight w:val="none"/>
        </w:rPr>
        <w:t>的术语和定义、</w:t>
      </w:r>
      <w:r>
        <w:rPr>
          <w:rFonts w:hint="eastAsia" w:ascii="宋体" w:hAnsi="宋体" w:eastAsia="宋体" w:cs="宋体"/>
          <w:color w:val="auto"/>
          <w:sz w:val="24"/>
          <w:szCs w:val="24"/>
          <w:highlight w:val="none"/>
          <w:lang w:val="en-US" w:eastAsia="zh-CN"/>
        </w:rPr>
        <w:t>管理服务场所分区分类</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基本要求</w:t>
      </w:r>
      <w:r>
        <w:rPr>
          <w:rFonts w:hint="eastAsia" w:ascii="宋体" w:hAnsi="宋体" w:eastAsia="宋体" w:cs="宋体"/>
          <w:color w:val="auto"/>
          <w:sz w:val="24"/>
          <w:szCs w:val="24"/>
          <w:highlight w:val="none"/>
          <w:lang w:eastAsia="zh-CN"/>
        </w:rPr>
        <w:t>、电力生产场所作业安全管理要求、承接查验、综合服务、建（构）筑物巡查维护、设施设备运行服务、安全管理、电力防恐与应急、车辆驾驶服务、环境管理、食堂管理、公寓或招待所服务、绿色物业管理</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智慧物业</w:t>
      </w:r>
      <w:r>
        <w:rPr>
          <w:rFonts w:hint="eastAsia" w:ascii="宋体" w:hAnsi="宋体" w:eastAsia="宋体" w:cs="宋体"/>
          <w:color w:val="auto"/>
          <w:sz w:val="24"/>
          <w:szCs w:val="24"/>
          <w:highlight w:val="none"/>
          <w:lang w:val="en-US" w:eastAsia="zh-CN"/>
        </w:rPr>
        <w:t>和评价</w:t>
      </w:r>
      <w:r>
        <w:rPr>
          <w:rFonts w:hint="eastAsia"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w:t>
      </w:r>
    </w:p>
    <w:p w14:paraId="1F84873A">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由广东省住房和城乡建设厅负责管理，由广东省物业管理行业协会、南网物业管理（广州）有限责任公司负责具体技术内容的解释。执行过程中如有意见或建议，请寄送广东省物业管理行业协会(地址:广州市天河区黄埔大道西100号富力盈泰广场B座901室，邮编:51</w:t>
      </w:r>
      <w:r>
        <w:rPr>
          <w:rFonts w:hint="eastAsia"/>
          <w:color w:val="auto"/>
          <w:sz w:val="24"/>
          <w:szCs w:val="24"/>
          <w:highlight w:val="none"/>
          <w:lang w:val="en-US" w:eastAsia="zh-CN"/>
        </w:rPr>
        <w:t>0040</w:t>
      </w:r>
      <w:r>
        <w:rPr>
          <w:rFonts w:hint="eastAsia"/>
          <w:color w:val="auto"/>
          <w:sz w:val="24"/>
          <w:szCs w:val="24"/>
          <w:highlight w:val="none"/>
        </w:rPr>
        <w:t>，邮箱:</w:t>
      </w:r>
      <w:r>
        <w:rPr>
          <w:rFonts w:hint="eastAsia"/>
          <w:color w:val="auto"/>
          <w:sz w:val="24"/>
          <w:szCs w:val="24"/>
          <w:highlight w:val="none"/>
          <w:lang w:val="en-US" w:eastAsia="zh-CN"/>
        </w:rPr>
        <w:t>gpmi@163.com</w:t>
      </w:r>
      <w:r>
        <w:rPr>
          <w:rFonts w:hint="eastAsia"/>
          <w:color w:val="auto"/>
          <w:sz w:val="24"/>
          <w:szCs w:val="24"/>
          <w:highlight w:val="none"/>
        </w:rPr>
        <w:t>)。</w:t>
      </w:r>
    </w:p>
    <w:p w14:paraId="57D9FA38">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主编单位</w:t>
      </w:r>
      <w:r>
        <w:rPr>
          <w:rFonts w:hint="eastAsia"/>
          <w:color w:val="auto"/>
          <w:sz w:val="24"/>
          <w:szCs w:val="24"/>
          <w:highlight w:val="none"/>
          <w:lang w:eastAsia="zh-CN"/>
        </w:rPr>
        <w:t>：</w:t>
      </w:r>
      <w:r>
        <w:rPr>
          <w:rFonts w:hint="eastAsia"/>
          <w:color w:val="auto"/>
          <w:sz w:val="24"/>
          <w:szCs w:val="24"/>
          <w:highlight w:val="none"/>
        </w:rPr>
        <w:t>广东省物业管理行业协会</w:t>
      </w:r>
    </w:p>
    <w:p w14:paraId="25528FAC">
      <w:pPr>
        <w:pStyle w:val="61"/>
        <w:keepNext w:val="0"/>
        <w:keepLines w:val="0"/>
        <w:pageBreakBefore w:val="0"/>
        <w:widowControl/>
        <w:kinsoku/>
        <w:wordWrap/>
        <w:overflowPunct/>
        <w:topLinePunct w:val="0"/>
        <w:bidi w:val="0"/>
        <w:adjustRightInd/>
        <w:snapToGrid/>
        <w:spacing w:line="360" w:lineRule="auto"/>
        <w:textAlignment w:val="auto"/>
        <w:rPr>
          <w:rFonts w:hint="eastAsia"/>
          <w:color w:val="auto"/>
          <w:sz w:val="24"/>
          <w:szCs w:val="24"/>
          <w:highlight w:val="none"/>
        </w:rPr>
      </w:pPr>
      <w:r>
        <w:rPr>
          <w:rFonts w:hint="eastAsia" w:ascii="宋体" w:hAnsi="宋体" w:cs="宋体"/>
          <w:color w:val="auto"/>
          <w:sz w:val="24"/>
          <w:szCs w:val="24"/>
          <w:highlight w:val="none"/>
          <w:lang w:eastAsia="zh-CN"/>
        </w:rPr>
        <w:t>本标准参编单位：</w:t>
      </w:r>
      <w:r>
        <w:rPr>
          <w:rFonts w:hint="eastAsia"/>
          <w:color w:val="auto"/>
          <w:sz w:val="24"/>
          <w:szCs w:val="24"/>
          <w:highlight w:val="none"/>
        </w:rPr>
        <w:t>南网物业管理（广州）有限责任公司</w:t>
      </w:r>
    </w:p>
    <w:p w14:paraId="5F6F4400">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0"/>
        <w:rPr>
          <w:rFonts w:hint="eastAsia" w:ascii="宋体" w:hAnsi="宋体" w:cs="宋体"/>
          <w:color w:val="auto"/>
          <w:sz w:val="24"/>
          <w:szCs w:val="24"/>
          <w:highlight w:val="none"/>
          <w:lang w:eastAsia="zh-CN"/>
        </w:rPr>
      </w:pPr>
      <w:bookmarkStart w:id="17" w:name="_Toc17083"/>
      <w:bookmarkStart w:id="18" w:name="_Toc13329"/>
      <w:r>
        <w:rPr>
          <w:rFonts w:hint="eastAsia" w:ascii="宋体" w:hAnsi="宋体" w:cs="宋体"/>
          <w:color w:val="auto"/>
          <w:sz w:val="24"/>
          <w:szCs w:val="24"/>
          <w:highlight w:val="none"/>
          <w:lang w:eastAsia="zh-CN"/>
        </w:rPr>
        <w:t>广州馨悦商务服务有限公司</w:t>
      </w:r>
      <w:bookmarkEnd w:id="17"/>
      <w:bookmarkEnd w:id="18"/>
    </w:p>
    <w:p w14:paraId="5AFF94BC">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广东天安智慧保安服务有限公司</w:t>
      </w:r>
    </w:p>
    <w:p w14:paraId="2D0E5EF5">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color w:val="auto"/>
          <w:sz w:val="24"/>
          <w:szCs w:val="24"/>
          <w:highlight w:val="none"/>
        </w:rPr>
      </w:pPr>
      <w:r>
        <w:rPr>
          <w:rFonts w:hint="eastAsia" w:ascii="宋体" w:hAnsi="宋体" w:cs="宋体"/>
          <w:color w:val="auto"/>
          <w:sz w:val="24"/>
          <w:szCs w:val="24"/>
          <w:highlight w:val="none"/>
          <w:lang w:eastAsia="zh-CN"/>
        </w:rPr>
        <w:t>广东智建工程有限公司</w:t>
      </w:r>
      <w:r>
        <w:rPr>
          <w:rFonts w:hint="eastAsia"/>
          <w:color w:val="auto"/>
          <w:sz w:val="24"/>
          <w:szCs w:val="24"/>
          <w:highlight w:val="none"/>
        </w:rPr>
        <w:t>。</w:t>
      </w:r>
    </w:p>
    <w:p w14:paraId="6A4A7F3B">
      <w:pPr>
        <w:pStyle w:val="61"/>
        <w:keepNext w:val="0"/>
        <w:keepLines w:val="0"/>
        <w:pageBreakBefore w:val="0"/>
        <w:widowControl/>
        <w:kinsoku/>
        <w:wordWrap/>
        <w:overflowPunct/>
        <w:topLinePunct w:val="0"/>
        <w:bidi w:val="0"/>
        <w:adjustRightInd/>
        <w:snapToGrid/>
        <w:spacing w:line="360" w:lineRule="auto"/>
        <w:ind w:left="2738" w:leftChars="200" w:hanging="2318" w:hangingChars="966"/>
        <w:textAlignment w:val="auto"/>
        <w:rPr>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主要起草人员</w:t>
      </w:r>
      <w:r>
        <w:rPr>
          <w:rFonts w:hint="eastAsia"/>
          <w:color w:val="auto"/>
          <w:sz w:val="24"/>
          <w:szCs w:val="24"/>
          <w:highlight w:val="none"/>
          <w:lang w:eastAsia="zh-CN"/>
        </w:rPr>
        <w:t>：</w:t>
      </w:r>
      <w:r>
        <w:rPr>
          <w:rFonts w:hint="eastAsia"/>
          <w:color w:val="auto"/>
          <w:sz w:val="24"/>
          <w:szCs w:val="24"/>
          <w:highlight w:val="none"/>
          <w:lang w:val="en-US" w:eastAsia="zh-CN"/>
        </w:rPr>
        <w:t>杨国贤  谭诗念  徐  斐  梁  兵  赵广峰  王  振  但志勇  刘湘健  赵雪军  陈英杰  余兴洪。</w:t>
      </w:r>
    </w:p>
    <w:p w14:paraId="171CE51C">
      <w:pPr>
        <w:pStyle w:val="61"/>
        <w:keepNext w:val="0"/>
        <w:keepLines w:val="0"/>
        <w:pageBreakBefore w:val="0"/>
        <w:widowControl/>
        <w:kinsoku/>
        <w:wordWrap/>
        <w:overflowPunct/>
        <w:topLinePunct w:val="0"/>
        <w:bidi w:val="0"/>
        <w:adjustRightInd/>
        <w:snapToGrid/>
        <w:spacing w:line="360" w:lineRule="auto"/>
        <w:ind w:firstLine="420"/>
        <w:textAlignment w:val="auto"/>
        <w:rPr>
          <w:color w:val="auto"/>
          <w:highlight w:val="none"/>
        </w:rPr>
      </w:pPr>
    </w:p>
    <w:p w14:paraId="2B94FB2B">
      <w:pPr>
        <w:ind w:firstLine="420" w:firstLineChars="200"/>
        <w:rPr>
          <w:rFonts w:hint="eastAsia"/>
          <w:color w:val="auto"/>
          <w:highlight w:val="none"/>
        </w:rPr>
      </w:pPr>
    </w:p>
    <w:p w14:paraId="1F205CE3">
      <w:pPr>
        <w:ind w:firstLine="420" w:firstLineChars="200"/>
        <w:rPr>
          <w:rFonts w:hint="eastAsia"/>
          <w:color w:val="auto"/>
          <w:highlight w:val="none"/>
        </w:rPr>
        <w:sectPr>
          <w:footerReference r:id="rId9" w:type="default"/>
          <w:footerReference r:id="rId10" w:type="even"/>
          <w:pgSz w:w="11906" w:h="16838"/>
          <w:pgMar w:top="1417" w:right="1134" w:bottom="1134" w:left="1418" w:header="57" w:footer="737" w:gutter="0"/>
          <w:pgBorders>
            <w:top w:val="none" w:sz="0" w:space="0"/>
            <w:left w:val="none" w:sz="0" w:space="0"/>
            <w:bottom w:val="none" w:sz="0" w:space="0"/>
            <w:right w:val="none" w:sz="0" w:space="0"/>
          </w:pgBorders>
          <w:pgNumType w:fmt="upperRoman"/>
          <w:cols w:space="720" w:num="1"/>
          <w:formProt w:val="0"/>
          <w:docGrid w:type="linesAndChars" w:linePitch="312" w:charSpace="0"/>
        </w:sectPr>
      </w:pPr>
    </w:p>
    <w:p w14:paraId="5B56B654">
      <w:pPr>
        <w:pStyle w:val="60"/>
        <w:spacing w:before="850" w:after="680" w:line="240" w:lineRule="auto"/>
        <w:rPr>
          <w:rFonts w:hint="eastAsia" w:ascii="仿宋" w:hAnsi="仿宋" w:eastAsia="仿宋" w:cs="仿宋"/>
          <w:b w:val="0"/>
          <w:bCs w:val="0"/>
          <w:color w:val="auto"/>
          <w:sz w:val="36"/>
          <w:szCs w:val="36"/>
          <w:highlight w:val="none"/>
          <w:lang w:val="en-US" w:eastAsia="zh-CN"/>
        </w:rPr>
      </w:pPr>
      <w:bookmarkStart w:id="19" w:name="_Toc6759"/>
      <w:bookmarkStart w:id="20" w:name="_Toc19675"/>
      <w:r>
        <w:rPr>
          <w:rFonts w:hint="eastAsia" w:ascii="仿宋" w:hAnsi="仿宋" w:eastAsia="仿宋" w:cs="仿宋"/>
          <w:b w:val="0"/>
          <w:bCs w:val="0"/>
          <w:color w:val="auto"/>
          <w:sz w:val="36"/>
          <w:szCs w:val="36"/>
          <w:highlight w:val="none"/>
          <w:lang w:val="en-US" w:eastAsia="zh-CN"/>
        </w:rPr>
        <w:t>目  次</w:t>
      </w:r>
      <w:bookmarkEnd w:id="19"/>
      <w:bookmarkEnd w:id="20"/>
    </w:p>
    <w:sdt>
      <w:sdtPr>
        <w:rPr>
          <w:rFonts w:ascii="宋体" w:hAnsi="宋体" w:eastAsia="宋体" w:cs="Times New Roman"/>
          <w:kern w:val="2"/>
          <w:sz w:val="21"/>
          <w:szCs w:val="21"/>
          <w:highlight w:val="none"/>
          <w:lang w:val="en-US" w:eastAsia="zh-CN" w:bidi="ar-SA"/>
        </w:rPr>
        <w:id w:val="147483386"/>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24E3EE8D">
          <w:pPr>
            <w:pStyle w:val="30"/>
            <w:tabs>
              <w:tab w:val="right" w:pos="7200"/>
              <w:tab w:val="right" w:leader="dot" w:pos="9354"/>
            </w:tabs>
            <w:rPr>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TOC \o "1-3" \h \u </w:instrText>
          </w:r>
          <w:r>
            <w:rPr>
              <w:rFonts w:hint="eastAsia" w:ascii="宋体" w:hAnsi="宋体" w:eastAsia="宋体" w:cs="宋体"/>
              <w:color w:val="auto"/>
              <w:sz w:val="24"/>
              <w:szCs w:val="24"/>
              <w:highlight w:val="none"/>
              <w:lang w:val="en-US" w:eastAsia="zh-CN"/>
            </w:rPr>
            <w:fldChar w:fldCharType="separate"/>
          </w:r>
        </w:p>
        <w:p w14:paraId="71D493F7">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_Toc18478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30"/>
              <w:highlight w:val="none"/>
              <w:lang w:val="en-US" w:eastAsia="zh-CN"/>
            </w:rPr>
            <w:t xml:space="preserve">1  </w:t>
          </w:r>
          <w:r>
            <w:rPr>
              <w:rFonts w:hint="eastAsia" w:ascii="宋体" w:hAnsi="宋体" w:eastAsia="宋体" w:cs="宋体"/>
              <w:bCs w:val="0"/>
              <w:szCs w:val="30"/>
              <w:highlight w:val="none"/>
              <w:lang w:val="en-US" w:eastAsia="zh-CN"/>
            </w:rPr>
            <w:t>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_Toc18478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64A7B7B">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_Toc16978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30"/>
              <w:highlight w:val="none"/>
              <w:lang w:val="en-US" w:eastAsia="zh-CN"/>
            </w:rPr>
            <w:t xml:space="preserve">2  </w:t>
          </w:r>
          <w:r>
            <w:rPr>
              <w:rFonts w:hint="eastAsia" w:ascii="宋体" w:hAnsi="宋体" w:eastAsia="宋体" w:cs="宋体"/>
              <w:bCs w:val="0"/>
              <w:szCs w:val="30"/>
              <w:highlight w:val="none"/>
            </w:rPr>
            <w:t>术语</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_Toc16978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4EDC334">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_Toc16411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bCs w:val="0"/>
              <w:highlight w:val="none"/>
              <w:lang w:val="en-US" w:eastAsia="zh-CN"/>
            </w:rPr>
            <w:t>管理场所分类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_Toc16411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BBC9807">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_Toc3592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4  </w:t>
          </w:r>
          <w:r>
            <w:rPr>
              <w:rFonts w:hint="eastAsia" w:ascii="宋体" w:hAnsi="宋体" w:eastAsia="宋体" w:cs="宋体"/>
              <w:bCs w:val="0"/>
              <w:highlight w:val="none"/>
              <w:lang w:val="en-US" w:eastAsia="zh-CN"/>
            </w:rPr>
            <w:t>基本要求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_Toc3592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8CFD290">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_Toc2936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4.1  人员要求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_Toc2936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67CA469">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_Toc23028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4.2  财务管理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_Toc23028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7B2AA55">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_Toc24997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4.3  档案管理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_Toc24997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0B13650">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_Toc20759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4.4  保密管理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_Toc20759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740E92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_Toc21100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4.5  标识管理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_Toc21100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440416C">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_Toc15737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5  </w:t>
          </w:r>
          <w:r>
            <w:rPr>
              <w:rFonts w:hint="eastAsia" w:ascii="宋体" w:hAnsi="宋体" w:eastAsia="宋体" w:cs="宋体"/>
              <w:bCs w:val="0"/>
              <w:highlight w:val="none"/>
              <w:lang w:val="en-US" w:eastAsia="zh-CN"/>
            </w:rPr>
            <w:t>电力生产场所作业安全管理要求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_Toc15737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5C7A6F2">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_Toc5643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6  </w:t>
          </w:r>
          <w:r>
            <w:rPr>
              <w:rFonts w:hint="eastAsia" w:ascii="宋体" w:hAnsi="宋体" w:eastAsia="宋体" w:cs="宋体"/>
              <w:bCs w:val="0"/>
              <w:highlight w:val="none"/>
              <w:lang w:val="en-US" w:eastAsia="zh-CN"/>
            </w:rPr>
            <w:t>承接查验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_Toc5643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CCCCB78">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_Toc14948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7  </w:t>
          </w:r>
          <w:r>
            <w:rPr>
              <w:rFonts w:hint="eastAsia" w:ascii="宋体" w:hAnsi="宋体" w:eastAsia="宋体" w:cs="宋体"/>
              <w:bCs w:val="0"/>
              <w:highlight w:val="none"/>
              <w:lang w:val="en-US" w:eastAsia="zh-CN"/>
            </w:rPr>
            <w:t>综合服务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_Toc14948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C15B255">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_Toc14550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7.1  客户服务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_Toc14550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21EA50F9">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_Toc17177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7.2  报事报修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_Toc17177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3A4440F">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_Toc1988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7.3  装修/施工监管服务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_Toc1988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F3FDE33">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_Toc3939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7.4　便民服务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_Toc3939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BF353D4">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_Toc16452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7.5　其它服务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_Toc16452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2CA17650">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_Toc11763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8  </w:t>
          </w:r>
          <w:r>
            <w:rPr>
              <w:rFonts w:hint="eastAsia" w:ascii="宋体" w:hAnsi="宋体" w:eastAsia="宋体" w:cs="宋体"/>
              <w:bCs w:val="0"/>
              <w:highlight w:val="none"/>
              <w:lang w:val="en-US" w:eastAsia="zh-CN"/>
            </w:rPr>
            <w:t>建（构）筑物巡查维护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_Toc11763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0F0D5BA">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_Toc26590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8.1  房屋及建（构）筑物本体</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_Toc26590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732E45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_Toc6075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8.2  水工建筑物日常维护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_Toc6075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D8E125F">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_Toc13031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9  </w:t>
          </w:r>
          <w:r>
            <w:rPr>
              <w:rFonts w:hint="eastAsia" w:ascii="宋体" w:hAnsi="宋体" w:eastAsia="宋体" w:cs="宋体"/>
              <w:bCs w:val="0"/>
              <w:highlight w:val="none"/>
              <w:lang w:val="en-US" w:eastAsia="zh-CN"/>
            </w:rPr>
            <w:t>设施设备运行服务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_Toc13031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7E21B8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_Toc7044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9.1  供配电系统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_Toc7044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640673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_Toc19056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9.2  空调系统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_Toc19056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D28C8EF">
          <w:pPr>
            <w:pStyle w:val="17"/>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_Toc3813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9.3  给排水系统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_Toc3813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592D0B6">
          <w:pPr>
            <w:pStyle w:val="17"/>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_Toc29645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9.4  电梯系统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_Toc29645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E85F592">
          <w:pPr>
            <w:pStyle w:val="17"/>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_Toc18763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9.5  消防设施设备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_Toc18763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67D1660">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_Toc29127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9.6  建筑物防雷系统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_Toc29127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6FEE677">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_Toc17012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9.7  安全技术防范与多媒体系统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_Toc17012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F063B5B">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_Toc4275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9.8  公共及生产区照明系统</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_Toc4275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BDC289C">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_Toc24131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9.9  生产区设备清洁保养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_Toc24131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33C1DE5">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_Toc21328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10  </w:t>
          </w:r>
          <w:r>
            <w:rPr>
              <w:rFonts w:hint="eastAsia" w:ascii="宋体" w:hAnsi="宋体" w:eastAsia="宋体" w:cs="宋体"/>
              <w:bCs w:val="0"/>
              <w:highlight w:val="none"/>
              <w:lang w:val="en-US" w:eastAsia="zh-CN"/>
            </w:rPr>
            <w:t>秩序消防服务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_Toc21328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FDA7DE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_Toc8037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10.1  出入管理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_Toc8037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7EBB289">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_Toc6172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10.2  交通停车秩序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_Toc6172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47C3F9B">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_Toc29766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10.3  装卸管理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_Toc29766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42D0E13">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_Toc14439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10.4  治安秩序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_Toc14439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779B47C">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_Toc1363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10.5  消防/监控管理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_Toc1363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265AA85">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_Toc30611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10.6  充电桩巡查管理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_Toc30611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FA79CF9">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_Toc18795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kern w:val="44"/>
              <w:szCs w:val="44"/>
              <w:highlight w:val="none"/>
              <w:lang w:val="en-US" w:eastAsia="zh-CN" w:bidi="ar-SA"/>
            </w:rPr>
            <w:t xml:space="preserve">11  </w:t>
          </w:r>
          <w:r>
            <w:rPr>
              <w:rFonts w:hint="eastAsia" w:ascii="宋体" w:hAnsi="宋体" w:eastAsia="宋体" w:cs="宋体"/>
              <w:bCs w:val="0"/>
              <w:kern w:val="44"/>
              <w:szCs w:val="44"/>
              <w:highlight w:val="none"/>
              <w:lang w:val="en-US" w:eastAsia="zh-CN" w:bidi="ar-SA"/>
            </w:rPr>
            <w:t>电力反恐防范与应急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_Toc18795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DDA36A0">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_Toc9544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11.1  常态反恐防范要求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_Toc9544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A4492A8">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_Toc19512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11.2  反恐防范应急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_Toc19512 \h </w:instrText>
          </w:r>
          <w:r>
            <w:rPr>
              <w:rFonts w:hint="eastAsia" w:ascii="宋体" w:hAnsi="宋体" w:eastAsia="宋体" w:cs="宋体"/>
              <w:highlight w:val="none"/>
            </w:rPr>
            <w:fldChar w:fldCharType="separate"/>
          </w:r>
          <w:r>
            <w:rPr>
              <w:rFonts w:hint="eastAsia" w:ascii="宋体" w:hAnsi="宋体" w:eastAsia="宋体" w:cs="宋体"/>
              <w:highlight w:val="none"/>
            </w:rPr>
            <w:t>33</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2E6FEDE9">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_Toc32517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11.3  日常服务应急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_Toc32517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287E8E8">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_Toc16102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12  </w:t>
          </w:r>
          <w:r>
            <w:rPr>
              <w:rFonts w:hint="eastAsia" w:ascii="宋体" w:hAnsi="宋体" w:eastAsia="宋体" w:cs="宋体"/>
              <w:bCs w:val="0"/>
              <w:highlight w:val="none"/>
              <w:lang w:val="en-US" w:eastAsia="zh-CN"/>
            </w:rPr>
            <w:t>车辆驾驶与管理服务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_Toc16102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87388FF">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_Toc30554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13  </w:t>
          </w:r>
          <w:r>
            <w:rPr>
              <w:rFonts w:hint="eastAsia" w:ascii="宋体" w:hAnsi="宋体" w:eastAsia="宋体" w:cs="宋体"/>
              <w:bCs w:val="0"/>
              <w:highlight w:val="none"/>
              <w:lang w:val="en-US" w:eastAsia="zh-CN"/>
            </w:rPr>
            <w:t>环  境  管  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_Toc30554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FE986CB">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_Toc30760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13.1  保洁服务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_Toc30760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494B8F1">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_Toc16386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13.2  绿化养护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_Toc16386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AC126A3">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_Toc23318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14  </w:t>
          </w:r>
          <w:r>
            <w:rPr>
              <w:rFonts w:hint="eastAsia" w:ascii="宋体" w:hAnsi="宋体" w:eastAsia="宋体" w:cs="宋体"/>
              <w:bCs w:val="0"/>
              <w:highlight w:val="none"/>
              <w:lang w:val="en-US" w:eastAsia="zh-CN"/>
            </w:rPr>
            <w:t>食堂管理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_Toc23318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687CB9B">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_Toc31756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15  </w:t>
          </w:r>
          <w:r>
            <w:rPr>
              <w:rFonts w:hint="eastAsia" w:ascii="宋体" w:hAnsi="宋体" w:eastAsia="宋体" w:cs="宋体"/>
              <w:bCs w:val="0"/>
              <w:highlight w:val="none"/>
              <w:lang w:val="en-US" w:eastAsia="zh-CN"/>
            </w:rPr>
            <w:t>公寓服务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_Toc31756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4CCBBA3">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_Toc11630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16  </w:t>
          </w:r>
          <w:r>
            <w:rPr>
              <w:rFonts w:hint="eastAsia" w:ascii="宋体" w:hAnsi="宋体" w:eastAsia="宋体" w:cs="宋体"/>
              <w:bCs w:val="0"/>
              <w:highlight w:val="none"/>
              <w:lang w:val="en-US" w:eastAsia="zh-CN"/>
            </w:rPr>
            <w:t>绿色物业管理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_Toc11630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45FDCAD">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_Toc23782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17  </w:t>
          </w:r>
          <w:r>
            <w:rPr>
              <w:rFonts w:hint="eastAsia" w:ascii="宋体" w:hAnsi="宋体" w:eastAsia="宋体" w:cs="宋体"/>
              <w:bCs w:val="0"/>
              <w:highlight w:val="none"/>
              <w:lang w:val="en-US" w:eastAsia="zh-CN"/>
            </w:rPr>
            <w:t>智慧物业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_Toc23782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8C29AE4">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_Toc14996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highlight w:val="none"/>
              <w:lang w:val="en-US" w:eastAsia="zh-CN"/>
            </w:rPr>
            <w:t xml:space="preserve">18  </w:t>
          </w:r>
          <w:r>
            <w:rPr>
              <w:rFonts w:hint="eastAsia" w:ascii="宋体" w:hAnsi="宋体" w:eastAsia="宋体" w:cs="宋体"/>
              <w:bCs w:val="0"/>
              <w:highlight w:val="none"/>
              <w:lang w:val="en-US" w:eastAsia="zh-CN"/>
            </w:rPr>
            <w:t>评价要求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_Toc14996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DD4D8DC">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_Toc3190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18.1　评价原则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_Toc3190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49E276F">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_Toc2602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18.2　评价主体及对象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_Toc2602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2BA76A01">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_Toc3249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18.3　评价方式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_Toc3249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6D6788D">
          <w:pPr>
            <w:pStyle w:val="33"/>
            <w:tabs>
              <w:tab w:val="right" w:leader="dot" w:pos="9354"/>
            </w:tabs>
            <w:ind w:firstLine="210" w:firstLineChars="100"/>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_Toc20773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bCs/>
              <w:szCs w:val="24"/>
              <w:highlight w:val="none"/>
              <w:lang w:val="en-US" w:eastAsia="zh-CN"/>
            </w:rPr>
            <w:t>18.4　评价结果</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_Toc20773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F721139">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_Toc8932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0"/>
              <w:highlight w:val="none"/>
            </w:rPr>
            <w:t>本</w:t>
          </w:r>
          <w:r>
            <w:rPr>
              <w:rFonts w:hint="eastAsia" w:ascii="宋体" w:hAnsi="宋体" w:eastAsia="宋体" w:cs="宋体"/>
              <w:szCs w:val="30"/>
              <w:highlight w:val="none"/>
              <w:lang w:val="en-US" w:eastAsia="zh-CN"/>
            </w:rPr>
            <w:t>标准</w:t>
          </w:r>
          <w:r>
            <w:rPr>
              <w:rFonts w:hint="eastAsia" w:ascii="宋体" w:hAnsi="宋体" w:eastAsia="宋体" w:cs="宋体"/>
              <w:szCs w:val="30"/>
              <w:highlight w:val="none"/>
            </w:rPr>
            <w:t>用词说明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_Toc8932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6F6255BE">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_Toc1734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0"/>
              <w:highlight w:val="none"/>
            </w:rPr>
            <w:t>引用标准名录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_Toc1734 \h </w:instrText>
          </w:r>
          <w:r>
            <w:rPr>
              <w:rFonts w:hint="eastAsia" w:ascii="宋体" w:hAnsi="宋体" w:eastAsia="宋体" w:cs="宋体"/>
              <w:highlight w:val="none"/>
            </w:rPr>
            <w:fldChar w:fldCharType="separate"/>
          </w:r>
          <w:r>
            <w:rPr>
              <w:rFonts w:hint="eastAsia" w:ascii="宋体" w:hAnsi="宋体" w:eastAsia="宋体" w:cs="宋体"/>
              <w:highlight w:val="none"/>
            </w:rPr>
            <w:t>47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3E2486E4">
          <w:pPr>
            <w:pStyle w:val="33"/>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_Toc27761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A  </w:t>
          </w:r>
          <w:r>
            <w:rPr>
              <w:rFonts w:hint="eastAsia" w:ascii="宋体" w:hAnsi="宋体" w:eastAsia="宋体" w:cs="宋体"/>
              <w:szCs w:val="36"/>
              <w:highlight w:val="none"/>
              <w:lang w:eastAsia="zh-CN"/>
            </w:rPr>
            <w:t>中央空调系统维护保养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_Toc27761 \h </w:instrText>
          </w:r>
          <w:r>
            <w:rPr>
              <w:rFonts w:hint="eastAsia" w:ascii="宋体" w:hAnsi="宋体" w:eastAsia="宋体" w:cs="宋体"/>
              <w:highlight w:val="none"/>
            </w:rPr>
            <w:fldChar w:fldCharType="separate"/>
          </w:r>
          <w:r>
            <w:rPr>
              <w:rFonts w:hint="eastAsia" w:ascii="宋体" w:hAnsi="宋体" w:eastAsia="宋体" w:cs="宋体"/>
              <w:highlight w:val="none"/>
            </w:rPr>
            <w:t>48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7DC4F719">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_Toc29035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B  </w:t>
          </w:r>
          <w:r>
            <w:rPr>
              <w:rFonts w:hint="eastAsia" w:ascii="宋体" w:hAnsi="宋体" w:eastAsia="宋体" w:cs="宋体"/>
              <w:szCs w:val="36"/>
              <w:highlight w:val="none"/>
              <w:lang w:eastAsia="zh-CN"/>
            </w:rPr>
            <w:t>给排水系统维护保养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_Toc29035 \h </w:instrText>
          </w:r>
          <w:r>
            <w:rPr>
              <w:rFonts w:hint="eastAsia" w:ascii="宋体" w:hAnsi="宋体" w:eastAsia="宋体" w:cs="宋体"/>
              <w:highlight w:val="none"/>
            </w:rPr>
            <w:fldChar w:fldCharType="separate"/>
          </w:r>
          <w:r>
            <w:rPr>
              <w:rFonts w:hint="eastAsia" w:ascii="宋体" w:hAnsi="宋体" w:eastAsia="宋体" w:cs="宋体"/>
              <w:highlight w:val="none"/>
            </w:rPr>
            <w:t>50</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04BE8AB">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_Toc17084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C  </w:t>
          </w:r>
          <w:r>
            <w:rPr>
              <w:rFonts w:hint="eastAsia" w:ascii="宋体" w:hAnsi="宋体" w:eastAsia="宋体" w:cs="宋体"/>
              <w:szCs w:val="36"/>
              <w:highlight w:val="none"/>
              <w:lang w:eastAsia="zh-CN"/>
            </w:rPr>
            <w:t>安全技术防范与多媒体系统巡查维护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_Toc17084 \h </w:instrText>
          </w:r>
          <w:r>
            <w:rPr>
              <w:rFonts w:hint="eastAsia" w:ascii="宋体" w:hAnsi="宋体" w:eastAsia="宋体" w:cs="宋体"/>
              <w:highlight w:val="none"/>
            </w:rPr>
            <w:fldChar w:fldCharType="separate"/>
          </w:r>
          <w:r>
            <w:rPr>
              <w:rFonts w:hint="eastAsia" w:ascii="宋体" w:hAnsi="宋体" w:eastAsia="宋体" w:cs="宋体"/>
              <w:highlight w:val="none"/>
            </w:rPr>
            <w:t>51</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74E18B4">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_Toc26492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D  </w:t>
          </w:r>
          <w:r>
            <w:rPr>
              <w:rFonts w:hint="eastAsia" w:ascii="宋体" w:hAnsi="宋体" w:eastAsia="宋体" w:cs="宋体"/>
              <w:szCs w:val="36"/>
              <w:highlight w:val="none"/>
              <w:lang w:val="zh-CN" w:eastAsia="zh-CN"/>
            </w:rPr>
            <w:t>重要部位（区域）</w:t>
          </w:r>
          <w:r>
            <w:rPr>
              <w:rFonts w:hint="eastAsia" w:ascii="宋体" w:hAnsi="宋体" w:eastAsia="宋体" w:cs="宋体"/>
              <w:szCs w:val="36"/>
              <w:highlight w:val="none"/>
              <w:lang w:val="en-US" w:eastAsia="zh-CN"/>
            </w:rPr>
            <w:t>人防配置表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_Toc26492 \h </w:instrText>
          </w:r>
          <w:r>
            <w:rPr>
              <w:rFonts w:hint="eastAsia" w:ascii="宋体" w:hAnsi="宋体" w:eastAsia="宋体" w:cs="宋体"/>
              <w:highlight w:val="none"/>
            </w:rPr>
            <w:fldChar w:fldCharType="separate"/>
          </w:r>
          <w:r>
            <w:rPr>
              <w:rFonts w:hint="eastAsia" w:ascii="宋体" w:hAnsi="宋体" w:eastAsia="宋体" w:cs="宋体"/>
              <w:highlight w:val="none"/>
            </w:rPr>
            <w:t>53</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19D61893">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_Toc17111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E  </w:t>
          </w:r>
          <w:r>
            <w:rPr>
              <w:rFonts w:hint="eastAsia" w:ascii="宋体" w:hAnsi="宋体" w:eastAsia="宋体" w:cs="宋体"/>
              <w:szCs w:val="36"/>
              <w:highlight w:val="none"/>
              <w:lang w:val="zh-CN" w:eastAsia="zh-CN"/>
            </w:rPr>
            <w:t>重要部位分类</w:t>
          </w:r>
          <w:r>
            <w:rPr>
              <w:rFonts w:hint="eastAsia" w:ascii="宋体" w:hAnsi="宋体" w:eastAsia="宋体" w:cs="宋体"/>
              <w:szCs w:val="36"/>
              <w:highlight w:val="none"/>
              <w:lang w:val="en-US" w:eastAsia="zh-CN"/>
            </w:rPr>
            <w:t>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_Toc17111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43541073">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_Toc22752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F  </w:t>
          </w:r>
          <w:r>
            <w:rPr>
              <w:rFonts w:hint="eastAsia" w:ascii="宋体" w:hAnsi="宋体" w:eastAsia="宋体" w:cs="宋体"/>
              <w:szCs w:val="36"/>
              <w:highlight w:val="none"/>
              <w:lang w:val="zh-CN" w:eastAsia="zh-CN"/>
            </w:rPr>
            <w:t>建筑物内公共区域保洁服务标准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_Toc22752 \h </w:instrText>
          </w:r>
          <w:r>
            <w:rPr>
              <w:rFonts w:hint="eastAsia" w:ascii="宋体" w:hAnsi="宋体" w:eastAsia="宋体" w:cs="宋体"/>
              <w:highlight w:val="none"/>
            </w:rPr>
            <w:fldChar w:fldCharType="separate"/>
          </w:r>
          <w:r>
            <w:rPr>
              <w:rFonts w:hint="eastAsia" w:ascii="宋体" w:hAnsi="宋体" w:eastAsia="宋体" w:cs="宋体"/>
              <w:highlight w:val="none"/>
            </w:rPr>
            <w:t>55</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E77CF72">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_Toc20390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6"/>
              <w:highlight w:val="none"/>
            </w:rPr>
            <w:t>附录</w:t>
          </w:r>
          <w:r>
            <w:rPr>
              <w:rFonts w:hint="eastAsia" w:ascii="宋体" w:hAnsi="宋体" w:eastAsia="宋体" w:cs="宋体"/>
              <w:szCs w:val="36"/>
              <w:highlight w:val="none"/>
              <w:lang w:val="en-US" w:eastAsia="zh-CN"/>
            </w:rPr>
            <w:t xml:space="preserve">G  </w:t>
          </w:r>
          <w:r>
            <w:rPr>
              <w:rFonts w:hint="eastAsia" w:ascii="宋体" w:hAnsi="宋体" w:eastAsia="宋体" w:cs="宋体"/>
              <w:szCs w:val="36"/>
              <w:highlight w:val="none"/>
              <w:lang w:val="zh-CN" w:eastAsia="zh-CN"/>
            </w:rPr>
            <w:t>建筑物</w:t>
          </w:r>
          <w:r>
            <w:rPr>
              <w:rFonts w:hint="eastAsia" w:ascii="宋体" w:hAnsi="宋体" w:eastAsia="宋体" w:cs="宋体"/>
              <w:szCs w:val="36"/>
              <w:highlight w:val="none"/>
              <w:lang w:val="en-US" w:eastAsia="zh-CN"/>
            </w:rPr>
            <w:t>外</w:t>
          </w:r>
          <w:r>
            <w:rPr>
              <w:rFonts w:hint="eastAsia" w:ascii="宋体" w:hAnsi="宋体" w:eastAsia="宋体" w:cs="宋体"/>
              <w:szCs w:val="36"/>
              <w:highlight w:val="none"/>
              <w:lang w:val="zh-CN" w:eastAsia="zh-CN"/>
            </w:rPr>
            <w:t>公共区域保洁服务标准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_Toc20390 \h </w:instrText>
          </w:r>
          <w:r>
            <w:rPr>
              <w:rFonts w:hint="eastAsia" w:ascii="宋体" w:hAnsi="宋体" w:eastAsia="宋体" w:cs="宋体"/>
              <w:highlight w:val="none"/>
            </w:rPr>
            <w:fldChar w:fldCharType="separate"/>
          </w:r>
          <w:r>
            <w:rPr>
              <w:rFonts w:hint="eastAsia" w:ascii="宋体" w:hAnsi="宋体" w:eastAsia="宋体" w:cs="宋体"/>
              <w:highlight w:val="none"/>
            </w:rPr>
            <w:t>57</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5523D252">
          <w:pPr>
            <w:pStyle w:val="30"/>
            <w:tabs>
              <w:tab w:val="right" w:leader="dot" w:pos="9354"/>
            </w:tabs>
            <w:rPr>
              <w:rFonts w:hint="eastAsia" w:ascii="宋体" w:hAnsi="宋体" w:eastAsia="宋体" w:cs="宋体"/>
              <w:highlight w:val="none"/>
            </w:rPr>
          </w:pPr>
          <w:r>
            <w:rPr>
              <w:rFonts w:hint="eastAsia" w:ascii="宋体" w:hAnsi="宋体" w:eastAsia="宋体" w:cs="宋体"/>
              <w:color w:val="auto"/>
              <w:szCs w:val="24"/>
              <w:highlight w:val="none"/>
              <w:lang w:val="en-US" w:eastAsia="zh-CN"/>
            </w:rPr>
            <w:fldChar w:fldCharType="begin"/>
          </w:r>
          <w:r>
            <w:rPr>
              <w:rFonts w:hint="eastAsia" w:ascii="宋体" w:hAnsi="宋体" w:eastAsia="宋体" w:cs="宋体"/>
              <w:szCs w:val="24"/>
              <w:highlight w:val="none"/>
              <w:lang w:val="en-US" w:eastAsia="zh-CN"/>
            </w:rPr>
            <w:instrText xml:space="preserve"> HYPERLINK \l _Toc27938 </w:instrText>
          </w:r>
          <w:r>
            <w:rPr>
              <w:rFonts w:hint="eastAsia" w:ascii="宋体" w:hAnsi="宋体" w:eastAsia="宋体" w:cs="宋体"/>
              <w:szCs w:val="24"/>
              <w:highlight w:val="none"/>
              <w:lang w:val="en-US" w:eastAsia="zh-CN"/>
            </w:rPr>
            <w:fldChar w:fldCharType="separate"/>
          </w:r>
          <w:r>
            <w:rPr>
              <w:rFonts w:hint="eastAsia" w:ascii="宋体" w:hAnsi="宋体" w:eastAsia="宋体" w:cs="宋体"/>
              <w:szCs w:val="30"/>
              <w:highlight w:val="none"/>
            </w:rPr>
            <w:t>条文说明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_Toc27938 \h </w:instrText>
          </w:r>
          <w:r>
            <w:rPr>
              <w:rFonts w:hint="eastAsia" w:ascii="宋体" w:hAnsi="宋体" w:eastAsia="宋体" w:cs="宋体"/>
              <w:highlight w:val="none"/>
            </w:rPr>
            <w:fldChar w:fldCharType="separate"/>
          </w:r>
          <w:r>
            <w:rPr>
              <w:rFonts w:hint="eastAsia" w:ascii="宋体" w:hAnsi="宋体" w:eastAsia="宋体" w:cs="宋体"/>
              <w:highlight w:val="none"/>
            </w:rPr>
            <w:t>58</w:t>
          </w:r>
          <w:r>
            <w:rPr>
              <w:rFonts w:hint="eastAsia" w:ascii="宋体" w:hAnsi="宋体" w:eastAsia="宋体" w:cs="宋体"/>
              <w:highlight w:val="none"/>
            </w:rPr>
            <w:fldChar w:fldCharType="end"/>
          </w:r>
          <w:r>
            <w:rPr>
              <w:rFonts w:hint="eastAsia" w:ascii="宋体" w:hAnsi="宋体" w:eastAsia="宋体" w:cs="宋体"/>
              <w:color w:val="auto"/>
              <w:szCs w:val="24"/>
              <w:highlight w:val="none"/>
              <w:lang w:val="en-US" w:eastAsia="zh-CN"/>
            </w:rPr>
            <w:fldChar w:fldCharType="end"/>
          </w:r>
        </w:p>
        <w:p w14:paraId="0F694BBA">
          <w:pPr>
            <w:pStyle w:val="30"/>
            <w:tabs>
              <w:tab w:val="right" w:leader="dot" w:pos="9354"/>
            </w:tabs>
            <w:rPr>
              <w:highlight w:val="none"/>
            </w:rPr>
          </w:pPr>
        </w:p>
        <w:p w14:paraId="4D1378EA">
          <w:pPr>
            <w:keepNext w:val="0"/>
            <w:keepLines w:val="0"/>
            <w:pageBreakBefore w:val="0"/>
            <w:widowControl w:val="0"/>
            <w:tabs>
              <w:tab w:val="right" w:leader="dot" w:pos="9241"/>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lang w:val="en-US" w:eastAsia="zh-CN"/>
            </w:rPr>
            <w:fldChar w:fldCharType="end"/>
          </w:r>
        </w:p>
      </w:sdtContent>
    </w:sdt>
    <w:p w14:paraId="7FA32412">
      <w:pPr>
        <w:pStyle w:val="30"/>
        <w:tabs>
          <w:tab w:val="right" w:leader="dot" w:pos="9241"/>
        </w:tabs>
        <w:spacing w:before="78" w:after="78"/>
        <w:rPr>
          <w:rFonts w:hint="eastAsia" w:ascii="宋体" w:hAnsi="宋体" w:eastAsia="宋体" w:cs="宋体"/>
          <w:color w:val="auto"/>
          <w:sz w:val="24"/>
          <w:szCs w:val="24"/>
          <w:highlight w:val="none"/>
          <w:lang w:val="en-US" w:eastAsia="zh-CN"/>
        </w:rPr>
      </w:pPr>
    </w:p>
    <w:p w14:paraId="63CE6D01">
      <w:pPr>
        <w:rPr>
          <w:rFonts w:hint="eastAsia" w:ascii="宋体" w:hAnsi="宋体" w:eastAsia="宋体" w:cs="宋体"/>
          <w:color w:val="auto"/>
          <w:sz w:val="24"/>
          <w:szCs w:val="24"/>
          <w:highlight w:val="none"/>
          <w:lang w:val="en-US" w:eastAsia="zh-CN"/>
        </w:rPr>
      </w:pPr>
    </w:p>
    <w:p w14:paraId="7215D8AF">
      <w:pPr>
        <w:rPr>
          <w:rFonts w:hint="eastAsia" w:ascii="宋体" w:hAnsi="宋体" w:eastAsia="宋体" w:cs="宋体"/>
          <w:color w:val="auto"/>
          <w:sz w:val="24"/>
          <w:szCs w:val="24"/>
          <w:highlight w:val="none"/>
          <w:lang w:val="en-US" w:eastAsia="zh-CN"/>
        </w:rPr>
      </w:pPr>
    </w:p>
    <w:p w14:paraId="636A98AA">
      <w:pPr>
        <w:rPr>
          <w:rFonts w:hint="eastAsia" w:ascii="宋体" w:hAnsi="宋体" w:eastAsia="宋体" w:cs="宋体"/>
          <w:color w:val="auto"/>
          <w:sz w:val="24"/>
          <w:szCs w:val="24"/>
          <w:highlight w:val="none"/>
          <w:lang w:val="en-US" w:eastAsia="zh-CN"/>
        </w:rPr>
      </w:pPr>
    </w:p>
    <w:p w14:paraId="2ACFD66C">
      <w:pPr>
        <w:rPr>
          <w:rFonts w:hint="eastAsia" w:ascii="宋体" w:hAnsi="宋体" w:eastAsia="宋体" w:cs="宋体"/>
          <w:color w:val="auto"/>
          <w:sz w:val="24"/>
          <w:szCs w:val="24"/>
          <w:highlight w:val="none"/>
          <w:lang w:val="en-US" w:eastAsia="zh-CN"/>
        </w:rPr>
      </w:pPr>
    </w:p>
    <w:p w14:paraId="0D0AF6AB">
      <w:pPr>
        <w:rPr>
          <w:rFonts w:hint="eastAsia" w:ascii="宋体" w:hAnsi="宋体" w:eastAsia="宋体" w:cs="宋体"/>
          <w:color w:val="auto"/>
          <w:sz w:val="24"/>
          <w:szCs w:val="24"/>
          <w:highlight w:val="none"/>
          <w:lang w:val="en-US" w:eastAsia="zh-CN"/>
        </w:rPr>
      </w:pPr>
    </w:p>
    <w:p w14:paraId="7E8DC905">
      <w:pPr>
        <w:rPr>
          <w:rFonts w:hint="eastAsia" w:ascii="宋体" w:hAnsi="宋体" w:eastAsia="宋体" w:cs="宋体"/>
          <w:color w:val="auto"/>
          <w:sz w:val="24"/>
          <w:szCs w:val="24"/>
          <w:highlight w:val="none"/>
          <w:lang w:val="en-US" w:eastAsia="zh-CN"/>
        </w:rPr>
      </w:pPr>
    </w:p>
    <w:p w14:paraId="762FE768">
      <w:pPr>
        <w:rPr>
          <w:rFonts w:hint="eastAsia" w:ascii="宋体" w:hAnsi="宋体" w:eastAsia="宋体" w:cs="宋体"/>
          <w:color w:val="auto"/>
          <w:sz w:val="24"/>
          <w:szCs w:val="24"/>
          <w:highlight w:val="none"/>
          <w:lang w:val="en-US" w:eastAsia="zh-CN"/>
        </w:rPr>
      </w:pPr>
    </w:p>
    <w:p w14:paraId="33E2868A">
      <w:pPr>
        <w:rPr>
          <w:rFonts w:hint="eastAsia" w:ascii="宋体" w:hAnsi="宋体" w:eastAsia="宋体" w:cs="宋体"/>
          <w:color w:val="auto"/>
          <w:sz w:val="24"/>
          <w:szCs w:val="24"/>
          <w:highlight w:val="none"/>
          <w:lang w:val="en-US" w:eastAsia="zh-CN"/>
        </w:rPr>
      </w:pPr>
    </w:p>
    <w:p w14:paraId="5F4903A1">
      <w:pPr>
        <w:rPr>
          <w:rFonts w:hint="eastAsia" w:ascii="宋体" w:hAnsi="宋体" w:eastAsia="宋体" w:cs="宋体"/>
          <w:color w:val="auto"/>
          <w:sz w:val="24"/>
          <w:szCs w:val="24"/>
          <w:highlight w:val="none"/>
          <w:lang w:val="en-US" w:eastAsia="zh-CN"/>
        </w:rPr>
      </w:pPr>
    </w:p>
    <w:p w14:paraId="41E06164">
      <w:pPr>
        <w:rPr>
          <w:rFonts w:hint="eastAsia" w:ascii="宋体" w:hAnsi="宋体" w:eastAsia="宋体" w:cs="宋体"/>
          <w:color w:val="auto"/>
          <w:sz w:val="24"/>
          <w:szCs w:val="24"/>
          <w:highlight w:val="none"/>
          <w:lang w:val="en-US" w:eastAsia="zh-CN"/>
        </w:rPr>
      </w:pPr>
    </w:p>
    <w:p w14:paraId="7A32CDCC">
      <w:pPr>
        <w:rPr>
          <w:rFonts w:hint="eastAsia" w:ascii="宋体" w:hAnsi="宋体" w:eastAsia="宋体" w:cs="宋体"/>
          <w:color w:val="auto"/>
          <w:sz w:val="24"/>
          <w:szCs w:val="24"/>
          <w:highlight w:val="none"/>
          <w:lang w:val="en-US" w:eastAsia="zh-CN"/>
        </w:rPr>
      </w:pPr>
    </w:p>
    <w:p w14:paraId="597FFDEE">
      <w:pPr>
        <w:rPr>
          <w:rFonts w:hint="eastAsia" w:ascii="宋体" w:hAnsi="宋体" w:eastAsia="宋体" w:cs="宋体"/>
          <w:color w:val="auto"/>
          <w:sz w:val="24"/>
          <w:szCs w:val="24"/>
          <w:highlight w:val="none"/>
          <w:lang w:val="en-US" w:eastAsia="zh-CN"/>
        </w:rPr>
      </w:pPr>
    </w:p>
    <w:p w14:paraId="3CC8709F">
      <w:pPr>
        <w:rPr>
          <w:rFonts w:hint="eastAsia" w:ascii="宋体" w:hAnsi="宋体" w:eastAsia="宋体" w:cs="宋体"/>
          <w:color w:val="auto"/>
          <w:sz w:val="24"/>
          <w:szCs w:val="24"/>
          <w:highlight w:val="none"/>
          <w:lang w:val="en-US" w:eastAsia="zh-CN"/>
        </w:rPr>
      </w:pPr>
    </w:p>
    <w:p w14:paraId="772466CC">
      <w:pPr>
        <w:pStyle w:val="2"/>
        <w:rPr>
          <w:rFonts w:hint="eastAsia" w:ascii="宋体" w:hAnsi="宋体" w:eastAsia="宋体" w:cs="宋体"/>
          <w:color w:val="auto"/>
          <w:sz w:val="24"/>
          <w:szCs w:val="24"/>
          <w:highlight w:val="none"/>
          <w:lang w:val="en-US" w:eastAsia="zh-CN"/>
        </w:rPr>
      </w:pPr>
    </w:p>
    <w:p w14:paraId="71D176E0">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r>
        <w:rPr>
          <w:rFonts w:hint="default" w:ascii="Times New Roman" w:hAnsi="Times New Roman" w:cs="Times New Roman"/>
          <w:b/>
          <w:color w:val="auto"/>
          <w:sz w:val="36"/>
          <w:szCs w:val="36"/>
          <w:highlight w:val="none"/>
          <w:lang w:val="en-US" w:eastAsia="zh-CN"/>
        </w:rPr>
        <w:t>Contents</w:t>
      </w:r>
    </w:p>
    <w:p w14:paraId="160D16AF">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p>
    <w:p w14:paraId="4156BDC0">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rPr>
      </w:pPr>
      <w:bookmarkStart w:id="21" w:name="_Toc10497"/>
      <w:bookmarkStart w:id="22" w:name="_Toc31107"/>
      <w:r>
        <w:rPr>
          <w:rFonts w:hint="eastAsia" w:ascii="Times New Roman" w:hAnsi="Times New Roman" w:eastAsia="宋体" w:cs="Times New Roman"/>
          <w:sz w:val="24"/>
          <w:szCs w:val="24"/>
          <w:highlight w:val="none"/>
          <w:lang w:val="en-US" w:eastAsia="zh-CN"/>
        </w:rPr>
        <w:t xml:space="preserve">1  </w:t>
      </w:r>
      <w:r>
        <w:rPr>
          <w:rFonts w:hint="default" w:ascii="Times New Roman" w:hAnsi="Times New Roman" w:eastAsia="宋体" w:cs="Times New Roman"/>
          <w:sz w:val="24"/>
          <w:szCs w:val="24"/>
          <w:highlight w:val="none"/>
        </w:rPr>
        <w:t>General Provisions</w:t>
      </w:r>
      <w:r>
        <w:rPr>
          <w:rFonts w:hint="eastAsia" w:ascii="Times New Roman" w:hAnsi="Times New Roman" w:eastAsia="宋体" w:cs="Times New Roman"/>
          <w:sz w:val="24"/>
          <w:szCs w:val="24"/>
          <w:highlight w:val="none"/>
          <w:lang w:val="en-US" w:eastAsia="zh-CN"/>
        </w:rPr>
        <w:tab/>
      </w:r>
      <w:bookmarkEnd w:id="21"/>
      <w:bookmarkEnd w:id="22"/>
      <w:r>
        <w:rPr>
          <w:rFonts w:hint="eastAsia" w:ascii="Times New Roman" w:hAnsi="Times New Roman" w:cs="Times New Roman"/>
          <w:sz w:val="24"/>
          <w:szCs w:val="24"/>
          <w:highlight w:val="none"/>
          <w:lang w:val="en-US" w:eastAsia="zh-CN"/>
        </w:rPr>
        <w:t>5</w:t>
      </w:r>
    </w:p>
    <w:p w14:paraId="34D8775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  </w:t>
      </w:r>
      <w:r>
        <w:rPr>
          <w:rFonts w:hint="default" w:ascii="Times New Roman" w:hAnsi="Times New Roman" w:eastAsia="宋体" w:cs="Times New Roman"/>
          <w:sz w:val="24"/>
          <w:szCs w:val="24"/>
          <w:highlight w:val="none"/>
        </w:rPr>
        <w:t>Terms and Definitions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6</w:t>
      </w:r>
    </w:p>
    <w:p w14:paraId="06289BC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3  </w:t>
      </w:r>
      <w:r>
        <w:rPr>
          <w:rFonts w:hint="default" w:ascii="Times New Roman" w:hAnsi="Times New Roman" w:eastAsia="宋体" w:cs="Times New Roman"/>
          <w:sz w:val="24"/>
          <w:szCs w:val="24"/>
          <w:highlight w:val="none"/>
        </w:rPr>
        <w:t xml:space="preserve">Management place classification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 </w:t>
      </w:r>
    </w:p>
    <w:p w14:paraId="05DF4DB6">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bookmarkStart w:id="23" w:name="_Toc23042"/>
      <w:bookmarkStart w:id="24" w:name="_Toc4209"/>
      <w:r>
        <w:rPr>
          <w:rFonts w:hint="eastAsia" w:ascii="Times New Roman" w:hAnsi="Times New Roman" w:cs="Times New Roman"/>
          <w:sz w:val="24"/>
          <w:szCs w:val="24"/>
          <w:highlight w:val="none"/>
          <w:lang w:val="en-US" w:eastAsia="zh-CN"/>
        </w:rPr>
        <w:t xml:space="preserve">4  </w:t>
      </w:r>
      <w:r>
        <w:rPr>
          <w:rFonts w:hint="default" w:ascii="Times New Roman" w:hAnsi="Times New Roman" w:cs="Times New Roman"/>
          <w:sz w:val="24"/>
          <w:szCs w:val="24"/>
          <w:highlight w:val="none"/>
        </w:rPr>
        <w:t>Basic Requirements</w:t>
      </w:r>
      <w:r>
        <w:rPr>
          <w:rFonts w:hint="eastAsia" w:ascii="Times New Roman" w:hAnsi="Times New Roman" w:cs="Times New Roman"/>
          <w:sz w:val="24"/>
          <w:szCs w:val="24"/>
          <w:highlight w:val="none"/>
          <w:lang w:val="en-US" w:eastAsia="zh-CN"/>
        </w:rPr>
        <w:tab/>
      </w:r>
      <w:bookmarkEnd w:id="23"/>
      <w:r>
        <w:rPr>
          <w:rFonts w:hint="eastAsia" w:ascii="Times New Roman" w:hAnsi="Times New Roman" w:cs="Times New Roman"/>
          <w:sz w:val="24"/>
          <w:szCs w:val="24"/>
          <w:highlight w:val="none"/>
          <w:lang w:val="en-US" w:eastAsia="zh-CN"/>
        </w:rPr>
        <w:t>9</w:t>
      </w:r>
      <w:bookmarkEnd w:id="24"/>
      <w:r>
        <w:rPr>
          <w:rFonts w:hint="default" w:ascii="Times New Roman" w:hAnsi="Times New Roman" w:cs="Times New Roman"/>
          <w:sz w:val="24"/>
          <w:szCs w:val="24"/>
          <w:highlight w:val="none"/>
        </w:rPr>
        <w:t xml:space="preserve"> </w:t>
      </w:r>
    </w:p>
    <w:p w14:paraId="116D732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4.1 Personnel Requirements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 xml:space="preserve"> </w:t>
      </w:r>
    </w:p>
    <w:p w14:paraId="152CAC81">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4.2 Financial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 xml:space="preserve"> </w:t>
      </w:r>
    </w:p>
    <w:p w14:paraId="5C45DCC9">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4.3 Archives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 xml:space="preserve"> </w:t>
      </w:r>
    </w:p>
    <w:p w14:paraId="3FAD79C3">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4.4 Confidentiality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10</w:t>
      </w:r>
      <w:r>
        <w:rPr>
          <w:rFonts w:hint="default" w:ascii="Times New Roman" w:hAnsi="Times New Roman" w:eastAsia="宋体" w:cs="Times New Roman"/>
          <w:sz w:val="24"/>
          <w:szCs w:val="24"/>
          <w:highlight w:val="none"/>
        </w:rPr>
        <w:t xml:space="preserve"> </w:t>
      </w:r>
    </w:p>
    <w:p w14:paraId="7A608898">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outlineLvl w:val="1"/>
        <w:rPr>
          <w:rFonts w:hint="default" w:ascii="Times New Roman" w:hAnsi="Times New Roman" w:eastAsia="宋体" w:cs="Times New Roman"/>
          <w:sz w:val="24"/>
          <w:szCs w:val="24"/>
          <w:highlight w:val="none"/>
          <w:lang w:val="en-US" w:eastAsia="zh-CN"/>
        </w:rPr>
      </w:pPr>
      <w:bookmarkStart w:id="25" w:name="_Toc25215"/>
      <w:bookmarkStart w:id="26" w:name="_Toc25637"/>
      <w:r>
        <w:rPr>
          <w:rFonts w:hint="default" w:ascii="Times New Roman" w:hAnsi="Times New Roman" w:eastAsia="宋体" w:cs="Times New Roman"/>
          <w:sz w:val="24"/>
          <w:szCs w:val="24"/>
          <w:highlight w:val="none"/>
        </w:rPr>
        <w:t xml:space="preserve">4.5 Identification Management </w:t>
      </w:r>
      <w:r>
        <w:rPr>
          <w:rFonts w:hint="eastAsia" w:ascii="Times New Roman" w:hAnsi="Times New Roman" w:eastAsia="宋体" w:cs="Times New Roman"/>
          <w:sz w:val="24"/>
          <w:szCs w:val="24"/>
          <w:highlight w:val="none"/>
          <w:lang w:val="en-US" w:eastAsia="zh-CN"/>
        </w:rPr>
        <w:tab/>
      </w:r>
      <w:bookmarkEnd w:id="25"/>
      <w:r>
        <w:rPr>
          <w:rFonts w:hint="eastAsia" w:ascii="Times New Roman" w:hAnsi="Times New Roman" w:cs="Times New Roman"/>
          <w:sz w:val="24"/>
          <w:szCs w:val="24"/>
          <w:highlight w:val="none"/>
          <w:lang w:val="en-US" w:eastAsia="zh-CN"/>
        </w:rPr>
        <w:t>10</w:t>
      </w:r>
      <w:bookmarkEnd w:id="26"/>
    </w:p>
    <w:p w14:paraId="69F20993">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5  </w:t>
      </w:r>
      <w:r>
        <w:rPr>
          <w:rFonts w:hint="default" w:ascii="Times New Roman" w:hAnsi="Times New Roman" w:eastAsia="宋体" w:cs="Times New Roman"/>
          <w:sz w:val="24"/>
          <w:szCs w:val="24"/>
          <w:highlight w:val="none"/>
        </w:rPr>
        <w:t xml:space="preserve">Operational Safety Management Requirements for Electric Power Generation Sites </w:t>
      </w:r>
      <w:r>
        <w:rPr>
          <w:rFonts w:hint="eastAsia" w:ascii="Times New Roman" w:hAnsi="Times New Roman" w:cs="Times New Roman"/>
          <w:sz w:val="24"/>
          <w:szCs w:val="24"/>
          <w:highlight w:val="none"/>
          <w:lang w:val="en-US" w:eastAsia="zh-CN"/>
        </w:rPr>
        <w:t>11</w:t>
      </w:r>
    </w:p>
    <w:p w14:paraId="0796EF96">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6  </w:t>
      </w:r>
      <w:r>
        <w:rPr>
          <w:rFonts w:hint="default" w:ascii="Times New Roman" w:hAnsi="Times New Roman" w:eastAsia="宋体" w:cs="Times New Roman"/>
          <w:sz w:val="24"/>
          <w:szCs w:val="24"/>
          <w:highlight w:val="none"/>
        </w:rPr>
        <w:t>Inspection and Acceptance</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13</w:t>
      </w:r>
    </w:p>
    <w:p w14:paraId="70EB9040">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rPr>
      </w:pPr>
      <w:bookmarkStart w:id="27" w:name="_Toc8396"/>
      <w:bookmarkStart w:id="28" w:name="_Toc4587"/>
      <w:r>
        <w:rPr>
          <w:rFonts w:hint="eastAsia" w:ascii="Times New Roman" w:hAnsi="Times New Roman" w:eastAsia="宋体" w:cs="Times New Roman"/>
          <w:sz w:val="24"/>
          <w:szCs w:val="24"/>
          <w:highlight w:val="none"/>
          <w:lang w:val="en-US" w:eastAsia="zh-CN"/>
        </w:rPr>
        <w:t xml:space="preserve">7  </w:t>
      </w:r>
      <w:r>
        <w:rPr>
          <w:rFonts w:hint="default" w:ascii="Times New Roman" w:hAnsi="Times New Roman" w:eastAsia="宋体" w:cs="Times New Roman"/>
          <w:sz w:val="24"/>
          <w:szCs w:val="24"/>
          <w:highlight w:val="none"/>
        </w:rPr>
        <w:t xml:space="preserve">Comprehensive Services </w:t>
      </w:r>
      <w:r>
        <w:rPr>
          <w:rFonts w:hint="eastAsia" w:ascii="Times New Roman" w:hAnsi="Times New Roman" w:eastAsia="宋体" w:cs="Times New Roman"/>
          <w:sz w:val="24"/>
          <w:szCs w:val="24"/>
          <w:highlight w:val="none"/>
          <w:lang w:val="en-US" w:eastAsia="zh-CN"/>
        </w:rPr>
        <w:tab/>
      </w:r>
      <w:bookmarkEnd w:id="27"/>
      <w:r>
        <w:rPr>
          <w:rFonts w:hint="eastAsia" w:ascii="Times New Roman" w:hAnsi="Times New Roman" w:cs="Times New Roman"/>
          <w:sz w:val="24"/>
          <w:szCs w:val="24"/>
          <w:highlight w:val="none"/>
          <w:lang w:val="en-US" w:eastAsia="zh-CN"/>
        </w:rPr>
        <w:t>1</w:t>
      </w:r>
      <w:bookmarkEnd w:id="28"/>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rPr>
        <w:t xml:space="preserve"> </w:t>
      </w:r>
    </w:p>
    <w:p w14:paraId="78D9A1FA">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cs="Times New Roman"/>
          <w:sz w:val="24"/>
          <w:szCs w:val="24"/>
          <w:highlight w:val="none"/>
        </w:rPr>
      </w:pPr>
      <w:bookmarkStart w:id="29" w:name="_Toc7564"/>
      <w:bookmarkStart w:id="30" w:name="_Toc31015"/>
      <w:r>
        <w:rPr>
          <w:rFonts w:hint="default" w:ascii="Times New Roman" w:hAnsi="Times New Roman" w:cs="Times New Roman"/>
          <w:sz w:val="24"/>
          <w:szCs w:val="24"/>
          <w:highlight w:val="none"/>
        </w:rPr>
        <w:t>7.1 Customer Service</w:t>
      </w:r>
      <w:r>
        <w:rPr>
          <w:rFonts w:hint="eastAsia" w:ascii="Times New Roman" w:hAnsi="Times New Roman" w:cs="Times New Roman"/>
          <w:sz w:val="24"/>
          <w:szCs w:val="24"/>
          <w:highlight w:val="none"/>
          <w:lang w:val="en-US" w:eastAsia="zh-CN"/>
        </w:rPr>
        <w:tab/>
      </w:r>
      <w:bookmarkEnd w:id="29"/>
      <w:r>
        <w:rPr>
          <w:rFonts w:hint="eastAsia" w:ascii="Times New Roman" w:hAnsi="Times New Roman" w:cs="Times New Roman"/>
          <w:sz w:val="24"/>
          <w:szCs w:val="24"/>
          <w:highlight w:val="none"/>
          <w:lang w:val="en-US" w:eastAsia="zh-CN"/>
        </w:rPr>
        <w:t>1</w:t>
      </w:r>
      <w:bookmarkEnd w:id="30"/>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 xml:space="preserve"> </w:t>
      </w:r>
    </w:p>
    <w:p w14:paraId="727E27B3">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7.2 Reporting and Maintenance Requests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14</w:t>
      </w:r>
    </w:p>
    <w:p w14:paraId="49BD64BA">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7.3 Renovation/Construction Supervision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p>
    <w:p w14:paraId="66AF81AD">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7.4 Convenience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r>
        <w:rPr>
          <w:rFonts w:hint="default" w:ascii="Times New Roman" w:hAnsi="Times New Roman" w:cs="Times New Roman"/>
          <w:sz w:val="24"/>
          <w:szCs w:val="24"/>
          <w:highlight w:val="none"/>
        </w:rPr>
        <w:t xml:space="preserve"> </w:t>
      </w:r>
    </w:p>
    <w:p w14:paraId="78CBFE8D">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420" w:firstLineChars="175"/>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7.5 Other Services</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p>
    <w:p w14:paraId="08883C71">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8  </w:t>
      </w:r>
      <w:r>
        <w:rPr>
          <w:rFonts w:hint="default" w:ascii="Times New Roman" w:hAnsi="Times New Roman" w:cs="Times New Roman"/>
          <w:sz w:val="24"/>
          <w:szCs w:val="24"/>
          <w:highlight w:val="none"/>
        </w:rPr>
        <w:t xml:space="preserve">Inspection and Maintenance of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17</w:t>
      </w:r>
      <w:r>
        <w:rPr>
          <w:rFonts w:hint="default" w:ascii="Times New Roman" w:hAnsi="Times New Roman" w:cs="Times New Roman"/>
          <w:sz w:val="24"/>
          <w:szCs w:val="24"/>
          <w:highlight w:val="none"/>
        </w:rPr>
        <w:t xml:space="preserve"> </w:t>
      </w:r>
    </w:p>
    <w:p w14:paraId="5969C91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8.1 Housing and Building Structures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17</w:t>
      </w:r>
      <w:r>
        <w:rPr>
          <w:rFonts w:hint="default" w:ascii="Times New Roman" w:hAnsi="Times New Roman" w:eastAsia="宋体" w:cs="Times New Roman"/>
          <w:sz w:val="24"/>
          <w:szCs w:val="24"/>
          <w:highlight w:val="none"/>
        </w:rPr>
        <w:t xml:space="preserve"> </w:t>
      </w:r>
    </w:p>
    <w:p w14:paraId="5C696DC4">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8.2 Routine Maintenance of Hydraulic Structures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17</w:t>
      </w:r>
    </w:p>
    <w:p w14:paraId="285876FD">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9  </w:t>
      </w:r>
      <w:r>
        <w:rPr>
          <w:rFonts w:hint="default" w:ascii="Times New Roman" w:hAnsi="Times New Roman" w:cs="Times New Roman"/>
          <w:sz w:val="24"/>
          <w:szCs w:val="24"/>
          <w:highlight w:val="none"/>
        </w:rPr>
        <w:t xml:space="preserve">Facility Equipment Operation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18</w:t>
      </w:r>
      <w:r>
        <w:rPr>
          <w:rFonts w:hint="default" w:ascii="Times New Roman" w:hAnsi="Times New Roman" w:cs="Times New Roman"/>
          <w:sz w:val="24"/>
          <w:szCs w:val="24"/>
          <w:highlight w:val="none"/>
        </w:rPr>
        <w:t xml:space="preserve"> </w:t>
      </w:r>
    </w:p>
    <w:p w14:paraId="1F7A60E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 xml:space="preserve">9.1 Power Supply and Distribution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18</w:t>
      </w:r>
    </w:p>
    <w:p w14:paraId="75FCBBC1">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31" w:name="_Toc901"/>
      <w:bookmarkStart w:id="32" w:name="_Toc28732"/>
      <w:r>
        <w:rPr>
          <w:rFonts w:hint="default" w:ascii="Times New Roman" w:hAnsi="Times New Roman" w:eastAsia="宋体" w:cs="Times New Roman"/>
          <w:sz w:val="24"/>
          <w:szCs w:val="24"/>
          <w:highlight w:val="none"/>
        </w:rPr>
        <w:t xml:space="preserve">9.2 Air Conditioning Systems </w:t>
      </w:r>
      <w:r>
        <w:rPr>
          <w:rFonts w:hint="eastAsia" w:ascii="Times New Roman" w:hAnsi="Times New Roman" w:eastAsia="宋体" w:cs="Times New Roman"/>
          <w:sz w:val="24"/>
          <w:szCs w:val="24"/>
          <w:highlight w:val="none"/>
          <w:lang w:val="en-US" w:eastAsia="zh-CN"/>
        </w:rPr>
        <w:tab/>
      </w:r>
      <w:bookmarkEnd w:id="31"/>
      <w:r>
        <w:rPr>
          <w:rFonts w:hint="eastAsia" w:ascii="Times New Roman" w:hAnsi="Times New Roman" w:cs="Times New Roman"/>
          <w:sz w:val="24"/>
          <w:szCs w:val="24"/>
          <w:highlight w:val="none"/>
          <w:lang w:val="en-US" w:eastAsia="zh-CN"/>
        </w:rPr>
        <w:t>1</w:t>
      </w:r>
      <w:bookmarkEnd w:id="32"/>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 xml:space="preserve"> </w:t>
      </w:r>
    </w:p>
    <w:p w14:paraId="6EAE3FB4">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9.3 Water Supply and Drainage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20</w:t>
      </w:r>
      <w:r>
        <w:rPr>
          <w:rFonts w:hint="default" w:ascii="Times New Roman" w:hAnsi="Times New Roman" w:eastAsia="宋体" w:cs="Times New Roman"/>
          <w:sz w:val="24"/>
          <w:szCs w:val="24"/>
          <w:highlight w:val="none"/>
        </w:rPr>
        <w:t xml:space="preserve"> </w:t>
      </w:r>
    </w:p>
    <w:p w14:paraId="4773716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33" w:name="_Toc29530"/>
      <w:bookmarkStart w:id="34" w:name="_Toc18767"/>
      <w:r>
        <w:rPr>
          <w:rFonts w:hint="default" w:ascii="Times New Roman" w:hAnsi="Times New Roman" w:eastAsia="宋体" w:cs="Times New Roman"/>
          <w:sz w:val="24"/>
          <w:szCs w:val="24"/>
          <w:highlight w:val="none"/>
        </w:rPr>
        <w:t xml:space="preserve">9.4 Elevator Systems </w:t>
      </w:r>
      <w:r>
        <w:rPr>
          <w:rFonts w:hint="eastAsia" w:ascii="Times New Roman" w:hAnsi="Times New Roman" w:eastAsia="宋体" w:cs="Times New Roman"/>
          <w:sz w:val="24"/>
          <w:szCs w:val="24"/>
          <w:highlight w:val="none"/>
          <w:lang w:val="en-US" w:eastAsia="zh-CN"/>
        </w:rPr>
        <w:tab/>
      </w:r>
      <w:bookmarkEnd w:id="33"/>
      <w:r>
        <w:rPr>
          <w:rFonts w:hint="eastAsia" w:ascii="Times New Roman" w:hAnsi="Times New Roman" w:cs="Times New Roman"/>
          <w:sz w:val="24"/>
          <w:szCs w:val="24"/>
          <w:highlight w:val="none"/>
          <w:lang w:val="en-US" w:eastAsia="zh-CN"/>
        </w:rPr>
        <w:t>2</w:t>
      </w:r>
      <w:bookmarkEnd w:id="34"/>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p>
    <w:p w14:paraId="2F5956A8">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9.5 Fire Protection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23</w:t>
      </w:r>
      <w:r>
        <w:rPr>
          <w:rFonts w:hint="default" w:ascii="Times New Roman" w:hAnsi="Times New Roman" w:eastAsia="宋体" w:cs="Times New Roman"/>
          <w:sz w:val="24"/>
          <w:szCs w:val="24"/>
          <w:highlight w:val="none"/>
        </w:rPr>
        <w:t xml:space="preserve"> </w:t>
      </w:r>
    </w:p>
    <w:p w14:paraId="0D44466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9.6 Lightning Protection Systems for Buildings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24</w:t>
      </w:r>
      <w:r>
        <w:rPr>
          <w:rFonts w:hint="default" w:ascii="Times New Roman" w:hAnsi="Times New Roman" w:eastAsia="宋体" w:cs="Times New Roman"/>
          <w:sz w:val="24"/>
          <w:szCs w:val="24"/>
          <w:highlight w:val="none"/>
        </w:rPr>
        <w:t xml:space="preserve"> </w:t>
      </w:r>
    </w:p>
    <w:p w14:paraId="08FBC8C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9.7 Security Technology and Multimedia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25</w:t>
      </w:r>
      <w:r>
        <w:rPr>
          <w:rFonts w:hint="default" w:ascii="Times New Roman" w:hAnsi="Times New Roman" w:eastAsia="宋体" w:cs="Times New Roman"/>
          <w:sz w:val="24"/>
          <w:szCs w:val="24"/>
          <w:highlight w:val="none"/>
        </w:rPr>
        <w:t xml:space="preserve"> </w:t>
      </w:r>
    </w:p>
    <w:p w14:paraId="2AC9D1D9">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9.8 Public and Production Area Lighting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25</w:t>
      </w:r>
      <w:r>
        <w:rPr>
          <w:rFonts w:hint="default" w:ascii="Times New Roman" w:hAnsi="Times New Roman" w:eastAsia="宋体" w:cs="Times New Roman"/>
          <w:sz w:val="24"/>
          <w:szCs w:val="24"/>
          <w:highlight w:val="none"/>
        </w:rPr>
        <w:t xml:space="preserve"> </w:t>
      </w:r>
    </w:p>
    <w:p w14:paraId="2AF02DA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 xml:space="preserve">9.9 Production Area Equipment Cleaning and Maintenance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25</w:t>
      </w:r>
    </w:p>
    <w:p w14:paraId="3F0C1D22">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bookmarkStart w:id="35" w:name="_Toc23372"/>
      <w:bookmarkStart w:id="36" w:name="_Toc29964"/>
      <w:r>
        <w:rPr>
          <w:rFonts w:hint="eastAsia" w:ascii="Times New Roman" w:hAnsi="Times New Roman" w:cs="Times New Roman"/>
          <w:sz w:val="24"/>
          <w:szCs w:val="24"/>
          <w:highlight w:val="none"/>
          <w:lang w:val="en-US" w:eastAsia="zh-CN"/>
        </w:rPr>
        <w:t xml:space="preserve">10  </w:t>
      </w:r>
      <w:r>
        <w:rPr>
          <w:rFonts w:hint="default" w:ascii="Times New Roman" w:hAnsi="Times New Roman" w:cs="Times New Roman"/>
          <w:sz w:val="24"/>
          <w:szCs w:val="24"/>
          <w:highlight w:val="none"/>
        </w:rPr>
        <w:t xml:space="preserve">Safety Management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w:t>
      </w:r>
      <w:bookmarkEnd w:id="35"/>
      <w:bookmarkEnd w:id="36"/>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 xml:space="preserve"> </w:t>
      </w:r>
    </w:p>
    <w:p w14:paraId="11023AF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37" w:name="_Toc26386"/>
      <w:bookmarkStart w:id="38" w:name="_Toc14120"/>
      <w:r>
        <w:rPr>
          <w:rFonts w:hint="default" w:ascii="Times New Roman" w:hAnsi="Times New Roman" w:eastAsia="宋体" w:cs="Times New Roman"/>
          <w:sz w:val="24"/>
          <w:szCs w:val="24"/>
          <w:highlight w:val="none"/>
        </w:rPr>
        <w:t xml:space="preserve">10.1 Access Management </w:t>
      </w:r>
      <w:r>
        <w:rPr>
          <w:rFonts w:hint="eastAsia" w:ascii="Times New Roman" w:hAnsi="Times New Roman" w:eastAsia="宋体" w:cs="Times New Roman"/>
          <w:sz w:val="24"/>
          <w:szCs w:val="24"/>
          <w:highlight w:val="none"/>
          <w:lang w:val="en-US" w:eastAsia="zh-CN"/>
        </w:rPr>
        <w:tab/>
      </w:r>
      <w:bookmarkEnd w:id="37"/>
      <w:r>
        <w:rPr>
          <w:rFonts w:hint="eastAsia" w:ascii="Times New Roman" w:hAnsi="Times New Roman" w:cs="Times New Roman"/>
          <w:sz w:val="24"/>
          <w:szCs w:val="24"/>
          <w:highlight w:val="none"/>
          <w:lang w:val="en-US" w:eastAsia="zh-CN"/>
        </w:rPr>
        <w:t>2</w:t>
      </w:r>
      <w:bookmarkEnd w:id="38"/>
      <w:r>
        <w:rPr>
          <w:rFonts w:hint="eastAsia" w:ascii="Times New Roman" w:hAnsi="Times New Roman" w:cs="Times New Roman"/>
          <w:sz w:val="24"/>
          <w:szCs w:val="24"/>
          <w:highlight w:val="none"/>
          <w:lang w:val="en-US" w:eastAsia="zh-CN"/>
        </w:rPr>
        <w:t>7</w:t>
      </w:r>
      <w:r>
        <w:rPr>
          <w:rFonts w:hint="default" w:ascii="Times New Roman" w:hAnsi="Times New Roman" w:eastAsia="宋体" w:cs="Times New Roman"/>
          <w:sz w:val="24"/>
          <w:szCs w:val="24"/>
          <w:highlight w:val="none"/>
        </w:rPr>
        <w:t xml:space="preserve"> </w:t>
      </w:r>
    </w:p>
    <w:p w14:paraId="1A7C88B3">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10.2 Traffic and Parking Order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27</w:t>
      </w:r>
      <w:r>
        <w:rPr>
          <w:rFonts w:hint="default" w:ascii="Times New Roman" w:hAnsi="Times New Roman" w:eastAsia="宋体" w:cs="Times New Roman"/>
          <w:sz w:val="24"/>
          <w:szCs w:val="24"/>
          <w:highlight w:val="none"/>
        </w:rPr>
        <w:t xml:space="preserve"> </w:t>
      </w:r>
    </w:p>
    <w:p w14:paraId="26810BD6">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10.3 Loading and Unloading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28</w:t>
      </w:r>
      <w:r>
        <w:rPr>
          <w:rFonts w:hint="default" w:ascii="Times New Roman" w:hAnsi="Times New Roman" w:eastAsia="宋体" w:cs="Times New Roman"/>
          <w:sz w:val="24"/>
          <w:szCs w:val="24"/>
          <w:highlight w:val="none"/>
        </w:rPr>
        <w:t xml:space="preserve"> </w:t>
      </w:r>
    </w:p>
    <w:p w14:paraId="53E96E6F">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39" w:name="_Toc31520"/>
      <w:bookmarkStart w:id="40" w:name="_Toc8783"/>
      <w:r>
        <w:rPr>
          <w:rFonts w:hint="default" w:ascii="Times New Roman" w:hAnsi="Times New Roman" w:eastAsia="宋体" w:cs="Times New Roman"/>
          <w:sz w:val="24"/>
          <w:szCs w:val="24"/>
          <w:highlight w:val="none"/>
        </w:rPr>
        <w:t xml:space="preserve">10.4 Public Order </w:t>
      </w:r>
      <w:r>
        <w:rPr>
          <w:rFonts w:hint="eastAsia" w:ascii="Times New Roman" w:hAnsi="Times New Roman" w:eastAsia="宋体" w:cs="Times New Roman"/>
          <w:sz w:val="24"/>
          <w:szCs w:val="24"/>
          <w:highlight w:val="none"/>
          <w:lang w:val="en-US" w:eastAsia="zh-CN"/>
        </w:rPr>
        <w:tab/>
      </w:r>
      <w:bookmarkEnd w:id="39"/>
      <w:r>
        <w:rPr>
          <w:rFonts w:hint="eastAsia" w:ascii="Times New Roman" w:hAnsi="Times New Roman" w:cs="Times New Roman"/>
          <w:sz w:val="24"/>
          <w:szCs w:val="24"/>
          <w:highlight w:val="none"/>
          <w:lang w:val="en-US" w:eastAsia="zh-CN"/>
        </w:rPr>
        <w:t>2</w:t>
      </w:r>
      <w:bookmarkEnd w:id="40"/>
      <w:r>
        <w:rPr>
          <w:rFonts w:hint="eastAsia"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 </w:t>
      </w:r>
    </w:p>
    <w:p w14:paraId="534D94F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10.5 Fire/Monitoring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29</w:t>
      </w:r>
      <w:r>
        <w:rPr>
          <w:rFonts w:hint="default" w:ascii="Times New Roman" w:hAnsi="Times New Roman" w:eastAsia="宋体" w:cs="Times New Roman"/>
          <w:sz w:val="24"/>
          <w:szCs w:val="24"/>
          <w:highlight w:val="none"/>
        </w:rPr>
        <w:t xml:space="preserve"> </w:t>
      </w:r>
    </w:p>
    <w:p w14:paraId="445A1A8F">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 xml:space="preserve">10.6 Inspection Management of Charging Stations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30</w:t>
      </w:r>
    </w:p>
    <w:p w14:paraId="748C04F1">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11  </w:t>
      </w:r>
      <w:r>
        <w:rPr>
          <w:rFonts w:hint="default" w:ascii="Times New Roman" w:hAnsi="Times New Roman" w:cs="Times New Roman"/>
          <w:sz w:val="24"/>
          <w:szCs w:val="24"/>
          <w:highlight w:val="none"/>
        </w:rPr>
        <w:t xml:space="preserve">Electrical Anti-terrorism and Emergency Response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31</w:t>
      </w:r>
      <w:r>
        <w:rPr>
          <w:rFonts w:hint="default" w:ascii="Times New Roman" w:hAnsi="Times New Roman" w:cs="Times New Roman"/>
          <w:sz w:val="24"/>
          <w:szCs w:val="24"/>
          <w:highlight w:val="none"/>
        </w:rPr>
        <w:t xml:space="preserve"> </w:t>
      </w:r>
    </w:p>
    <w:p w14:paraId="0A261B63">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11.1 Normal Anti-terrorism Requirements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31</w:t>
      </w:r>
      <w:r>
        <w:rPr>
          <w:rFonts w:hint="default" w:ascii="Times New Roman" w:hAnsi="Times New Roman" w:eastAsia="宋体" w:cs="Times New Roman"/>
          <w:sz w:val="24"/>
          <w:szCs w:val="24"/>
          <w:highlight w:val="none"/>
        </w:rPr>
        <w:t xml:space="preserve"> </w:t>
      </w:r>
    </w:p>
    <w:p w14:paraId="56E3917C">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11.2 Counter-terrorism Emergency Response</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33</w:t>
      </w:r>
      <w:r>
        <w:rPr>
          <w:rFonts w:hint="default" w:ascii="Times New Roman" w:hAnsi="Times New Roman" w:eastAsia="宋体" w:cs="Times New Roman"/>
          <w:sz w:val="24"/>
          <w:szCs w:val="24"/>
          <w:highlight w:val="none"/>
        </w:rPr>
        <w:t xml:space="preserve"> </w:t>
      </w:r>
    </w:p>
    <w:p w14:paraId="18D6A97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11.3 Daily Service Emergency Response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34</w:t>
      </w:r>
    </w:p>
    <w:p w14:paraId="7F0CCD64">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12  </w:t>
      </w:r>
      <w:r>
        <w:rPr>
          <w:rFonts w:hint="default" w:ascii="Times New Roman" w:hAnsi="Times New Roman" w:eastAsia="宋体" w:cs="Times New Roman"/>
          <w:sz w:val="24"/>
          <w:szCs w:val="24"/>
          <w:highlight w:val="none"/>
        </w:rPr>
        <w:t xml:space="preserve">Vehicle Driving and Management Services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36</w:t>
      </w:r>
    </w:p>
    <w:p w14:paraId="1831BFA8">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13  </w:t>
      </w:r>
      <w:r>
        <w:rPr>
          <w:rFonts w:hint="default" w:ascii="Times New Roman" w:hAnsi="Times New Roman" w:eastAsia="宋体" w:cs="Times New Roman"/>
          <w:sz w:val="24"/>
          <w:szCs w:val="24"/>
          <w:highlight w:val="none"/>
        </w:rPr>
        <w:t xml:space="preserve">Environmental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37</w:t>
      </w:r>
      <w:r>
        <w:rPr>
          <w:rFonts w:hint="default" w:ascii="Times New Roman" w:hAnsi="Times New Roman" w:eastAsia="宋体" w:cs="Times New Roman"/>
          <w:sz w:val="24"/>
          <w:szCs w:val="24"/>
          <w:highlight w:val="none"/>
        </w:rPr>
        <w:t xml:space="preserve">  </w:t>
      </w:r>
    </w:p>
    <w:p w14:paraId="6431FEDF">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w:t>
      </w:r>
      <w:r>
        <w:rPr>
          <w:rFonts w:hint="eastAsia"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rPr>
        <w:t xml:space="preserve"> Cleaning Services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37</w:t>
      </w:r>
      <w:r>
        <w:rPr>
          <w:rFonts w:hint="default" w:ascii="Times New Roman" w:hAnsi="Times New Roman" w:eastAsia="宋体" w:cs="Times New Roman"/>
          <w:sz w:val="24"/>
          <w:szCs w:val="24"/>
          <w:highlight w:val="none"/>
        </w:rPr>
        <w:t xml:space="preserve"> </w:t>
      </w:r>
    </w:p>
    <w:p w14:paraId="44105E29">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13.</w:t>
      </w: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 xml:space="preserve"> Greening Maintenance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39</w:t>
      </w:r>
    </w:p>
    <w:p w14:paraId="64CD7D5C">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bookmarkStart w:id="41" w:name="_Toc2071"/>
      <w:bookmarkStart w:id="42" w:name="_Toc21062"/>
      <w:r>
        <w:rPr>
          <w:rFonts w:hint="eastAsia" w:ascii="Times New Roman" w:hAnsi="Times New Roman" w:eastAsia="宋体" w:cs="Times New Roman"/>
          <w:sz w:val="24"/>
          <w:szCs w:val="24"/>
          <w:highlight w:val="none"/>
          <w:lang w:val="en-US" w:eastAsia="zh-CN"/>
        </w:rPr>
        <w:t xml:space="preserve">14  </w:t>
      </w:r>
      <w:r>
        <w:rPr>
          <w:rFonts w:hint="default" w:ascii="Times New Roman" w:hAnsi="Times New Roman" w:eastAsia="宋体" w:cs="Times New Roman"/>
          <w:sz w:val="24"/>
          <w:szCs w:val="24"/>
          <w:highlight w:val="none"/>
        </w:rPr>
        <w:t xml:space="preserve">Canteen Management </w:t>
      </w:r>
      <w:r>
        <w:rPr>
          <w:rFonts w:hint="eastAsia" w:ascii="Times New Roman" w:hAnsi="Times New Roman" w:eastAsia="宋体" w:cs="Times New Roman"/>
          <w:sz w:val="24"/>
          <w:szCs w:val="24"/>
          <w:highlight w:val="none"/>
          <w:lang w:val="en-US" w:eastAsia="zh-CN"/>
        </w:rPr>
        <w:tab/>
      </w:r>
      <w:bookmarkEnd w:id="41"/>
      <w:bookmarkEnd w:id="42"/>
      <w:r>
        <w:rPr>
          <w:rFonts w:hint="eastAsia" w:ascii="Times New Roman" w:hAnsi="Times New Roman" w:cs="Times New Roman"/>
          <w:sz w:val="24"/>
          <w:szCs w:val="24"/>
          <w:highlight w:val="none"/>
          <w:lang w:val="en-US" w:eastAsia="zh-CN"/>
        </w:rPr>
        <w:t>41</w:t>
      </w:r>
    </w:p>
    <w:p w14:paraId="16807BF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15  </w:t>
      </w:r>
      <w:r>
        <w:rPr>
          <w:rFonts w:hint="default" w:ascii="Times New Roman" w:hAnsi="Times New Roman" w:eastAsia="宋体" w:cs="Times New Roman"/>
          <w:sz w:val="24"/>
          <w:szCs w:val="24"/>
          <w:highlight w:val="none"/>
        </w:rPr>
        <w:t>Apartment services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42</w:t>
      </w:r>
    </w:p>
    <w:p w14:paraId="0B1531B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16  </w:t>
      </w:r>
      <w:r>
        <w:rPr>
          <w:rFonts w:hint="default" w:ascii="Times New Roman" w:hAnsi="Times New Roman" w:eastAsia="宋体" w:cs="Times New Roman"/>
          <w:sz w:val="24"/>
          <w:szCs w:val="24"/>
          <w:highlight w:val="none"/>
        </w:rPr>
        <w:t xml:space="preserve">Green Property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43</w:t>
      </w:r>
    </w:p>
    <w:p w14:paraId="2B43D68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rPr>
      </w:pPr>
      <w:bookmarkStart w:id="43" w:name="_Toc8555"/>
      <w:bookmarkStart w:id="44" w:name="_Toc28147"/>
      <w:r>
        <w:rPr>
          <w:rFonts w:hint="eastAsia" w:ascii="Times New Roman" w:hAnsi="Times New Roman" w:eastAsia="宋体" w:cs="Times New Roman"/>
          <w:sz w:val="24"/>
          <w:szCs w:val="24"/>
          <w:highlight w:val="none"/>
          <w:lang w:val="en-US" w:eastAsia="zh-CN"/>
        </w:rPr>
        <w:t xml:space="preserve">17  </w:t>
      </w:r>
      <w:r>
        <w:rPr>
          <w:rFonts w:hint="default" w:ascii="Times New Roman" w:hAnsi="Times New Roman" w:eastAsia="宋体" w:cs="Times New Roman"/>
          <w:sz w:val="24"/>
          <w:szCs w:val="24"/>
          <w:highlight w:val="none"/>
        </w:rPr>
        <w:t xml:space="preserve">Smart Property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bookmarkEnd w:id="43"/>
      <w:bookmarkEnd w:id="44"/>
      <w:r>
        <w:rPr>
          <w:rFonts w:hint="eastAsia" w:ascii="Times New Roman" w:hAnsi="Times New Roman" w:cs="Times New Roman"/>
          <w:sz w:val="24"/>
          <w:szCs w:val="24"/>
          <w:highlight w:val="none"/>
          <w:lang w:val="en-US" w:eastAsia="zh-CN"/>
        </w:rPr>
        <w:t>4</w:t>
      </w:r>
    </w:p>
    <w:p w14:paraId="1DF42ABF">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18  </w:t>
      </w:r>
      <w:r>
        <w:rPr>
          <w:rFonts w:hint="default" w:ascii="Times New Roman" w:hAnsi="Times New Roman" w:eastAsia="宋体" w:cs="Times New Roman"/>
          <w:sz w:val="24"/>
          <w:szCs w:val="24"/>
          <w:highlight w:val="none"/>
        </w:rPr>
        <w:t xml:space="preserve">Evaluation Requirements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45</w:t>
      </w:r>
      <w:r>
        <w:rPr>
          <w:rFonts w:hint="default" w:ascii="Times New Roman" w:hAnsi="Times New Roman" w:eastAsia="宋体" w:cs="Times New Roman"/>
          <w:sz w:val="24"/>
          <w:szCs w:val="24"/>
          <w:highlight w:val="none"/>
        </w:rPr>
        <w:t xml:space="preserve"> </w:t>
      </w:r>
    </w:p>
    <w:p w14:paraId="3C0340EE">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45" w:name="_Toc4082"/>
      <w:bookmarkStart w:id="46" w:name="_Toc31452"/>
      <w:r>
        <w:rPr>
          <w:rFonts w:hint="default" w:ascii="Times New Roman" w:hAnsi="Times New Roman" w:eastAsia="宋体" w:cs="Times New Roman"/>
          <w:sz w:val="24"/>
          <w:szCs w:val="24"/>
          <w:highlight w:val="none"/>
        </w:rPr>
        <w:t xml:space="preserve">18.1 Evaluation Principles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bookmarkEnd w:id="45"/>
      <w:bookmarkEnd w:id="46"/>
      <w:r>
        <w:rPr>
          <w:rFonts w:hint="eastAsia" w:ascii="Times New Roman" w:hAnsi="Times New Roman" w:cs="Times New Roman"/>
          <w:sz w:val="24"/>
          <w:szCs w:val="24"/>
          <w:highlight w:val="none"/>
          <w:lang w:val="en-US" w:eastAsia="zh-CN"/>
        </w:rPr>
        <w:t>5</w:t>
      </w:r>
      <w:r>
        <w:rPr>
          <w:rFonts w:hint="default" w:ascii="Times New Roman" w:hAnsi="Times New Roman" w:eastAsia="宋体" w:cs="Times New Roman"/>
          <w:sz w:val="24"/>
          <w:szCs w:val="24"/>
          <w:highlight w:val="none"/>
        </w:rPr>
        <w:t xml:space="preserve"> </w:t>
      </w:r>
    </w:p>
    <w:p w14:paraId="33321AE4">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18.2 Evaluation Subjects and Objects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45</w:t>
      </w:r>
      <w:r>
        <w:rPr>
          <w:rFonts w:hint="default" w:ascii="Times New Roman" w:hAnsi="Times New Roman" w:eastAsia="宋体" w:cs="Times New Roman"/>
          <w:sz w:val="24"/>
          <w:szCs w:val="24"/>
          <w:highlight w:val="none"/>
        </w:rPr>
        <w:t xml:space="preserve"> </w:t>
      </w:r>
    </w:p>
    <w:p w14:paraId="2D297DEA">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18.3 Evaluation Methods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45</w:t>
      </w:r>
      <w:r>
        <w:rPr>
          <w:rFonts w:hint="default" w:ascii="Times New Roman" w:hAnsi="Times New Roman" w:eastAsia="宋体" w:cs="Times New Roman"/>
          <w:sz w:val="24"/>
          <w:szCs w:val="24"/>
          <w:highlight w:val="none"/>
        </w:rPr>
        <w:t xml:space="preserve"> </w:t>
      </w:r>
    </w:p>
    <w:p w14:paraId="0F07B80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0" w:leftChars="0" w:firstLine="420" w:firstLineChars="175"/>
        <w:jc w:val="both"/>
        <w:textAlignment w:val="auto"/>
        <w:outlineLvl w:val="0"/>
        <w:rPr>
          <w:rFonts w:hint="default" w:ascii="Times New Roman" w:hAnsi="Times New Roman" w:eastAsia="宋体" w:cs="Times New Roman"/>
          <w:sz w:val="24"/>
          <w:szCs w:val="24"/>
          <w:highlight w:val="none"/>
          <w:lang w:val="en-US" w:eastAsia="zh-CN"/>
        </w:rPr>
      </w:pPr>
      <w:bookmarkStart w:id="47" w:name="_Toc9133"/>
      <w:r>
        <w:rPr>
          <w:rFonts w:hint="default" w:ascii="Times New Roman" w:hAnsi="Times New Roman" w:eastAsia="宋体" w:cs="Times New Roman"/>
          <w:sz w:val="24"/>
          <w:szCs w:val="24"/>
          <w:highlight w:val="none"/>
          <w:lang w:val="en-US" w:eastAsia="zh-CN"/>
        </w:rPr>
        <w:t xml:space="preserve">18.4 Evaluation Results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bookmarkEnd w:id="47"/>
      <w:r>
        <w:rPr>
          <w:rFonts w:hint="eastAsia" w:ascii="Times New Roman" w:hAnsi="Times New Roman"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 xml:space="preserve"> </w:t>
      </w:r>
    </w:p>
    <w:p w14:paraId="10051AD5">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bookmarkStart w:id="48" w:name="_Toc24066"/>
      <w:r>
        <w:rPr>
          <w:rFonts w:hint="default" w:ascii="Times New Roman" w:hAnsi="Times New Roman" w:eastAsia="宋体" w:cs="Times New Roman"/>
          <w:sz w:val="24"/>
          <w:szCs w:val="24"/>
          <w:highlight w:val="none"/>
          <w:lang w:val="en-US" w:eastAsia="zh-CN"/>
        </w:rPr>
        <w:fldChar w:fldCharType="begin"/>
      </w:r>
      <w:r>
        <w:rPr>
          <w:rFonts w:hint="default" w:ascii="Times New Roman" w:hAnsi="Times New Roman" w:eastAsia="宋体" w:cs="Times New Roman"/>
          <w:sz w:val="24"/>
          <w:szCs w:val="24"/>
          <w:highlight w:val="none"/>
          <w:lang w:val="en-US" w:eastAsia="zh-CN"/>
        </w:rPr>
        <w:instrText xml:space="preserve"> HYPERLINK \l _Toc27170 </w:instrText>
      </w:r>
      <w:r>
        <w:rPr>
          <w:rFonts w:hint="default" w:ascii="Times New Roman" w:hAnsi="Times New Roman" w:eastAsia="宋体" w:cs="Times New Roman"/>
          <w:sz w:val="24"/>
          <w:szCs w:val="24"/>
          <w:highlight w:val="none"/>
          <w:lang w:val="en-US" w:eastAsia="zh-CN"/>
        </w:rPr>
        <w:fldChar w:fldCharType="separate"/>
      </w:r>
      <w:r>
        <w:rPr>
          <w:rFonts w:hint="eastAsia" w:ascii="Times New Roman" w:hAnsi="Times New Roman" w:eastAsia="宋体" w:cs="Times New Roman"/>
          <w:sz w:val="24"/>
          <w:szCs w:val="24"/>
          <w:highlight w:val="none"/>
          <w:lang w:val="en-US" w:eastAsia="zh-CN"/>
        </w:rPr>
        <w:t xml:space="preserve">Explanation of Wording in This Standard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fldChar w:fldCharType="end"/>
      </w:r>
      <w:bookmarkEnd w:id="48"/>
      <w:r>
        <w:rPr>
          <w:rFonts w:hint="eastAsia" w:ascii="Times New Roman" w:hAnsi="Times New Roman" w:cs="Times New Roman"/>
          <w:sz w:val="24"/>
          <w:szCs w:val="24"/>
          <w:highlight w:val="none"/>
          <w:lang w:val="en-US" w:eastAsia="zh-CN"/>
        </w:rPr>
        <w:t>6</w:t>
      </w:r>
    </w:p>
    <w:p w14:paraId="3388ACEA">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bookmarkStart w:id="49" w:name="_Toc26212"/>
      <w:r>
        <w:rPr>
          <w:rFonts w:hint="default" w:ascii="Times New Roman" w:hAnsi="Times New Roman" w:eastAsia="宋体" w:cs="Times New Roman"/>
          <w:sz w:val="24"/>
          <w:szCs w:val="24"/>
          <w:highlight w:val="none"/>
          <w:lang w:val="en-US" w:eastAsia="zh-CN"/>
        </w:rPr>
        <w:fldChar w:fldCharType="begin"/>
      </w:r>
      <w:r>
        <w:rPr>
          <w:rFonts w:hint="default" w:ascii="Times New Roman" w:hAnsi="Times New Roman" w:eastAsia="宋体" w:cs="Times New Roman"/>
          <w:sz w:val="24"/>
          <w:szCs w:val="24"/>
          <w:highlight w:val="none"/>
          <w:lang w:val="en-US" w:eastAsia="zh-CN"/>
        </w:rPr>
        <w:instrText xml:space="preserve"> HYPERLINK \l _Toc1084 </w:instrText>
      </w:r>
      <w:r>
        <w:rPr>
          <w:rFonts w:hint="default" w:ascii="Times New Roman" w:hAnsi="Times New Roman" w:eastAsia="宋体" w:cs="Times New Roman"/>
          <w:sz w:val="24"/>
          <w:szCs w:val="24"/>
          <w:highlight w:val="none"/>
          <w:lang w:val="en-US" w:eastAsia="zh-CN"/>
        </w:rPr>
        <w:fldChar w:fldCharType="separate"/>
      </w:r>
      <w:r>
        <w:rPr>
          <w:rFonts w:hint="default" w:ascii="Times New Roman" w:hAnsi="Times New Roman" w:eastAsia="宋体" w:cs="Times New Roman"/>
          <w:sz w:val="24"/>
          <w:szCs w:val="24"/>
          <w:highlight w:val="none"/>
          <w:lang w:val="en-US" w:eastAsia="zh-CN"/>
        </w:rPr>
        <w:t>List of Quoted standards</w:t>
      </w:r>
      <w:r>
        <w:rPr>
          <w:rFonts w:hint="default"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fldChar w:fldCharType="end"/>
      </w:r>
      <w:bookmarkEnd w:id="49"/>
      <w:r>
        <w:rPr>
          <w:rFonts w:hint="eastAsia" w:ascii="Times New Roman" w:hAnsi="Times New Roman" w:cs="Times New Roman"/>
          <w:sz w:val="24"/>
          <w:szCs w:val="24"/>
          <w:highlight w:val="none"/>
          <w:lang w:val="en-US" w:eastAsia="zh-CN"/>
        </w:rPr>
        <w:t>7</w:t>
      </w:r>
    </w:p>
    <w:p w14:paraId="6E4EA2B9">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bookmarkStart w:id="50" w:name="_Toc21970"/>
      <w:r>
        <w:rPr>
          <w:rFonts w:hint="default" w:ascii="Times New Roman" w:hAnsi="Times New Roman" w:eastAsia="宋体" w:cs="Times New Roman"/>
          <w:sz w:val="24"/>
          <w:szCs w:val="24"/>
          <w:highlight w:val="none"/>
          <w:lang w:val="en-US" w:eastAsia="zh-CN"/>
        </w:rPr>
        <w:t>Ap</w:t>
      </w:r>
      <w:r>
        <w:rPr>
          <w:rFonts w:hint="default" w:ascii="Times New Roman" w:hAnsi="Times New Roman" w:cs="Times New Roman"/>
          <w:sz w:val="24"/>
          <w:szCs w:val="24"/>
          <w:highlight w:val="none"/>
        </w:rPr>
        <w:t>pendix A</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Central Air Conditioning System Maintenance </w:t>
      </w:r>
      <w:r>
        <w:rPr>
          <w:rFonts w:hint="eastAsia" w:ascii="Times New Roman" w:hAnsi="Times New Roman" w:cs="Times New Roman"/>
          <w:sz w:val="24"/>
          <w:szCs w:val="24"/>
          <w:highlight w:val="none"/>
          <w:lang w:val="en-US" w:eastAsia="zh-CN"/>
        </w:rPr>
        <w:tab/>
      </w:r>
      <w:bookmarkEnd w:id="50"/>
      <w:r>
        <w:rPr>
          <w:rFonts w:hint="eastAsia" w:ascii="Times New Roman" w:hAnsi="Times New Roman" w:cs="Times New Roman"/>
          <w:sz w:val="24"/>
          <w:szCs w:val="24"/>
          <w:highlight w:val="none"/>
          <w:lang w:val="en-US" w:eastAsia="zh-CN"/>
        </w:rPr>
        <w:t>48</w:t>
      </w:r>
      <w:r>
        <w:rPr>
          <w:rFonts w:hint="default" w:ascii="Times New Roman" w:hAnsi="Times New Roman" w:cs="Times New Roman"/>
          <w:sz w:val="24"/>
          <w:szCs w:val="24"/>
          <w:highlight w:val="none"/>
        </w:rPr>
        <w:t xml:space="preserve"> </w:t>
      </w:r>
    </w:p>
    <w:p w14:paraId="4389508B">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Water Supply and Drainage System Maintenance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50</w:t>
      </w:r>
      <w:r>
        <w:rPr>
          <w:rFonts w:hint="default" w:ascii="Times New Roman" w:hAnsi="Times New Roman" w:cs="Times New Roman"/>
          <w:sz w:val="24"/>
          <w:szCs w:val="24"/>
          <w:highlight w:val="none"/>
        </w:rPr>
        <w:t xml:space="preserve"> </w:t>
      </w:r>
    </w:p>
    <w:p w14:paraId="3D90B29D">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C</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Inspection and Maintenance of Security Technology and Multimedia Systems</w:t>
      </w:r>
      <w:r>
        <w:rPr>
          <w:rFonts w:hint="eastAsia" w:ascii="Times New Roman" w:hAnsi="Times New Roman" w:cs="Times New Roman"/>
          <w:sz w:val="24"/>
          <w:szCs w:val="24"/>
          <w:highlight w:val="none"/>
          <w:lang w:val="en-US" w:eastAsia="zh-CN"/>
        </w:rPr>
        <w:t>51</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 xml:space="preserve"> </w:t>
      </w:r>
    </w:p>
    <w:p w14:paraId="0962FA50">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D</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Civil Air Defense Configuration Table for Important Areas (Regions)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53</w:t>
      </w:r>
      <w:r>
        <w:rPr>
          <w:rFonts w:hint="default" w:ascii="Times New Roman" w:hAnsi="Times New Roman" w:cs="Times New Roman"/>
          <w:sz w:val="24"/>
          <w:szCs w:val="24"/>
          <w:highlight w:val="none"/>
        </w:rPr>
        <w:t xml:space="preserve"> </w:t>
      </w:r>
    </w:p>
    <w:p w14:paraId="06FE8807">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Classification Table of Important Areas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54</w:t>
      </w:r>
      <w:r>
        <w:rPr>
          <w:rFonts w:hint="default" w:ascii="Times New Roman" w:hAnsi="Times New Roman" w:cs="Times New Roman"/>
          <w:sz w:val="24"/>
          <w:szCs w:val="24"/>
          <w:highlight w:val="none"/>
        </w:rPr>
        <w:t xml:space="preserve"> </w:t>
      </w:r>
    </w:p>
    <w:p w14:paraId="3B6CFE48">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Appendix F</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Standard for Cleaning Services in Public Areas Inside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55</w:t>
      </w:r>
    </w:p>
    <w:p w14:paraId="50BC5D58">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G</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Standard for Cleaning Services in Public Areas Outside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57</w:t>
      </w:r>
      <w:r>
        <w:rPr>
          <w:rFonts w:hint="default" w:ascii="Times New Roman" w:hAnsi="Times New Roman" w:cs="Times New Roman"/>
          <w:sz w:val="24"/>
          <w:szCs w:val="24"/>
          <w:highlight w:val="none"/>
        </w:rPr>
        <w:t xml:space="preserve">  </w:t>
      </w:r>
    </w:p>
    <w:p w14:paraId="13AC3316">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 xml:space="preserve">Explanation of provisions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58</w:t>
      </w:r>
    </w:p>
    <w:p w14:paraId="05E6E607">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firstLine="0"/>
        <w:jc w:val="center"/>
        <w:textAlignment w:val="auto"/>
        <w:outlineLvl w:val="9"/>
        <w:rPr>
          <w:rFonts w:hint="eastAsia"/>
          <w:color w:val="auto"/>
          <w:sz w:val="32"/>
          <w:szCs w:val="52"/>
          <w:highlight w:val="none"/>
          <w:lang w:eastAsia="zh-CN"/>
        </w:rPr>
      </w:pPr>
    </w:p>
    <w:p w14:paraId="6EC7E00D">
      <w:pPr>
        <w:pStyle w:val="62"/>
        <w:numPr>
          <w:ilvl w:val="0"/>
          <w:numId w:val="0"/>
        </w:numPr>
        <w:spacing w:before="850" w:beforeLines="0" w:after="680" w:afterLines="0"/>
        <w:jc w:val="center"/>
        <w:outlineLvl w:val="9"/>
        <w:rPr>
          <w:rFonts w:hint="eastAsia"/>
          <w:color w:val="auto"/>
          <w:sz w:val="32"/>
          <w:szCs w:val="52"/>
          <w:highlight w:val="none"/>
          <w:lang w:eastAsia="zh-CN"/>
        </w:rPr>
      </w:pPr>
    </w:p>
    <w:p w14:paraId="77009F62">
      <w:pPr>
        <w:pStyle w:val="62"/>
        <w:numPr>
          <w:ilvl w:val="0"/>
          <w:numId w:val="0"/>
        </w:numPr>
        <w:spacing w:before="850" w:beforeLines="0" w:after="680" w:afterLines="0"/>
        <w:jc w:val="center"/>
        <w:outlineLvl w:val="9"/>
        <w:rPr>
          <w:rFonts w:hint="eastAsia"/>
          <w:color w:val="auto"/>
          <w:sz w:val="32"/>
          <w:szCs w:val="52"/>
          <w:highlight w:val="none"/>
          <w:lang w:eastAsia="zh-CN"/>
        </w:rPr>
      </w:pPr>
    </w:p>
    <w:p w14:paraId="23E71DE0">
      <w:pPr>
        <w:pStyle w:val="62"/>
        <w:numPr>
          <w:ilvl w:val="0"/>
          <w:numId w:val="0"/>
        </w:numPr>
        <w:spacing w:before="850" w:beforeLines="0" w:after="680" w:afterLines="0"/>
        <w:jc w:val="center"/>
        <w:outlineLvl w:val="9"/>
        <w:rPr>
          <w:rFonts w:hint="eastAsia"/>
          <w:color w:val="auto"/>
          <w:sz w:val="32"/>
          <w:szCs w:val="52"/>
          <w:highlight w:val="none"/>
          <w:lang w:eastAsia="zh-CN"/>
        </w:rPr>
      </w:pPr>
    </w:p>
    <w:p w14:paraId="6B1103B4">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hAnsi="宋体" w:cs="Arial"/>
          <w:b/>
          <w:bCs/>
          <w:color w:val="auto"/>
          <w:sz w:val="30"/>
          <w:szCs w:val="30"/>
          <w:highlight w:val="none"/>
          <w:lang w:val="en-US" w:eastAsia="zh-CN"/>
        </w:rPr>
        <w:sectPr>
          <w:footerReference r:id="rId11" w:type="default"/>
          <w:footerReference r:id="rId12" w:type="even"/>
          <w:pgSz w:w="11906" w:h="16838"/>
          <w:pgMar w:top="1417" w:right="1134" w:bottom="1134" w:left="1418" w:header="57" w:footer="737" w:gutter="0"/>
          <w:pgBorders>
            <w:top w:val="none" w:sz="0" w:space="0"/>
            <w:left w:val="none" w:sz="0" w:space="0"/>
            <w:bottom w:val="none" w:sz="0" w:space="0"/>
            <w:right w:val="none" w:sz="0" w:space="0"/>
          </w:pgBorders>
          <w:pgNumType w:fmt="decimal" w:start="1"/>
          <w:cols w:space="720" w:num="1"/>
          <w:formProt w:val="0"/>
          <w:docGrid w:type="linesAndChars" w:linePitch="312" w:charSpace="0"/>
        </w:sectPr>
      </w:pPr>
    </w:p>
    <w:p w14:paraId="24F7C778">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0"/>
        <w:rPr>
          <w:rFonts w:hint="eastAsia" w:hAnsi="宋体" w:cs="Arial"/>
          <w:b/>
          <w:bCs/>
          <w:color w:val="auto"/>
          <w:sz w:val="30"/>
          <w:szCs w:val="30"/>
          <w:highlight w:val="none"/>
          <w:lang w:val="en-US" w:eastAsia="zh-CN"/>
        </w:rPr>
      </w:pPr>
      <w:bookmarkStart w:id="51" w:name="_Toc15608"/>
      <w:bookmarkStart w:id="52" w:name="_Toc18478"/>
      <w:r>
        <w:rPr>
          <w:rFonts w:hint="default" w:ascii="Times New Roman" w:hAnsi="Times New Roman" w:cs="Times New Roman"/>
          <w:b/>
          <w:bCs/>
          <w:color w:val="auto"/>
          <w:sz w:val="30"/>
          <w:szCs w:val="30"/>
          <w:highlight w:val="none"/>
          <w:lang w:val="en-US" w:eastAsia="zh-CN"/>
        </w:rPr>
        <w:t xml:space="preserve">1 </w:t>
      </w:r>
      <w:r>
        <w:rPr>
          <w:rFonts w:hint="eastAsia" w:hAnsi="宋体" w:cs="Arial"/>
          <w:b w:val="0"/>
          <w:bCs w:val="0"/>
          <w:color w:val="auto"/>
          <w:sz w:val="30"/>
          <w:szCs w:val="30"/>
          <w:highlight w:val="none"/>
          <w:lang w:val="en-US" w:eastAsia="zh-CN"/>
        </w:rPr>
        <w:t>总  则</w:t>
      </w:r>
      <w:bookmarkEnd w:id="51"/>
      <w:bookmarkEnd w:id="52"/>
    </w:p>
    <w:p w14:paraId="00EF0F3D">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hAnsi="宋体" w:cs="Arial"/>
          <w:b/>
          <w:bCs/>
          <w:color w:val="auto"/>
          <w:sz w:val="30"/>
          <w:szCs w:val="30"/>
          <w:highlight w:val="none"/>
          <w:lang w:val="en-US" w:eastAsia="zh-CN"/>
        </w:rPr>
      </w:pPr>
    </w:p>
    <w:p w14:paraId="6608861C">
      <w:pPr>
        <w:pStyle w:val="129"/>
        <w:spacing w:before="156" w:after="156"/>
        <w:rPr>
          <w:rFonts w:hint="eastAsia" w:eastAsia="宋体" w:cs="Times New Roman"/>
          <w:sz w:val="24"/>
          <w:szCs w:val="24"/>
          <w:highlight w:val="none"/>
        </w:rPr>
      </w:pPr>
      <w:r>
        <w:rPr>
          <w:rFonts w:hint="eastAsia" w:eastAsia="宋体" w:cs="Times New Roman"/>
          <w:sz w:val="24"/>
          <w:szCs w:val="24"/>
          <w:highlight w:val="none"/>
        </w:rPr>
        <w:t>为规范</w:t>
      </w:r>
      <w:r>
        <w:rPr>
          <w:rFonts w:hint="eastAsia" w:eastAsia="宋体" w:cs="Times New Roman"/>
          <w:sz w:val="24"/>
          <w:szCs w:val="24"/>
          <w:highlight w:val="none"/>
          <w:lang w:val="en-US" w:eastAsia="zh-CN"/>
        </w:rPr>
        <w:t>电力工业物业服务</w:t>
      </w:r>
      <w:r>
        <w:rPr>
          <w:rFonts w:hint="eastAsia" w:eastAsia="宋体" w:cs="Times New Roman"/>
          <w:sz w:val="24"/>
          <w:szCs w:val="24"/>
          <w:highlight w:val="none"/>
        </w:rPr>
        <w:t>规范化，完善电力物业服务标准体系，助力电力行业实现双碳目标，制定本规程。</w:t>
      </w:r>
    </w:p>
    <w:p w14:paraId="12145A1F">
      <w:pPr>
        <w:pStyle w:val="129"/>
        <w:spacing w:before="156" w:after="156"/>
        <w:rPr>
          <w:rFonts w:hint="eastAsia" w:eastAsia="宋体" w:cs="Times New Roman"/>
          <w:sz w:val="24"/>
          <w:szCs w:val="24"/>
          <w:highlight w:val="none"/>
        </w:rPr>
      </w:pPr>
      <w:r>
        <w:rPr>
          <w:rFonts w:hint="eastAsia" w:eastAsia="宋体" w:cs="Times New Roman"/>
          <w:sz w:val="24"/>
          <w:szCs w:val="24"/>
          <w:highlight w:val="none"/>
        </w:rPr>
        <w:t>本</w:t>
      </w:r>
      <w:r>
        <w:rPr>
          <w:rFonts w:hint="eastAsia" w:eastAsia="宋体" w:cs="Times New Roman"/>
          <w:sz w:val="24"/>
          <w:szCs w:val="24"/>
          <w:highlight w:val="none"/>
          <w:lang w:val="en-US" w:eastAsia="zh-CN"/>
        </w:rPr>
        <w:t>文件</w:t>
      </w:r>
      <w:r>
        <w:rPr>
          <w:rFonts w:hint="eastAsia" w:eastAsia="宋体" w:cs="Times New Roman"/>
          <w:sz w:val="24"/>
          <w:szCs w:val="24"/>
          <w:highlight w:val="none"/>
        </w:rPr>
        <w:t>规定了</w:t>
      </w:r>
      <w:r>
        <w:rPr>
          <w:rFonts w:hint="eastAsia" w:eastAsia="宋体" w:cs="Times New Roman"/>
          <w:sz w:val="24"/>
          <w:szCs w:val="24"/>
          <w:highlight w:val="none"/>
          <w:lang w:eastAsia="zh-CN"/>
        </w:rPr>
        <w:t>电力工业物业管理服</w:t>
      </w:r>
      <w:r>
        <w:rPr>
          <w:rFonts w:hint="eastAsia" w:eastAsia="宋体" w:cs="Times New Roman"/>
          <w:sz w:val="24"/>
          <w:szCs w:val="24"/>
          <w:highlight w:val="none"/>
          <w:lang w:val="en-US" w:eastAsia="zh-CN"/>
        </w:rPr>
        <w:t>务</w:t>
      </w:r>
      <w:r>
        <w:rPr>
          <w:rFonts w:hint="eastAsia" w:eastAsia="宋体" w:cs="Times New Roman"/>
          <w:sz w:val="24"/>
          <w:szCs w:val="24"/>
          <w:highlight w:val="none"/>
        </w:rPr>
        <w:t>的术语和定义、</w:t>
      </w:r>
      <w:r>
        <w:rPr>
          <w:rFonts w:hint="eastAsia" w:eastAsia="宋体" w:cs="Times New Roman"/>
          <w:sz w:val="24"/>
          <w:szCs w:val="24"/>
          <w:highlight w:val="none"/>
          <w:lang w:val="en-US" w:eastAsia="zh-CN"/>
        </w:rPr>
        <w:t>管理场所分类</w:t>
      </w:r>
      <w:r>
        <w:rPr>
          <w:rFonts w:hint="eastAsia" w:eastAsia="宋体" w:cs="Times New Roman"/>
          <w:sz w:val="24"/>
          <w:szCs w:val="24"/>
          <w:highlight w:val="none"/>
        </w:rPr>
        <w:t>、</w:t>
      </w:r>
      <w:r>
        <w:rPr>
          <w:rFonts w:hint="default" w:eastAsia="宋体" w:cs="Times New Roman"/>
          <w:sz w:val="24"/>
          <w:szCs w:val="24"/>
          <w:highlight w:val="none"/>
        </w:rPr>
        <w:t>基本要求</w:t>
      </w:r>
      <w:r>
        <w:rPr>
          <w:rFonts w:hint="eastAsia" w:eastAsia="宋体" w:cs="Times New Roman"/>
          <w:sz w:val="24"/>
          <w:szCs w:val="24"/>
          <w:highlight w:val="none"/>
          <w:lang w:eastAsia="zh-CN"/>
        </w:rPr>
        <w:t>、电力生产场所作业安全管理要求、承接查验、综合服务、建（构）筑物巡查维护、设施设备运行服务、安全管理、电力</w:t>
      </w:r>
      <w:r>
        <w:rPr>
          <w:rFonts w:hint="eastAsia" w:cs="Times New Roman"/>
          <w:sz w:val="24"/>
          <w:szCs w:val="24"/>
          <w:highlight w:val="none"/>
          <w:lang w:val="en-US" w:eastAsia="zh-CN"/>
        </w:rPr>
        <w:t>反</w:t>
      </w:r>
      <w:r>
        <w:rPr>
          <w:rFonts w:hint="eastAsia" w:eastAsia="宋体" w:cs="Times New Roman"/>
          <w:sz w:val="24"/>
          <w:szCs w:val="24"/>
          <w:highlight w:val="none"/>
          <w:lang w:eastAsia="zh-CN"/>
        </w:rPr>
        <w:t>恐</w:t>
      </w:r>
      <w:r>
        <w:rPr>
          <w:rFonts w:hint="eastAsia" w:cs="Times New Roman"/>
          <w:sz w:val="24"/>
          <w:szCs w:val="24"/>
          <w:highlight w:val="none"/>
          <w:lang w:val="en-US" w:eastAsia="zh-CN"/>
        </w:rPr>
        <w:t>防范</w:t>
      </w:r>
      <w:r>
        <w:rPr>
          <w:rFonts w:hint="eastAsia" w:eastAsia="宋体" w:cs="Times New Roman"/>
          <w:sz w:val="24"/>
          <w:szCs w:val="24"/>
          <w:highlight w:val="none"/>
          <w:lang w:eastAsia="zh-CN"/>
        </w:rPr>
        <w:t>与应急、车辆驾驶服务、环境管理、食堂管理、公寓或招待所服务、绿色物业管理</w:t>
      </w:r>
      <w:r>
        <w:rPr>
          <w:rFonts w:hint="eastAsia" w:cs="Times New Roman"/>
          <w:sz w:val="24"/>
          <w:szCs w:val="24"/>
          <w:highlight w:val="none"/>
          <w:lang w:val="en-US" w:eastAsia="zh-CN"/>
        </w:rPr>
        <w:t>、</w:t>
      </w:r>
      <w:r>
        <w:rPr>
          <w:rFonts w:hint="eastAsia" w:eastAsia="宋体" w:cs="Times New Roman"/>
          <w:sz w:val="24"/>
          <w:szCs w:val="24"/>
          <w:highlight w:val="none"/>
          <w:lang w:eastAsia="zh-CN"/>
        </w:rPr>
        <w:t>智慧物业</w:t>
      </w:r>
      <w:r>
        <w:rPr>
          <w:rFonts w:hint="eastAsia" w:eastAsia="宋体" w:cs="Times New Roman"/>
          <w:sz w:val="24"/>
          <w:szCs w:val="24"/>
          <w:highlight w:val="none"/>
          <w:lang w:val="en-US" w:eastAsia="zh-CN"/>
        </w:rPr>
        <w:t>和评价等要求</w:t>
      </w:r>
      <w:r>
        <w:rPr>
          <w:rFonts w:hint="eastAsia" w:eastAsia="宋体" w:cs="Times New Roman"/>
          <w:sz w:val="24"/>
          <w:szCs w:val="24"/>
          <w:highlight w:val="none"/>
        </w:rPr>
        <w:t>。</w:t>
      </w:r>
    </w:p>
    <w:p w14:paraId="6278E392">
      <w:pPr>
        <w:pStyle w:val="129"/>
        <w:spacing w:before="156" w:after="156"/>
        <w:rPr>
          <w:rFonts w:hint="eastAsia" w:eastAsia="宋体" w:cs="Times New Roman"/>
          <w:sz w:val="24"/>
          <w:szCs w:val="24"/>
          <w:highlight w:val="none"/>
        </w:rPr>
      </w:pPr>
      <w:r>
        <w:rPr>
          <w:rFonts w:hint="eastAsia" w:eastAsia="宋体" w:cs="Times New Roman"/>
          <w:sz w:val="24"/>
          <w:szCs w:val="24"/>
          <w:highlight w:val="none"/>
          <w:lang w:eastAsia="zh-CN"/>
        </w:rPr>
        <w:t>电力工业物业管理服</w:t>
      </w:r>
      <w:r>
        <w:rPr>
          <w:rFonts w:hint="eastAsia" w:eastAsia="宋体" w:cs="Times New Roman"/>
          <w:sz w:val="24"/>
          <w:szCs w:val="24"/>
          <w:highlight w:val="none"/>
          <w:lang w:val="en-US" w:eastAsia="zh-CN"/>
        </w:rPr>
        <w:t>务，</w:t>
      </w:r>
      <w:r>
        <w:rPr>
          <w:rFonts w:hint="eastAsia" w:eastAsia="宋体" w:cs="Times New Roman"/>
          <w:sz w:val="24"/>
          <w:szCs w:val="24"/>
          <w:highlight w:val="none"/>
        </w:rPr>
        <w:t>除应执行本规程外，应符合国家、行业及广东省现行有关标准的规定。</w:t>
      </w:r>
    </w:p>
    <w:p w14:paraId="37E45DA6">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35E5F999">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7FB8C309">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734ED6A">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032AD753">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0156FFE9">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644174DE">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494C45B6">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14F18028">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590449E3">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266A75D4">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34319EFC">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03716ACA">
      <w:pPr>
        <w:pStyle w:val="129"/>
        <w:widowControl w:val="0"/>
        <w:numPr>
          <w:ilvl w:val="2"/>
          <w:numId w:val="0"/>
        </w:numPr>
        <w:spacing w:before="156" w:beforeLines="50" w:after="156" w:afterLines="50" w:line="360" w:lineRule="auto"/>
        <w:jc w:val="both"/>
        <w:rPr>
          <w:rFonts w:hint="eastAsia" w:eastAsia="宋体" w:cs="Times New Roman"/>
          <w:highlight w:val="none"/>
        </w:rPr>
      </w:pPr>
    </w:p>
    <w:p w14:paraId="795A6B71">
      <w:pPr>
        <w:pStyle w:val="62"/>
        <w:numPr>
          <w:ilvl w:val="0"/>
          <w:numId w:val="0"/>
        </w:numPr>
        <w:spacing w:before="312" w:beforeLines="100" w:after="312" w:afterLines="100"/>
        <w:jc w:val="center"/>
        <w:outlineLvl w:val="0"/>
        <w:rPr>
          <w:rFonts w:hint="eastAsia" w:ascii="宋体" w:hAnsi="宋体" w:eastAsia="宋体" w:cs="宋体"/>
          <w:b/>
          <w:bCs/>
          <w:color w:val="auto"/>
          <w:sz w:val="30"/>
          <w:szCs w:val="30"/>
          <w:highlight w:val="none"/>
        </w:rPr>
      </w:pPr>
      <w:bookmarkStart w:id="53" w:name="_Toc17928"/>
      <w:bookmarkStart w:id="54" w:name="_Toc16978"/>
      <w:r>
        <w:rPr>
          <w:rFonts w:hint="eastAsia" w:ascii="宋体" w:hAnsi="宋体" w:eastAsia="宋体" w:cs="宋体"/>
          <w:b/>
          <w:bCs/>
          <w:color w:val="auto"/>
          <w:sz w:val="30"/>
          <w:szCs w:val="30"/>
          <w:highlight w:val="none"/>
          <w:lang w:val="en-US" w:eastAsia="zh-CN"/>
        </w:rPr>
        <w:t xml:space="preserve">2 </w:t>
      </w:r>
      <w:r>
        <w:rPr>
          <w:rFonts w:hint="eastAsia" w:ascii="宋体" w:hAnsi="宋体" w:eastAsia="宋体" w:cs="宋体"/>
          <w:b w:val="0"/>
          <w:bCs w:val="0"/>
          <w:color w:val="auto"/>
          <w:sz w:val="30"/>
          <w:szCs w:val="30"/>
          <w:highlight w:val="none"/>
        </w:rPr>
        <w:t>术</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语</w:t>
      </w:r>
      <w:bookmarkEnd w:id="53"/>
      <w:bookmarkEnd w:id="54"/>
    </w:p>
    <w:p w14:paraId="035E0432">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sz w:val="24"/>
          <w:szCs w:val="24"/>
          <w:highlight w:val="none"/>
          <w:lang w:eastAsia="zh-CN"/>
        </w:rPr>
      </w:pPr>
      <w:bookmarkStart w:id="55" w:name="_Toc19614"/>
      <w:bookmarkStart w:id="56" w:name="_Toc26477"/>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电力调度大楼 </w:t>
      </w:r>
      <w:r>
        <w:rPr>
          <w:rFonts w:hint="eastAsia" w:ascii="宋体" w:hAnsi="宋体" w:eastAsia="宋体" w:cs="宋体"/>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power dispatch building</w:t>
      </w:r>
      <w:bookmarkEnd w:id="55"/>
      <w:bookmarkEnd w:id="56"/>
    </w:p>
    <w:p w14:paraId="593E07B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电力系统信息处理、监视和控制中心机构的场所。</w:t>
      </w:r>
    </w:p>
    <w:p w14:paraId="4F8AA0BB">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2.0.2  </w:t>
      </w:r>
      <w:r>
        <w:rPr>
          <w:rFonts w:hint="eastAsia" w:ascii="宋体" w:hAnsi="宋体" w:eastAsia="宋体" w:cs="宋体"/>
          <w:color w:val="auto"/>
          <w:sz w:val="24"/>
          <w:szCs w:val="24"/>
          <w:highlight w:val="none"/>
        </w:rPr>
        <w:t>发电厂</w:t>
      </w:r>
      <w:r>
        <w:rPr>
          <w:rFonts w:hint="eastAsia" w:ascii="宋体" w:hAnsi="宋体" w:eastAsia="宋体" w:cs="宋体"/>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power plant</w:t>
      </w:r>
    </w:p>
    <w:p w14:paraId="3A1BB7FE">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由建筑物、能量转换设备和全部必要的辅助设备组成的生产电能的工厂。</w:t>
      </w:r>
    </w:p>
    <w:p w14:paraId="4EA1ABBE">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0"/>
          <w:sz w:val="24"/>
          <w:szCs w:val="24"/>
          <w:highlight w:val="none"/>
          <w:lang w:val="en-US" w:eastAsia="zh-CN"/>
        </w:rPr>
      </w:pPr>
      <w:bookmarkStart w:id="57" w:name="_Toc25530"/>
      <w:bookmarkStart w:id="58" w:name="_Toc26612"/>
      <w:r>
        <w:rPr>
          <w:rFonts w:hint="eastAsia" w:ascii="Times New Roman" w:hAnsi="Times New Roman" w:eastAsia="宋体" w:cs="Times New Roman"/>
          <w:b/>
          <w:bCs/>
          <w:color w:val="auto"/>
          <w:sz w:val="24"/>
          <w:szCs w:val="24"/>
          <w:highlight w:val="none"/>
          <w:lang w:val="en-US" w:eastAsia="zh-CN"/>
        </w:rPr>
        <w:t xml:space="preserve">2.0.3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变电站  </w:t>
      </w:r>
      <w:bookmarkEnd w:id="57"/>
      <w:r>
        <w:rPr>
          <w:rFonts w:hint="eastAsia" w:ascii="Times New Roman" w:hAnsi="Times New Roman" w:eastAsia="宋体" w:cs="Times New Roman"/>
          <w:color w:val="auto"/>
          <w:sz w:val="24"/>
          <w:szCs w:val="24"/>
          <w:highlight w:val="none"/>
          <w:lang w:val="en-US" w:eastAsia="zh-CN"/>
        </w:rPr>
        <w:t>substation</w:t>
      </w:r>
      <w:bookmarkEnd w:id="58"/>
    </w:p>
    <w:p w14:paraId="2B4F0E7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eastAsia="宋体" w:cs="Times New Roman"/>
          <w:sz w:val="24"/>
          <w:highlight w:val="none"/>
          <w:u w:val="none" w:color="auto"/>
          <w:lang w:val="en-US" w:eastAsia="zh-CN"/>
        </w:rPr>
        <w:t>用于电能进行汇集、变压和分配的站点，一般由变压器、变电装置、控制保护设备和相关线缆组成</w:t>
      </w:r>
      <w:r>
        <w:rPr>
          <w:rFonts w:hint="eastAsia"/>
          <w:sz w:val="24"/>
          <w:highlight w:val="none"/>
          <w:u w:val="none" w:color="auto"/>
          <w:lang w:val="en-US" w:eastAsia="zh-CN"/>
        </w:rPr>
        <w:t>。</w:t>
      </w:r>
    </w:p>
    <w:p w14:paraId="7619F87A">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59" w:name="_Toc11581"/>
      <w:bookmarkStart w:id="60" w:name="_Toc22408"/>
      <w:r>
        <w:rPr>
          <w:rFonts w:hint="eastAsia" w:ascii="Times New Roman" w:hAnsi="Times New Roman" w:eastAsia="宋体" w:cs="Times New Roman"/>
          <w:b/>
          <w:bCs/>
          <w:color w:val="auto"/>
          <w:sz w:val="24"/>
          <w:szCs w:val="24"/>
          <w:highlight w:val="none"/>
          <w:lang w:val="en-US" w:eastAsia="zh-CN"/>
        </w:rPr>
        <w:t xml:space="preserve">2.0.4  </w:t>
      </w:r>
      <w:r>
        <w:rPr>
          <w:rFonts w:hint="eastAsia" w:ascii="宋体" w:hAnsi="宋体" w:eastAsia="宋体" w:cs="宋体"/>
          <w:color w:val="auto"/>
          <w:kern w:val="2"/>
          <w:sz w:val="24"/>
          <w:szCs w:val="24"/>
          <w:highlight w:val="none"/>
          <w:lang w:val="en-US" w:eastAsia="zh-CN"/>
        </w:rPr>
        <w:t xml:space="preserve">换流站  </w:t>
      </w:r>
      <w:r>
        <w:rPr>
          <w:rFonts w:hint="eastAsia" w:ascii="Times New Roman" w:hAnsi="Times New Roman" w:eastAsia="宋体" w:cs="Times New Roman"/>
          <w:color w:val="auto"/>
          <w:sz w:val="24"/>
          <w:szCs w:val="24"/>
          <w:highlight w:val="none"/>
          <w:lang w:val="en-US" w:eastAsia="zh-CN"/>
        </w:rPr>
        <w:t>converter station</w:t>
      </w:r>
      <w:bookmarkEnd w:id="59"/>
      <w:bookmarkEnd w:id="60"/>
    </w:p>
    <w:p w14:paraId="44A52A4B">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将交流电变换为直流电或者将直流电变换为交流电的转换，达到电力系统对于安全稳定及电能质量的要求而建立的站点。</w:t>
      </w:r>
    </w:p>
    <w:p w14:paraId="38E89D75">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61" w:name="_Toc13128"/>
      <w:bookmarkStart w:id="62" w:name="_Toc13787"/>
      <w:r>
        <w:rPr>
          <w:rFonts w:hint="eastAsia" w:ascii="Times New Roman" w:hAnsi="Times New Roman" w:eastAsia="宋体" w:cs="Times New Roman"/>
          <w:b/>
          <w:bCs/>
          <w:color w:val="auto"/>
          <w:sz w:val="24"/>
          <w:szCs w:val="24"/>
          <w:highlight w:val="none"/>
          <w:lang w:val="en-US" w:eastAsia="zh-CN"/>
        </w:rPr>
        <w:t xml:space="preserve">2.0.5  </w:t>
      </w:r>
      <w:r>
        <w:rPr>
          <w:rFonts w:hint="eastAsia" w:ascii="宋体" w:hAnsi="宋体" w:eastAsia="宋体" w:cs="宋体"/>
          <w:color w:val="auto"/>
          <w:kern w:val="2"/>
          <w:sz w:val="24"/>
          <w:szCs w:val="24"/>
          <w:highlight w:val="none"/>
          <w:lang w:val="en-US" w:eastAsia="zh-CN"/>
        </w:rPr>
        <w:t xml:space="preserve">水工建筑物  </w:t>
      </w:r>
      <w:r>
        <w:rPr>
          <w:rFonts w:hint="eastAsia" w:ascii="Times New Roman" w:hAnsi="Times New Roman" w:eastAsia="宋体" w:cs="Times New Roman"/>
          <w:color w:val="auto"/>
          <w:sz w:val="24"/>
          <w:szCs w:val="24"/>
          <w:highlight w:val="none"/>
          <w:lang w:val="en-US" w:eastAsia="zh-CN"/>
        </w:rPr>
        <w:t>hydraulic structures</w:t>
      </w:r>
      <w:bookmarkEnd w:id="61"/>
      <w:bookmarkEnd w:id="62"/>
    </w:p>
    <w:p w14:paraId="015695C0">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sz w:val="24"/>
          <w:highlight w:val="none"/>
          <w:u w:val="none" w:color="auto"/>
          <w:lang w:val="en-US" w:eastAsia="zh-CN"/>
        </w:rPr>
        <w:t>水</w:t>
      </w:r>
      <w:r>
        <w:rPr>
          <w:rFonts w:hint="eastAsia" w:ascii="宋体" w:hAnsi="Times New Roman" w:eastAsia="宋体" w:cs="Times New Roman"/>
          <w:sz w:val="24"/>
          <w:highlight w:val="none"/>
          <w:u w:val="none" w:color="auto"/>
          <w:lang w:val="en-US" w:eastAsia="zh-CN"/>
        </w:rPr>
        <w:t>在</w:t>
      </w:r>
      <w:r>
        <w:rPr>
          <w:rFonts w:hint="eastAsia"/>
          <w:sz w:val="24"/>
          <w:highlight w:val="none"/>
          <w:u w:val="none" w:color="auto"/>
          <w:lang w:val="en-US" w:eastAsia="zh-CN"/>
        </w:rPr>
        <w:t>静力或动力的作用下工作，并与水发生相互影响的各种建筑物。包括挡水建筑物、泄水建筑物、输水建筑物、水电站厂房、开关站、通航建筑物及其附属设施。</w:t>
      </w:r>
    </w:p>
    <w:p w14:paraId="0D091718">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63" w:name="_Toc30592"/>
      <w:bookmarkStart w:id="64" w:name="_Toc26308"/>
      <w:r>
        <w:rPr>
          <w:rFonts w:hint="eastAsia" w:ascii="Times New Roman" w:hAnsi="Times New Roman" w:eastAsia="宋体" w:cs="Times New Roman"/>
          <w:b/>
          <w:bCs/>
          <w:color w:val="auto"/>
          <w:sz w:val="24"/>
          <w:szCs w:val="24"/>
          <w:highlight w:val="none"/>
          <w:lang w:val="en-US" w:eastAsia="zh-CN"/>
        </w:rPr>
        <w:t xml:space="preserve">2.0.6  </w:t>
      </w:r>
      <w:r>
        <w:rPr>
          <w:rFonts w:hint="eastAsia" w:ascii="宋体" w:hAnsi="宋体" w:eastAsia="宋体" w:cs="宋体"/>
          <w:color w:val="auto"/>
          <w:kern w:val="2"/>
          <w:sz w:val="24"/>
          <w:szCs w:val="24"/>
          <w:highlight w:val="none"/>
          <w:lang w:val="en-US" w:eastAsia="zh-CN"/>
        </w:rPr>
        <w:t xml:space="preserve">工作票  </w:t>
      </w:r>
      <w:r>
        <w:rPr>
          <w:rFonts w:hint="eastAsia" w:ascii="Times New Roman" w:hAnsi="Times New Roman" w:eastAsia="宋体" w:cs="Times New Roman"/>
          <w:color w:val="auto"/>
          <w:sz w:val="24"/>
          <w:szCs w:val="24"/>
          <w:highlight w:val="none"/>
          <w:lang w:val="en-US" w:eastAsia="zh-CN"/>
        </w:rPr>
        <w:t>working permit</w:t>
      </w:r>
      <w:bookmarkEnd w:id="63"/>
      <w:bookmarkEnd w:id="64"/>
    </w:p>
    <w:p w14:paraId="726B3480">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为电网发电、输电、变电、配电、调度等作业安全有序实施而设计的一种组织性书面形式控制依据。</w:t>
      </w:r>
    </w:p>
    <w:p w14:paraId="2A6464E3">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65" w:name="_Toc25992"/>
      <w:bookmarkStart w:id="66" w:name="_Toc16200"/>
      <w:r>
        <w:rPr>
          <w:rFonts w:hint="eastAsia" w:ascii="Times New Roman" w:hAnsi="Times New Roman" w:eastAsia="宋体" w:cs="Times New Roman"/>
          <w:b/>
          <w:bCs/>
          <w:color w:val="auto"/>
          <w:sz w:val="24"/>
          <w:szCs w:val="24"/>
          <w:highlight w:val="none"/>
          <w:lang w:val="en-US" w:eastAsia="zh-CN"/>
        </w:rPr>
        <w:t xml:space="preserve">2.0.7  </w:t>
      </w:r>
      <w:r>
        <w:rPr>
          <w:rFonts w:hint="eastAsia" w:ascii="宋体" w:hAnsi="宋体" w:eastAsia="宋体" w:cs="宋体"/>
          <w:color w:val="auto"/>
          <w:kern w:val="2"/>
          <w:sz w:val="24"/>
          <w:szCs w:val="24"/>
          <w:highlight w:val="none"/>
          <w:lang w:val="en-US" w:eastAsia="zh-CN"/>
        </w:rPr>
        <w:t xml:space="preserve">操作票  </w:t>
      </w:r>
      <w:r>
        <w:rPr>
          <w:rFonts w:hint="eastAsia" w:ascii="Times New Roman" w:hAnsi="Times New Roman" w:eastAsia="宋体" w:cs="Times New Roman"/>
          <w:color w:val="auto"/>
          <w:sz w:val="24"/>
          <w:szCs w:val="24"/>
          <w:highlight w:val="none"/>
          <w:lang w:val="en-US" w:eastAsia="zh-CN"/>
        </w:rPr>
        <w:t>operation permit</w:t>
      </w:r>
      <w:bookmarkEnd w:id="65"/>
      <w:bookmarkEnd w:id="66"/>
    </w:p>
    <w:p w14:paraId="490179AB">
      <w:pPr>
        <w:pStyle w:val="59"/>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为改变电气设备及相关因素的运用状态进行逻辑性操作和有序沟通而设计的一种组织性书面形式控制依据。</w:t>
      </w:r>
    </w:p>
    <w:p w14:paraId="11CF00B2">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67" w:name="_Toc5438"/>
      <w:bookmarkStart w:id="68" w:name="_Toc9278"/>
      <w:r>
        <w:rPr>
          <w:rFonts w:hint="eastAsia" w:ascii="Times New Roman" w:hAnsi="Times New Roman" w:eastAsia="宋体" w:cs="Times New Roman"/>
          <w:b/>
          <w:bCs/>
          <w:color w:val="auto"/>
          <w:sz w:val="24"/>
          <w:szCs w:val="24"/>
          <w:highlight w:val="none"/>
          <w:lang w:val="en-US" w:eastAsia="zh-CN"/>
        </w:rPr>
        <w:t xml:space="preserve">2.0.8  </w:t>
      </w:r>
      <w:r>
        <w:rPr>
          <w:rFonts w:hint="eastAsia" w:ascii="宋体" w:hAnsi="宋体" w:eastAsia="宋体" w:cs="宋体"/>
          <w:color w:val="auto"/>
          <w:kern w:val="2"/>
          <w:sz w:val="24"/>
          <w:szCs w:val="24"/>
          <w:highlight w:val="none"/>
          <w:lang w:val="en-US" w:eastAsia="zh-CN"/>
        </w:rPr>
        <w:t xml:space="preserve">白名单  </w:t>
      </w:r>
      <w:r>
        <w:rPr>
          <w:rFonts w:hint="eastAsia" w:ascii="Times New Roman" w:hAnsi="Times New Roman" w:eastAsia="宋体" w:cs="Times New Roman"/>
          <w:color w:val="auto"/>
          <w:sz w:val="24"/>
          <w:szCs w:val="24"/>
          <w:highlight w:val="none"/>
          <w:lang w:val="en-US" w:eastAsia="zh-CN"/>
        </w:rPr>
        <w:t>white list</w:t>
      </w:r>
      <w:bookmarkEnd w:id="67"/>
      <w:bookmarkEnd w:id="68"/>
    </w:p>
    <w:p w14:paraId="3446A358">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sz w:val="24"/>
          <w:highlight w:val="none"/>
          <w:u w:val="none" w:color="auto"/>
          <w:lang w:val="en-US" w:eastAsia="zh-CN"/>
        </w:rPr>
      </w:pPr>
      <w:r>
        <w:rPr>
          <w:rFonts w:hint="eastAsia"/>
          <w:sz w:val="24"/>
          <w:highlight w:val="none"/>
          <w:u w:val="none" w:color="auto"/>
          <w:lang w:val="en-US" w:eastAsia="zh-CN"/>
        </w:rPr>
        <w:t>凡进入重点区域的人员（工作人员、外委人员、施工人员等），按规定在客户相关管理部门办理备案手续而形成允许可出入的名单。</w:t>
      </w:r>
    </w:p>
    <w:p w14:paraId="3D65C035">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69" w:name="_Toc23303"/>
      <w:r>
        <w:rPr>
          <w:rFonts w:hint="eastAsia" w:ascii="Times New Roman" w:hAnsi="Times New Roman" w:eastAsia="宋体" w:cs="Times New Roman"/>
          <w:b/>
          <w:bCs/>
          <w:color w:val="auto"/>
          <w:sz w:val="24"/>
          <w:szCs w:val="24"/>
          <w:highlight w:val="none"/>
          <w:lang w:val="en-US" w:eastAsia="zh-CN"/>
        </w:rPr>
        <w:t xml:space="preserve">2.0.9  </w:t>
      </w:r>
      <w:r>
        <w:rPr>
          <w:rFonts w:hint="eastAsia" w:ascii="宋体" w:hAnsi="宋体" w:eastAsia="宋体" w:cs="宋体"/>
          <w:color w:val="auto"/>
          <w:kern w:val="2"/>
          <w:sz w:val="24"/>
          <w:szCs w:val="24"/>
          <w:highlight w:val="none"/>
          <w:lang w:val="en-US" w:eastAsia="zh-CN"/>
        </w:rPr>
        <w:t xml:space="preserve">电力工业物业  </w:t>
      </w:r>
      <w:r>
        <w:rPr>
          <w:rFonts w:hint="eastAsia" w:ascii="Times New Roman" w:hAnsi="Times New Roman" w:eastAsia="宋体" w:cs="Times New Roman"/>
          <w:color w:val="auto"/>
          <w:sz w:val="24"/>
          <w:szCs w:val="24"/>
          <w:highlight w:val="none"/>
          <w:lang w:val="en-US" w:eastAsia="zh-CN"/>
        </w:rPr>
        <w:t>power industry property</w:t>
      </w:r>
      <w:bookmarkEnd w:id="69"/>
    </w:p>
    <w:p w14:paraId="00D4600C">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hAnsi="宋体" w:eastAsia="宋体" w:cs="Times New Roman"/>
          <w:color w:val="auto"/>
          <w:kern w:val="2"/>
          <w:sz w:val="21"/>
          <w:szCs w:val="21"/>
          <w:highlight w:val="none"/>
          <w:lang w:val="en-US" w:eastAsia="zh-CN"/>
        </w:rPr>
      </w:pPr>
      <w:r>
        <w:rPr>
          <w:rFonts w:hint="eastAsia" w:ascii="宋体" w:hAnsi="Times New Roman" w:eastAsia="宋体" w:cs="Times New Roman"/>
          <w:sz w:val="24"/>
          <w:highlight w:val="none"/>
          <w:u w:val="none" w:color="auto"/>
          <w:lang w:val="en-US" w:eastAsia="zh-CN"/>
        </w:rPr>
        <w:t>电力工业区内厂房、仓库等房屋建筑及其附属的设备、设施和场地。</w:t>
      </w:r>
    </w:p>
    <w:p w14:paraId="789DA437">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sz w:val="24"/>
          <w:highlight w:val="none"/>
          <w:u w:val="none" w:color="auto"/>
          <w:lang w:val="en-US" w:eastAsia="zh-CN"/>
        </w:rPr>
      </w:pPr>
    </w:p>
    <w:p w14:paraId="721F4E09">
      <w:pPr>
        <w:pStyle w:val="4"/>
        <w:keepNext w:val="0"/>
        <w:keepLines w:val="0"/>
        <w:pageBreakBefore/>
        <w:spacing w:line="240" w:lineRule="auto"/>
        <w:jc w:val="center"/>
        <w:rPr>
          <w:rFonts w:hint="eastAsia" w:eastAsia="宋体"/>
          <w:b w:val="0"/>
          <w:bCs w:val="0"/>
          <w:sz w:val="30"/>
          <w:highlight w:val="none"/>
        </w:rPr>
      </w:pPr>
      <w:bookmarkStart w:id="70" w:name="_Toc22816"/>
      <w:bookmarkStart w:id="71" w:name="_Toc16411"/>
      <w:r>
        <w:rPr>
          <w:rFonts w:hint="eastAsia" w:eastAsia="宋体"/>
          <w:sz w:val="30"/>
          <w:highlight w:val="none"/>
          <w:lang w:val="en-US" w:eastAsia="zh-CN"/>
        </w:rPr>
        <w:t>3</w:t>
      </w:r>
      <w:r>
        <w:rPr>
          <w:rFonts w:hint="eastAsia" w:eastAsia="宋体"/>
          <w:sz w:val="30"/>
          <w:highlight w:val="none"/>
        </w:rPr>
        <w:t xml:space="preserve"> </w:t>
      </w:r>
      <w:r>
        <w:rPr>
          <w:rFonts w:hint="eastAsia" w:eastAsia="宋体"/>
          <w:b w:val="0"/>
          <w:bCs w:val="0"/>
          <w:sz w:val="30"/>
          <w:highlight w:val="none"/>
          <w:lang w:val="en-US" w:eastAsia="zh-CN"/>
        </w:rPr>
        <w:t>管理场所分类</w:t>
      </w:r>
      <w:bookmarkEnd w:id="70"/>
      <w:bookmarkEnd w:id="71"/>
    </w:p>
    <w:p w14:paraId="24636401">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val="en-US" w:eastAsia="zh-CN"/>
        </w:rPr>
      </w:pPr>
      <w:r>
        <w:rPr>
          <w:rFonts w:hint="default" w:ascii="Times New Roman" w:hAnsi="Times New Roman" w:eastAsia="黑体" w:cs="Times New Roman"/>
          <w:b/>
          <w:bCs/>
          <w:color w:val="auto"/>
          <w:sz w:val="24"/>
          <w:szCs w:val="24"/>
          <w:highlight w:val="none"/>
          <w:lang w:val="en-US" w:eastAsia="zh-CN"/>
        </w:rPr>
        <w:t>3.1.1</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 </w:t>
      </w:r>
      <w:r>
        <w:rPr>
          <w:rFonts w:hint="eastAsia" w:hAnsi="宋体" w:cs="Arial"/>
          <w:color w:val="auto"/>
          <w:sz w:val="24"/>
          <w:szCs w:val="24"/>
          <w:highlight w:val="none"/>
        </w:rPr>
        <w:t>根据</w:t>
      </w:r>
      <w:r>
        <w:rPr>
          <w:rFonts w:hint="eastAsia" w:hAnsi="宋体" w:cs="Arial"/>
          <w:color w:val="auto"/>
          <w:sz w:val="24"/>
          <w:szCs w:val="24"/>
          <w:highlight w:val="none"/>
          <w:lang w:val="en-US" w:eastAsia="zh-CN"/>
        </w:rPr>
        <w:t>电力作业场所</w:t>
      </w:r>
      <w:r>
        <w:rPr>
          <w:rFonts w:hint="eastAsia" w:hAnsi="宋体" w:cs="Arial"/>
          <w:color w:val="auto"/>
          <w:sz w:val="24"/>
          <w:szCs w:val="24"/>
          <w:highlight w:val="none"/>
        </w:rPr>
        <w:t>，电力</w:t>
      </w:r>
      <w:r>
        <w:rPr>
          <w:rFonts w:hint="eastAsia" w:hAnsi="宋体" w:cs="Arial"/>
          <w:color w:val="auto"/>
          <w:sz w:val="24"/>
          <w:szCs w:val="24"/>
          <w:highlight w:val="none"/>
          <w:lang w:eastAsia="zh-CN"/>
        </w:rPr>
        <w:t>工业</w:t>
      </w:r>
      <w:r>
        <w:rPr>
          <w:rFonts w:hint="eastAsia" w:hAnsi="宋体" w:cs="Arial"/>
          <w:color w:val="auto"/>
          <w:sz w:val="24"/>
          <w:szCs w:val="24"/>
          <w:highlight w:val="none"/>
        </w:rPr>
        <w:t>物业管理服务场所分为</w:t>
      </w:r>
      <w:r>
        <w:rPr>
          <w:rFonts w:hint="eastAsia" w:ascii="宋体" w:hAnsi="宋体"/>
          <w:color w:val="auto"/>
          <w:sz w:val="24"/>
          <w:szCs w:val="24"/>
          <w:highlight w:val="none"/>
        </w:rPr>
        <w:t>生产场所和非生产场所。</w:t>
      </w:r>
    </w:p>
    <w:p w14:paraId="34D7D772">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3.1.2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生产场所主要包括：输变电场站（变电站、换流站等）、调度机构、抽水蓄能电厂和相关输电线路等各级单位生产人员从事生产作业的地方。</w:t>
      </w:r>
    </w:p>
    <w:p w14:paraId="4A089C47">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 xml:space="preserve">3.1.3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非生产场所主要包括：办公场所、</w:t>
      </w:r>
      <w:r>
        <w:rPr>
          <w:rFonts w:hint="eastAsia" w:ascii="宋体" w:hAnsi="宋体"/>
          <w:color w:val="auto"/>
          <w:sz w:val="24"/>
          <w:szCs w:val="24"/>
          <w:highlight w:val="none"/>
          <w:lang w:val="en-US" w:eastAsia="zh-CN"/>
        </w:rPr>
        <w:t>供电</w:t>
      </w:r>
      <w:r>
        <w:rPr>
          <w:rFonts w:hint="eastAsia" w:ascii="宋体" w:hAnsi="宋体"/>
          <w:color w:val="auto"/>
          <w:sz w:val="24"/>
          <w:szCs w:val="24"/>
          <w:highlight w:val="none"/>
          <w:lang w:eastAsia="zh-CN"/>
        </w:rPr>
        <w:t>营业</w:t>
      </w:r>
      <w:r>
        <w:rPr>
          <w:rFonts w:hint="eastAsia" w:ascii="宋体" w:hAnsi="宋体"/>
          <w:color w:val="auto"/>
          <w:sz w:val="24"/>
          <w:szCs w:val="24"/>
          <w:highlight w:val="none"/>
          <w:lang w:val="en-US" w:eastAsia="zh-CN"/>
        </w:rPr>
        <w:t>厅</w:t>
      </w:r>
      <w:r>
        <w:rPr>
          <w:rFonts w:hint="eastAsia" w:ascii="宋体" w:hAnsi="宋体"/>
          <w:color w:val="auto"/>
          <w:sz w:val="24"/>
          <w:szCs w:val="24"/>
          <w:highlight w:val="none"/>
          <w:lang w:eastAsia="zh-CN"/>
        </w:rPr>
        <w:t>、物资仓库、培训中心、员工活动中心、公寓、食堂等。</w:t>
      </w:r>
    </w:p>
    <w:p w14:paraId="6B5DB874">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3.1.4 </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根据电力工业物业项目特点，物业项目类型主要分成电力调度大楼、发电厂类、变电站/换流站和周转仓类四类</w:t>
      </w:r>
      <w:r>
        <w:rPr>
          <w:rFonts w:hint="eastAsia" w:ascii="宋体" w:hAnsi="宋体" w:cs="Times New Roman"/>
          <w:color w:val="auto"/>
          <w:sz w:val="24"/>
          <w:szCs w:val="24"/>
          <w:highlight w:val="none"/>
          <w:lang w:val="en-US" w:eastAsia="zh-CN"/>
        </w:rPr>
        <w:t>:</w:t>
      </w:r>
    </w:p>
    <w:p w14:paraId="0DFDCCBA">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lang w:val="en-US" w:eastAsia="zh-CN"/>
        </w:rPr>
        <w:t>电力调度大楼：主要包括电力调度大厦、电力调度中心及其办公场所等附属设施；</w:t>
      </w:r>
    </w:p>
    <w:p w14:paraId="182EF11C">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lang w:val="en-US" w:eastAsia="zh-CN"/>
        </w:rPr>
        <w:t>发电厂：主要包括并入电网运行的火力（燃煤、燃油、燃气及生物质）、水力、核、风力、太阳能、海洋能等发电厂（场、站）及其办公场所等附属设施；</w:t>
      </w:r>
    </w:p>
    <w:p w14:paraId="34662E5D">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变电站/换流站：主要包括高压、超高压交直流变电站/换流站及其办公场所等附属设施；</w:t>
      </w:r>
    </w:p>
    <w:p w14:paraId="78603B04">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4  </w:t>
      </w:r>
      <w:r>
        <w:rPr>
          <w:rFonts w:hint="eastAsia" w:ascii="宋体" w:hAnsi="宋体" w:eastAsia="宋体" w:cs="Times New Roman"/>
          <w:color w:val="auto"/>
          <w:sz w:val="24"/>
          <w:szCs w:val="24"/>
          <w:highlight w:val="none"/>
          <w:lang w:val="en-US" w:eastAsia="zh-CN"/>
        </w:rPr>
        <w:t>周转仓：发电、输电、变电、配电、计量等电力设备、材料的存储、配送仓库。</w:t>
      </w:r>
    </w:p>
    <w:p w14:paraId="521919E6">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72" w:name="_Toc15106"/>
      <w:bookmarkStart w:id="73" w:name="_Toc3592"/>
      <w:r>
        <w:rPr>
          <w:rFonts w:hint="eastAsia" w:ascii="Times New Roman" w:hAnsi="Times New Roman" w:eastAsia="宋体" w:cs="Times New Roman"/>
          <w:sz w:val="30"/>
          <w:highlight w:val="none"/>
          <w:lang w:val="en-US" w:eastAsia="zh-CN"/>
        </w:rPr>
        <w:t xml:space="preserve">4 </w:t>
      </w:r>
      <w:r>
        <w:rPr>
          <w:rFonts w:hint="eastAsia" w:ascii="Times New Roman" w:hAnsi="Times New Roman" w:eastAsia="宋体" w:cs="Times New Roman"/>
          <w:b w:val="0"/>
          <w:bCs w:val="0"/>
          <w:sz w:val="30"/>
          <w:highlight w:val="none"/>
          <w:lang w:val="en-US" w:eastAsia="zh-CN"/>
        </w:rPr>
        <w:t>基</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本</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要</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求</w:t>
      </w:r>
      <w:bookmarkEnd w:id="72"/>
      <w:bookmarkEnd w:id="73"/>
      <w:bookmarkStart w:id="74" w:name="_Toc16432"/>
    </w:p>
    <w:p w14:paraId="18FAD48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rPr>
      </w:pPr>
      <w:bookmarkStart w:id="75" w:name="_Toc2936"/>
      <w:bookmarkStart w:id="76" w:name="_Toc22608"/>
      <w:r>
        <w:rPr>
          <w:rFonts w:hint="eastAsia" w:ascii="宋体" w:hAnsi="宋体" w:eastAsia="宋体" w:cs="宋体"/>
          <w:b/>
          <w:bCs/>
          <w:color w:val="auto"/>
          <w:sz w:val="24"/>
          <w:szCs w:val="24"/>
          <w:highlight w:val="none"/>
          <w:lang w:val="en-US" w:eastAsia="zh-CN"/>
        </w:rPr>
        <w:t>4.1  人员要求</w:t>
      </w:r>
      <w:bookmarkEnd w:id="74"/>
      <w:bookmarkEnd w:id="75"/>
      <w:bookmarkEnd w:id="76"/>
    </w:p>
    <w:p w14:paraId="6043D9D0">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黑体" w:hAnsi="黑体" w:eastAsia="黑体" w:cs="黑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应按要求配置项目负责人、专业主管、专（兼）职安全管理人员等服务团队。</w:t>
      </w:r>
    </w:p>
    <w:p w14:paraId="4D7136BB">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Times New Roman" w:hAnsi="Times New Roman" w:eastAsia="黑体" w:cs="Times New Roman"/>
          <w:b/>
          <w:bCs/>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着装宜统一、仪容仪表整洁，应做到文明用语、耐心细致。</w:t>
      </w:r>
    </w:p>
    <w:p w14:paraId="6FE39F53">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4.1.3 </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企业应定期组织与物业管理相关的法律法规、岗位知识、专业技能等培训。</w:t>
      </w:r>
    </w:p>
    <w:p w14:paraId="357096BC">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2"/>
        <w:rPr>
          <w:rFonts w:hint="eastAsia" w:ascii="宋体" w:hAnsi="宋体" w:eastAsia="宋体" w:cs="宋体"/>
          <w:color w:val="auto"/>
          <w:sz w:val="24"/>
          <w:szCs w:val="24"/>
          <w:highlight w:val="none"/>
          <w:lang w:val="en-US" w:eastAsia="zh-CN"/>
        </w:rPr>
      </w:pPr>
      <w:bookmarkStart w:id="77" w:name="_Toc369"/>
      <w:bookmarkStart w:id="78" w:name="_Toc24920"/>
      <w:r>
        <w:rPr>
          <w:rFonts w:hint="eastAsia" w:ascii="Times New Roman" w:hAnsi="Times New Roman" w:eastAsia="黑体" w:cs="Times New Roman"/>
          <w:b/>
          <w:bCs/>
          <w:color w:val="auto"/>
          <w:sz w:val="24"/>
          <w:szCs w:val="24"/>
          <w:highlight w:val="none"/>
          <w:lang w:val="en-US" w:eastAsia="zh-CN"/>
        </w:rPr>
        <w:t>4.1.4</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对客户信息应做到保密不外</w:t>
      </w:r>
      <w:r>
        <w:rPr>
          <w:rFonts w:hint="eastAsia" w:ascii="宋体" w:hAnsi="宋体" w:cs="宋体"/>
          <w:color w:val="auto"/>
          <w:sz w:val="24"/>
          <w:szCs w:val="24"/>
          <w:highlight w:val="none"/>
          <w:lang w:val="en-US" w:eastAsia="zh-CN"/>
        </w:rPr>
        <w:t>泄</w:t>
      </w:r>
      <w:r>
        <w:rPr>
          <w:rFonts w:hint="eastAsia" w:ascii="宋体" w:hAnsi="宋体" w:eastAsia="宋体" w:cs="宋体"/>
          <w:color w:val="auto"/>
          <w:sz w:val="24"/>
          <w:szCs w:val="24"/>
          <w:highlight w:val="none"/>
          <w:lang w:val="en-US" w:eastAsia="zh-CN"/>
        </w:rPr>
        <w:t>。</w:t>
      </w:r>
      <w:bookmarkEnd w:id="77"/>
      <w:bookmarkEnd w:id="78"/>
    </w:p>
    <w:p w14:paraId="3F2C38A7">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5</w:t>
      </w:r>
      <w:r>
        <w:rPr>
          <w:rFonts w:hint="eastAsia" w:ascii="黑体" w:hAnsi="黑体" w:eastAsia="黑体" w:cs="黑体"/>
          <w:color w:val="auto"/>
          <w:sz w:val="24"/>
          <w:szCs w:val="24"/>
          <w:highlight w:val="none"/>
          <w:lang w:val="en-US" w:eastAsia="zh-CN"/>
        </w:rPr>
        <w:t xml:space="preserve">  </w:t>
      </w:r>
      <w:r>
        <w:rPr>
          <w:rFonts w:hint="eastAsia"/>
          <w:color w:val="auto"/>
          <w:sz w:val="24"/>
          <w:szCs w:val="24"/>
          <w:highlight w:val="none"/>
        </w:rPr>
        <w:t>对新入职的安保人员</w:t>
      </w:r>
      <w:r>
        <w:rPr>
          <w:rFonts w:hint="eastAsia"/>
          <w:color w:val="auto"/>
          <w:sz w:val="24"/>
          <w:szCs w:val="24"/>
          <w:highlight w:val="none"/>
          <w:lang w:val="en-US" w:eastAsia="zh-CN"/>
        </w:rPr>
        <w:t>和重要岗位</w:t>
      </w:r>
      <w:r>
        <w:rPr>
          <w:rFonts w:hint="eastAsia"/>
          <w:color w:val="auto"/>
          <w:sz w:val="24"/>
          <w:szCs w:val="24"/>
          <w:highlight w:val="none"/>
        </w:rPr>
        <w:t>须</w:t>
      </w:r>
      <w:r>
        <w:rPr>
          <w:rFonts w:hint="eastAsia"/>
          <w:color w:val="auto"/>
          <w:sz w:val="24"/>
          <w:szCs w:val="24"/>
          <w:highlight w:val="none"/>
          <w:lang w:val="en-US" w:eastAsia="zh-CN"/>
        </w:rPr>
        <w:t>进行</w:t>
      </w:r>
      <w:r>
        <w:rPr>
          <w:rFonts w:hint="eastAsia"/>
          <w:color w:val="auto"/>
          <w:sz w:val="24"/>
          <w:szCs w:val="24"/>
          <w:highlight w:val="none"/>
        </w:rPr>
        <w:t>背景审查，定期对</w:t>
      </w:r>
      <w:r>
        <w:rPr>
          <w:rFonts w:hint="eastAsia"/>
          <w:color w:val="auto"/>
          <w:sz w:val="24"/>
          <w:szCs w:val="24"/>
          <w:highlight w:val="none"/>
          <w:lang w:val="en-US" w:eastAsia="zh-CN"/>
        </w:rPr>
        <w:t>以下</w:t>
      </w:r>
      <w:r>
        <w:rPr>
          <w:rFonts w:hint="eastAsia"/>
          <w:color w:val="auto"/>
          <w:sz w:val="24"/>
          <w:szCs w:val="24"/>
          <w:highlight w:val="none"/>
        </w:rPr>
        <w:t>相关人员进行安全背景审查，防止可疑人员上岗</w:t>
      </w:r>
      <w:r>
        <w:rPr>
          <w:rFonts w:hint="eastAsia"/>
          <w:color w:val="auto"/>
          <w:sz w:val="24"/>
          <w:szCs w:val="24"/>
          <w:highlight w:val="none"/>
          <w:lang w:eastAsia="zh-CN"/>
        </w:rPr>
        <w:t>，</w:t>
      </w:r>
      <w:r>
        <w:rPr>
          <w:rFonts w:hint="eastAsia"/>
          <w:color w:val="auto"/>
          <w:sz w:val="24"/>
          <w:szCs w:val="24"/>
          <w:highlight w:val="none"/>
          <w:lang w:val="en-US" w:eastAsia="zh-CN"/>
        </w:rPr>
        <w:t>包括但不限于</w:t>
      </w:r>
      <w:r>
        <w:rPr>
          <w:rFonts w:hint="eastAsia" w:ascii="宋体" w:hAnsi="宋体" w:eastAsia="宋体" w:cs="宋体"/>
          <w:color w:val="auto"/>
          <w:sz w:val="24"/>
          <w:szCs w:val="24"/>
          <w:highlight w:val="none"/>
          <w:lang w:val="en-US" w:eastAsia="zh-CN"/>
        </w:rPr>
        <w:t>：</w:t>
      </w:r>
    </w:p>
    <w:p w14:paraId="1CD6454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治安</w:t>
      </w:r>
      <w:r>
        <w:rPr>
          <w:rFonts w:hint="eastAsia" w:ascii="宋体" w:hAnsi="宋体" w:cs="宋体"/>
          <w:color w:val="auto"/>
          <w:sz w:val="24"/>
          <w:szCs w:val="24"/>
          <w:highlight w:val="none"/>
          <w:lang w:val="en-US" w:eastAsia="zh-CN"/>
        </w:rPr>
        <w:t>反</w:t>
      </w:r>
      <w:r>
        <w:rPr>
          <w:rFonts w:hint="eastAsia" w:ascii="宋体" w:hAnsi="宋体" w:eastAsia="宋体" w:cs="宋体"/>
          <w:color w:val="auto"/>
          <w:sz w:val="24"/>
          <w:szCs w:val="24"/>
          <w:highlight w:val="none"/>
          <w:lang w:val="en-US" w:eastAsia="zh-CN"/>
        </w:rPr>
        <w:t>恐</w:t>
      </w:r>
      <w:r>
        <w:rPr>
          <w:rFonts w:hint="eastAsia" w:ascii="宋体" w:hAnsi="宋体" w:cs="宋体"/>
          <w:color w:val="auto"/>
          <w:sz w:val="24"/>
          <w:szCs w:val="24"/>
          <w:highlight w:val="none"/>
          <w:lang w:val="en-US" w:eastAsia="zh-CN"/>
        </w:rPr>
        <w:t>怖防范</w:t>
      </w:r>
      <w:r>
        <w:rPr>
          <w:rFonts w:hint="eastAsia" w:ascii="宋体" w:hAnsi="宋体" w:eastAsia="宋体" w:cs="宋体"/>
          <w:color w:val="auto"/>
          <w:sz w:val="24"/>
          <w:szCs w:val="24"/>
          <w:highlight w:val="none"/>
          <w:lang w:val="en-US" w:eastAsia="zh-CN"/>
        </w:rPr>
        <w:t>重要岗位人员；</w:t>
      </w:r>
    </w:p>
    <w:p w14:paraId="2592AF8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反</w:t>
      </w:r>
      <w:r>
        <w:rPr>
          <w:rFonts w:hint="eastAsia" w:ascii="宋体" w:hAnsi="宋体" w:eastAsia="宋体" w:cs="宋体"/>
          <w:color w:val="auto"/>
          <w:sz w:val="24"/>
          <w:szCs w:val="24"/>
          <w:highlight w:val="none"/>
          <w:lang w:val="en-US" w:eastAsia="zh-CN"/>
        </w:rPr>
        <w:t>恐</w:t>
      </w:r>
      <w:r>
        <w:rPr>
          <w:rFonts w:hint="eastAsia" w:ascii="宋体" w:hAnsi="宋体" w:cs="宋体"/>
          <w:color w:val="auto"/>
          <w:sz w:val="24"/>
          <w:szCs w:val="24"/>
          <w:highlight w:val="none"/>
          <w:lang w:val="en-US" w:eastAsia="zh-CN"/>
        </w:rPr>
        <w:t>怖防范</w:t>
      </w:r>
      <w:r>
        <w:rPr>
          <w:rFonts w:hint="eastAsia" w:ascii="宋体" w:hAnsi="宋体" w:eastAsia="宋体" w:cs="宋体"/>
          <w:color w:val="auto"/>
          <w:sz w:val="24"/>
          <w:szCs w:val="24"/>
          <w:highlight w:val="none"/>
          <w:lang w:val="en-US" w:eastAsia="zh-CN"/>
        </w:rPr>
        <w:t>重点目标区域内工作的人员；</w:t>
      </w:r>
    </w:p>
    <w:p w14:paraId="1F4B75C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接触重要信息数据人员。</w:t>
      </w:r>
    </w:p>
    <w:p w14:paraId="0347F41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zh-CN" w:eastAsia="zh-CN"/>
        </w:rPr>
      </w:pPr>
      <w:r>
        <w:rPr>
          <w:rFonts w:hint="eastAsia" w:ascii="Times New Roman" w:hAnsi="Times New Roman" w:eastAsia="黑体" w:cs="Times New Roman"/>
          <w:b/>
          <w:bCs/>
          <w:color w:val="auto"/>
          <w:sz w:val="24"/>
          <w:szCs w:val="24"/>
          <w:highlight w:val="none"/>
          <w:lang w:val="en-US" w:eastAsia="zh-CN"/>
        </w:rPr>
        <w:t>4.1.6</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保安人员须持有公安部门核发有效的</w:t>
      </w:r>
      <w:r>
        <w:rPr>
          <w:rFonts w:hint="eastAsia" w:ascii="宋体" w:hAnsi="宋体" w:eastAsia="宋体" w:cs="宋体"/>
          <w:color w:val="auto"/>
          <w:sz w:val="24"/>
          <w:szCs w:val="24"/>
          <w:highlight w:val="none"/>
          <w:lang w:val="en-US" w:eastAsia="zh-CN"/>
        </w:rPr>
        <w:t>《保安员</w:t>
      </w:r>
      <w:r>
        <w:rPr>
          <w:rFonts w:hint="eastAsia" w:ascii="宋体" w:hAnsi="宋体" w:eastAsia="宋体" w:cs="宋体"/>
          <w:color w:val="auto"/>
          <w:sz w:val="24"/>
          <w:szCs w:val="24"/>
          <w:highlight w:val="none"/>
          <w:lang w:val="zh-CN" w:eastAsia="zh-CN"/>
        </w:rPr>
        <w:t>证》</w:t>
      </w:r>
      <w:r>
        <w:rPr>
          <w:rFonts w:hint="eastAsia" w:ascii="宋体" w:hAnsi="宋体" w:eastAsia="宋体" w:cs="宋体"/>
          <w:color w:val="auto"/>
          <w:sz w:val="24"/>
          <w:szCs w:val="24"/>
          <w:highlight w:val="none"/>
          <w:lang w:val="en-US" w:eastAsia="zh-CN"/>
        </w:rPr>
        <w:t>并持证上岗</w:t>
      </w:r>
      <w:r>
        <w:rPr>
          <w:rFonts w:hint="eastAsia" w:ascii="宋体" w:hAnsi="宋体" w:eastAsia="宋体" w:cs="宋体"/>
          <w:color w:val="auto"/>
          <w:sz w:val="24"/>
          <w:szCs w:val="24"/>
          <w:highlight w:val="none"/>
          <w:lang w:val="zh-CN" w:eastAsia="zh-CN"/>
        </w:rPr>
        <w:t>。</w:t>
      </w:r>
    </w:p>
    <w:p w14:paraId="0ED5DF7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4.1.7</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消防控制室值班操作人员应依法取得相应等级的消防行业特有工种职业资格证书</w:t>
      </w:r>
      <w:r>
        <w:rPr>
          <w:rFonts w:hint="eastAsia" w:ascii="宋体" w:hAnsi="宋体" w:eastAsia="宋体" w:cs="宋体"/>
          <w:color w:val="auto"/>
          <w:sz w:val="24"/>
          <w:szCs w:val="24"/>
          <w:highlight w:val="none"/>
          <w:lang w:val="zh-CN" w:eastAsia="zh-CN"/>
        </w:rPr>
        <w:t>。</w:t>
      </w:r>
    </w:p>
    <w:p w14:paraId="17941707">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2"/>
        <w:rPr>
          <w:rFonts w:hint="eastAsia" w:ascii="黑体" w:hAnsi="黑体" w:eastAsia="黑体" w:cs="黑体"/>
          <w:color w:val="auto"/>
          <w:sz w:val="24"/>
          <w:szCs w:val="24"/>
          <w:highlight w:val="none"/>
          <w:lang w:val="en-US" w:eastAsia="zh-CN"/>
        </w:rPr>
      </w:pPr>
      <w:bookmarkStart w:id="79" w:name="_Toc28825"/>
      <w:bookmarkStart w:id="80" w:name="_Toc10464"/>
      <w:r>
        <w:rPr>
          <w:rFonts w:hint="eastAsia" w:ascii="Times New Roman" w:hAnsi="Times New Roman" w:eastAsia="黑体" w:cs="Times New Roman"/>
          <w:b/>
          <w:bCs/>
          <w:color w:val="auto"/>
          <w:sz w:val="24"/>
          <w:szCs w:val="24"/>
          <w:highlight w:val="none"/>
          <w:lang w:val="en-US" w:eastAsia="zh-CN"/>
        </w:rPr>
        <w:t>4.1.8</w:t>
      </w:r>
      <w:r>
        <w:rPr>
          <w:rFonts w:hint="eastAsia" w:ascii="黑体" w:hAnsi="黑体" w:eastAsia="黑体" w:cs="黑体"/>
          <w:color w:val="auto"/>
          <w:sz w:val="24"/>
          <w:szCs w:val="24"/>
          <w:highlight w:val="none"/>
          <w:lang w:val="en-US" w:eastAsia="zh-CN"/>
        </w:rPr>
        <w:t xml:space="preserve">  </w:t>
      </w:r>
      <w:bookmarkEnd w:id="79"/>
      <w:r>
        <w:rPr>
          <w:rFonts w:hint="eastAsia" w:ascii="宋体" w:hAnsi="宋体" w:eastAsia="宋体" w:cs="宋体"/>
          <w:color w:val="auto"/>
          <w:sz w:val="24"/>
          <w:szCs w:val="24"/>
          <w:highlight w:val="none"/>
          <w:lang w:val="en-US" w:eastAsia="zh-CN"/>
        </w:rPr>
        <w:t>特种作业人员应经专门的安全技术培训并考核合格，取得《中华人民共和国特种作业操作证》后，方可上岗作业。</w:t>
      </w:r>
      <w:bookmarkEnd w:id="80"/>
    </w:p>
    <w:p w14:paraId="79E8279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1" w:name="_Toc23028"/>
      <w:bookmarkStart w:id="82" w:name="_Toc7220"/>
      <w:r>
        <w:rPr>
          <w:rFonts w:hint="eastAsia" w:ascii="宋体" w:hAnsi="宋体" w:eastAsia="宋体" w:cs="宋体"/>
          <w:b/>
          <w:bCs/>
          <w:color w:val="auto"/>
          <w:sz w:val="24"/>
          <w:szCs w:val="24"/>
          <w:highlight w:val="none"/>
          <w:lang w:val="en-US" w:eastAsia="zh-CN"/>
        </w:rPr>
        <w:t>4.2  财务管理</w:t>
      </w:r>
      <w:bookmarkEnd w:id="81"/>
      <w:bookmarkEnd w:id="82"/>
    </w:p>
    <w:p w14:paraId="224CC5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4.2.1</w:t>
      </w:r>
      <w:r>
        <w:rPr>
          <w:rFonts w:hint="eastAsia" w:ascii="宋体" w:hAnsi="宋体" w:eastAsia="宋体" w:cs="宋体"/>
          <w:color w:val="auto"/>
          <w:sz w:val="24"/>
          <w:szCs w:val="24"/>
          <w:highlight w:val="none"/>
          <w:lang w:val="en-US" w:eastAsia="zh-CN"/>
        </w:rPr>
        <w:t xml:space="preserve">  有健全完善的财务管理制度，对各类收入做到账目清晰、规范操作。</w:t>
      </w:r>
    </w:p>
    <w:p w14:paraId="2F8065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4.2.2 </w:t>
      </w:r>
      <w:r>
        <w:rPr>
          <w:rFonts w:hint="eastAsia" w:ascii="宋体" w:hAnsi="宋体" w:eastAsia="宋体" w:cs="宋体"/>
          <w:color w:val="auto"/>
          <w:sz w:val="24"/>
          <w:szCs w:val="24"/>
          <w:highlight w:val="none"/>
          <w:lang w:val="en-US" w:eastAsia="zh-CN"/>
        </w:rPr>
        <w:t xml:space="preserve"> 有明确的收付款流程、标准、时间、方式；使用专业的财务系统进行收缴核算。</w:t>
      </w:r>
    </w:p>
    <w:p w14:paraId="42182E4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83" w:name="_Toc17402"/>
      <w:bookmarkStart w:id="84" w:name="_Toc17987"/>
      <w:r>
        <w:rPr>
          <w:rFonts w:hint="eastAsia" w:ascii="Times New Roman" w:hAnsi="Times New Roman" w:eastAsia="黑体" w:cs="Times New Roman"/>
          <w:b/>
          <w:bCs/>
          <w:color w:val="auto"/>
          <w:sz w:val="24"/>
          <w:szCs w:val="24"/>
          <w:highlight w:val="none"/>
          <w:lang w:val="en-US" w:eastAsia="zh-CN"/>
        </w:rPr>
        <w:t>4.2.3</w:t>
      </w:r>
      <w:r>
        <w:rPr>
          <w:rFonts w:hint="eastAsia" w:ascii="宋体" w:hAnsi="宋体" w:eastAsia="宋体" w:cs="宋体"/>
          <w:color w:val="auto"/>
          <w:sz w:val="24"/>
          <w:szCs w:val="24"/>
          <w:highlight w:val="none"/>
          <w:lang w:val="en-US" w:eastAsia="zh-CN"/>
        </w:rPr>
        <w:t xml:space="preserve">  按国家法规，开具合法的发票或收据。</w:t>
      </w:r>
      <w:bookmarkEnd w:id="83"/>
      <w:bookmarkEnd w:id="84"/>
    </w:p>
    <w:p w14:paraId="77D430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4.2.4 </w:t>
      </w:r>
      <w:r>
        <w:rPr>
          <w:rFonts w:hint="eastAsia" w:ascii="宋体" w:hAnsi="宋体" w:eastAsia="宋体" w:cs="宋体"/>
          <w:color w:val="auto"/>
          <w:sz w:val="24"/>
          <w:szCs w:val="24"/>
          <w:highlight w:val="none"/>
          <w:lang w:val="en-US" w:eastAsia="zh-CN"/>
        </w:rPr>
        <w:t xml:space="preserve"> 编制年度财务预算，做到定期统计、分析，及时发现异常情况并作出纠正调整。</w:t>
      </w:r>
    </w:p>
    <w:p w14:paraId="600BF07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5" w:name="_Toc26838"/>
      <w:bookmarkStart w:id="86" w:name="_Toc24997"/>
      <w:r>
        <w:rPr>
          <w:rFonts w:hint="eastAsia" w:ascii="宋体" w:hAnsi="宋体" w:eastAsia="宋体" w:cs="宋体"/>
          <w:b/>
          <w:bCs/>
          <w:color w:val="auto"/>
          <w:sz w:val="24"/>
          <w:szCs w:val="24"/>
          <w:highlight w:val="none"/>
          <w:lang w:val="en-US" w:eastAsia="zh-CN"/>
        </w:rPr>
        <w:t>4.3  档案管理</w:t>
      </w:r>
      <w:bookmarkEnd w:id="85"/>
      <w:bookmarkEnd w:id="86"/>
    </w:p>
    <w:p w14:paraId="3B44DF1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87" w:name="_Toc4586"/>
      <w:bookmarkStart w:id="88" w:name="_Toc4544"/>
      <w:r>
        <w:rPr>
          <w:rFonts w:hint="eastAsia" w:ascii="Times New Roman" w:hAnsi="Times New Roman" w:eastAsia="黑体" w:cs="Times New Roman"/>
          <w:b/>
          <w:bCs/>
          <w:color w:val="auto"/>
          <w:sz w:val="24"/>
          <w:szCs w:val="24"/>
          <w:highlight w:val="none"/>
          <w:lang w:val="en-US" w:eastAsia="zh-CN"/>
        </w:rPr>
        <w:t>4.3.1</w:t>
      </w:r>
      <w:r>
        <w:rPr>
          <w:rFonts w:hint="eastAsia" w:ascii="宋体" w:hAnsi="宋体" w:eastAsia="宋体" w:cs="宋体"/>
          <w:color w:val="auto"/>
          <w:sz w:val="24"/>
          <w:szCs w:val="24"/>
          <w:highlight w:val="none"/>
          <w:lang w:val="en-US" w:eastAsia="zh-CN"/>
        </w:rPr>
        <w:t xml:space="preserve">  建立档案管理制度。</w:t>
      </w:r>
      <w:bookmarkEnd w:id="87"/>
      <w:bookmarkEnd w:id="88"/>
    </w:p>
    <w:p w14:paraId="76ED53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4.3.2</w:t>
      </w:r>
      <w:r>
        <w:rPr>
          <w:rFonts w:hint="eastAsia" w:ascii="宋体" w:hAnsi="宋体" w:eastAsia="宋体" w:cs="宋体"/>
          <w:color w:val="auto"/>
          <w:sz w:val="24"/>
          <w:szCs w:val="24"/>
          <w:highlight w:val="none"/>
          <w:lang w:val="en-US" w:eastAsia="zh-CN"/>
        </w:rPr>
        <w:t xml:space="preserve">  应</w:t>
      </w:r>
      <w:r>
        <w:rPr>
          <w:rFonts w:hint="eastAsia" w:ascii="宋体" w:hAnsi="宋体" w:cs="宋体"/>
          <w:color w:val="auto"/>
          <w:sz w:val="24"/>
          <w:szCs w:val="24"/>
          <w:highlight w:val="none"/>
          <w:lang w:val="en-US" w:eastAsia="zh-CN"/>
        </w:rPr>
        <w:t>符合现行地方标准《物业服务 档案管理规范》</w:t>
      </w:r>
      <w:r>
        <w:rPr>
          <w:rFonts w:hint="eastAsia" w:ascii="宋体" w:hAnsi="宋体" w:eastAsia="宋体" w:cs="宋体"/>
          <w:color w:val="auto"/>
          <w:sz w:val="24"/>
          <w:szCs w:val="24"/>
          <w:highlight w:val="none"/>
          <w:lang w:val="en-US" w:eastAsia="zh-CN"/>
        </w:rPr>
        <w:t>DB44/T 1315的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，配备专职（兼职）档案资料管理员。</w:t>
      </w:r>
    </w:p>
    <w:p w14:paraId="73436B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4.3.3</w:t>
      </w:r>
      <w:r>
        <w:rPr>
          <w:rFonts w:hint="eastAsia" w:ascii="宋体" w:hAnsi="宋体" w:eastAsia="宋体" w:cs="宋体"/>
          <w:color w:val="auto"/>
          <w:sz w:val="24"/>
          <w:szCs w:val="24"/>
          <w:highlight w:val="none"/>
          <w:lang w:val="en-US" w:eastAsia="zh-CN"/>
        </w:rPr>
        <w:t xml:space="preserve">  物业档案应实行电子档案和纸质档案，主要内容应包括但不限于：</w:t>
      </w:r>
    </w:p>
    <w:p w14:paraId="416415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eastAsia="zh-CN"/>
        </w:rPr>
        <w:t>日常管理档案；</w:t>
      </w:r>
    </w:p>
    <w:p w14:paraId="3E818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客户</w:t>
      </w:r>
      <w:r>
        <w:rPr>
          <w:rFonts w:hint="eastAsia" w:ascii="宋体" w:hAnsi="宋体" w:eastAsia="宋体" w:cs="宋体"/>
          <w:color w:val="auto"/>
          <w:sz w:val="24"/>
          <w:szCs w:val="24"/>
          <w:highlight w:val="none"/>
          <w:lang w:val="zh-CN" w:eastAsia="zh-CN"/>
        </w:rPr>
        <w:t>资料档案；</w:t>
      </w:r>
    </w:p>
    <w:p w14:paraId="0C36F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CN" w:eastAsia="zh-CN"/>
        </w:rPr>
        <w:t>合同管理档案；</w:t>
      </w:r>
    </w:p>
    <w:p w14:paraId="51D0AB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val="zh-CN" w:eastAsia="zh-CN"/>
        </w:rPr>
        <w:t>设备管理档案；</w:t>
      </w:r>
    </w:p>
    <w:p w14:paraId="79B8CD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eastAsia="zh-CN"/>
        </w:rPr>
        <w:t>物业及其配套设施权属清册；</w:t>
      </w:r>
    </w:p>
    <w:p w14:paraId="790D9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eastAsia="zh-CN"/>
        </w:rPr>
        <w:t>物业竣工验收档案。</w:t>
      </w:r>
    </w:p>
    <w:p w14:paraId="2C645F9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9" w:name="_Toc19239"/>
      <w:bookmarkStart w:id="90" w:name="_Toc20759"/>
      <w:r>
        <w:rPr>
          <w:rFonts w:hint="eastAsia" w:ascii="宋体" w:hAnsi="宋体" w:eastAsia="宋体" w:cs="宋体"/>
          <w:b/>
          <w:bCs/>
          <w:color w:val="auto"/>
          <w:sz w:val="24"/>
          <w:szCs w:val="24"/>
          <w:highlight w:val="none"/>
          <w:lang w:val="en-US" w:eastAsia="zh-CN"/>
        </w:rPr>
        <w:t>4.4  保密管理</w:t>
      </w:r>
      <w:bookmarkEnd w:id="89"/>
      <w:bookmarkEnd w:id="90"/>
    </w:p>
    <w:p w14:paraId="02C5240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szCs w:val="24"/>
          <w:highlight w:val="none"/>
          <w:lang w:val="en-US" w:eastAsia="zh-CN"/>
        </w:rPr>
      </w:pPr>
      <w:bookmarkStart w:id="91" w:name="_Toc24781"/>
      <w:bookmarkStart w:id="92" w:name="_Toc20408"/>
      <w:r>
        <w:rPr>
          <w:rFonts w:hint="eastAsia" w:ascii="Times New Roman" w:hAnsi="Times New Roman" w:eastAsia="黑体" w:cs="Times New Roman"/>
          <w:b/>
          <w:bCs/>
          <w:color w:val="auto"/>
          <w:sz w:val="24"/>
          <w:szCs w:val="24"/>
          <w:highlight w:val="none"/>
          <w:lang w:val="en-US" w:eastAsia="zh-CN"/>
        </w:rPr>
        <w:t>4.4.1</w:t>
      </w:r>
      <w:r>
        <w:rPr>
          <w:rFonts w:hint="eastAsia" w:ascii="宋体" w:hAnsi="宋体" w:eastAsia="宋体" w:cs="宋体"/>
          <w:color w:val="auto"/>
          <w:sz w:val="24"/>
          <w:szCs w:val="24"/>
          <w:highlight w:val="none"/>
          <w:lang w:val="en-US" w:eastAsia="zh-CN"/>
        </w:rPr>
        <w:t xml:space="preserve">  应建立保密管理制度，应包括但不限于以下内容：</w:t>
      </w:r>
      <w:bookmarkEnd w:id="91"/>
      <w:bookmarkEnd w:id="92"/>
    </w:p>
    <w:p w14:paraId="39433F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须与物业相关服务员工及供应商签署保密协议；</w:t>
      </w:r>
    </w:p>
    <w:p w14:paraId="74747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设定保密管理范围及主要对象； </w:t>
      </w:r>
    </w:p>
    <w:p w14:paraId="5C7C0E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定期对员工开展保密教育培训等。</w:t>
      </w:r>
    </w:p>
    <w:p w14:paraId="12CDFD5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3" w:name="_Toc2073"/>
      <w:bookmarkStart w:id="94" w:name="_Toc21100"/>
      <w:r>
        <w:rPr>
          <w:rFonts w:hint="eastAsia" w:ascii="宋体" w:hAnsi="宋体" w:eastAsia="宋体" w:cs="宋体"/>
          <w:b/>
          <w:bCs/>
          <w:color w:val="auto"/>
          <w:sz w:val="24"/>
          <w:szCs w:val="24"/>
          <w:highlight w:val="none"/>
          <w:lang w:val="en-US" w:eastAsia="zh-CN"/>
        </w:rPr>
        <w:t>4.5  标识管理</w:t>
      </w:r>
      <w:bookmarkEnd w:id="93"/>
      <w:bookmarkEnd w:id="94"/>
    </w:p>
    <w:p w14:paraId="0C5444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zh-CN" w:eastAsia="zh-CN"/>
        </w:rPr>
        <w:t>标识的图形符号应符合</w:t>
      </w:r>
      <w:r>
        <w:rPr>
          <w:rFonts w:hint="eastAsia" w:ascii="宋体" w:hAnsi="宋体" w:cs="宋体"/>
          <w:color w:val="auto"/>
          <w:sz w:val="24"/>
          <w:szCs w:val="24"/>
          <w:highlight w:val="none"/>
          <w:lang w:val="en-US" w:eastAsia="zh-CN"/>
        </w:rPr>
        <w:t>现行国家标准</w:t>
      </w:r>
      <w:r>
        <w:rPr>
          <w:rFonts w:hint="default" w:ascii="宋体" w:hAnsi="宋体" w:eastAsia="宋体" w:cs="宋体"/>
          <w:color w:val="auto"/>
          <w:sz w:val="24"/>
          <w:szCs w:val="24"/>
          <w:highlight w:val="none"/>
          <w:lang w:val="zh-CN" w:eastAsia="zh-CN"/>
        </w:rPr>
        <w:t>《公共信息图形符号 第1部分：通用符号》</w:t>
      </w:r>
      <w:r>
        <w:rPr>
          <w:rFonts w:hint="default" w:ascii="宋体" w:hAnsi="宋体" w:eastAsia="宋体" w:cs="宋体"/>
          <w:color w:val="auto"/>
          <w:sz w:val="24"/>
          <w:szCs w:val="24"/>
          <w:highlight w:val="none"/>
          <w:lang w:val="en-US" w:eastAsia="zh-CN"/>
        </w:rPr>
        <w:t>GB/T 10001.1</w:t>
      </w:r>
      <w:r>
        <w:rPr>
          <w:rFonts w:hint="eastAsia" w:ascii="宋体" w:hAnsi="宋体" w:cs="宋体"/>
          <w:color w:val="auto"/>
          <w:sz w:val="24"/>
          <w:szCs w:val="24"/>
          <w:highlight w:val="none"/>
          <w:lang w:val="en-US" w:eastAsia="zh-CN"/>
        </w:rPr>
        <w:t>的相关规定，</w:t>
      </w:r>
      <w:r>
        <w:rPr>
          <w:rFonts w:hint="default" w:ascii="宋体" w:hAnsi="宋体" w:eastAsia="宋体" w:cs="宋体"/>
          <w:color w:val="auto"/>
          <w:sz w:val="24"/>
          <w:szCs w:val="24"/>
          <w:highlight w:val="none"/>
          <w:lang w:val="zh-CN" w:eastAsia="zh-CN"/>
        </w:rPr>
        <w:t>消防与安全标识应符合</w:t>
      </w:r>
      <w:r>
        <w:rPr>
          <w:rFonts w:hint="eastAsia" w:ascii="宋体" w:hAnsi="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val="zh-CN" w:eastAsia="zh-CN"/>
        </w:rPr>
        <w:t>《安全标志及其使用导则》</w:t>
      </w:r>
      <w:r>
        <w:rPr>
          <w:rFonts w:hint="default" w:ascii="宋体" w:hAnsi="宋体" w:eastAsia="宋体" w:cs="宋体"/>
          <w:color w:val="auto"/>
          <w:sz w:val="24"/>
          <w:szCs w:val="24"/>
          <w:highlight w:val="none"/>
          <w:lang w:val="en-US" w:eastAsia="zh-CN"/>
        </w:rPr>
        <w:t>GB 2894、</w:t>
      </w:r>
      <w:r>
        <w:rPr>
          <w:rFonts w:hint="eastAsia" w:ascii="宋体" w:hAnsi="宋体" w:eastAsia="宋体" w:cs="宋体"/>
          <w:color w:val="auto"/>
          <w:sz w:val="24"/>
          <w:szCs w:val="24"/>
          <w:highlight w:val="none"/>
          <w:lang w:val="en-US" w:eastAsia="zh-CN"/>
        </w:rPr>
        <w:t>《消防安全标志  第1部分：标志》</w:t>
      </w:r>
      <w:r>
        <w:rPr>
          <w:rFonts w:hint="default" w:ascii="宋体" w:hAnsi="宋体" w:eastAsia="宋体" w:cs="宋体"/>
          <w:color w:val="auto"/>
          <w:sz w:val="24"/>
          <w:szCs w:val="24"/>
          <w:highlight w:val="none"/>
          <w:lang w:val="en-US" w:eastAsia="zh-CN"/>
        </w:rPr>
        <w:t>GB 13495.1</w:t>
      </w:r>
      <w:r>
        <w:rPr>
          <w:rFonts w:hint="eastAsia" w:ascii="宋体" w:hAnsi="宋体" w:eastAsia="宋体" w:cs="宋体"/>
          <w:color w:val="auto"/>
          <w:sz w:val="24"/>
          <w:szCs w:val="24"/>
          <w:highlight w:val="none"/>
          <w:lang w:val="en-US" w:eastAsia="zh-CN"/>
        </w:rPr>
        <w:t>、《消防安全标志设置要求》GB 15630的规定。</w:t>
      </w:r>
    </w:p>
    <w:p w14:paraId="4EFFB7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4.5.2</w:t>
      </w:r>
      <w:r>
        <w:rPr>
          <w:rFonts w:hint="eastAsia" w:ascii="宋体" w:hAnsi="宋体" w:eastAsia="宋体" w:cs="宋体"/>
          <w:color w:val="auto"/>
          <w:sz w:val="24"/>
          <w:szCs w:val="24"/>
          <w:highlight w:val="none"/>
          <w:lang w:val="en-US" w:eastAsia="zh-CN"/>
        </w:rPr>
        <w:t xml:space="preserve">  结合作业现场情况的需要，在显眼位置设作业中的临时性安全警示标识。</w:t>
      </w:r>
    </w:p>
    <w:p w14:paraId="76CAF5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4.5.3</w:t>
      </w:r>
      <w:r>
        <w:rPr>
          <w:rFonts w:hint="eastAsia" w:ascii="宋体" w:hAnsi="宋体" w:eastAsia="宋体" w:cs="宋体"/>
          <w:color w:val="auto"/>
          <w:sz w:val="24"/>
          <w:szCs w:val="24"/>
          <w:highlight w:val="none"/>
          <w:lang w:val="en-US" w:eastAsia="zh-CN"/>
        </w:rPr>
        <w:t xml:space="preserve">  定期对各类标识标牌进行检查、维护、清洁，确保安全牢固无损坏。</w:t>
      </w:r>
    </w:p>
    <w:p w14:paraId="6E0174C8">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3BD05E37">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01D66A6B">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4E702E2C">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1282794F">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7469C552">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38B0520D">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7EC58276">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14:paraId="50A2B3E4">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95" w:name="_Toc18408"/>
      <w:bookmarkStart w:id="96" w:name="_Toc15737"/>
      <w:r>
        <w:rPr>
          <w:rFonts w:hint="eastAsia" w:ascii="Times New Roman" w:hAnsi="Times New Roman" w:eastAsia="宋体" w:cs="Times New Roman"/>
          <w:sz w:val="30"/>
          <w:highlight w:val="none"/>
          <w:lang w:val="en-US" w:eastAsia="zh-CN"/>
        </w:rPr>
        <w:t xml:space="preserve">5 </w:t>
      </w:r>
      <w:r>
        <w:rPr>
          <w:rFonts w:hint="eastAsia" w:ascii="Times New Roman" w:hAnsi="Times New Roman" w:eastAsia="宋体" w:cs="Times New Roman"/>
          <w:b w:val="0"/>
          <w:bCs w:val="0"/>
          <w:sz w:val="30"/>
          <w:highlight w:val="none"/>
          <w:lang w:val="en-US" w:eastAsia="zh-CN"/>
        </w:rPr>
        <w:t>电力生产场所作业安全管理要求</w:t>
      </w:r>
      <w:bookmarkEnd w:id="95"/>
      <w:bookmarkEnd w:id="96"/>
    </w:p>
    <w:p w14:paraId="79794A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电力生产场所物业管理服务作业包括但不限于：保洁服务、绿化养护、设施设备运行服务等。应</w:t>
      </w:r>
      <w:r>
        <w:rPr>
          <w:rFonts w:hint="eastAsia" w:ascii="宋体" w:hAnsi="宋体" w:eastAsia="宋体" w:cs="宋体"/>
          <w:color w:val="auto"/>
          <w:sz w:val="24"/>
          <w:szCs w:val="24"/>
          <w:highlight w:val="none"/>
          <w:lang w:val="en-US" w:eastAsia="zh-CN"/>
        </w:rPr>
        <w:t>贯彻执行国家、地方、行业、客户单位和公司有关安全法规及操作规程，同时严格</w:t>
      </w:r>
      <w:r>
        <w:rPr>
          <w:rFonts w:hint="eastAsia" w:ascii="宋体" w:hAnsi="宋体" w:cs="宋体"/>
          <w:color w:val="auto"/>
          <w:sz w:val="24"/>
          <w:szCs w:val="24"/>
          <w:highlight w:val="none"/>
          <w:lang w:val="en-US" w:eastAsia="zh-CN"/>
        </w:rPr>
        <w:t>遵守现行国家标准《电力安全工作规程 发电厂和变电站电气部分》</w:t>
      </w:r>
      <w:r>
        <w:rPr>
          <w:rFonts w:hint="eastAsia" w:ascii="宋体" w:hAnsi="宋体" w:eastAsia="宋体" w:cs="宋体"/>
          <w:color w:val="auto"/>
          <w:sz w:val="24"/>
          <w:szCs w:val="24"/>
          <w:highlight w:val="none"/>
          <w:lang w:val="en-US" w:eastAsia="zh-CN"/>
        </w:rPr>
        <w:t>GB26860</w:t>
      </w:r>
      <w:r>
        <w:rPr>
          <w:rFonts w:hint="eastAsia" w:ascii="宋体" w:hAnsi="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en-US" w:eastAsia="zh-CN"/>
        </w:rPr>
        <w:t>。</w:t>
      </w:r>
    </w:p>
    <w:p w14:paraId="03E106F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5.0.2</w:t>
      </w:r>
      <w:r>
        <w:rPr>
          <w:rFonts w:hint="eastAsia" w:ascii="宋体" w:hAnsi="宋体" w:eastAsia="宋体" w:cs="宋体"/>
          <w:color w:val="auto"/>
          <w:sz w:val="24"/>
          <w:szCs w:val="24"/>
          <w:highlight w:val="none"/>
          <w:lang w:val="en-US" w:eastAsia="zh-CN"/>
        </w:rPr>
        <w:t xml:space="preserve">  作业人员进入设备区作业时，应持有《进网作业证》，开具“厂站第三种工作票”，按工作票规定的范围和时间开展作业任务，并于当天完成任务后办理间断或终结。如遇特殊情况需延长工作时间的，按客户规定办理工作票延期手续。</w:t>
      </w:r>
    </w:p>
    <w:p w14:paraId="51F2C70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5.0.3</w:t>
      </w:r>
      <w:r>
        <w:rPr>
          <w:rFonts w:hint="eastAsia" w:ascii="宋体" w:hAnsi="宋体" w:eastAsia="宋体" w:cs="宋体"/>
          <w:color w:val="auto"/>
          <w:sz w:val="24"/>
          <w:szCs w:val="24"/>
          <w:highlight w:val="none"/>
          <w:lang w:val="en-US" w:eastAsia="zh-CN"/>
        </w:rPr>
        <w:t xml:space="preserve">  取得工作票许可后，作业人员应在工作负责人的带领和监管下，进入作业区域作业。所有工作人员（包括工作负责人）不应单独进入、滞留在工作场所。</w:t>
      </w:r>
    </w:p>
    <w:p w14:paraId="515A11D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5.0.4</w:t>
      </w:r>
      <w:r>
        <w:rPr>
          <w:rFonts w:hint="eastAsia" w:ascii="宋体" w:hAnsi="宋体" w:eastAsia="宋体" w:cs="宋体"/>
          <w:color w:val="auto"/>
          <w:sz w:val="24"/>
          <w:szCs w:val="24"/>
          <w:highlight w:val="none"/>
          <w:lang w:val="en-US" w:eastAsia="zh-CN"/>
        </w:rPr>
        <w:t xml:space="preserve">  应按要求着棉质长袖、纽扣束口工作服，戴安全帽（长发应盘在安全帽内）、穿工作鞋，使用合格的工器具。</w:t>
      </w:r>
    </w:p>
    <w:p w14:paraId="1E24A4A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5.0.5</w:t>
      </w:r>
      <w:bookmarkStart w:id="97" w:name="_Toc24020"/>
      <w:r>
        <w:rPr>
          <w:rFonts w:hint="eastAsia" w:ascii="宋体" w:hAnsi="宋体" w:eastAsia="宋体" w:cs="宋体"/>
          <w:color w:val="auto"/>
          <w:sz w:val="24"/>
          <w:szCs w:val="24"/>
          <w:highlight w:val="none"/>
          <w:lang w:val="en-US" w:eastAsia="zh-CN"/>
        </w:rPr>
        <w:t xml:space="preserve">  在作业过程中不应碰撞设备和机具，不应擅自随意移动挡鼠板，发现标牌损坏缺失的一定做好登记，然后办票消缺。</w:t>
      </w:r>
    </w:p>
    <w:p w14:paraId="0571DC1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5.0.6</w:t>
      </w:r>
      <w:r>
        <w:rPr>
          <w:rFonts w:hint="eastAsia" w:ascii="宋体" w:hAnsi="宋体" w:eastAsia="宋体" w:cs="宋体"/>
          <w:color w:val="auto"/>
          <w:sz w:val="24"/>
          <w:szCs w:val="24"/>
          <w:highlight w:val="none"/>
          <w:lang w:val="en-US" w:eastAsia="zh-CN"/>
        </w:rPr>
        <w:t xml:space="preserve">  工作时作业人员、工器具与带电部位保持足够的安全距离，±80OkV安全距离要求＞10.1m、±50OkV安全距离要求＞6.8m、220kV安全距离要求＞3m、11OkV安全距离要求＞1.5m 、35kV和10kV安全距离要求＞1m。</w:t>
      </w:r>
    </w:p>
    <w:p w14:paraId="07AEC8E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5.0.7</w:t>
      </w:r>
      <w:r>
        <w:rPr>
          <w:rFonts w:hint="eastAsia" w:ascii="宋体" w:hAnsi="宋体" w:eastAsia="宋体" w:cs="宋体"/>
          <w:color w:val="auto"/>
          <w:sz w:val="24"/>
          <w:szCs w:val="24"/>
          <w:highlight w:val="none"/>
          <w:lang w:val="en-US" w:eastAsia="zh-CN"/>
        </w:rPr>
        <w:t xml:space="preserve">  不应在变电站/换流站内或附近焚烧树叶杂草，防止火灾事故发生。</w:t>
      </w:r>
    </w:p>
    <w:p w14:paraId="1500B75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5.0.8</w:t>
      </w:r>
      <w:r>
        <w:rPr>
          <w:rFonts w:hint="eastAsia" w:ascii="宋体" w:hAnsi="宋体" w:eastAsia="宋体" w:cs="宋体"/>
          <w:color w:val="auto"/>
          <w:sz w:val="24"/>
          <w:szCs w:val="24"/>
          <w:highlight w:val="none"/>
          <w:lang w:val="en-US" w:eastAsia="zh-CN"/>
        </w:rPr>
        <w:t xml:space="preserve">  电力生产场所安全作业要求包括但不限于以下内容：</w:t>
      </w:r>
    </w:p>
    <w:p w14:paraId="23B0D3D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eastAsia="zh-CN"/>
        </w:rPr>
        <w:t>进网（厂站）作业前，工作负责人、安全管理人员、工程技术人员、工作班成员等应接受安全教育培训并通过考试；</w:t>
      </w:r>
    </w:p>
    <w:p w14:paraId="46EA648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应根据现场勘察情况制定施工方案，提交客户属地单位相关部门审批，签订《施工安全责任协议书》，完成安全技术总交底；</w:t>
      </w:r>
    </w:p>
    <w:p w14:paraId="5A4C2E4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作业开工前，工作负责人应认真检查现场安全措施是否做足，按《安全技术交底单》向全体作业人员进行安全技术交底，应向全体作业人员讲清现场带电设备的情况，交代清楚安全措施、工作任务及安全注意事项；</w:t>
      </w:r>
    </w:p>
    <w:p w14:paraId="7AEBE8F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工作负责人应加强现场作业管理，实行文明施工。现场设备、材料的堆放不能危及设备、材料本身安全或使用。</w:t>
      </w:r>
    </w:p>
    <w:p w14:paraId="3B4FE39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0" w:leftChars="0" w:firstLine="420" w:firstLineChars="175"/>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5  </w:t>
      </w:r>
      <w:r>
        <w:rPr>
          <w:rFonts w:hint="default" w:ascii="宋体" w:hAnsi="宋体" w:eastAsia="宋体" w:cs="宋体"/>
          <w:color w:val="auto"/>
          <w:sz w:val="24"/>
          <w:szCs w:val="24"/>
          <w:highlight w:val="none"/>
          <w:lang w:val="en-US" w:eastAsia="zh-CN"/>
        </w:rPr>
        <w:t>施工现场在施工完毕后，派专人进行清理，包括项目驻地的环境，做到工完、料尽、场清、整洁。完工后经客户驻地单位相关部门验收，验收合格后，由工作负责人带领全部工作班成员撤离作业现场。</w:t>
      </w:r>
    </w:p>
    <w:p w14:paraId="16182F2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w:t>
      </w:r>
      <w:r>
        <w:rPr>
          <w:rFonts w:hint="eastAsia" w:ascii="Times New Roman" w:hAnsi="Times New Roman" w:cs="Times New Roman"/>
          <w:b/>
          <w:bCs/>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在大风、大雨、大雾等特殊天气时，物业环境、绿化服务人员，禁止在进入带电设备区域进行户外作业。</w:t>
      </w:r>
    </w:p>
    <w:p w14:paraId="128B4BC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w:t>
      </w:r>
      <w:r>
        <w:rPr>
          <w:rFonts w:hint="eastAsia" w:ascii="Times New Roman" w:hAnsi="Times New Roman" w:cs="Times New Roman"/>
          <w:b/>
          <w:bCs/>
          <w:color w:val="auto"/>
          <w:sz w:val="24"/>
          <w:szCs w:val="24"/>
          <w:highlight w:val="none"/>
          <w:lang w:val="en-US" w:eastAsia="zh-CN"/>
        </w:rPr>
        <w:t>10</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在生产区域作业时，应获得属地电力企业管理部门批准许可的工作票，在开工前开展安全技术交底，在指定范围内作业，并有专职监护人监管。</w:t>
      </w:r>
    </w:p>
    <w:p w14:paraId="29847A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w:t>
      </w:r>
      <w:r>
        <w:rPr>
          <w:rFonts w:hint="eastAsia" w:ascii="Times New Roman" w:hAnsi="Times New Roman" w:cs="Times New Roman"/>
          <w:b/>
          <w:bCs/>
          <w:color w:val="auto"/>
          <w:sz w:val="24"/>
          <w:szCs w:val="24"/>
          <w:highlight w:val="none"/>
          <w:lang w:val="en-US" w:eastAsia="zh-CN"/>
        </w:rPr>
        <w:t>11</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在带电设备附近剪草、除草作业时，应采取防沙石飞溅和草沫飞扬的措施，对较轻的物件，如：纸皮、垃圾袋、薄夹板等，应放好并用重物压住，避免被强风卷起，防止损坏电力设备或吹入带电体引发事故。</w:t>
      </w:r>
    </w:p>
    <w:p w14:paraId="08176E7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w:t>
      </w:r>
      <w:r>
        <w:rPr>
          <w:rFonts w:hint="eastAsia" w:ascii="Times New Roman" w:hAnsi="Times New Roman" w:cs="Times New Roman"/>
          <w:b/>
          <w:bCs/>
          <w:color w:val="auto"/>
          <w:sz w:val="24"/>
          <w:szCs w:val="24"/>
          <w:highlight w:val="none"/>
          <w:lang w:val="en-US" w:eastAsia="zh-CN"/>
        </w:rPr>
        <w:t>12</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带电设备附近工作时，应按规定使用合格的工器具，严禁高举工具作业，严禁竖向搬运梯子，保持安全距离，避免造成人身或设备运行事故。</w:t>
      </w:r>
    </w:p>
    <w:p w14:paraId="72B50AA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w:t>
      </w:r>
      <w:r>
        <w:rPr>
          <w:rFonts w:hint="eastAsia" w:ascii="Times New Roman" w:hAnsi="Times New Roman" w:cs="Times New Roman"/>
          <w:b/>
          <w:bCs/>
          <w:color w:val="auto"/>
          <w:sz w:val="24"/>
          <w:szCs w:val="24"/>
          <w:highlight w:val="none"/>
          <w:lang w:val="en-US" w:eastAsia="zh-CN"/>
        </w:rPr>
        <w:t>13</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不得在生产区域作业内或附近焚烧树叶杂草，防止火灾事故发生。</w:t>
      </w:r>
    </w:p>
    <w:p w14:paraId="21C6B31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5.0.14</w:t>
      </w:r>
      <w:r>
        <w:rPr>
          <w:rFonts w:hint="eastAsia" w:ascii="宋体" w:hAnsi="宋体" w:eastAsia="宋体" w:cs="宋体"/>
          <w:vanish w:val="0"/>
          <w:color w:val="auto"/>
          <w:sz w:val="24"/>
          <w:szCs w:val="24"/>
          <w:highlight w:val="none"/>
          <w:lang w:val="en-US" w:eastAsia="zh-CN"/>
        </w:rPr>
        <w:t xml:space="preserve">  作业人员不得擅自扩大工作范围。禁止擅自移动、跨（穿）越安全设施。</w:t>
      </w:r>
    </w:p>
    <w:p w14:paraId="6617087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5.0.1</w:t>
      </w:r>
      <w:r>
        <w:rPr>
          <w:rFonts w:hint="eastAsia" w:ascii="Times New Roman" w:hAnsi="Times New Roman" w:cs="Times New Roman"/>
          <w:b/>
          <w:bCs/>
          <w:color w:val="auto"/>
          <w:sz w:val="24"/>
          <w:szCs w:val="24"/>
          <w:highlight w:val="none"/>
          <w:lang w:val="en-US" w:eastAsia="zh-CN"/>
        </w:rPr>
        <w:t>5</w:t>
      </w:r>
      <w:r>
        <w:rPr>
          <w:rFonts w:hint="eastAsia" w:ascii="宋体" w:hAnsi="宋体" w:eastAsia="宋体" w:cs="宋体"/>
          <w:vanish w:val="0"/>
          <w:color w:val="auto"/>
          <w:sz w:val="24"/>
          <w:szCs w:val="24"/>
          <w:highlight w:val="none"/>
          <w:lang w:val="en-US" w:eastAsia="zh-CN"/>
        </w:rPr>
        <w:t xml:space="preserve">  在作业过程中不要碰撞设备和机具,不得擅自随意移动挡鼠板,发现标牌损坏缺失的一定做好登记,然后办票消缺。</w:t>
      </w:r>
    </w:p>
    <w:p w14:paraId="0B1380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p>
    <w:p w14:paraId="5DD847C1">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98" w:name="_Toc21993"/>
      <w:bookmarkStart w:id="99" w:name="_Toc5643"/>
      <w:r>
        <w:rPr>
          <w:rFonts w:hint="eastAsia" w:ascii="Times New Roman" w:hAnsi="Times New Roman" w:eastAsia="宋体" w:cs="Times New Roman"/>
          <w:sz w:val="30"/>
          <w:highlight w:val="none"/>
          <w:lang w:val="en-US" w:eastAsia="zh-CN"/>
        </w:rPr>
        <w:t xml:space="preserve">6 </w:t>
      </w:r>
      <w:r>
        <w:rPr>
          <w:rFonts w:hint="eastAsia" w:ascii="Times New Roman" w:hAnsi="Times New Roman" w:eastAsia="宋体" w:cs="Times New Roman"/>
          <w:b w:val="0"/>
          <w:bCs w:val="0"/>
          <w:sz w:val="30"/>
          <w:highlight w:val="none"/>
          <w:lang w:val="en-US" w:eastAsia="zh-CN"/>
        </w:rPr>
        <w:t>承</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接</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查</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验</w:t>
      </w:r>
      <w:bookmarkEnd w:id="97"/>
      <w:bookmarkEnd w:id="98"/>
      <w:bookmarkEnd w:id="99"/>
    </w:p>
    <w:p w14:paraId="060B4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sz w:val="24"/>
          <w:szCs w:val="24"/>
          <w:highlight w:val="none"/>
          <w:lang w:val="en-US" w:eastAsia="zh-CN" w:bidi="ar-SA"/>
        </w:rPr>
        <w:t>6</w:t>
      </w:r>
      <w:r>
        <w:rPr>
          <w:rFonts w:hint="default" w:ascii="Times New Roman" w:hAnsi="Times New Roman" w:eastAsia="宋体" w:cs="Times New Roman"/>
          <w:b/>
          <w:bCs/>
          <w:i w:val="0"/>
          <w:color w:val="auto"/>
          <w:sz w:val="24"/>
          <w:szCs w:val="24"/>
          <w:highlight w:val="none"/>
          <w:lang w:val="en-US" w:eastAsia="zh-CN" w:bidi="ar-SA"/>
        </w:rPr>
        <w:t>.</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i w:val="0"/>
          <w:color w:val="auto"/>
          <w:sz w:val="24"/>
          <w:szCs w:val="24"/>
          <w:highlight w:val="none"/>
          <w:lang w:val="en-US" w:eastAsia="zh-CN" w:bidi="ar-SA"/>
        </w:rPr>
        <w:t xml:space="preserve">1  </w:t>
      </w:r>
      <w:r>
        <w:rPr>
          <w:rFonts w:hint="eastAsia" w:ascii="宋体" w:hAnsi="宋体" w:eastAsia="宋体" w:cs="宋体"/>
          <w:color w:val="auto"/>
          <w:sz w:val="24"/>
          <w:szCs w:val="24"/>
          <w:highlight w:val="none"/>
          <w:lang w:val="en-US" w:eastAsia="zh-CN"/>
        </w:rPr>
        <w:t>应依据《中华人民共和国民法典》、《物业管理条例》、《物业承接查验办法》、物业服务合同等文件，对新建物业或服务企业更迭时进行承接查验。</w:t>
      </w:r>
    </w:p>
    <w:p w14:paraId="2CC43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color w:val="auto"/>
          <w:sz w:val="24"/>
          <w:szCs w:val="24"/>
          <w:highlight w:val="none"/>
          <w:lang w:val="en-US" w:eastAsia="zh-CN"/>
        </w:rPr>
      </w:pPr>
      <w:bookmarkStart w:id="100" w:name="_Toc29400"/>
      <w:bookmarkStart w:id="101" w:name="_Toc7500"/>
      <w:r>
        <w:rPr>
          <w:rFonts w:hint="eastAsia" w:ascii="Times New Roman" w:hAnsi="Times New Roman" w:eastAsia="宋体" w:cs="Times New Roman"/>
          <w:b/>
          <w:bCs/>
          <w:i w:val="0"/>
          <w:color w:val="auto"/>
          <w:sz w:val="24"/>
          <w:szCs w:val="24"/>
          <w:highlight w:val="none"/>
          <w:lang w:val="en-US" w:eastAsia="zh-CN" w:bidi="ar-SA"/>
        </w:rPr>
        <w:t>6.</w:t>
      </w:r>
      <w:r>
        <w:rPr>
          <w:rFonts w:hint="eastAsia" w:ascii="Times New Roman" w:hAnsi="Times New Roman" w:eastAsia="宋体" w:cs="Times New Roman"/>
          <w:b/>
          <w:bCs/>
          <w:color w:val="auto"/>
          <w:sz w:val="24"/>
          <w:szCs w:val="24"/>
          <w:highlight w:val="none"/>
          <w:lang w:val="en-US" w:eastAsia="zh-CN"/>
        </w:rPr>
        <w:t>0.</w:t>
      </w:r>
      <w:r>
        <w:rPr>
          <w:rFonts w:hint="eastAsia" w:ascii="Times New Roman" w:hAnsi="Times New Roman" w:eastAsia="宋体" w:cs="Times New Roman"/>
          <w:b/>
          <w:bCs/>
          <w:i w:val="0"/>
          <w:color w:val="auto"/>
          <w:sz w:val="24"/>
          <w:szCs w:val="24"/>
          <w:highlight w:val="none"/>
          <w:lang w:val="en-US" w:eastAsia="zh-CN" w:bidi="ar-SA"/>
        </w:rPr>
        <w:t xml:space="preserve">2  </w:t>
      </w:r>
      <w:r>
        <w:rPr>
          <w:rFonts w:hint="eastAsia" w:ascii="宋体" w:hAnsi="宋体" w:eastAsia="宋体" w:cs="宋体"/>
          <w:color w:val="auto"/>
          <w:sz w:val="24"/>
          <w:szCs w:val="24"/>
          <w:highlight w:val="none"/>
          <w:lang w:val="en-US" w:eastAsia="zh-CN"/>
        </w:rPr>
        <w:t>承接查验主要包括但不限于以下内容：</w:t>
      </w:r>
      <w:bookmarkEnd w:id="100"/>
      <w:bookmarkEnd w:id="101"/>
    </w:p>
    <w:p w14:paraId="4FA64952">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02" w:name="_Toc10735"/>
      <w:bookmarkStart w:id="103" w:name="_Toc19689"/>
      <w:bookmarkStart w:id="104" w:name="_Toc28458"/>
      <w:bookmarkStart w:id="105" w:name="_Toc19924"/>
      <w:bookmarkStart w:id="106" w:name="_Toc434"/>
      <w:r>
        <w:rPr>
          <w:rFonts w:hint="default"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 xml:space="preserve">  制定物业承接查验方案；</w:t>
      </w:r>
      <w:bookmarkEnd w:id="102"/>
      <w:bookmarkEnd w:id="103"/>
      <w:bookmarkEnd w:id="104"/>
      <w:bookmarkEnd w:id="105"/>
      <w:bookmarkEnd w:id="106"/>
      <w:bookmarkStart w:id="107" w:name="_Toc12004"/>
      <w:bookmarkStart w:id="108" w:name="_Toc25445"/>
      <w:bookmarkStart w:id="109" w:name="_Toc12419"/>
      <w:bookmarkStart w:id="110" w:name="_Toc24340"/>
      <w:bookmarkStart w:id="111" w:name="_Toc20731"/>
      <w:bookmarkStart w:id="112" w:name="_Toc17863"/>
      <w:bookmarkStart w:id="113" w:name="_Toc7187"/>
    </w:p>
    <w:p w14:paraId="3F65707A">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14" w:name="_Toc14825"/>
      <w:r>
        <w:rPr>
          <w:rFonts w:hint="default"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 xml:space="preserve">  签订物业承接查验协议；</w:t>
      </w:r>
      <w:bookmarkEnd w:id="107"/>
      <w:bookmarkEnd w:id="108"/>
      <w:bookmarkEnd w:id="109"/>
      <w:bookmarkEnd w:id="110"/>
      <w:bookmarkEnd w:id="114"/>
    </w:p>
    <w:p w14:paraId="7E2614ED">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15" w:name="_Toc11512"/>
      <w:bookmarkStart w:id="116" w:name="_Toc19199"/>
      <w:r>
        <w:rPr>
          <w:rFonts w:hint="default"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 xml:space="preserve">  开展现场查验前移交有关资料及图纸；</w:t>
      </w:r>
      <w:bookmarkEnd w:id="111"/>
      <w:bookmarkEnd w:id="112"/>
      <w:bookmarkEnd w:id="113"/>
      <w:bookmarkEnd w:id="115"/>
      <w:bookmarkEnd w:id="116"/>
    </w:p>
    <w:p w14:paraId="08FD9453">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17" w:name="_Toc27278"/>
      <w:bookmarkStart w:id="118" w:name="_Toc5092"/>
      <w:bookmarkStart w:id="119" w:name="_Toc2952"/>
      <w:bookmarkStart w:id="120" w:name="_Toc29289"/>
      <w:bookmarkStart w:id="121" w:name="_Toc1551"/>
      <w:r>
        <w:rPr>
          <w:rFonts w:hint="default"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 xml:space="preserve">  现场查验共用部位、共用设施设备及合同内约定的工作；</w:t>
      </w:r>
      <w:bookmarkEnd w:id="117"/>
      <w:bookmarkEnd w:id="118"/>
      <w:bookmarkEnd w:id="119"/>
      <w:bookmarkEnd w:id="120"/>
      <w:bookmarkEnd w:id="121"/>
    </w:p>
    <w:p w14:paraId="365BDDD3">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22" w:name="_Toc5078"/>
      <w:bookmarkStart w:id="123" w:name="_Toc6023"/>
      <w:bookmarkStart w:id="124" w:name="_Toc7194"/>
      <w:r>
        <w:rPr>
          <w:rFonts w:hint="default"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 xml:space="preserve">  移交合同、客户档案、物业管理费账册等相关台账；</w:t>
      </w:r>
      <w:bookmarkEnd w:id="122"/>
      <w:bookmarkEnd w:id="123"/>
      <w:bookmarkEnd w:id="124"/>
    </w:p>
    <w:p w14:paraId="222E1928">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25" w:name="_Toc21001"/>
      <w:bookmarkStart w:id="126" w:name="_Toc28523"/>
      <w:r>
        <w:rPr>
          <w:rFonts w:hint="default"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 xml:space="preserve">  移交固定资产及物料</w:t>
      </w:r>
      <w:bookmarkEnd w:id="125"/>
      <w:r>
        <w:rPr>
          <w:rFonts w:hint="eastAsia" w:ascii="宋体" w:hAnsi="宋体" w:eastAsia="宋体" w:cs="宋体"/>
          <w:color w:val="auto"/>
          <w:sz w:val="24"/>
          <w:szCs w:val="24"/>
          <w:highlight w:val="none"/>
          <w:lang w:val="en-US" w:eastAsia="zh-CN" w:bidi="ar-SA"/>
        </w:rPr>
        <w:t>；</w:t>
      </w:r>
      <w:bookmarkEnd w:id="126"/>
    </w:p>
    <w:p w14:paraId="47071C76">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27" w:name="_Toc13240"/>
      <w:bookmarkStart w:id="128" w:name="_Toc7648"/>
      <w:bookmarkStart w:id="129" w:name="_Toc20680"/>
      <w:bookmarkStart w:id="130" w:name="_Toc17691"/>
      <w:bookmarkStart w:id="131" w:name="_Toc2245"/>
      <w:r>
        <w:rPr>
          <w:rFonts w:hint="default"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bidi="ar-SA"/>
        </w:rPr>
        <w:t xml:space="preserve">  解决在查验时发现的问题；</w:t>
      </w:r>
      <w:bookmarkEnd w:id="127"/>
      <w:bookmarkEnd w:id="128"/>
      <w:bookmarkEnd w:id="129"/>
      <w:bookmarkEnd w:id="130"/>
      <w:bookmarkEnd w:id="131"/>
    </w:p>
    <w:p w14:paraId="30355EE1">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32" w:name="_Toc24000"/>
      <w:bookmarkStart w:id="133" w:name="_Toc1381"/>
      <w:bookmarkStart w:id="134" w:name="_Toc7357"/>
      <w:bookmarkStart w:id="135" w:name="_Toc9317"/>
      <w:bookmarkStart w:id="136" w:name="_Toc22725"/>
      <w:r>
        <w:rPr>
          <w:rFonts w:hint="default"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 xml:space="preserve">  确认现场查验结果；</w:t>
      </w:r>
      <w:bookmarkEnd w:id="132"/>
      <w:bookmarkEnd w:id="133"/>
      <w:bookmarkEnd w:id="134"/>
      <w:bookmarkEnd w:id="135"/>
    </w:p>
    <w:p w14:paraId="2281E44C">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137" w:name="_Toc9677"/>
      <w:r>
        <w:rPr>
          <w:rFonts w:hint="default" w:ascii="宋体" w:hAnsi="宋体" w:eastAsia="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zh-CN" w:bidi="ar-SA"/>
        </w:rPr>
        <w:t xml:space="preserve">  办理物业交接手续。</w:t>
      </w:r>
      <w:bookmarkEnd w:id="136"/>
      <w:bookmarkEnd w:id="137"/>
    </w:p>
    <w:p w14:paraId="00CC9964">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bookmarkStart w:id="138" w:name="_Toc29104"/>
    </w:p>
    <w:p w14:paraId="3C895930">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7DA514CD">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3C7E40FF">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29954119">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5D00F838">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664DFEB7">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67BE6798">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3C252CA4">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5F4BADE1">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14:paraId="547E616E">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39" w:name="_Toc29597"/>
      <w:bookmarkStart w:id="140" w:name="_Toc14948"/>
      <w:r>
        <w:rPr>
          <w:rFonts w:hint="eastAsia" w:ascii="Times New Roman" w:hAnsi="Times New Roman" w:eastAsia="宋体" w:cs="Times New Roman"/>
          <w:sz w:val="30"/>
          <w:highlight w:val="none"/>
          <w:lang w:val="en-US" w:eastAsia="zh-CN"/>
        </w:rPr>
        <w:t xml:space="preserve">7  </w:t>
      </w:r>
      <w:r>
        <w:rPr>
          <w:rFonts w:hint="eastAsia" w:ascii="Times New Roman" w:hAnsi="Times New Roman" w:eastAsia="宋体" w:cs="Times New Roman"/>
          <w:b w:val="0"/>
          <w:bCs w:val="0"/>
          <w:sz w:val="30"/>
          <w:highlight w:val="none"/>
          <w:lang w:val="en-US" w:eastAsia="zh-CN"/>
        </w:rPr>
        <w:t>综</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合</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服</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务</w:t>
      </w:r>
      <w:bookmarkEnd w:id="138"/>
      <w:bookmarkEnd w:id="139"/>
      <w:bookmarkEnd w:id="140"/>
    </w:p>
    <w:p w14:paraId="4FD2821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41" w:name="_Toc22572"/>
      <w:bookmarkStart w:id="142" w:name="_Toc3137"/>
      <w:bookmarkStart w:id="143" w:name="_Toc14550"/>
      <w:r>
        <w:rPr>
          <w:rFonts w:hint="eastAsia" w:ascii="宋体" w:hAnsi="宋体" w:eastAsia="宋体" w:cs="宋体"/>
          <w:b/>
          <w:bCs/>
          <w:color w:val="auto"/>
          <w:sz w:val="24"/>
          <w:szCs w:val="24"/>
          <w:highlight w:val="none"/>
          <w:lang w:val="en-US" w:eastAsia="zh-CN"/>
        </w:rPr>
        <w:t>7.1  客户服务</w:t>
      </w:r>
      <w:bookmarkEnd w:id="141"/>
      <w:bookmarkEnd w:id="142"/>
      <w:bookmarkEnd w:id="143"/>
      <w:r>
        <w:rPr>
          <w:rFonts w:hint="eastAsia" w:ascii="宋体" w:hAnsi="宋体" w:eastAsia="宋体" w:cs="宋体"/>
          <w:b/>
          <w:bCs/>
          <w:color w:val="auto"/>
          <w:sz w:val="24"/>
          <w:szCs w:val="24"/>
          <w:highlight w:val="none"/>
          <w:lang w:val="en-US" w:eastAsia="zh-CN"/>
        </w:rPr>
        <w:t>　</w:t>
      </w:r>
    </w:p>
    <w:p w14:paraId="3395D4D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44" w:name="_Toc16781"/>
      <w:bookmarkStart w:id="145" w:name="_Toc10689"/>
      <w:r>
        <w:rPr>
          <w:rFonts w:hint="eastAsia" w:ascii="宋体" w:hAnsi="宋体" w:eastAsia="宋体" w:cs="宋体"/>
          <w:b/>
          <w:bCs/>
          <w:color w:val="auto"/>
          <w:sz w:val="24"/>
          <w:szCs w:val="24"/>
          <w:highlight w:val="none"/>
          <w:lang w:val="en-US" w:eastAsia="zh-CN"/>
        </w:rPr>
        <w:t>7.1.1  前台服务</w:t>
      </w:r>
      <w:bookmarkEnd w:id="144"/>
      <w:bookmarkEnd w:id="145"/>
    </w:p>
    <w:p w14:paraId="6F0DF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黑体" w:cs="Times New Roman"/>
          <w:b/>
          <w:bCs/>
          <w:i w:val="0"/>
          <w:color w:val="auto"/>
          <w:sz w:val="24"/>
          <w:szCs w:val="24"/>
          <w:highlight w:val="none"/>
          <w:lang w:val="en-US" w:eastAsia="zh-CN" w:bidi="ar-SA"/>
        </w:rPr>
        <w:t>7.1.1.1</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eastAsia" w:ascii="Times New Roman" w:hAnsi="Times New Roman" w:cs="Times New Roman"/>
          <w:color w:val="auto"/>
          <w:sz w:val="24"/>
          <w:szCs w:val="24"/>
          <w:highlight w:val="none"/>
          <w:lang w:val="en-US" w:eastAsia="zh-CN"/>
        </w:rPr>
        <w:t>提供人工</w:t>
      </w:r>
      <w:r>
        <w:rPr>
          <w:rFonts w:hint="default" w:ascii="Times New Roman" w:hAnsi="Times New Roman" w:eastAsia="宋体" w:cs="Times New Roman"/>
          <w:color w:val="auto"/>
          <w:sz w:val="24"/>
          <w:szCs w:val="24"/>
          <w:highlight w:val="none"/>
          <w:lang w:val="en-US" w:eastAsia="zh-CN"/>
        </w:rPr>
        <w:t xml:space="preserve">服务的前台，应提供包括但不限于：访客指引、咨询、登记和报事报修等服务。 </w:t>
      </w:r>
    </w:p>
    <w:p w14:paraId="34E47B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黑体" w:cs="Times New Roman"/>
          <w:b/>
          <w:bCs/>
          <w:i w:val="0"/>
          <w:color w:val="auto"/>
          <w:sz w:val="24"/>
          <w:szCs w:val="24"/>
          <w:highlight w:val="none"/>
          <w:lang w:val="en-US" w:eastAsia="zh-CN" w:bidi="ar-SA"/>
        </w:rPr>
        <w:t>7.1.1.2</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上下班高峰期或重要接待时现场提供秩序维护服务。</w:t>
      </w:r>
    </w:p>
    <w:p w14:paraId="5B753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黑体" w:cs="Times New Roman"/>
          <w:b/>
          <w:bCs/>
          <w:i w:val="0"/>
          <w:color w:val="auto"/>
          <w:sz w:val="24"/>
          <w:szCs w:val="24"/>
          <w:highlight w:val="none"/>
          <w:lang w:val="en-US" w:eastAsia="zh-CN" w:bidi="ar-SA"/>
        </w:rPr>
        <w:t xml:space="preserve">7.1.1.3 </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前</w:t>
      </w:r>
      <w:r>
        <w:rPr>
          <w:rFonts w:hint="default" w:ascii="Times New Roman" w:hAnsi="Times New Roman" w:eastAsia="宋体" w:cs="Times New Roman"/>
          <w:color w:val="auto"/>
          <w:kern w:val="2"/>
          <w:sz w:val="24"/>
          <w:szCs w:val="24"/>
          <w:highlight w:val="none"/>
          <w:lang w:val="en-US" w:eastAsia="zh-CN" w:bidi="ar-SA"/>
        </w:rPr>
        <w:t>台人员暂</w:t>
      </w:r>
      <w:r>
        <w:rPr>
          <w:rFonts w:hint="eastAsia" w:ascii="Times New Roman" w:hAnsi="Times New Roman" w:cs="Times New Roman"/>
          <w:color w:val="auto"/>
          <w:kern w:val="2"/>
          <w:sz w:val="24"/>
          <w:szCs w:val="24"/>
          <w:highlight w:val="none"/>
          <w:lang w:val="en-US" w:eastAsia="zh-CN" w:bidi="ar-SA"/>
        </w:rPr>
        <w:t>时</w:t>
      </w:r>
      <w:r>
        <w:rPr>
          <w:rFonts w:hint="default" w:ascii="Times New Roman" w:hAnsi="Times New Roman" w:eastAsia="宋体" w:cs="Times New Roman"/>
          <w:color w:val="auto"/>
          <w:kern w:val="2"/>
          <w:sz w:val="24"/>
          <w:szCs w:val="24"/>
          <w:highlight w:val="none"/>
          <w:lang w:val="en-US" w:eastAsia="zh-CN" w:bidi="ar-SA"/>
        </w:rPr>
        <w:t>离开应有信息提示，有服务临时补充措施。</w:t>
      </w:r>
    </w:p>
    <w:p w14:paraId="2094C98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46" w:name="_Toc29228"/>
      <w:bookmarkStart w:id="147" w:name="_Toc12593"/>
      <w:r>
        <w:rPr>
          <w:rFonts w:hint="eastAsia" w:ascii="宋体" w:hAnsi="宋体" w:eastAsia="宋体" w:cs="宋体"/>
          <w:b/>
          <w:bCs/>
          <w:color w:val="auto"/>
          <w:sz w:val="24"/>
          <w:szCs w:val="24"/>
          <w:highlight w:val="none"/>
          <w:lang w:val="en-US" w:eastAsia="zh-CN"/>
        </w:rPr>
        <w:t>7.1.2  会务服务</w:t>
      </w:r>
      <w:bookmarkEnd w:id="146"/>
      <w:bookmarkEnd w:id="147"/>
    </w:p>
    <w:p w14:paraId="66A94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7.1.2.1 </w:t>
      </w:r>
      <w:r>
        <w:rPr>
          <w:rFonts w:hint="eastAsia" w:ascii="Times New Roman" w:hAnsi="Times New Roman" w:eastAsia="宋体" w:cs="Times New Roman"/>
          <w:color w:val="auto"/>
          <w:sz w:val="24"/>
          <w:szCs w:val="24"/>
          <w:highlight w:val="none"/>
          <w:lang w:val="en-US" w:eastAsia="zh-CN"/>
        </w:rPr>
        <w:t xml:space="preserve"> 应建立健全的会议服务管理制度，会务服务申请流程及会务服务流程等制度。</w:t>
      </w:r>
    </w:p>
    <w:p w14:paraId="4FB992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7.1.2.2 </w:t>
      </w:r>
      <w:r>
        <w:rPr>
          <w:rFonts w:hint="eastAsia" w:ascii="Times New Roman" w:hAnsi="Times New Roman" w:eastAsia="宋体" w:cs="Times New Roman"/>
          <w:color w:val="auto"/>
          <w:sz w:val="24"/>
          <w:szCs w:val="24"/>
          <w:highlight w:val="none"/>
          <w:lang w:val="en-US" w:eastAsia="zh-CN"/>
        </w:rPr>
        <w:t xml:space="preserve"> 会前应核对服务信息，检查会场设备设施，确保设备设施正常启用，所需物品配置齐全。</w:t>
      </w:r>
    </w:p>
    <w:p w14:paraId="48151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7.1.2.3</w:t>
      </w:r>
      <w:r>
        <w:rPr>
          <w:rFonts w:hint="eastAsia" w:ascii="Times New Roman" w:hAnsi="Times New Roman" w:eastAsia="宋体" w:cs="Times New Roman"/>
          <w:color w:val="auto"/>
          <w:sz w:val="24"/>
          <w:szCs w:val="24"/>
          <w:highlight w:val="none"/>
          <w:lang w:val="en-US" w:eastAsia="zh-CN"/>
        </w:rPr>
        <w:t xml:space="preserve">  会前应提供但不限于：会场布置、迎宾、咨询、指引入座和及时通报相关服务信息等。</w:t>
      </w:r>
    </w:p>
    <w:p w14:paraId="56CE6C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7.1.2.4 </w:t>
      </w:r>
      <w:r>
        <w:rPr>
          <w:rFonts w:hint="eastAsia" w:ascii="Times New Roman" w:hAnsi="Times New Roman" w:eastAsia="宋体" w:cs="Times New Roman"/>
          <w:color w:val="auto"/>
          <w:sz w:val="24"/>
          <w:szCs w:val="24"/>
          <w:highlight w:val="none"/>
          <w:lang w:val="en-US" w:eastAsia="zh-CN"/>
        </w:rPr>
        <w:t xml:space="preserve"> 会议期间茶水及时补充，监控音响、灯光、通风空调运行正常，对周边环境进行管控。</w:t>
      </w:r>
    </w:p>
    <w:p w14:paraId="5BFCE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7.1.2.5 </w:t>
      </w:r>
      <w:r>
        <w:rPr>
          <w:rFonts w:hint="eastAsia" w:ascii="Times New Roman" w:hAnsi="Times New Roman" w:eastAsia="宋体" w:cs="Times New Roman"/>
          <w:color w:val="auto"/>
          <w:sz w:val="24"/>
          <w:szCs w:val="24"/>
          <w:highlight w:val="none"/>
          <w:lang w:val="en-US" w:eastAsia="zh-CN"/>
        </w:rPr>
        <w:t xml:space="preserve"> 会后礼貌引领送客，通报结束信息，检查有无遗漏物品。</w:t>
      </w:r>
    </w:p>
    <w:p w14:paraId="071831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7.1.2.6  </w:t>
      </w:r>
      <w:r>
        <w:rPr>
          <w:rFonts w:hint="eastAsia" w:ascii="Times New Roman" w:hAnsi="Times New Roman" w:eastAsia="宋体" w:cs="Times New Roman"/>
          <w:color w:val="auto"/>
          <w:sz w:val="24"/>
          <w:szCs w:val="24"/>
          <w:highlight w:val="none"/>
          <w:lang w:val="en-US" w:eastAsia="zh-CN"/>
        </w:rPr>
        <w:t>安排现场清理清洁及恢复原样，最后关停设备、关门窗上锁。</w:t>
      </w:r>
    </w:p>
    <w:p w14:paraId="63BE411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48" w:name="_Toc17177"/>
      <w:bookmarkStart w:id="149" w:name="_Toc28823"/>
      <w:bookmarkStart w:id="150" w:name="_Toc31710"/>
      <w:r>
        <w:rPr>
          <w:rFonts w:hint="eastAsia" w:ascii="宋体" w:hAnsi="宋体" w:eastAsia="宋体" w:cs="宋体"/>
          <w:b/>
          <w:bCs/>
          <w:color w:val="auto"/>
          <w:sz w:val="24"/>
          <w:szCs w:val="24"/>
          <w:highlight w:val="none"/>
          <w:lang w:val="en-US" w:eastAsia="zh-CN"/>
        </w:rPr>
        <w:t>7.2  报事报修</w:t>
      </w:r>
      <w:bookmarkEnd w:id="148"/>
      <w:bookmarkEnd w:id="149"/>
    </w:p>
    <w:bookmarkEnd w:id="150"/>
    <w:p w14:paraId="6955D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7.2.1 </w:t>
      </w:r>
      <w:r>
        <w:rPr>
          <w:rFonts w:hint="eastAsia" w:ascii="Times New Roman" w:hAnsi="Times New Roman" w:eastAsia="宋体" w:cs="Times New Roman"/>
          <w:color w:val="auto"/>
          <w:sz w:val="24"/>
          <w:szCs w:val="24"/>
          <w:highlight w:val="none"/>
          <w:lang w:val="en-US" w:eastAsia="zh-CN"/>
        </w:rPr>
        <w:t xml:space="preserve"> 应建立报事报修制度和投诉管理制度并严格执行，主要内容包括但不限于以下内容：</w:t>
      </w:r>
    </w:p>
    <w:p w14:paraId="5A4452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151" w:name="_Toc32514"/>
      <w:bookmarkStart w:id="152" w:name="_Toc12377"/>
      <w:r>
        <w:rPr>
          <w:rFonts w:hint="eastAsia" w:ascii="Times New Roman" w:hAnsi="Times New Roman" w:eastAsia="宋体" w:cs="Times New Roman"/>
          <w:color w:val="auto"/>
          <w:sz w:val="24"/>
          <w:szCs w:val="24"/>
          <w:highlight w:val="none"/>
          <w:lang w:val="en-US" w:eastAsia="zh-CN"/>
        </w:rPr>
        <w:t>1  应设置并公示联系方式,设立24小时服务电话；</w:t>
      </w:r>
      <w:bookmarkEnd w:id="151"/>
      <w:bookmarkEnd w:id="152"/>
    </w:p>
    <w:p w14:paraId="24778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  做好报事报修、投诉的时间、事项、响应时间 、到场时间、处理结果、回访等内容等；</w:t>
      </w:r>
    </w:p>
    <w:p w14:paraId="443D94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153" w:name="_Toc28513"/>
      <w:bookmarkStart w:id="154" w:name="_Toc17585"/>
      <w:r>
        <w:rPr>
          <w:rFonts w:hint="eastAsia" w:ascii="Times New Roman" w:hAnsi="Times New Roman" w:eastAsia="宋体" w:cs="Times New Roman"/>
          <w:color w:val="auto"/>
          <w:sz w:val="24"/>
          <w:szCs w:val="24"/>
          <w:highlight w:val="none"/>
          <w:lang w:val="en-US" w:eastAsia="zh-CN"/>
        </w:rPr>
        <w:t>3  明确维修责任或属于非责任性投诉的，在记录中载明；</w:t>
      </w:r>
      <w:bookmarkEnd w:id="153"/>
      <w:bookmarkEnd w:id="154"/>
    </w:p>
    <w:p w14:paraId="35C8C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  接报后应及时记录事项并需在20分钟内做出响应（另有约定除外）；</w:t>
      </w:r>
    </w:p>
    <w:p w14:paraId="660BC1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  接到投诉后，应在2小时内向投诉人反馈处理情况。属于责任性投诉的，物业服务企业应及时与投诉人沟通并进行整改，制定预防纠正措施，改善服务品质；属于非责任性投诉的，向投诉人说明责任范围并在职责范围内提供必要协助；</w:t>
      </w:r>
    </w:p>
    <w:p w14:paraId="3F852D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155" w:name="_Toc14085"/>
      <w:bookmarkStart w:id="156" w:name="_Toc3810"/>
      <w:r>
        <w:rPr>
          <w:rFonts w:hint="eastAsia" w:ascii="Times New Roman" w:hAnsi="Times New Roman" w:eastAsia="宋体" w:cs="Times New Roman"/>
          <w:color w:val="auto"/>
          <w:sz w:val="24"/>
          <w:szCs w:val="24"/>
          <w:highlight w:val="none"/>
          <w:lang w:val="en-US" w:eastAsia="zh-CN"/>
        </w:rPr>
        <w:t>6  处理完成后形成完整记录并存档。</w:t>
      </w:r>
      <w:bookmarkEnd w:id="155"/>
      <w:bookmarkEnd w:id="156"/>
    </w:p>
    <w:p w14:paraId="49630C3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57" w:name="_Toc1988"/>
      <w:bookmarkStart w:id="158" w:name="_Toc4950"/>
      <w:bookmarkStart w:id="159" w:name="_Toc330"/>
      <w:r>
        <w:rPr>
          <w:rFonts w:hint="eastAsia" w:ascii="宋体" w:hAnsi="宋体" w:eastAsia="宋体" w:cs="宋体"/>
          <w:b/>
          <w:bCs/>
          <w:color w:val="auto"/>
          <w:sz w:val="24"/>
          <w:szCs w:val="24"/>
          <w:highlight w:val="none"/>
          <w:lang w:val="en-US" w:eastAsia="zh-CN"/>
        </w:rPr>
        <w:t>7.3  装修/施工监管服务</w:t>
      </w:r>
      <w:bookmarkEnd w:id="157"/>
      <w:bookmarkEnd w:id="158"/>
    </w:p>
    <w:bookmarkEnd w:id="159"/>
    <w:p w14:paraId="28698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7.3.1 </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应遵守</w:t>
      </w:r>
      <w:r>
        <w:rPr>
          <w:rFonts w:hint="eastAsia" w:ascii="Times New Roman" w:hAnsi="Times New Roman" w:eastAsia="宋体" w:cs="Times New Roman"/>
          <w:color w:val="auto"/>
          <w:sz w:val="24"/>
          <w:szCs w:val="24"/>
          <w:highlight w:val="none"/>
          <w:lang w:val="en-US" w:eastAsia="zh-CN"/>
        </w:rPr>
        <w:t>电力企业建立装修施工管理制度，包括：装修施工动火作业管理规程、装修施工管理制度、室内空调安装管理制度 ，消防测试管理规定等。</w:t>
      </w:r>
    </w:p>
    <w:p w14:paraId="54FBA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7.3.2 </w:t>
      </w:r>
      <w:r>
        <w:rPr>
          <w:rFonts w:hint="eastAsia" w:ascii="Times New Roman" w:hAnsi="Times New Roman" w:eastAsia="宋体" w:cs="Times New Roman"/>
          <w:color w:val="auto"/>
          <w:sz w:val="24"/>
          <w:szCs w:val="24"/>
          <w:highlight w:val="none"/>
          <w:lang w:val="en-US" w:eastAsia="zh-CN"/>
        </w:rPr>
        <w:t xml:space="preserve"> 按规定办理装修申报登记并取得产权人的书面同意后，将装修施工禁止行为和注意事项告知使用单位和施工单位。</w:t>
      </w:r>
    </w:p>
    <w:p w14:paraId="52E93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7.3.3 </w:t>
      </w:r>
      <w:r>
        <w:rPr>
          <w:rFonts w:hint="eastAsia" w:ascii="Times New Roman" w:hAnsi="Times New Roman" w:eastAsia="宋体" w:cs="Times New Roman"/>
          <w:color w:val="auto"/>
          <w:sz w:val="24"/>
          <w:szCs w:val="24"/>
          <w:highlight w:val="none"/>
          <w:lang w:val="en-US" w:eastAsia="zh-CN"/>
        </w:rPr>
        <w:t xml:space="preserve"> 特种作业人员持证上岗，无动火许可证的动火作业应立即阻止施工。</w:t>
      </w:r>
    </w:p>
    <w:p w14:paraId="3656B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7.3.4 </w:t>
      </w:r>
      <w:r>
        <w:rPr>
          <w:rFonts w:hint="eastAsia" w:ascii="Times New Roman" w:hAnsi="Times New Roman" w:eastAsia="宋体" w:cs="Times New Roman"/>
          <w:color w:val="auto"/>
          <w:sz w:val="24"/>
          <w:szCs w:val="24"/>
          <w:highlight w:val="none"/>
          <w:lang w:val="en-US" w:eastAsia="zh-CN"/>
        </w:rPr>
        <w:t xml:space="preserve"> 定期对装修施工现场进行巡查，</w:t>
      </w:r>
      <w:r>
        <w:rPr>
          <w:rFonts w:hint="eastAsia" w:ascii="Times New Roman" w:hAnsi="Times New Roman" w:cs="Times New Roman"/>
          <w:color w:val="auto"/>
          <w:sz w:val="24"/>
          <w:szCs w:val="24"/>
          <w:highlight w:val="none"/>
          <w:lang w:val="en-US" w:eastAsia="zh-CN"/>
        </w:rPr>
        <w:t>发现装修人或者装饰装修企业违反现场安全规定、影响现场安全作业的，</w:t>
      </w:r>
      <w:r>
        <w:rPr>
          <w:rFonts w:hint="eastAsia" w:ascii="Times New Roman" w:hAnsi="Times New Roman" w:eastAsia="宋体" w:cs="Times New Roman"/>
          <w:color w:val="auto"/>
          <w:sz w:val="24"/>
          <w:szCs w:val="24"/>
          <w:highlight w:val="none"/>
          <w:lang w:val="en-US" w:eastAsia="zh-CN"/>
        </w:rPr>
        <w:t>及时阻止违规行为。</w:t>
      </w:r>
    </w:p>
    <w:p w14:paraId="758E3E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7.3.5 </w:t>
      </w:r>
      <w:r>
        <w:rPr>
          <w:rFonts w:hint="eastAsia" w:ascii="Times New Roman" w:hAnsi="Times New Roman" w:eastAsia="宋体" w:cs="Times New Roman"/>
          <w:color w:val="auto"/>
          <w:sz w:val="24"/>
          <w:szCs w:val="24"/>
          <w:highlight w:val="none"/>
          <w:lang w:val="en-US" w:eastAsia="zh-CN"/>
        </w:rPr>
        <w:t xml:space="preserve"> 装修施工涉及使用共用通道、区域、设施设备要做好现场（成品）保护措施。</w:t>
      </w:r>
    </w:p>
    <w:p w14:paraId="0D3EED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7.3.6 </w:t>
      </w:r>
      <w:r>
        <w:rPr>
          <w:rFonts w:hint="eastAsia" w:ascii="Times New Roman" w:hAnsi="Times New Roman" w:eastAsia="黑体" w:cs="Times New Roman"/>
          <w:b w:val="0"/>
          <w:bCs w:val="0"/>
          <w:i w:val="0"/>
          <w:color w:val="auto"/>
          <w:sz w:val="24"/>
          <w:szCs w:val="24"/>
          <w:highlight w:val="none"/>
          <w:lang w:val="en-US" w:eastAsia="zh-CN" w:bidi="ar-SA"/>
        </w:rPr>
        <w:t xml:space="preserve"> </w:t>
      </w:r>
      <w:r>
        <w:rPr>
          <w:rFonts w:hint="eastAsia" w:ascii="宋体" w:hAnsi="宋体" w:eastAsia="宋体" w:cs="宋体"/>
          <w:b w:val="0"/>
          <w:bCs w:val="0"/>
          <w:i w:val="0"/>
          <w:color w:val="auto"/>
          <w:sz w:val="24"/>
          <w:szCs w:val="24"/>
          <w:highlight w:val="none"/>
          <w:lang w:val="en-US" w:eastAsia="zh-CN" w:bidi="ar-SA"/>
        </w:rPr>
        <w:t>按物业服务合同约定配合业主对装饰装修施工现场督促</w:t>
      </w:r>
      <w:r>
        <w:rPr>
          <w:rFonts w:hint="eastAsia" w:ascii="Times New Roman" w:hAnsi="Times New Roman" w:eastAsia="宋体" w:cs="Times New Roman"/>
          <w:color w:val="auto"/>
          <w:sz w:val="24"/>
          <w:szCs w:val="24"/>
          <w:highlight w:val="none"/>
          <w:lang w:val="en-US" w:eastAsia="zh-CN"/>
        </w:rPr>
        <w:t>做好防火安全措施和公共环境管理工作。</w:t>
      </w:r>
    </w:p>
    <w:p w14:paraId="10802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7.3.7 </w:t>
      </w:r>
      <w:r>
        <w:rPr>
          <w:rFonts w:hint="eastAsia" w:asciiTheme="minorEastAsia" w:hAnsiTheme="minorEastAsia" w:eastAsiaTheme="minorEastAsia" w:cstheme="minorEastAsia"/>
          <w:b w:val="0"/>
          <w:bCs w:val="0"/>
          <w:i w:val="0"/>
          <w:color w:val="auto"/>
          <w:sz w:val="24"/>
          <w:szCs w:val="24"/>
          <w:highlight w:val="none"/>
          <w:lang w:val="en-US" w:eastAsia="zh-CN" w:bidi="ar-SA"/>
        </w:rPr>
        <w:t>按物业服务合同约定配合业主对装饰装修施工现场督促</w:t>
      </w:r>
      <w:r>
        <w:rPr>
          <w:rFonts w:hint="eastAsia" w:asciiTheme="minorEastAsia" w:hAnsiTheme="minorEastAsia" w:eastAsiaTheme="minorEastAsia" w:cstheme="minorEastAsia"/>
          <w:color w:val="auto"/>
          <w:sz w:val="24"/>
          <w:szCs w:val="24"/>
          <w:highlight w:val="none"/>
          <w:lang w:val="en-US" w:eastAsia="zh-CN"/>
        </w:rPr>
        <w:t>做</w:t>
      </w:r>
      <w:r>
        <w:rPr>
          <w:rFonts w:hint="eastAsia" w:ascii="Times New Roman" w:hAnsi="Times New Roman" w:eastAsia="宋体" w:cs="Times New Roman"/>
          <w:color w:val="auto"/>
          <w:sz w:val="24"/>
          <w:szCs w:val="24"/>
          <w:highlight w:val="none"/>
          <w:lang w:val="en-US" w:eastAsia="zh-CN"/>
        </w:rPr>
        <w:t>好防水施工过程监管和验收工作。</w:t>
      </w:r>
    </w:p>
    <w:p w14:paraId="2E4A3A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7.3.8 </w:t>
      </w:r>
      <w:r>
        <w:rPr>
          <w:rFonts w:hint="eastAsia" w:ascii="Times New Roman" w:hAnsi="Times New Roman" w:eastAsia="宋体" w:cs="Times New Roman"/>
          <w:color w:val="auto"/>
          <w:sz w:val="24"/>
          <w:szCs w:val="24"/>
          <w:highlight w:val="none"/>
          <w:lang w:val="en-US" w:eastAsia="zh-CN"/>
        </w:rPr>
        <w:t xml:space="preserve"> 装修施工方案及图纸、现场巡查记录、整改意见、查验记录、竣工验收等资料记录完整并存档。</w:t>
      </w:r>
    </w:p>
    <w:p w14:paraId="00E3E28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160" w:name="_Toc3939"/>
      <w:bookmarkStart w:id="161" w:name="_Toc11304"/>
      <w:bookmarkStart w:id="162" w:name="_Toc32175"/>
      <w:r>
        <w:rPr>
          <w:rFonts w:hint="eastAsia" w:ascii="宋体" w:hAnsi="宋体" w:eastAsia="宋体" w:cs="宋体"/>
          <w:b/>
          <w:bCs/>
          <w:color w:val="auto"/>
          <w:sz w:val="24"/>
          <w:szCs w:val="24"/>
          <w:highlight w:val="none"/>
          <w:lang w:val="en-US" w:eastAsia="zh-CN"/>
        </w:rPr>
        <w:t>7.4　便民服务</w:t>
      </w:r>
      <w:bookmarkEnd w:id="160"/>
      <w:bookmarkEnd w:id="161"/>
      <w:r>
        <w:rPr>
          <w:rFonts w:hint="eastAsia" w:ascii="宋体" w:hAnsi="宋体" w:eastAsia="宋体" w:cs="宋体"/>
          <w:b/>
          <w:bCs/>
          <w:color w:val="auto"/>
          <w:sz w:val="24"/>
          <w:szCs w:val="24"/>
          <w:highlight w:val="none"/>
          <w:lang w:val="en-US" w:eastAsia="zh-CN"/>
        </w:rPr>
        <w:t xml:space="preserve"> </w:t>
      </w:r>
      <w:r>
        <w:rPr>
          <w:rFonts w:hint="default" w:ascii="宋体" w:hAnsi="宋体" w:eastAsia="宋体" w:cs="宋体"/>
          <w:b/>
          <w:bCs/>
          <w:color w:val="auto"/>
          <w:sz w:val="24"/>
          <w:szCs w:val="24"/>
          <w:highlight w:val="none"/>
          <w:lang w:val="en-US" w:eastAsia="zh-CN"/>
        </w:rPr>
        <w:t xml:space="preserve"> </w:t>
      </w:r>
      <w:bookmarkEnd w:id="162"/>
    </w:p>
    <w:p w14:paraId="3E95B1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bookmarkStart w:id="163" w:name="_Toc2033"/>
      <w:r>
        <w:rPr>
          <w:rFonts w:hint="eastAsia" w:ascii="Times New Roman" w:hAnsi="Times New Roman" w:eastAsia="黑体" w:cs="Times New Roman"/>
          <w:b/>
          <w:bCs/>
          <w:i w:val="0"/>
          <w:color w:val="auto"/>
          <w:sz w:val="24"/>
          <w:szCs w:val="24"/>
          <w:highlight w:val="none"/>
          <w:lang w:val="en-US" w:eastAsia="zh-CN" w:bidi="ar-SA"/>
        </w:rPr>
        <w:t>7.4.1</w:t>
      </w:r>
      <w:bookmarkEnd w:id="163"/>
      <w:r>
        <w:rPr>
          <w:rFonts w:hint="eastAsia" w:ascii="Times New Roman" w:hAnsi="Times New Roman" w:eastAsia="黑体" w:cs="Times New Roman"/>
          <w:b/>
          <w:bCs/>
          <w:i w:val="0"/>
          <w:color w:val="auto"/>
          <w:sz w:val="24"/>
          <w:szCs w:val="24"/>
          <w:highlight w:val="none"/>
          <w:lang w:val="en-US" w:eastAsia="zh-CN" w:bidi="ar-SA"/>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便民服务应针对</w:t>
      </w:r>
      <w:r>
        <w:rPr>
          <w:rFonts w:hint="eastAsia" w:ascii="Times New Roman" w:hAnsi="Times New Roman" w:eastAsia="宋体" w:cs="Times New Roman"/>
          <w:color w:val="auto"/>
          <w:sz w:val="24"/>
          <w:szCs w:val="24"/>
          <w:highlight w:val="none"/>
          <w:lang w:val="en-US" w:eastAsia="zh-CN"/>
        </w:rPr>
        <w:t>用户的</w:t>
      </w:r>
      <w:r>
        <w:rPr>
          <w:rFonts w:hint="default" w:ascii="Times New Roman" w:hAnsi="Times New Roman" w:eastAsia="宋体" w:cs="Times New Roman"/>
          <w:color w:val="auto"/>
          <w:sz w:val="24"/>
          <w:szCs w:val="24"/>
          <w:highlight w:val="none"/>
          <w:lang w:val="en-US" w:eastAsia="zh-CN"/>
        </w:rPr>
        <w:t>个性化需求</w:t>
      </w:r>
      <w:r>
        <w:rPr>
          <w:rFonts w:hint="eastAsia" w:ascii="Times New Roman" w:hAnsi="Times New Roman" w:eastAsia="宋体" w:cs="Times New Roman"/>
          <w:color w:val="auto"/>
          <w:sz w:val="24"/>
          <w:szCs w:val="24"/>
          <w:highlight w:val="none"/>
          <w:lang w:val="en-US" w:eastAsia="zh-CN"/>
        </w:rPr>
        <w:t>，满足以下要求</w:t>
      </w:r>
      <w:r>
        <w:rPr>
          <w:rFonts w:hint="default" w:ascii="Times New Roman" w:hAnsi="Times New Roman" w:eastAsia="宋体" w:cs="Times New Roman"/>
          <w:color w:val="auto"/>
          <w:sz w:val="24"/>
          <w:szCs w:val="24"/>
          <w:highlight w:val="none"/>
          <w:lang w:val="en-US" w:eastAsia="zh-CN"/>
        </w:rPr>
        <w:t xml:space="preserve">： </w:t>
      </w:r>
    </w:p>
    <w:p w14:paraId="18FCF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种类多样，</w:t>
      </w:r>
      <w:r>
        <w:rPr>
          <w:rFonts w:hint="eastAsia" w:ascii="Times New Roman" w:hAnsi="Times New Roman" w:eastAsia="宋体" w:cs="Times New Roman"/>
          <w:color w:val="auto"/>
          <w:sz w:val="24"/>
          <w:szCs w:val="24"/>
          <w:highlight w:val="none"/>
          <w:lang w:val="en-US" w:eastAsia="zh-CN"/>
        </w:rPr>
        <w:t>但</w:t>
      </w:r>
      <w:r>
        <w:rPr>
          <w:rFonts w:hint="default" w:ascii="Times New Roman" w:hAnsi="Times New Roman" w:eastAsia="宋体" w:cs="Times New Roman"/>
          <w:color w:val="auto"/>
          <w:sz w:val="24"/>
          <w:szCs w:val="24"/>
          <w:highlight w:val="none"/>
          <w:lang w:val="en-US" w:eastAsia="zh-CN"/>
        </w:rPr>
        <w:t xml:space="preserve">不限于雨伞借用、快递代收发、物品寄存等并能持续开发新服务项目； </w:t>
      </w:r>
    </w:p>
    <w:p w14:paraId="371383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default" w:ascii="Times New Roman" w:hAnsi="Times New Roman" w:eastAsia="宋体" w:cs="Times New Roman"/>
          <w:color w:val="auto"/>
          <w:sz w:val="24"/>
          <w:szCs w:val="24"/>
          <w:highlight w:val="none"/>
          <w:lang w:val="en-US" w:eastAsia="zh-CN"/>
        </w:rPr>
      </w:pPr>
      <w:bookmarkStart w:id="164" w:name="_Toc16723"/>
      <w:bookmarkStart w:id="165" w:name="_Toc30819"/>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便民服务收费应公开透明，不得违反承诺收费。</w:t>
      </w:r>
      <w:bookmarkEnd w:id="164"/>
      <w:bookmarkEnd w:id="165"/>
      <w:r>
        <w:rPr>
          <w:rFonts w:hint="default" w:ascii="Times New Roman" w:hAnsi="Times New Roman" w:eastAsia="宋体" w:cs="Times New Roman"/>
          <w:color w:val="auto"/>
          <w:sz w:val="24"/>
          <w:szCs w:val="24"/>
          <w:highlight w:val="none"/>
          <w:lang w:val="en-US" w:eastAsia="zh-CN"/>
        </w:rPr>
        <w:t xml:space="preserve"> </w:t>
      </w:r>
    </w:p>
    <w:p w14:paraId="5BEB7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default" w:ascii="Times New Roman" w:hAnsi="Times New Roman" w:eastAsia="宋体" w:cs="Times New Roman"/>
          <w:color w:val="auto"/>
          <w:sz w:val="24"/>
          <w:szCs w:val="24"/>
          <w:highlight w:val="none"/>
          <w:lang w:val="en-US" w:eastAsia="zh-CN"/>
        </w:rPr>
      </w:pPr>
      <w:bookmarkStart w:id="166" w:name="_Toc14988"/>
      <w:bookmarkStart w:id="167" w:name="_Toc31161"/>
      <w:bookmarkStart w:id="168" w:name="_Toc26658"/>
      <w:r>
        <w:rPr>
          <w:rFonts w:hint="eastAsia" w:ascii="Times New Roman" w:hAnsi="Times New Roman" w:eastAsia="黑体" w:cs="Times New Roman"/>
          <w:b/>
          <w:bCs/>
          <w:i w:val="0"/>
          <w:color w:val="auto"/>
          <w:sz w:val="24"/>
          <w:szCs w:val="24"/>
          <w:highlight w:val="none"/>
          <w:lang w:val="en-US" w:eastAsia="zh-CN" w:bidi="ar-SA"/>
        </w:rPr>
        <w:t>7.4.</w:t>
      </w:r>
      <w:bookmarkEnd w:id="166"/>
      <w:r>
        <w:rPr>
          <w:rFonts w:hint="default" w:ascii="Times New Roman" w:hAnsi="Times New Roman" w:eastAsia="黑体" w:cs="Times New Roman"/>
          <w:b/>
          <w:bCs/>
          <w:i w:val="0"/>
          <w:color w:val="auto"/>
          <w:sz w:val="24"/>
          <w:szCs w:val="24"/>
          <w:highlight w:val="none"/>
          <w:lang w:val="en-US" w:eastAsia="zh-CN" w:bidi="ar-SA"/>
        </w:rPr>
        <w:t>2</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便民服务应符合</w:t>
      </w:r>
      <w:r>
        <w:rPr>
          <w:rFonts w:hint="eastAsia" w:ascii="Times New Roman" w:hAnsi="Times New Roman" w:eastAsia="宋体" w:cs="Times New Roman"/>
          <w:color w:val="auto"/>
          <w:sz w:val="24"/>
          <w:szCs w:val="24"/>
          <w:highlight w:val="none"/>
          <w:lang w:val="en-US" w:eastAsia="zh-CN"/>
        </w:rPr>
        <w:t>以下</w:t>
      </w:r>
      <w:r>
        <w:rPr>
          <w:rFonts w:hint="default" w:ascii="Times New Roman" w:hAnsi="Times New Roman" w:eastAsia="宋体" w:cs="Times New Roman"/>
          <w:color w:val="auto"/>
          <w:sz w:val="24"/>
          <w:szCs w:val="24"/>
          <w:highlight w:val="none"/>
          <w:lang w:val="en-US" w:eastAsia="zh-CN"/>
        </w:rPr>
        <w:t>要求：</w:t>
      </w:r>
      <w:bookmarkEnd w:id="167"/>
      <w:bookmarkEnd w:id="168"/>
      <w:r>
        <w:rPr>
          <w:rFonts w:hint="default" w:ascii="Times New Roman" w:hAnsi="Times New Roman" w:eastAsia="宋体" w:cs="Times New Roman"/>
          <w:color w:val="auto"/>
          <w:sz w:val="24"/>
          <w:szCs w:val="24"/>
          <w:highlight w:val="none"/>
          <w:lang w:val="en-US" w:eastAsia="zh-CN"/>
        </w:rPr>
        <w:t xml:space="preserve"> </w:t>
      </w:r>
    </w:p>
    <w:p w14:paraId="56C56E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default" w:ascii="Times New Roman" w:hAnsi="Times New Roman" w:eastAsia="宋体" w:cs="Times New Roman"/>
          <w:color w:val="auto"/>
          <w:sz w:val="24"/>
          <w:szCs w:val="24"/>
          <w:highlight w:val="none"/>
          <w:lang w:val="en-US" w:eastAsia="zh-CN"/>
        </w:rPr>
      </w:pPr>
      <w:bookmarkStart w:id="169" w:name="_Toc19686"/>
      <w:bookmarkStart w:id="170" w:name="_Toc28976"/>
      <w:r>
        <w:rPr>
          <w:rFonts w:hint="eastAsia"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相关工作人员应做到</w:t>
      </w:r>
      <w:r>
        <w:rPr>
          <w:rFonts w:hint="default" w:ascii="Times New Roman" w:hAnsi="Times New Roman" w:eastAsia="宋体" w:cs="Times New Roman"/>
          <w:color w:val="auto"/>
          <w:sz w:val="24"/>
          <w:szCs w:val="24"/>
          <w:highlight w:val="none"/>
          <w:lang w:val="en-US" w:eastAsia="zh-CN"/>
        </w:rPr>
        <w:t>态度良好、文明礼貌；</w:t>
      </w:r>
      <w:bookmarkEnd w:id="169"/>
      <w:bookmarkEnd w:id="170"/>
      <w:r>
        <w:rPr>
          <w:rFonts w:hint="default" w:ascii="Times New Roman" w:hAnsi="Times New Roman" w:eastAsia="宋体" w:cs="Times New Roman"/>
          <w:color w:val="auto"/>
          <w:sz w:val="24"/>
          <w:szCs w:val="24"/>
          <w:highlight w:val="none"/>
          <w:lang w:val="en-US" w:eastAsia="zh-CN"/>
        </w:rPr>
        <w:t xml:space="preserve"> </w:t>
      </w:r>
    </w:p>
    <w:p w14:paraId="47FE58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便民服务过程</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规范化，不得丢失</w:t>
      </w:r>
      <w:r>
        <w:rPr>
          <w:rFonts w:hint="eastAsia" w:ascii="Times New Roman" w:hAnsi="Times New Roman" w:eastAsia="宋体" w:cs="Times New Roman"/>
          <w:color w:val="auto"/>
          <w:sz w:val="24"/>
          <w:szCs w:val="24"/>
          <w:highlight w:val="none"/>
          <w:lang w:val="en-US" w:eastAsia="zh-CN"/>
        </w:rPr>
        <w:t>或损坏</w:t>
      </w:r>
      <w:r>
        <w:rPr>
          <w:rFonts w:hint="default" w:ascii="Times New Roman" w:hAnsi="Times New Roman" w:eastAsia="宋体" w:cs="Times New Roman"/>
          <w:color w:val="auto"/>
          <w:sz w:val="24"/>
          <w:szCs w:val="24"/>
          <w:highlight w:val="none"/>
          <w:lang w:val="en-US" w:eastAsia="zh-CN"/>
        </w:rPr>
        <w:t>客户物品，不泄露</w:t>
      </w:r>
      <w:r>
        <w:rPr>
          <w:rFonts w:hint="eastAsia" w:ascii="Times New Roman" w:hAnsi="Times New Roman" w:eastAsia="宋体" w:cs="Times New Roman"/>
          <w:color w:val="auto"/>
          <w:sz w:val="24"/>
          <w:szCs w:val="24"/>
          <w:highlight w:val="none"/>
          <w:lang w:val="en-US" w:eastAsia="zh-CN"/>
        </w:rPr>
        <w:t>客</w:t>
      </w:r>
      <w:r>
        <w:rPr>
          <w:rFonts w:hint="default" w:ascii="Times New Roman" w:hAnsi="Times New Roman" w:eastAsia="宋体" w:cs="Times New Roman"/>
          <w:color w:val="auto"/>
          <w:sz w:val="24"/>
          <w:szCs w:val="24"/>
          <w:highlight w:val="none"/>
          <w:lang w:val="en-US" w:eastAsia="zh-CN"/>
        </w:rPr>
        <w:t xml:space="preserve">户信息； </w:t>
      </w:r>
    </w:p>
    <w:p w14:paraId="4A4050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171" w:name="_Toc26943"/>
      <w:bookmarkStart w:id="172" w:name="_Toc3139"/>
      <w:r>
        <w:rPr>
          <w:rFonts w:hint="eastAsia" w:ascii="Times New Roman" w:hAnsi="Times New Roman" w:eastAsia="宋体" w:cs="Times New Roman"/>
          <w:color w:val="auto"/>
          <w:sz w:val="24"/>
          <w:szCs w:val="24"/>
          <w:highlight w:val="none"/>
          <w:lang w:val="en-US" w:eastAsia="zh-CN"/>
        </w:rPr>
        <w:t xml:space="preserve">3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场所、设备及用品</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保持整洁有序。</w:t>
      </w:r>
      <w:bookmarkEnd w:id="171"/>
      <w:bookmarkEnd w:id="172"/>
    </w:p>
    <w:p w14:paraId="38AE190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73" w:name="_Toc16452"/>
      <w:bookmarkStart w:id="174" w:name="_Toc19524"/>
      <w:bookmarkStart w:id="175" w:name="_Toc32652"/>
      <w:r>
        <w:rPr>
          <w:rFonts w:hint="eastAsia" w:ascii="宋体" w:hAnsi="宋体" w:eastAsia="宋体" w:cs="宋体"/>
          <w:b/>
          <w:bCs/>
          <w:color w:val="auto"/>
          <w:sz w:val="24"/>
          <w:szCs w:val="24"/>
          <w:highlight w:val="none"/>
          <w:lang w:val="en-US" w:eastAsia="zh-CN"/>
        </w:rPr>
        <w:t>7.5　其它服务</w:t>
      </w:r>
      <w:bookmarkEnd w:id="173"/>
      <w:bookmarkEnd w:id="174"/>
    </w:p>
    <w:bookmarkEnd w:id="175"/>
    <w:p w14:paraId="03788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7.5.1</w:t>
      </w:r>
      <w:r>
        <w:rPr>
          <w:rFonts w:hint="eastAsia" w:ascii="Times New Roman" w:hAnsi="Times New Roman" w:eastAsia="宋体" w:cs="Times New Roman"/>
          <w:color w:val="auto"/>
          <w:sz w:val="24"/>
          <w:szCs w:val="24"/>
          <w:highlight w:val="none"/>
          <w:lang w:val="en-US" w:eastAsia="zh-CN"/>
        </w:rPr>
        <w:t xml:space="preserve">  应根据客户需求采购、补充公务饮用水，做好供应、配送工作，确保供应及时、充足。</w:t>
      </w:r>
    </w:p>
    <w:p w14:paraId="146B6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7.5.2 </w:t>
      </w:r>
      <w:r>
        <w:rPr>
          <w:rFonts w:hint="eastAsia" w:ascii="Times New Roman" w:hAnsi="Times New Roman" w:eastAsia="宋体" w:cs="Times New Roman"/>
          <w:color w:val="auto"/>
          <w:sz w:val="24"/>
          <w:szCs w:val="24"/>
          <w:highlight w:val="none"/>
          <w:lang w:val="en-US" w:eastAsia="zh-CN"/>
        </w:rPr>
        <w:t xml:space="preserve"> 为保障饮水机卫生，按规范清洗饮水机，每季度一次。</w:t>
      </w:r>
    </w:p>
    <w:p w14:paraId="06E36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7.5.3 </w:t>
      </w:r>
      <w:r>
        <w:rPr>
          <w:rFonts w:hint="eastAsia" w:ascii="Times New Roman" w:hAnsi="Times New Roman" w:eastAsia="宋体" w:cs="Times New Roman"/>
          <w:color w:val="auto"/>
          <w:sz w:val="24"/>
          <w:szCs w:val="24"/>
          <w:highlight w:val="none"/>
          <w:lang w:val="en-US" w:eastAsia="zh-CN"/>
        </w:rPr>
        <w:t xml:space="preserve"> 饮水机进行清洗消毒应做到饮水机外观干净整洁，内胆无水垢。</w:t>
      </w:r>
    </w:p>
    <w:p w14:paraId="516A200A">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9"/>
        <w:rPr>
          <w:rFonts w:hint="eastAsia" w:hAnsi="Times New Roman" w:cs="Times New Roman"/>
          <w:color w:val="auto"/>
          <w:highlight w:val="none"/>
          <w:lang w:val="en-US" w:eastAsia="zh-CN"/>
        </w:rPr>
      </w:pPr>
      <w:bookmarkStart w:id="176" w:name="_Toc26438"/>
    </w:p>
    <w:p w14:paraId="3FD924FE">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77" w:name="_Toc31937"/>
      <w:bookmarkStart w:id="178" w:name="_Toc11763"/>
      <w:r>
        <w:rPr>
          <w:rFonts w:hint="eastAsia" w:ascii="Times New Roman" w:hAnsi="Times New Roman" w:eastAsia="宋体" w:cs="Times New Roman"/>
          <w:sz w:val="30"/>
          <w:highlight w:val="none"/>
          <w:lang w:val="en-US" w:eastAsia="zh-CN"/>
        </w:rPr>
        <w:t xml:space="preserve">8 </w:t>
      </w:r>
      <w:r>
        <w:rPr>
          <w:rFonts w:hint="eastAsia" w:ascii="Times New Roman" w:hAnsi="Times New Roman" w:eastAsia="宋体" w:cs="Times New Roman"/>
          <w:b w:val="0"/>
          <w:bCs w:val="0"/>
          <w:sz w:val="30"/>
          <w:highlight w:val="none"/>
          <w:lang w:val="en-US" w:eastAsia="zh-CN"/>
        </w:rPr>
        <w:t>建（构）筑物巡查维护</w:t>
      </w:r>
      <w:bookmarkEnd w:id="176"/>
      <w:bookmarkEnd w:id="177"/>
      <w:bookmarkEnd w:id="178"/>
    </w:p>
    <w:p w14:paraId="1AC18D2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79" w:name="_Toc25685"/>
      <w:bookmarkStart w:id="180" w:name="_Toc27968"/>
      <w:bookmarkStart w:id="181" w:name="_Toc26590"/>
      <w:r>
        <w:rPr>
          <w:rFonts w:hint="eastAsia" w:ascii="宋体" w:hAnsi="宋体" w:eastAsia="宋体" w:cs="宋体"/>
          <w:b/>
          <w:bCs/>
          <w:color w:val="auto"/>
          <w:sz w:val="24"/>
          <w:szCs w:val="24"/>
          <w:highlight w:val="none"/>
          <w:lang w:val="en-US" w:eastAsia="zh-CN"/>
        </w:rPr>
        <w:t>8.1  房屋及建（构）筑物本体</w:t>
      </w:r>
      <w:bookmarkEnd w:id="179"/>
      <w:bookmarkEnd w:id="180"/>
      <w:bookmarkEnd w:id="181"/>
    </w:p>
    <w:p w14:paraId="0A8E70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2"/>
        <w:rPr>
          <w:rFonts w:hint="eastAsia" w:ascii="宋体" w:hAnsi="宋体" w:eastAsia="宋体" w:cs="宋体"/>
          <w:color w:val="auto"/>
          <w:sz w:val="24"/>
          <w:szCs w:val="24"/>
          <w:highlight w:val="none"/>
          <w:lang w:val="en-US" w:eastAsia="zh-CN"/>
        </w:rPr>
      </w:pPr>
      <w:bookmarkStart w:id="182" w:name="_Toc23441"/>
      <w:bookmarkStart w:id="183" w:name="_Toc24483"/>
      <w:r>
        <w:rPr>
          <w:rFonts w:hint="default" w:ascii="Times New Roman" w:hAnsi="Times New Roman" w:eastAsia="宋体" w:cs="Times New Roman"/>
          <w:b/>
          <w:bCs/>
          <w:i w:val="0"/>
          <w:color w:val="auto"/>
          <w:kern w:val="2"/>
          <w:sz w:val="24"/>
          <w:szCs w:val="24"/>
          <w:highlight w:val="none"/>
          <w:lang w:val="en-US" w:eastAsia="zh-CN" w:bidi="ar-SA"/>
        </w:rPr>
        <w:t>8.1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val="zh-CN" w:eastAsia="zh-CN"/>
        </w:rPr>
        <w:t>建立房屋</w:t>
      </w:r>
      <w:r>
        <w:rPr>
          <w:rFonts w:hint="eastAsia" w:ascii="宋体" w:hAnsi="宋体" w:eastAsia="宋体" w:cs="宋体"/>
          <w:color w:val="auto"/>
          <w:sz w:val="24"/>
          <w:szCs w:val="24"/>
          <w:highlight w:val="none"/>
          <w:lang w:val="en-US" w:eastAsia="zh-CN"/>
        </w:rPr>
        <w:t>及建（构）筑物本体服务管理</w:t>
      </w:r>
      <w:r>
        <w:rPr>
          <w:rFonts w:hint="eastAsia" w:ascii="宋体" w:hAnsi="宋体" w:eastAsia="宋体" w:cs="宋体"/>
          <w:color w:val="auto"/>
          <w:sz w:val="24"/>
          <w:szCs w:val="24"/>
          <w:highlight w:val="none"/>
          <w:lang w:val="zh-CN" w:eastAsia="zh-CN"/>
        </w:rPr>
        <w:t>制度</w:t>
      </w:r>
      <w:r>
        <w:rPr>
          <w:rFonts w:hint="eastAsia" w:ascii="宋体" w:hAnsi="宋体" w:eastAsia="宋体" w:cs="宋体"/>
          <w:color w:val="auto"/>
          <w:sz w:val="24"/>
          <w:szCs w:val="24"/>
          <w:highlight w:val="none"/>
          <w:lang w:val="en-US" w:eastAsia="zh-CN"/>
        </w:rPr>
        <w:t>。</w:t>
      </w:r>
      <w:bookmarkEnd w:id="182"/>
      <w:bookmarkEnd w:id="183"/>
    </w:p>
    <w:p w14:paraId="464E46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rPr>
        <w:t>建立房屋</w:t>
      </w:r>
      <w:r>
        <w:rPr>
          <w:rFonts w:hint="eastAsia" w:ascii="宋体" w:hAnsi="宋体" w:eastAsia="宋体" w:cs="宋体"/>
          <w:color w:val="auto"/>
          <w:sz w:val="24"/>
          <w:szCs w:val="24"/>
          <w:highlight w:val="none"/>
          <w:lang w:val="en-US" w:eastAsia="zh-CN"/>
        </w:rPr>
        <w:t>巡查、管理台帐</w:t>
      </w:r>
      <w:r>
        <w:rPr>
          <w:rFonts w:hint="eastAsia" w:ascii="宋体" w:hAnsi="宋体" w:eastAsia="宋体" w:cs="宋体"/>
          <w:color w:val="auto"/>
          <w:sz w:val="24"/>
          <w:szCs w:val="24"/>
          <w:highlight w:val="none"/>
          <w:lang w:val="zh-CN" w:eastAsia="zh-CN"/>
        </w:rPr>
        <w:t>，指导和督</w:t>
      </w:r>
      <w:r>
        <w:rPr>
          <w:rFonts w:hint="eastAsia" w:ascii="宋体" w:hAnsi="宋体" w:eastAsia="宋体" w:cs="宋体"/>
          <w:color w:val="auto"/>
          <w:sz w:val="24"/>
          <w:szCs w:val="24"/>
          <w:highlight w:val="none"/>
          <w:lang w:val="en-US" w:eastAsia="zh-CN"/>
        </w:rPr>
        <w:t>促用户</w:t>
      </w:r>
      <w:r>
        <w:rPr>
          <w:rFonts w:hint="eastAsia" w:ascii="宋体" w:hAnsi="宋体" w:eastAsia="宋体" w:cs="宋体"/>
          <w:color w:val="auto"/>
          <w:sz w:val="24"/>
          <w:szCs w:val="24"/>
          <w:highlight w:val="none"/>
          <w:lang w:val="zh-CN" w:eastAsia="zh-CN"/>
        </w:rPr>
        <w:t>安全</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eastAsia="zh-CN"/>
        </w:rPr>
        <w:t>规范使用房屋。</w:t>
      </w:r>
    </w:p>
    <w:p w14:paraId="78381A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制定年度维修保养计划，在维修资金落实后组织实施。</w:t>
      </w:r>
    </w:p>
    <w:p w14:paraId="7AF287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8.1.4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每月应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1次对房屋主体外观、屋面、墙体(女儿墙)及外门(窗)、外走廊与阳台等进行巡检，是否存在漏水、脱落、下沉开裂以及其它破损现象。如有异常，应立刻上报并采取安全措施，进行报修，记录存档。</w:t>
      </w:r>
    </w:p>
    <w:p w14:paraId="773FC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8.1.5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发现</w:t>
      </w:r>
      <w:r>
        <w:rPr>
          <w:rFonts w:hint="eastAsia" w:ascii="宋体" w:hAnsi="宋体" w:eastAsia="宋体" w:cs="宋体"/>
          <w:color w:val="auto"/>
          <w:sz w:val="24"/>
          <w:szCs w:val="24"/>
          <w:highlight w:val="none"/>
          <w:lang w:val="zh-CN" w:eastAsia="zh-CN"/>
        </w:rPr>
        <w:t>使用人</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按照楼层承受负荷</w:t>
      </w:r>
      <w:r>
        <w:rPr>
          <w:rFonts w:hint="eastAsia" w:ascii="宋体" w:hAnsi="宋体" w:eastAsia="宋体" w:cs="宋体"/>
          <w:color w:val="auto"/>
          <w:sz w:val="24"/>
          <w:szCs w:val="24"/>
          <w:highlight w:val="none"/>
          <w:lang w:val="en-US" w:eastAsia="zh-CN"/>
        </w:rPr>
        <w:t>堆放</w:t>
      </w:r>
      <w:r>
        <w:rPr>
          <w:rFonts w:hint="eastAsia" w:ascii="宋体" w:hAnsi="宋体" w:eastAsia="宋体" w:cs="宋体"/>
          <w:color w:val="auto"/>
          <w:sz w:val="24"/>
          <w:szCs w:val="24"/>
          <w:highlight w:val="none"/>
          <w:lang w:val="zh-CN" w:eastAsia="zh-CN"/>
        </w:rPr>
        <w:t>货物</w:t>
      </w:r>
      <w:r>
        <w:rPr>
          <w:rFonts w:hint="eastAsia" w:ascii="宋体" w:hAnsi="宋体" w:eastAsia="宋体" w:cs="宋体"/>
          <w:color w:val="auto"/>
          <w:sz w:val="24"/>
          <w:szCs w:val="24"/>
          <w:highlight w:val="none"/>
          <w:lang w:val="en-US" w:eastAsia="zh-CN"/>
        </w:rPr>
        <w:t>或设备的要</w:t>
      </w:r>
      <w:r>
        <w:rPr>
          <w:rFonts w:hint="eastAsia" w:ascii="宋体" w:hAnsi="宋体" w:eastAsia="宋体" w:cs="宋体"/>
          <w:color w:val="auto"/>
          <w:sz w:val="24"/>
          <w:szCs w:val="24"/>
          <w:highlight w:val="none"/>
          <w:lang w:val="zh-CN" w:eastAsia="zh-CN"/>
        </w:rPr>
        <w:t>及时制止。</w:t>
      </w:r>
    </w:p>
    <w:p w14:paraId="13443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8.1.6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根据气象台</w:t>
      </w:r>
      <w:r>
        <w:rPr>
          <w:rFonts w:hint="eastAsia" w:ascii="宋体" w:hAnsi="宋体" w:eastAsia="宋体" w:cs="宋体"/>
          <w:color w:val="auto"/>
          <w:sz w:val="24"/>
          <w:szCs w:val="24"/>
          <w:highlight w:val="none"/>
          <w:lang w:val="zh-CN" w:eastAsia="zh-CN"/>
        </w:rPr>
        <w:t>天气</w:t>
      </w:r>
      <w:r>
        <w:rPr>
          <w:rFonts w:hint="eastAsia" w:ascii="宋体" w:hAnsi="宋体" w:eastAsia="宋体" w:cs="宋体"/>
          <w:color w:val="auto"/>
          <w:sz w:val="24"/>
          <w:szCs w:val="24"/>
          <w:highlight w:val="none"/>
          <w:lang w:val="en-US" w:eastAsia="zh-CN"/>
        </w:rPr>
        <w:t>预警提醒，遇到台风、</w:t>
      </w:r>
      <w:r>
        <w:rPr>
          <w:rFonts w:hint="eastAsia" w:ascii="宋体" w:hAnsi="宋体" w:eastAsia="宋体" w:cs="宋体"/>
          <w:color w:val="auto"/>
          <w:sz w:val="24"/>
          <w:szCs w:val="24"/>
          <w:highlight w:val="none"/>
          <w:lang w:val="zh-CN" w:eastAsia="zh-CN"/>
        </w:rPr>
        <w:t>暴雨等极端</w:t>
      </w:r>
      <w:r>
        <w:rPr>
          <w:rFonts w:hint="eastAsia" w:ascii="宋体" w:hAnsi="宋体" w:eastAsia="宋体" w:cs="宋体"/>
          <w:color w:val="auto"/>
          <w:sz w:val="24"/>
          <w:szCs w:val="24"/>
          <w:highlight w:val="none"/>
          <w:lang w:val="en-US" w:eastAsia="zh-CN"/>
        </w:rPr>
        <w:t>天气，应根据应急预案进行处理。</w:t>
      </w:r>
    </w:p>
    <w:p w14:paraId="7BCD1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8.1.7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项目主要分类的其它建筑物内部和构筑物巡查应符合表</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.1.7要求。</w:t>
      </w:r>
    </w:p>
    <w:p w14:paraId="08A81BAC">
      <w:pPr>
        <w:pStyle w:val="8"/>
        <w:tabs>
          <w:tab w:val="left" w:pos="420"/>
        </w:tabs>
        <w:spacing w:before="312" w:beforeLines="100" w:after="0" w:line="240" w:lineRule="auto"/>
        <w:jc w:val="center"/>
        <w:outlineLvl w:val="1"/>
        <w:rPr>
          <w:rFonts w:hint="eastAsia" w:eastAsia="黑体"/>
          <w:bCs w:val="0"/>
          <w:sz w:val="21"/>
          <w:szCs w:val="24"/>
          <w:highlight w:val="none"/>
          <w:lang w:val="en-US" w:eastAsia="zh-CN"/>
        </w:rPr>
      </w:pPr>
      <w:bookmarkStart w:id="184" w:name="_Toc15477"/>
      <w:bookmarkStart w:id="185" w:name="_Toc16417"/>
      <w:r>
        <w:rPr>
          <w:rFonts w:hint="eastAsia" w:eastAsia="黑体"/>
          <w:bCs w:val="0"/>
          <w:sz w:val="21"/>
          <w:szCs w:val="24"/>
          <w:highlight w:val="none"/>
          <w:lang w:val="en-US" w:eastAsia="zh-CN"/>
        </w:rPr>
        <w:t>表8.1.7  项目主要分类服务标准-建筑构筑物巡查</w:t>
      </w:r>
      <w:bookmarkEnd w:id="184"/>
      <w:bookmarkEnd w:id="185"/>
    </w:p>
    <w:tbl>
      <w:tblPr>
        <w:tblStyle w:val="38"/>
        <w:tblW w:w="9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818"/>
        <w:gridCol w:w="1253"/>
        <w:gridCol w:w="820"/>
        <w:gridCol w:w="1030"/>
        <w:gridCol w:w="811"/>
        <w:gridCol w:w="1159"/>
        <w:gridCol w:w="845"/>
        <w:gridCol w:w="1200"/>
      </w:tblGrid>
      <w:tr w14:paraId="31F6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105" w:type="dxa"/>
            <w:vMerge w:val="restart"/>
            <w:tcBorders>
              <w:top w:val="single" w:color="000000" w:sz="12" w:space="0"/>
              <w:left w:val="single" w:color="000000" w:sz="12" w:space="0"/>
              <w:bottom w:val="single" w:color="000000" w:sz="4" w:space="0"/>
              <w:right w:val="single" w:color="000000" w:sz="4" w:space="0"/>
            </w:tcBorders>
            <w:noWrap/>
            <w:vAlign w:val="center"/>
          </w:tcPr>
          <w:p w14:paraId="51CEF60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071" w:type="dxa"/>
            <w:gridSpan w:val="2"/>
            <w:tcBorders>
              <w:top w:val="single" w:color="000000" w:sz="12" w:space="0"/>
              <w:left w:val="single" w:color="000000" w:sz="4" w:space="0"/>
              <w:bottom w:val="single" w:color="000000" w:sz="4" w:space="0"/>
              <w:right w:val="single" w:color="000000" w:sz="4" w:space="0"/>
            </w:tcBorders>
            <w:noWrap/>
            <w:vAlign w:val="center"/>
          </w:tcPr>
          <w:p w14:paraId="794799A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850" w:type="dxa"/>
            <w:gridSpan w:val="2"/>
            <w:tcBorders>
              <w:top w:val="single" w:color="000000" w:sz="12" w:space="0"/>
              <w:left w:val="single" w:color="000000" w:sz="4" w:space="0"/>
              <w:bottom w:val="single" w:color="000000" w:sz="4" w:space="0"/>
              <w:right w:val="single" w:color="000000" w:sz="4" w:space="0"/>
            </w:tcBorders>
            <w:noWrap/>
            <w:vAlign w:val="center"/>
          </w:tcPr>
          <w:p w14:paraId="784A337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970" w:type="dxa"/>
            <w:gridSpan w:val="2"/>
            <w:tcBorders>
              <w:top w:val="single" w:color="000000" w:sz="12" w:space="0"/>
              <w:left w:val="single" w:color="000000" w:sz="4" w:space="0"/>
              <w:bottom w:val="single" w:color="000000" w:sz="4" w:space="0"/>
              <w:right w:val="single" w:color="000000" w:sz="4" w:space="0"/>
            </w:tcBorders>
            <w:noWrap/>
            <w:vAlign w:val="center"/>
          </w:tcPr>
          <w:p w14:paraId="3F68EDD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变电站/换流站</w:t>
            </w:r>
          </w:p>
        </w:tc>
        <w:tc>
          <w:tcPr>
            <w:tcW w:w="2045" w:type="dxa"/>
            <w:gridSpan w:val="2"/>
            <w:tcBorders>
              <w:top w:val="single" w:color="000000" w:sz="12" w:space="0"/>
              <w:left w:val="single" w:color="000000" w:sz="4" w:space="0"/>
              <w:bottom w:val="single" w:color="000000" w:sz="4" w:space="0"/>
              <w:right w:val="single" w:color="000000" w:sz="12" w:space="0"/>
            </w:tcBorders>
            <w:noWrap/>
            <w:vAlign w:val="center"/>
          </w:tcPr>
          <w:p w14:paraId="49979502">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周转仓</w:t>
            </w:r>
          </w:p>
        </w:tc>
      </w:tr>
      <w:tr w14:paraId="3E06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05" w:type="dxa"/>
            <w:vMerge w:val="continue"/>
            <w:tcBorders>
              <w:top w:val="single" w:color="000000" w:sz="4" w:space="0"/>
              <w:left w:val="single" w:color="000000" w:sz="12" w:space="0"/>
              <w:bottom w:val="single" w:color="000000" w:sz="12" w:space="0"/>
              <w:right w:val="single" w:color="000000" w:sz="4" w:space="0"/>
            </w:tcBorders>
            <w:noWrap/>
            <w:vAlign w:val="center"/>
          </w:tcPr>
          <w:p w14:paraId="5151E6F8">
            <w:pPr>
              <w:jc w:val="center"/>
              <w:rPr>
                <w:rFonts w:hint="eastAsia" w:ascii="宋体" w:hAnsi="宋体" w:eastAsia="宋体" w:cs="宋体"/>
                <w:b w:val="0"/>
                <w:bCs w:val="0"/>
                <w:i w:val="0"/>
                <w:iCs w:val="0"/>
                <w:color w:val="auto"/>
                <w:sz w:val="18"/>
                <w:szCs w:val="18"/>
                <w:highlight w:val="none"/>
                <w:u w:val="none"/>
              </w:rPr>
            </w:pPr>
          </w:p>
        </w:tc>
        <w:tc>
          <w:tcPr>
            <w:tcW w:w="818" w:type="dxa"/>
            <w:tcBorders>
              <w:top w:val="single" w:color="000000" w:sz="4" w:space="0"/>
              <w:left w:val="single" w:color="000000" w:sz="4" w:space="0"/>
              <w:bottom w:val="single" w:color="000000" w:sz="12" w:space="0"/>
              <w:right w:val="single" w:color="000000" w:sz="4" w:space="0"/>
            </w:tcBorders>
            <w:noWrap/>
            <w:vAlign w:val="center"/>
          </w:tcPr>
          <w:p w14:paraId="4A6A796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53" w:type="dxa"/>
            <w:tcBorders>
              <w:top w:val="single" w:color="000000" w:sz="4" w:space="0"/>
              <w:left w:val="single" w:color="000000" w:sz="4" w:space="0"/>
              <w:bottom w:val="single" w:color="000000" w:sz="12" w:space="0"/>
              <w:right w:val="single" w:color="000000" w:sz="4" w:space="0"/>
            </w:tcBorders>
            <w:noWrap/>
            <w:vAlign w:val="center"/>
          </w:tcPr>
          <w:p w14:paraId="07A00DA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20" w:type="dxa"/>
            <w:tcBorders>
              <w:top w:val="single" w:color="000000" w:sz="4" w:space="0"/>
              <w:left w:val="single" w:color="000000" w:sz="4" w:space="0"/>
              <w:bottom w:val="single" w:color="000000" w:sz="12" w:space="0"/>
              <w:right w:val="single" w:color="000000" w:sz="4" w:space="0"/>
            </w:tcBorders>
            <w:noWrap/>
            <w:vAlign w:val="center"/>
          </w:tcPr>
          <w:p w14:paraId="3CD8D62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030" w:type="dxa"/>
            <w:tcBorders>
              <w:top w:val="single" w:color="000000" w:sz="4" w:space="0"/>
              <w:left w:val="single" w:color="000000" w:sz="4" w:space="0"/>
              <w:bottom w:val="single" w:color="000000" w:sz="12" w:space="0"/>
              <w:right w:val="single" w:color="000000" w:sz="4" w:space="0"/>
            </w:tcBorders>
            <w:noWrap/>
            <w:vAlign w:val="center"/>
          </w:tcPr>
          <w:p w14:paraId="0C39E54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11" w:type="dxa"/>
            <w:tcBorders>
              <w:top w:val="single" w:color="000000" w:sz="4" w:space="0"/>
              <w:left w:val="single" w:color="000000" w:sz="4" w:space="0"/>
              <w:bottom w:val="single" w:color="000000" w:sz="12" w:space="0"/>
              <w:right w:val="single" w:color="000000" w:sz="4" w:space="0"/>
            </w:tcBorders>
            <w:noWrap/>
            <w:vAlign w:val="center"/>
          </w:tcPr>
          <w:p w14:paraId="63EA733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59" w:type="dxa"/>
            <w:tcBorders>
              <w:top w:val="single" w:color="000000" w:sz="4" w:space="0"/>
              <w:left w:val="single" w:color="000000" w:sz="4" w:space="0"/>
              <w:bottom w:val="single" w:color="000000" w:sz="12" w:space="0"/>
              <w:right w:val="single" w:color="000000" w:sz="4" w:space="0"/>
            </w:tcBorders>
            <w:noWrap/>
            <w:vAlign w:val="center"/>
          </w:tcPr>
          <w:p w14:paraId="4ABD464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45" w:type="dxa"/>
            <w:tcBorders>
              <w:top w:val="single" w:color="000000" w:sz="4" w:space="0"/>
              <w:left w:val="single" w:color="000000" w:sz="4" w:space="0"/>
              <w:bottom w:val="single" w:color="000000" w:sz="12" w:space="0"/>
              <w:right w:val="single" w:color="000000" w:sz="4" w:space="0"/>
            </w:tcBorders>
            <w:noWrap/>
            <w:vAlign w:val="center"/>
          </w:tcPr>
          <w:p w14:paraId="2ADAF329">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00" w:type="dxa"/>
            <w:tcBorders>
              <w:top w:val="single" w:color="000000" w:sz="4" w:space="0"/>
              <w:left w:val="single" w:color="000000" w:sz="4" w:space="0"/>
              <w:bottom w:val="single" w:color="000000" w:sz="12" w:space="0"/>
              <w:right w:val="single" w:color="000000" w:sz="12" w:space="0"/>
            </w:tcBorders>
            <w:noWrap/>
            <w:vAlign w:val="center"/>
          </w:tcPr>
          <w:p w14:paraId="25797A2C">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6884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105" w:type="dxa"/>
            <w:tcBorders>
              <w:top w:val="single" w:color="000000" w:sz="12" w:space="0"/>
              <w:left w:val="single" w:color="000000" w:sz="12" w:space="0"/>
              <w:bottom w:val="single" w:color="000000" w:sz="4" w:space="0"/>
              <w:right w:val="single" w:color="000000" w:sz="4" w:space="0"/>
            </w:tcBorders>
            <w:noWrap/>
            <w:vAlign w:val="center"/>
          </w:tcPr>
          <w:p w14:paraId="3827B39D">
            <w:pP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地面、隔墙、楼梯、扶手巡查</w:t>
            </w:r>
          </w:p>
        </w:tc>
        <w:tc>
          <w:tcPr>
            <w:tcW w:w="818" w:type="dxa"/>
            <w:tcBorders>
              <w:top w:val="single" w:color="000000" w:sz="12" w:space="0"/>
              <w:left w:val="single" w:color="000000" w:sz="4" w:space="0"/>
              <w:bottom w:val="single" w:color="000000" w:sz="4" w:space="0"/>
              <w:right w:val="single" w:color="000000" w:sz="4" w:space="0"/>
            </w:tcBorders>
            <w:noWrap/>
            <w:vAlign w:val="center"/>
          </w:tcPr>
          <w:p w14:paraId="684640B3">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次/月</w:t>
            </w:r>
          </w:p>
        </w:tc>
        <w:tc>
          <w:tcPr>
            <w:tcW w:w="1253" w:type="dxa"/>
            <w:tcBorders>
              <w:top w:val="single" w:color="000000" w:sz="12" w:space="0"/>
              <w:left w:val="single" w:color="000000" w:sz="4" w:space="0"/>
              <w:bottom w:val="single" w:color="000000" w:sz="4" w:space="0"/>
              <w:right w:val="single" w:color="000000" w:sz="4" w:space="0"/>
            </w:tcBorders>
            <w:noWrap/>
            <w:vAlign w:val="center"/>
          </w:tcPr>
          <w:p w14:paraId="2162CA34">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20" w:type="dxa"/>
            <w:tcBorders>
              <w:top w:val="single" w:color="000000" w:sz="12" w:space="0"/>
              <w:left w:val="single" w:color="000000" w:sz="4" w:space="0"/>
              <w:bottom w:val="single" w:color="000000" w:sz="4" w:space="0"/>
              <w:right w:val="single" w:color="000000" w:sz="4" w:space="0"/>
            </w:tcBorders>
            <w:noWrap/>
            <w:vAlign w:val="center"/>
          </w:tcPr>
          <w:p w14:paraId="5EB7A4EE">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030" w:type="dxa"/>
            <w:tcBorders>
              <w:top w:val="single" w:color="000000" w:sz="12" w:space="0"/>
              <w:left w:val="single" w:color="000000" w:sz="4" w:space="0"/>
              <w:bottom w:val="single" w:color="000000" w:sz="4" w:space="0"/>
              <w:right w:val="single" w:color="000000" w:sz="4" w:space="0"/>
            </w:tcBorders>
            <w:noWrap/>
            <w:vAlign w:val="center"/>
          </w:tcPr>
          <w:p w14:paraId="322B4E8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11" w:type="dxa"/>
            <w:tcBorders>
              <w:top w:val="single" w:color="000000" w:sz="12" w:space="0"/>
              <w:left w:val="single" w:color="000000" w:sz="4" w:space="0"/>
              <w:bottom w:val="single" w:color="000000" w:sz="4" w:space="0"/>
              <w:right w:val="single" w:color="000000" w:sz="4" w:space="0"/>
            </w:tcBorders>
            <w:noWrap/>
            <w:vAlign w:val="center"/>
          </w:tcPr>
          <w:p w14:paraId="1293ECF3">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159" w:type="dxa"/>
            <w:tcBorders>
              <w:top w:val="single" w:color="000000" w:sz="12" w:space="0"/>
              <w:left w:val="single" w:color="000000" w:sz="4" w:space="0"/>
              <w:bottom w:val="single" w:color="000000" w:sz="4" w:space="0"/>
              <w:right w:val="single" w:color="000000" w:sz="4" w:space="0"/>
            </w:tcBorders>
            <w:noWrap/>
            <w:vAlign w:val="center"/>
          </w:tcPr>
          <w:p w14:paraId="5FF4D711">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45" w:type="dxa"/>
            <w:tcBorders>
              <w:top w:val="single" w:color="000000" w:sz="12" w:space="0"/>
              <w:left w:val="single" w:color="000000" w:sz="4" w:space="0"/>
              <w:bottom w:val="single" w:color="000000" w:sz="4" w:space="0"/>
              <w:right w:val="single" w:color="000000" w:sz="4" w:space="0"/>
            </w:tcBorders>
            <w:noWrap/>
            <w:vAlign w:val="center"/>
          </w:tcPr>
          <w:p w14:paraId="75CE9B63">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200" w:type="dxa"/>
            <w:tcBorders>
              <w:top w:val="single" w:color="000000" w:sz="12" w:space="0"/>
              <w:left w:val="single" w:color="000000" w:sz="4" w:space="0"/>
              <w:bottom w:val="single" w:color="000000" w:sz="4" w:space="0"/>
              <w:right w:val="single" w:color="000000" w:sz="12" w:space="0"/>
            </w:tcBorders>
            <w:noWrap/>
            <w:vAlign w:val="center"/>
          </w:tcPr>
          <w:p w14:paraId="3C78AB9E">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r>
      <w:tr w14:paraId="234F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05" w:type="dxa"/>
            <w:tcBorders>
              <w:top w:val="single" w:color="000000" w:sz="4" w:space="0"/>
              <w:left w:val="single" w:color="000000" w:sz="12" w:space="0"/>
              <w:bottom w:val="single" w:color="000000" w:sz="12" w:space="0"/>
              <w:right w:val="single" w:color="000000" w:sz="4" w:space="0"/>
            </w:tcBorders>
            <w:noWrap/>
            <w:vAlign w:val="center"/>
          </w:tcPr>
          <w:p w14:paraId="31983DA8">
            <w:pP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天</w:t>
            </w:r>
            <w:r>
              <w:rPr>
                <w:rFonts w:hint="eastAsia" w:ascii="宋体" w:hAnsi="宋体" w:cs="宋体"/>
                <w:color w:val="auto"/>
                <w:sz w:val="18"/>
                <w:szCs w:val="18"/>
                <w:highlight w:val="none"/>
                <w:lang w:val="en-US" w:eastAsia="zh-CN"/>
              </w:rPr>
              <w:t>面</w:t>
            </w:r>
            <w:r>
              <w:rPr>
                <w:rFonts w:hint="eastAsia" w:ascii="宋体" w:hAnsi="宋体" w:eastAsia="宋体" w:cs="宋体"/>
                <w:color w:val="auto"/>
                <w:sz w:val="18"/>
                <w:szCs w:val="18"/>
                <w:highlight w:val="none"/>
                <w:lang w:val="en-US" w:eastAsia="zh-CN"/>
              </w:rPr>
              <w:t>、道路、排水沟巡查</w:t>
            </w:r>
          </w:p>
        </w:tc>
        <w:tc>
          <w:tcPr>
            <w:tcW w:w="818" w:type="dxa"/>
            <w:tcBorders>
              <w:top w:val="single" w:color="000000" w:sz="4" w:space="0"/>
              <w:left w:val="single" w:color="000000" w:sz="4" w:space="0"/>
              <w:bottom w:val="single" w:color="000000" w:sz="12" w:space="0"/>
              <w:right w:val="single" w:color="000000" w:sz="4" w:space="0"/>
            </w:tcBorders>
            <w:noWrap/>
            <w:vAlign w:val="center"/>
          </w:tcPr>
          <w:p w14:paraId="7F703848">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次/月</w:t>
            </w:r>
          </w:p>
        </w:tc>
        <w:tc>
          <w:tcPr>
            <w:tcW w:w="1253" w:type="dxa"/>
            <w:tcBorders>
              <w:top w:val="single" w:color="000000" w:sz="4" w:space="0"/>
              <w:left w:val="single" w:color="000000" w:sz="4" w:space="0"/>
              <w:bottom w:val="single" w:color="000000" w:sz="12" w:space="0"/>
              <w:right w:val="single" w:color="000000" w:sz="4" w:space="0"/>
            </w:tcBorders>
            <w:noWrap/>
            <w:vAlign w:val="center"/>
          </w:tcPr>
          <w:p w14:paraId="2EC6945E">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无开裂、无塌陷、无堵塞</w:t>
            </w:r>
          </w:p>
        </w:tc>
        <w:tc>
          <w:tcPr>
            <w:tcW w:w="820" w:type="dxa"/>
            <w:tcBorders>
              <w:top w:val="single" w:color="000000" w:sz="4" w:space="0"/>
              <w:left w:val="single" w:color="000000" w:sz="4" w:space="0"/>
              <w:bottom w:val="single" w:color="000000" w:sz="12" w:space="0"/>
              <w:right w:val="single" w:color="000000" w:sz="4" w:space="0"/>
            </w:tcBorders>
            <w:noWrap/>
            <w:vAlign w:val="center"/>
          </w:tcPr>
          <w:p w14:paraId="19A06403">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030" w:type="dxa"/>
            <w:tcBorders>
              <w:top w:val="single" w:color="000000" w:sz="4" w:space="0"/>
              <w:left w:val="single" w:color="000000" w:sz="4" w:space="0"/>
              <w:bottom w:val="single" w:color="000000" w:sz="12" w:space="0"/>
              <w:right w:val="single" w:color="000000" w:sz="4" w:space="0"/>
            </w:tcBorders>
            <w:noWrap/>
            <w:vAlign w:val="center"/>
          </w:tcPr>
          <w:p w14:paraId="302F19F3">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c>
          <w:tcPr>
            <w:tcW w:w="811" w:type="dxa"/>
            <w:tcBorders>
              <w:top w:val="single" w:color="000000" w:sz="4" w:space="0"/>
              <w:left w:val="single" w:color="000000" w:sz="4" w:space="0"/>
              <w:bottom w:val="single" w:color="000000" w:sz="12" w:space="0"/>
              <w:right w:val="single" w:color="000000" w:sz="4" w:space="0"/>
            </w:tcBorders>
            <w:noWrap/>
            <w:vAlign w:val="center"/>
          </w:tcPr>
          <w:p w14:paraId="1C8996EB">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159" w:type="dxa"/>
            <w:tcBorders>
              <w:top w:val="single" w:color="000000" w:sz="4" w:space="0"/>
              <w:left w:val="single" w:color="000000" w:sz="4" w:space="0"/>
              <w:bottom w:val="single" w:color="000000" w:sz="12" w:space="0"/>
              <w:right w:val="single" w:color="000000" w:sz="4" w:space="0"/>
            </w:tcBorders>
            <w:noWrap/>
            <w:vAlign w:val="center"/>
          </w:tcPr>
          <w:p w14:paraId="0A2D98CE">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c>
          <w:tcPr>
            <w:tcW w:w="845" w:type="dxa"/>
            <w:tcBorders>
              <w:top w:val="single" w:color="000000" w:sz="4" w:space="0"/>
              <w:left w:val="single" w:color="000000" w:sz="4" w:space="0"/>
              <w:bottom w:val="single" w:color="000000" w:sz="12" w:space="0"/>
              <w:right w:val="single" w:color="000000" w:sz="4" w:space="0"/>
            </w:tcBorders>
            <w:noWrap/>
            <w:vAlign w:val="center"/>
          </w:tcPr>
          <w:p w14:paraId="120F656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200" w:type="dxa"/>
            <w:tcBorders>
              <w:top w:val="single" w:color="000000" w:sz="4" w:space="0"/>
              <w:left w:val="single" w:color="000000" w:sz="4" w:space="0"/>
              <w:bottom w:val="single" w:color="000000" w:sz="12" w:space="0"/>
              <w:right w:val="single" w:color="000000" w:sz="12" w:space="0"/>
            </w:tcBorders>
            <w:noWrap/>
            <w:vAlign w:val="center"/>
          </w:tcPr>
          <w:p w14:paraId="15B44379">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r>
    </w:tbl>
    <w:p w14:paraId="1F3ECED1">
      <w:pPr>
        <w:pStyle w:val="63"/>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黑体" w:hAnsi="黑体" w:eastAsia="黑体" w:cs="黑体"/>
          <w:color w:val="auto"/>
          <w:sz w:val="21"/>
          <w:szCs w:val="21"/>
          <w:highlight w:val="none"/>
          <w:lang w:val="en-US" w:eastAsia="zh-CN"/>
        </w:rPr>
      </w:pPr>
      <w:bookmarkStart w:id="186" w:name="_Toc1822"/>
    </w:p>
    <w:p w14:paraId="76F69F5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87" w:name="_Toc30488"/>
      <w:bookmarkStart w:id="188" w:name="_Toc6075"/>
      <w:r>
        <w:rPr>
          <w:rFonts w:hint="eastAsia" w:ascii="宋体" w:hAnsi="宋体" w:eastAsia="宋体" w:cs="宋体"/>
          <w:b/>
          <w:bCs/>
          <w:color w:val="auto"/>
          <w:sz w:val="24"/>
          <w:szCs w:val="24"/>
          <w:highlight w:val="none"/>
          <w:lang w:val="en-US" w:eastAsia="zh-CN"/>
        </w:rPr>
        <w:t>8.2  水工建筑物日常维护</w:t>
      </w:r>
      <w:bookmarkEnd w:id="186"/>
      <w:bookmarkEnd w:id="187"/>
      <w:bookmarkEnd w:id="188"/>
    </w:p>
    <w:p w14:paraId="05F5E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color w:val="auto"/>
          <w:sz w:val="24"/>
          <w:szCs w:val="24"/>
          <w:highlight w:val="none"/>
          <w:lang w:val="en-US" w:eastAsia="zh-CN"/>
        </w:rPr>
      </w:pPr>
      <w:bookmarkStart w:id="189" w:name="_Toc2734"/>
      <w:bookmarkStart w:id="190" w:name="_Toc26674"/>
      <w:r>
        <w:rPr>
          <w:rFonts w:hint="eastAsia" w:ascii="Times New Roman" w:hAnsi="Times New Roman" w:eastAsia="宋体" w:cs="Times New Roman"/>
          <w:b/>
          <w:bCs/>
          <w:i w:val="0"/>
          <w:color w:val="auto"/>
          <w:kern w:val="2"/>
          <w:sz w:val="24"/>
          <w:szCs w:val="24"/>
          <w:highlight w:val="none"/>
          <w:lang w:val="en-US" w:eastAsia="zh-CN" w:bidi="ar-SA"/>
        </w:rPr>
        <w:t>8.2.1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应建立水工建筑物安全管理制度和作业流程。</w:t>
      </w:r>
      <w:bookmarkEnd w:id="189"/>
      <w:bookmarkEnd w:id="190"/>
    </w:p>
    <w:p w14:paraId="4ABA3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8.2.2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w:t>
      </w:r>
      <w:r>
        <w:rPr>
          <w:rFonts w:hint="eastAsia" w:ascii="宋体" w:hAnsi="宋体" w:eastAsia="宋体" w:cs="宋体"/>
          <w:bCs/>
          <w:color w:val="auto"/>
          <w:sz w:val="24"/>
          <w:szCs w:val="24"/>
          <w:highlight w:val="none"/>
        </w:rPr>
        <w:t>水工建筑物维护</w:t>
      </w:r>
      <w:r>
        <w:rPr>
          <w:rFonts w:hint="eastAsia" w:ascii="宋体" w:hAnsi="宋体" w:eastAsia="宋体" w:cs="宋体"/>
          <w:bCs/>
          <w:color w:val="auto"/>
          <w:sz w:val="24"/>
          <w:szCs w:val="24"/>
          <w:highlight w:val="none"/>
          <w:lang w:val="en-US" w:eastAsia="zh-CN"/>
        </w:rPr>
        <w:t>工作计划和相关的维护工作方案，主要内容包括不限于以下内容：</w:t>
      </w:r>
    </w:p>
    <w:p w14:paraId="73F4DA83">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91" w:name="_Toc14534"/>
      <w:bookmarkStart w:id="192" w:name="_Toc26900"/>
      <w:bookmarkStart w:id="193" w:name="_Toc964"/>
      <w:bookmarkStart w:id="194" w:name="_Toc13098"/>
      <w:bookmarkStart w:id="195" w:name="_Toc27857"/>
      <w:bookmarkStart w:id="196" w:name="_Toc13207"/>
      <w:r>
        <w:rPr>
          <w:rFonts w:hint="eastAsia" w:ascii="宋体" w:hAnsi="宋体" w:eastAsia="宋体" w:cs="宋体"/>
          <w:color w:val="auto"/>
          <w:sz w:val="24"/>
          <w:szCs w:val="24"/>
          <w:highlight w:val="none"/>
          <w:lang w:val="en-US" w:eastAsia="zh-CN" w:bidi="ar-SA"/>
        </w:rPr>
        <w:t>1  定期对厂房屋面防水及室内墙面地面巡查；</w:t>
      </w:r>
      <w:bookmarkEnd w:id="191"/>
      <w:bookmarkEnd w:id="192"/>
      <w:bookmarkEnd w:id="193"/>
      <w:bookmarkEnd w:id="194"/>
      <w:bookmarkEnd w:id="195"/>
      <w:bookmarkEnd w:id="196"/>
    </w:p>
    <w:p w14:paraId="7BC44777">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97" w:name="_Toc16750"/>
      <w:bookmarkStart w:id="198" w:name="_Toc24906"/>
      <w:bookmarkStart w:id="199" w:name="_Toc13181"/>
      <w:bookmarkStart w:id="200" w:name="_Toc15808"/>
      <w:bookmarkStart w:id="201" w:name="_Toc10732"/>
      <w:bookmarkStart w:id="202" w:name="_Toc24655"/>
      <w:r>
        <w:rPr>
          <w:rFonts w:hint="eastAsia" w:ascii="宋体" w:hAnsi="宋体" w:eastAsia="宋体" w:cs="宋体"/>
          <w:color w:val="auto"/>
          <w:sz w:val="24"/>
          <w:szCs w:val="24"/>
          <w:highlight w:val="none"/>
          <w:lang w:val="en-US" w:eastAsia="zh-CN" w:bidi="ar-SA"/>
        </w:rPr>
        <w:t>2  定期对公路路面和边坡巡查及维护；</w:t>
      </w:r>
      <w:bookmarkEnd w:id="197"/>
      <w:bookmarkEnd w:id="198"/>
      <w:bookmarkEnd w:id="199"/>
      <w:bookmarkEnd w:id="200"/>
      <w:bookmarkEnd w:id="201"/>
      <w:bookmarkEnd w:id="202"/>
    </w:p>
    <w:p w14:paraId="741B1BB8">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03" w:name="_Toc26417"/>
      <w:bookmarkStart w:id="204" w:name="_Toc6513"/>
      <w:bookmarkStart w:id="205" w:name="_Toc16461"/>
      <w:bookmarkStart w:id="206" w:name="_Toc5061"/>
      <w:bookmarkStart w:id="207" w:name="_Toc7206"/>
      <w:bookmarkStart w:id="208" w:name="_Toc2885"/>
      <w:r>
        <w:rPr>
          <w:rFonts w:hint="eastAsia" w:ascii="宋体" w:hAnsi="宋体" w:eastAsia="宋体" w:cs="宋体"/>
          <w:color w:val="auto"/>
          <w:sz w:val="24"/>
          <w:szCs w:val="24"/>
          <w:highlight w:val="none"/>
          <w:lang w:val="en-US" w:eastAsia="zh-CN" w:bidi="ar-SA"/>
        </w:rPr>
        <w:t>3  定期对天面排水沟巡查及维护；</w:t>
      </w:r>
      <w:bookmarkEnd w:id="203"/>
      <w:bookmarkEnd w:id="204"/>
      <w:bookmarkEnd w:id="205"/>
      <w:bookmarkEnd w:id="206"/>
      <w:bookmarkEnd w:id="207"/>
      <w:bookmarkEnd w:id="208"/>
    </w:p>
    <w:p w14:paraId="366702B2">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bookmarkStart w:id="209" w:name="_Toc21790"/>
      <w:bookmarkStart w:id="210" w:name="_Toc4403"/>
      <w:bookmarkStart w:id="211" w:name="_Toc13360"/>
      <w:bookmarkStart w:id="212" w:name="_Toc13494"/>
      <w:bookmarkStart w:id="213" w:name="_Toc9807"/>
      <w:bookmarkStart w:id="214" w:name="_Toc17834"/>
      <w:r>
        <w:rPr>
          <w:rFonts w:hint="eastAsia" w:ascii="宋体" w:hAnsi="宋体" w:eastAsia="宋体" w:cs="宋体"/>
          <w:color w:val="auto"/>
          <w:sz w:val="24"/>
          <w:szCs w:val="24"/>
          <w:highlight w:val="none"/>
          <w:lang w:val="en-US" w:eastAsia="zh-CN" w:bidi="ar-SA"/>
        </w:rPr>
        <w:t>4  发现问题及时上报处理并做好临时措施。</w:t>
      </w:r>
      <w:bookmarkEnd w:id="209"/>
      <w:bookmarkEnd w:id="210"/>
      <w:bookmarkEnd w:id="211"/>
      <w:bookmarkEnd w:id="212"/>
      <w:bookmarkEnd w:id="213"/>
      <w:bookmarkEnd w:id="214"/>
    </w:p>
    <w:p w14:paraId="6992BB50">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215" w:name="_Toc574"/>
      <w:bookmarkStart w:id="216" w:name="_Toc13031"/>
      <w:bookmarkStart w:id="217" w:name="_Toc17019"/>
      <w:r>
        <w:rPr>
          <w:rFonts w:hint="eastAsia" w:ascii="Times New Roman" w:hAnsi="Times New Roman" w:eastAsia="宋体" w:cs="Times New Roman"/>
          <w:sz w:val="30"/>
          <w:highlight w:val="none"/>
          <w:lang w:val="en-US" w:eastAsia="zh-CN"/>
        </w:rPr>
        <w:t xml:space="preserve">9 </w:t>
      </w:r>
      <w:r>
        <w:rPr>
          <w:rFonts w:hint="eastAsia" w:ascii="Times New Roman" w:hAnsi="Times New Roman" w:eastAsia="宋体" w:cs="Times New Roman"/>
          <w:b w:val="0"/>
          <w:bCs w:val="0"/>
          <w:sz w:val="30"/>
          <w:highlight w:val="none"/>
          <w:lang w:val="en-US" w:eastAsia="zh-CN"/>
        </w:rPr>
        <w:t>设施设备运行服务</w:t>
      </w:r>
      <w:bookmarkEnd w:id="215"/>
      <w:bookmarkEnd w:id="216"/>
      <w:bookmarkEnd w:id="217"/>
    </w:p>
    <w:p w14:paraId="66B30D9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18" w:name="_Toc32705"/>
      <w:bookmarkStart w:id="219" w:name="_Toc27826"/>
      <w:bookmarkStart w:id="220" w:name="_Toc7044"/>
      <w:r>
        <w:rPr>
          <w:rFonts w:hint="eastAsia" w:ascii="宋体" w:hAnsi="宋体" w:eastAsia="宋体" w:cs="宋体"/>
          <w:b/>
          <w:bCs/>
          <w:color w:val="auto"/>
          <w:sz w:val="24"/>
          <w:szCs w:val="24"/>
          <w:highlight w:val="none"/>
          <w:lang w:val="en-US" w:eastAsia="zh-CN"/>
        </w:rPr>
        <w:t xml:space="preserve">9.1  </w:t>
      </w:r>
      <w:bookmarkEnd w:id="218"/>
      <w:bookmarkStart w:id="221" w:name="_Toc25012"/>
      <w:r>
        <w:rPr>
          <w:rFonts w:hint="eastAsia" w:ascii="宋体" w:hAnsi="宋体" w:eastAsia="宋体" w:cs="宋体"/>
          <w:b/>
          <w:bCs/>
          <w:color w:val="auto"/>
          <w:sz w:val="24"/>
          <w:szCs w:val="24"/>
          <w:highlight w:val="none"/>
          <w:lang w:val="en-US" w:eastAsia="zh-CN"/>
        </w:rPr>
        <w:t xml:space="preserve"> 供配电系统</w:t>
      </w:r>
      <w:bookmarkEnd w:id="219"/>
      <w:bookmarkEnd w:id="220"/>
      <w:bookmarkEnd w:id="221"/>
    </w:p>
    <w:p w14:paraId="7BF1F6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b/>
          <w:bCs/>
          <w:i w:val="0"/>
          <w:color w:val="auto"/>
          <w:kern w:val="2"/>
          <w:sz w:val="24"/>
          <w:szCs w:val="24"/>
          <w:highlight w:val="none"/>
          <w:lang w:val="en-US" w:eastAsia="zh-CN" w:bidi="ar-SA"/>
        </w:rPr>
        <w:t>9.1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cs="宋体"/>
          <w:color w:val="auto"/>
          <w:sz w:val="24"/>
          <w:szCs w:val="24"/>
          <w:highlight w:val="none"/>
          <w:lang w:val="en-US" w:eastAsia="zh-CN"/>
        </w:rPr>
        <w:t>应符合现行国家标准《电力安全工作规程 发电厂和变电站电气部分》</w:t>
      </w:r>
      <w:r>
        <w:rPr>
          <w:rFonts w:hint="eastAsia" w:ascii="宋体" w:hAnsi="宋体" w:eastAsia="宋体" w:cs="宋体"/>
          <w:color w:val="auto"/>
          <w:sz w:val="24"/>
          <w:szCs w:val="24"/>
          <w:highlight w:val="none"/>
          <w:lang w:val="en-US" w:eastAsia="zh-CN"/>
        </w:rPr>
        <w:t>GB 26860的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建立健全的</w:t>
      </w:r>
      <w:r>
        <w:rPr>
          <w:rFonts w:hint="eastAsia" w:ascii="宋体" w:hAnsi="宋体" w:eastAsia="宋体" w:cs="宋体"/>
          <w:color w:val="auto"/>
          <w:sz w:val="24"/>
          <w:szCs w:val="24"/>
          <w:highlight w:val="none"/>
          <w:lang w:val="en-US" w:eastAsia="zh-CN"/>
        </w:rPr>
        <w:t>供配电运行管理、应急、维护保养制度和操作流程。</w:t>
      </w:r>
      <w:r>
        <w:rPr>
          <w:rFonts w:hint="eastAsia" w:ascii="宋体" w:hAnsi="宋体" w:eastAsia="宋体" w:cs="宋体"/>
          <w:color w:val="auto"/>
          <w:kern w:val="0"/>
          <w:sz w:val="24"/>
          <w:szCs w:val="24"/>
          <w:highlight w:val="none"/>
          <w:lang w:val="en-US" w:eastAsia="zh-CN" w:bidi="ar"/>
        </w:rPr>
        <w:t>应包含但不限于：</w:t>
      </w:r>
    </w:p>
    <w:p w14:paraId="39F7C212">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22" w:name="_Toc16661"/>
      <w:bookmarkStart w:id="223" w:name="_Toc4088"/>
      <w:bookmarkStart w:id="224" w:name="_Toc32747"/>
      <w:bookmarkStart w:id="225" w:name="_Toc12179"/>
      <w:bookmarkStart w:id="226" w:name="_Toc10009"/>
      <w:r>
        <w:rPr>
          <w:rFonts w:hint="eastAsia" w:ascii="宋体" w:hAnsi="宋体" w:eastAsia="宋体" w:cs="宋体"/>
          <w:color w:val="auto"/>
          <w:sz w:val="24"/>
          <w:szCs w:val="24"/>
          <w:highlight w:val="none"/>
          <w:lang w:val="en-US" w:eastAsia="zh-CN" w:bidi="ar-SA"/>
        </w:rPr>
        <w:t>1  需员工值守的配电房（站）运行应实行值班员24小时制，巡查设备运行并对主要运行数据和运行情况进行记录，而无人值守的配电房（站）运行应按制度定时巡查并做好记录；</w:t>
      </w:r>
      <w:bookmarkEnd w:id="222"/>
      <w:bookmarkEnd w:id="223"/>
      <w:bookmarkEnd w:id="224"/>
      <w:bookmarkEnd w:id="225"/>
      <w:bookmarkEnd w:id="226"/>
    </w:p>
    <w:p w14:paraId="2CC8DF3E">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27" w:name="_Toc7377"/>
      <w:bookmarkStart w:id="228" w:name="_Toc6512"/>
      <w:bookmarkStart w:id="229" w:name="_Toc5433"/>
      <w:bookmarkStart w:id="230" w:name="_Toc32083"/>
      <w:bookmarkStart w:id="231" w:name="_Toc8619"/>
      <w:r>
        <w:rPr>
          <w:rFonts w:hint="eastAsia" w:ascii="宋体" w:hAnsi="宋体" w:eastAsia="宋体" w:cs="宋体"/>
          <w:color w:val="auto"/>
          <w:sz w:val="24"/>
          <w:szCs w:val="24"/>
          <w:highlight w:val="none"/>
          <w:lang w:val="en-US" w:eastAsia="zh-CN" w:bidi="ar-SA"/>
        </w:rPr>
        <w:t>2  定期对应急电源设备以及UPS和EPS电源控制柜的运行进行检查或测试，</w:t>
      </w:r>
      <w:r>
        <w:rPr>
          <w:rFonts w:hint="eastAsia" w:ascii="宋体" w:hAnsi="宋体" w:eastAsia="宋体" w:cs="宋体"/>
          <w:color w:val="auto"/>
          <w:sz w:val="24"/>
          <w:szCs w:val="24"/>
          <w:highlight w:val="none"/>
          <w:lang w:val="zh-CN" w:eastAsia="zh-CN" w:bidi="ar-SA"/>
        </w:rPr>
        <w:t>重要活动开始前应对发电机、</w:t>
      </w:r>
      <w:r>
        <w:rPr>
          <w:rFonts w:hint="eastAsia" w:ascii="宋体" w:hAnsi="宋体" w:eastAsia="宋体" w:cs="宋体"/>
          <w:color w:val="auto"/>
          <w:sz w:val="24"/>
          <w:szCs w:val="24"/>
          <w:highlight w:val="none"/>
          <w:lang w:val="en-US" w:eastAsia="zh-CN" w:bidi="ar-SA"/>
        </w:rPr>
        <w:t>UPS、EPS</w:t>
      </w:r>
      <w:r>
        <w:rPr>
          <w:rFonts w:hint="eastAsia" w:ascii="宋体" w:hAnsi="宋体" w:eastAsia="宋体" w:cs="宋体"/>
          <w:color w:val="auto"/>
          <w:sz w:val="24"/>
          <w:szCs w:val="24"/>
          <w:highlight w:val="none"/>
          <w:lang w:val="zh-CN" w:eastAsia="zh-CN" w:bidi="ar-SA"/>
        </w:rPr>
        <w:t>等设备进行专项</w:t>
      </w:r>
      <w:r>
        <w:rPr>
          <w:rFonts w:hint="eastAsia" w:ascii="宋体" w:hAnsi="宋体" w:eastAsia="宋体" w:cs="宋体"/>
          <w:color w:val="auto"/>
          <w:sz w:val="24"/>
          <w:szCs w:val="24"/>
          <w:highlight w:val="none"/>
          <w:lang w:val="en-US" w:eastAsia="zh-CN" w:bidi="ar-SA"/>
        </w:rPr>
        <w:t>维</w:t>
      </w:r>
      <w:r>
        <w:rPr>
          <w:rFonts w:hint="eastAsia" w:ascii="宋体" w:hAnsi="宋体" w:eastAsia="宋体" w:cs="宋体"/>
          <w:color w:val="auto"/>
          <w:sz w:val="24"/>
          <w:szCs w:val="24"/>
          <w:highlight w:val="none"/>
          <w:lang w:val="zh-CN" w:eastAsia="zh-CN" w:bidi="ar-SA"/>
        </w:rPr>
        <w:t>保，发现异常应及时消缺，</w:t>
      </w:r>
      <w:r>
        <w:rPr>
          <w:rFonts w:hint="eastAsia" w:ascii="宋体" w:hAnsi="宋体" w:eastAsia="宋体" w:cs="宋体"/>
          <w:color w:val="auto"/>
          <w:sz w:val="24"/>
          <w:szCs w:val="24"/>
          <w:highlight w:val="none"/>
          <w:lang w:val="en-US" w:eastAsia="zh-CN" w:bidi="ar-SA"/>
        </w:rPr>
        <w:t>确保紧急停电时能及时投入；</w:t>
      </w:r>
      <w:bookmarkEnd w:id="227"/>
      <w:bookmarkEnd w:id="228"/>
      <w:bookmarkEnd w:id="229"/>
      <w:bookmarkEnd w:id="230"/>
      <w:bookmarkEnd w:id="231"/>
    </w:p>
    <w:p w14:paraId="3F931612">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32" w:name="_Toc31778"/>
      <w:bookmarkStart w:id="233" w:name="_Toc4736"/>
      <w:bookmarkStart w:id="234" w:name="_Toc11134"/>
      <w:bookmarkStart w:id="235" w:name="_Toc15605"/>
      <w:bookmarkStart w:id="236" w:name="_Toc28152"/>
      <w:r>
        <w:rPr>
          <w:rFonts w:hint="eastAsia" w:ascii="宋体" w:hAnsi="宋体" w:eastAsia="宋体" w:cs="宋体"/>
          <w:color w:val="auto"/>
          <w:sz w:val="24"/>
          <w:szCs w:val="24"/>
          <w:highlight w:val="none"/>
          <w:lang w:val="en-US" w:eastAsia="zh-CN" w:bidi="ar-SA"/>
        </w:rPr>
        <w:t>3  变配电设施设备每年应至少进行1次全面检修，严格执行工作票和操作票制度；</w:t>
      </w:r>
      <w:bookmarkEnd w:id="232"/>
      <w:bookmarkEnd w:id="233"/>
      <w:bookmarkEnd w:id="234"/>
      <w:bookmarkEnd w:id="235"/>
      <w:bookmarkEnd w:id="236"/>
    </w:p>
    <w:p w14:paraId="0366219E">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37" w:name="_Toc11991"/>
      <w:bookmarkStart w:id="238" w:name="_Toc18539"/>
      <w:bookmarkStart w:id="239" w:name="_Toc12611"/>
      <w:bookmarkStart w:id="240" w:name="_Toc11149"/>
      <w:bookmarkStart w:id="241" w:name="_Toc13556"/>
      <w:r>
        <w:rPr>
          <w:rFonts w:hint="eastAsia" w:ascii="宋体" w:hAnsi="宋体" w:eastAsia="宋体" w:cs="宋体"/>
          <w:color w:val="auto"/>
          <w:sz w:val="24"/>
          <w:szCs w:val="24"/>
          <w:highlight w:val="none"/>
          <w:lang w:val="en-US" w:eastAsia="zh-CN" w:bidi="ar-SA"/>
        </w:rPr>
        <w:t>4  绝缘手套、绝缘靴每6个月进行</w:t>
      </w:r>
      <w:r>
        <w:rPr>
          <w:rFonts w:hint="default" w:ascii="Arial" w:hAnsi="Arial" w:eastAsia="宋体" w:cs="Arial"/>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1次检查，验电器、绝缘杆及接地线等每年进行≥1次年检。</w:t>
      </w:r>
      <w:bookmarkEnd w:id="237"/>
      <w:bookmarkEnd w:id="238"/>
      <w:bookmarkEnd w:id="239"/>
      <w:bookmarkEnd w:id="240"/>
      <w:bookmarkEnd w:id="241"/>
      <w:r>
        <w:rPr>
          <w:rFonts w:hint="eastAsia" w:ascii="宋体" w:hAnsi="宋体" w:eastAsia="宋体" w:cs="宋体"/>
          <w:color w:val="auto"/>
          <w:sz w:val="24"/>
          <w:szCs w:val="24"/>
          <w:highlight w:val="none"/>
          <w:lang w:val="en-US" w:eastAsia="zh-CN" w:bidi="ar-SA"/>
        </w:rPr>
        <w:t xml:space="preserve"> </w:t>
      </w:r>
    </w:p>
    <w:p w14:paraId="59C5C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9.1.2</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变压器、高压开关柜、</w:t>
      </w:r>
      <w:r>
        <w:rPr>
          <w:rFonts w:hint="eastAsia" w:ascii="宋体" w:hAnsi="宋体" w:eastAsia="宋体" w:cs="宋体"/>
          <w:color w:val="auto"/>
          <w:sz w:val="24"/>
          <w:szCs w:val="24"/>
          <w:highlight w:val="none"/>
          <w:lang w:val="en-US" w:eastAsia="en-US"/>
        </w:rPr>
        <w:t>继电保护装置</w:t>
      </w:r>
      <w:r>
        <w:rPr>
          <w:rFonts w:hint="eastAsia" w:ascii="宋体" w:hAnsi="宋体" w:eastAsia="宋体" w:cs="宋体"/>
          <w:color w:val="auto"/>
          <w:sz w:val="24"/>
          <w:szCs w:val="24"/>
          <w:highlight w:val="none"/>
          <w:lang w:val="en-US" w:eastAsia="zh-CN"/>
        </w:rPr>
        <w:t>及其电缆等要定期进行试验，应委托给有资质和能力单位</w:t>
      </w:r>
      <w:r>
        <w:rPr>
          <w:rFonts w:hint="eastAsia" w:ascii="宋体" w:hAnsi="宋体" w:cs="宋体"/>
          <w:color w:val="auto"/>
          <w:sz w:val="24"/>
          <w:szCs w:val="24"/>
          <w:highlight w:val="none"/>
          <w:lang w:val="en-US" w:eastAsia="zh-CN"/>
        </w:rPr>
        <w:t>并符合现行行业标准《电力设备预防性试验规程》</w:t>
      </w:r>
      <w:r>
        <w:rPr>
          <w:rFonts w:hint="eastAsia" w:ascii="宋体" w:hAnsi="宋体" w:eastAsia="宋体" w:cs="宋体"/>
          <w:color w:val="auto"/>
          <w:sz w:val="24"/>
          <w:szCs w:val="24"/>
          <w:highlight w:val="none"/>
          <w:lang w:val="en-US" w:eastAsia="zh-CN"/>
        </w:rPr>
        <w:t>DL/T 596的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进行预防性试验，物业服务/使用单位做好监督和验收工作，确保电气设备的安全正常运行。</w:t>
      </w:r>
    </w:p>
    <w:p w14:paraId="3F266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应急发电机能随时起动，每月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1次</w:t>
      </w:r>
      <w:r>
        <w:rPr>
          <w:rFonts w:hint="eastAsia" w:ascii="宋体" w:hAnsi="宋体" w:eastAsia="宋体" w:cs="宋体"/>
          <w:color w:val="auto"/>
          <w:sz w:val="24"/>
          <w:szCs w:val="24"/>
          <w:highlight w:val="none"/>
          <w:lang w:val="zh-CN" w:eastAsia="zh-CN"/>
        </w:rPr>
        <w:t>功能</w:t>
      </w:r>
      <w:r>
        <w:rPr>
          <w:rFonts w:hint="eastAsia" w:ascii="宋体" w:hAnsi="宋体" w:eastAsia="宋体" w:cs="宋体"/>
          <w:color w:val="auto"/>
          <w:sz w:val="24"/>
          <w:szCs w:val="24"/>
          <w:highlight w:val="none"/>
          <w:lang w:val="en-US" w:eastAsia="zh-CN"/>
        </w:rPr>
        <w:t>性试运行，</w:t>
      </w:r>
      <w:r>
        <w:rPr>
          <w:rFonts w:hint="eastAsia" w:ascii="宋体" w:hAnsi="宋体" w:eastAsia="宋体" w:cs="宋体"/>
          <w:color w:val="auto"/>
          <w:sz w:val="24"/>
          <w:szCs w:val="24"/>
          <w:highlight w:val="none"/>
          <w:lang w:val="zh-CN" w:eastAsia="zh-CN"/>
        </w:rPr>
        <w:t>检测是否满足安全、消防相关要求，检验发电机</w:t>
      </w:r>
      <w:r>
        <w:rPr>
          <w:rFonts w:hint="eastAsia" w:ascii="宋体" w:hAnsi="宋体" w:eastAsia="宋体" w:cs="宋体"/>
          <w:color w:val="auto"/>
          <w:sz w:val="24"/>
          <w:szCs w:val="24"/>
          <w:highlight w:val="none"/>
          <w:lang w:val="en-US" w:eastAsia="zh-CN"/>
        </w:rPr>
        <w:t>手动及自动</w:t>
      </w:r>
      <w:r>
        <w:rPr>
          <w:rFonts w:hint="eastAsia" w:ascii="宋体" w:hAnsi="宋体" w:eastAsia="宋体" w:cs="宋体"/>
          <w:color w:val="auto"/>
          <w:sz w:val="24"/>
          <w:szCs w:val="24"/>
          <w:highlight w:val="none"/>
          <w:lang w:val="zh-CN" w:eastAsia="zh-CN"/>
        </w:rPr>
        <w:t>启动情况和投切情况</w:t>
      </w:r>
      <w:r>
        <w:rPr>
          <w:rFonts w:hint="eastAsia" w:ascii="宋体" w:hAnsi="宋体" w:eastAsia="宋体" w:cs="宋体"/>
          <w:color w:val="auto"/>
          <w:sz w:val="24"/>
          <w:szCs w:val="24"/>
          <w:highlight w:val="none"/>
          <w:lang w:val="en-US" w:eastAsia="zh-CN"/>
        </w:rPr>
        <w:t>是否正常</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各类表计显示是否正常，油料储存应符合安全要求，</w:t>
      </w:r>
      <w:r>
        <w:rPr>
          <w:rFonts w:hint="eastAsia" w:ascii="宋体" w:hAnsi="宋体" w:eastAsia="宋体" w:cs="宋体"/>
          <w:color w:val="auto"/>
          <w:sz w:val="24"/>
          <w:szCs w:val="24"/>
          <w:highlight w:val="none"/>
          <w:lang w:val="zh-CN" w:eastAsia="zh-CN"/>
        </w:rPr>
        <w:t>试发</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lang w:val="zh-CN" w:eastAsia="zh-CN"/>
        </w:rPr>
        <w:t>机油压力、水温、</w:t>
      </w:r>
      <w:r>
        <w:rPr>
          <w:rFonts w:hint="eastAsia" w:ascii="宋体" w:hAnsi="宋体" w:eastAsia="宋体" w:cs="宋体"/>
          <w:color w:val="auto"/>
          <w:sz w:val="24"/>
          <w:szCs w:val="24"/>
          <w:highlight w:val="none"/>
          <w:lang w:val="en-US" w:eastAsia="zh-CN"/>
        </w:rPr>
        <w:t>机器运转声音和排烟是否正常</w:t>
      </w:r>
      <w:r>
        <w:rPr>
          <w:rFonts w:hint="eastAsia" w:ascii="宋体" w:hAnsi="宋体" w:eastAsia="宋体" w:cs="宋体"/>
          <w:color w:val="auto"/>
          <w:sz w:val="24"/>
          <w:szCs w:val="24"/>
          <w:highlight w:val="none"/>
          <w:lang w:val="zh-CN" w:eastAsia="zh-CN"/>
        </w:rPr>
        <w:t>，蓄电池</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lang w:val="zh-CN" w:eastAsia="zh-CN"/>
        </w:rPr>
        <w:t>压、</w:t>
      </w:r>
      <w:r>
        <w:rPr>
          <w:rFonts w:hint="eastAsia" w:ascii="宋体" w:hAnsi="宋体" w:eastAsia="宋体" w:cs="宋体"/>
          <w:color w:val="auto"/>
          <w:sz w:val="24"/>
          <w:szCs w:val="24"/>
          <w:highlight w:val="none"/>
          <w:lang w:val="en-US" w:eastAsia="zh-CN"/>
        </w:rPr>
        <w:t>液</w:t>
      </w:r>
      <w:r>
        <w:rPr>
          <w:rFonts w:hint="eastAsia" w:ascii="宋体" w:hAnsi="宋体" w:eastAsia="宋体" w:cs="宋体"/>
          <w:color w:val="auto"/>
          <w:sz w:val="24"/>
          <w:szCs w:val="24"/>
          <w:highlight w:val="none"/>
          <w:lang w:val="zh-CN" w:eastAsia="zh-CN"/>
        </w:rPr>
        <w:t>面、</w:t>
      </w:r>
      <w:r>
        <w:rPr>
          <w:rFonts w:hint="eastAsia" w:ascii="宋体" w:hAnsi="宋体" w:eastAsia="宋体" w:cs="宋体"/>
          <w:color w:val="auto"/>
          <w:sz w:val="24"/>
          <w:szCs w:val="24"/>
          <w:highlight w:val="none"/>
          <w:lang w:val="en-US" w:eastAsia="zh-CN"/>
        </w:rPr>
        <w:t>外表是否</w:t>
      </w:r>
      <w:r>
        <w:rPr>
          <w:rFonts w:hint="eastAsia" w:ascii="宋体" w:hAnsi="宋体" w:eastAsia="宋体" w:cs="宋体"/>
          <w:color w:val="auto"/>
          <w:sz w:val="24"/>
          <w:szCs w:val="24"/>
          <w:highlight w:val="none"/>
          <w:lang w:val="zh-CN" w:eastAsia="zh-CN"/>
        </w:rPr>
        <w:t>正常</w:t>
      </w:r>
      <w:r>
        <w:rPr>
          <w:rFonts w:hint="eastAsia" w:ascii="宋体" w:hAnsi="宋体" w:eastAsia="宋体" w:cs="宋体"/>
          <w:color w:val="auto"/>
          <w:sz w:val="24"/>
          <w:szCs w:val="24"/>
          <w:highlight w:val="none"/>
          <w:lang w:val="en-US" w:eastAsia="zh-CN"/>
        </w:rPr>
        <w:t>，对发电机蓄电池组每月进行1次充放电试验并</w:t>
      </w:r>
      <w:r>
        <w:rPr>
          <w:rFonts w:hint="eastAsia" w:ascii="宋体" w:hAnsi="宋体" w:eastAsia="宋体" w:cs="宋体"/>
          <w:color w:val="auto"/>
          <w:sz w:val="24"/>
          <w:szCs w:val="24"/>
          <w:highlight w:val="none"/>
          <w:lang w:val="zh-CN" w:eastAsia="zh-CN"/>
        </w:rPr>
        <w:t>做好</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lang w:val="zh-CN" w:eastAsia="zh-CN"/>
        </w:rPr>
        <w:t>记录</w:t>
      </w:r>
      <w:r>
        <w:rPr>
          <w:rFonts w:hint="eastAsia" w:ascii="宋体" w:hAnsi="宋体" w:eastAsia="宋体" w:cs="宋体"/>
          <w:color w:val="auto"/>
          <w:sz w:val="24"/>
          <w:szCs w:val="24"/>
          <w:highlight w:val="none"/>
          <w:lang w:val="en-US" w:eastAsia="zh-CN"/>
        </w:rPr>
        <w:t>。</w:t>
      </w:r>
    </w:p>
    <w:p w14:paraId="78E84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9.1.4</w:t>
      </w:r>
      <w:r>
        <w:rPr>
          <w:rFonts w:hint="eastAsia" w:ascii="宋体" w:hAnsi="宋体" w:eastAsia="宋体" w:cs="宋体"/>
          <w:color w:val="auto"/>
          <w:sz w:val="24"/>
          <w:szCs w:val="24"/>
          <w:highlight w:val="none"/>
          <w:lang w:val="en-US" w:eastAsia="zh-CN"/>
        </w:rPr>
        <w:t xml:space="preserve">  宜建立停（送）电审批制度，对</w:t>
      </w:r>
      <w:r>
        <w:rPr>
          <w:rFonts w:hint="eastAsia" w:ascii="宋体" w:hAnsi="宋体" w:eastAsia="宋体" w:cs="宋体"/>
          <w:color w:val="auto"/>
          <w:sz w:val="24"/>
          <w:szCs w:val="24"/>
          <w:highlight w:val="none"/>
          <w:lang w:val="zh-CN" w:eastAsia="zh-CN"/>
        </w:rPr>
        <w:t>计划性限电、停电、送电</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val="zh-CN" w:eastAsia="zh-CN"/>
        </w:rPr>
        <w:t>提前通知客户。</w:t>
      </w:r>
    </w:p>
    <w:p w14:paraId="5F9B4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9.1.5</w:t>
      </w:r>
      <w:r>
        <w:rPr>
          <w:rFonts w:hint="eastAsia" w:ascii="宋体" w:hAnsi="宋体" w:eastAsia="宋体" w:cs="宋体"/>
          <w:color w:val="auto"/>
          <w:sz w:val="24"/>
          <w:szCs w:val="24"/>
          <w:highlight w:val="none"/>
          <w:lang w:val="en-US" w:eastAsia="zh-CN"/>
        </w:rPr>
        <w:t xml:space="preserve">  应制定临时用水用电管理规定，需要临时用水用电的单位，经申请审批后，按规范装设后才能使用。</w:t>
      </w:r>
    </w:p>
    <w:p w14:paraId="7EB723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9.1.6</w:t>
      </w:r>
      <w:r>
        <w:rPr>
          <w:rFonts w:hint="eastAsia" w:ascii="宋体" w:hAnsi="宋体" w:eastAsia="宋体" w:cs="宋体"/>
          <w:color w:val="auto"/>
          <w:sz w:val="24"/>
          <w:szCs w:val="24"/>
          <w:highlight w:val="none"/>
          <w:lang w:val="en-US" w:eastAsia="zh-CN"/>
        </w:rPr>
        <w:t xml:space="preserve">  项目主要分类的供配设施设备巡查维护保养服务标准见表9.1.6。</w:t>
      </w:r>
    </w:p>
    <w:p w14:paraId="393ED7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14:paraId="7E1E2EA1">
      <w:pPr>
        <w:pStyle w:val="8"/>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242" w:name="_Toc25235"/>
      <w:bookmarkStart w:id="243" w:name="_Toc18735"/>
      <w:r>
        <w:rPr>
          <w:rFonts w:hint="eastAsia" w:ascii="Times New Roman" w:hAnsi="Times New Roman" w:eastAsia="黑体" w:cs="Times New Roman"/>
          <w:bCs w:val="0"/>
          <w:sz w:val="21"/>
          <w:szCs w:val="24"/>
          <w:highlight w:val="none"/>
          <w:lang w:val="en-US" w:eastAsia="zh-CN"/>
        </w:rPr>
        <w:t>表9.1.6  项目主要分类服务标准-供配电系统巡查维护</w:t>
      </w:r>
      <w:bookmarkEnd w:id="242"/>
      <w:bookmarkEnd w:id="243"/>
    </w:p>
    <w:tbl>
      <w:tblPr>
        <w:tblStyle w:val="38"/>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504"/>
        <w:gridCol w:w="1528"/>
        <w:gridCol w:w="543"/>
        <w:gridCol w:w="1436"/>
        <w:gridCol w:w="619"/>
        <w:gridCol w:w="1141"/>
        <w:gridCol w:w="625"/>
        <w:gridCol w:w="1332"/>
      </w:tblGrid>
      <w:tr w14:paraId="792D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89" w:type="dxa"/>
            <w:vMerge w:val="restart"/>
            <w:tcBorders>
              <w:top w:val="single" w:color="000000" w:sz="12" w:space="0"/>
              <w:left w:val="single" w:color="000000" w:sz="12" w:space="0"/>
              <w:bottom w:val="single" w:color="000000" w:sz="4" w:space="0"/>
              <w:right w:val="single" w:color="000000" w:sz="4" w:space="0"/>
            </w:tcBorders>
            <w:noWrap/>
            <w:vAlign w:val="center"/>
          </w:tcPr>
          <w:p w14:paraId="3594F8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w:t>
            </w:r>
          </w:p>
          <w:p w14:paraId="2BEA5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项目</w:t>
            </w:r>
          </w:p>
        </w:tc>
        <w:tc>
          <w:tcPr>
            <w:tcW w:w="2032" w:type="dxa"/>
            <w:gridSpan w:val="2"/>
            <w:tcBorders>
              <w:top w:val="single" w:color="000000" w:sz="12" w:space="0"/>
              <w:left w:val="single" w:color="000000" w:sz="4" w:space="0"/>
              <w:bottom w:val="single" w:color="000000" w:sz="4" w:space="0"/>
              <w:right w:val="single" w:color="000000" w:sz="4" w:space="0"/>
            </w:tcBorders>
            <w:noWrap/>
            <w:vAlign w:val="center"/>
          </w:tcPr>
          <w:p w14:paraId="0280CC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979" w:type="dxa"/>
            <w:gridSpan w:val="2"/>
            <w:tcBorders>
              <w:top w:val="single" w:color="000000" w:sz="12" w:space="0"/>
              <w:left w:val="single" w:color="000000" w:sz="4" w:space="0"/>
              <w:bottom w:val="single" w:color="000000" w:sz="4" w:space="0"/>
              <w:right w:val="single" w:color="000000" w:sz="4" w:space="0"/>
            </w:tcBorders>
            <w:noWrap/>
            <w:vAlign w:val="center"/>
          </w:tcPr>
          <w:p w14:paraId="13D92C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760" w:type="dxa"/>
            <w:gridSpan w:val="2"/>
            <w:tcBorders>
              <w:top w:val="single" w:color="000000" w:sz="12" w:space="0"/>
              <w:left w:val="single" w:color="000000" w:sz="4" w:space="0"/>
              <w:bottom w:val="single" w:color="000000" w:sz="4" w:space="0"/>
              <w:right w:val="single" w:color="000000" w:sz="4" w:space="0"/>
            </w:tcBorders>
            <w:noWrap/>
            <w:vAlign w:val="center"/>
          </w:tcPr>
          <w:p w14:paraId="7E1E16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变电站/换流站</w:t>
            </w:r>
          </w:p>
        </w:tc>
        <w:tc>
          <w:tcPr>
            <w:tcW w:w="1957" w:type="dxa"/>
            <w:gridSpan w:val="2"/>
            <w:tcBorders>
              <w:top w:val="single" w:color="000000" w:sz="12" w:space="0"/>
              <w:left w:val="single" w:color="000000" w:sz="4" w:space="0"/>
              <w:bottom w:val="single" w:color="000000" w:sz="4" w:space="0"/>
              <w:right w:val="single" w:color="000000" w:sz="12" w:space="0"/>
            </w:tcBorders>
            <w:noWrap/>
            <w:vAlign w:val="center"/>
          </w:tcPr>
          <w:p w14:paraId="1AC31A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周转仓</w:t>
            </w:r>
          </w:p>
        </w:tc>
      </w:tr>
      <w:tr w14:paraId="6250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9" w:type="dxa"/>
            <w:vMerge w:val="continue"/>
            <w:tcBorders>
              <w:top w:val="single" w:color="000000" w:sz="4" w:space="0"/>
              <w:left w:val="single" w:color="000000" w:sz="12" w:space="0"/>
              <w:bottom w:val="single" w:color="000000" w:sz="12" w:space="0"/>
              <w:right w:val="single" w:color="000000" w:sz="4" w:space="0"/>
            </w:tcBorders>
            <w:noWrap/>
            <w:vAlign w:val="center"/>
          </w:tcPr>
          <w:p w14:paraId="741E78B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i w:val="0"/>
                <w:iCs w:val="0"/>
                <w:color w:val="auto"/>
                <w:sz w:val="18"/>
                <w:szCs w:val="18"/>
                <w:highlight w:val="none"/>
                <w:u w:val="none"/>
              </w:rPr>
            </w:pPr>
          </w:p>
        </w:tc>
        <w:tc>
          <w:tcPr>
            <w:tcW w:w="504" w:type="dxa"/>
            <w:tcBorders>
              <w:top w:val="single" w:color="000000" w:sz="4" w:space="0"/>
              <w:left w:val="single" w:color="000000" w:sz="4" w:space="0"/>
              <w:bottom w:val="single" w:color="000000" w:sz="12" w:space="0"/>
              <w:right w:val="single" w:color="000000" w:sz="4" w:space="0"/>
            </w:tcBorders>
            <w:noWrap/>
            <w:vAlign w:val="center"/>
          </w:tcPr>
          <w:p w14:paraId="5540E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528" w:type="dxa"/>
            <w:tcBorders>
              <w:top w:val="single" w:color="000000" w:sz="4" w:space="0"/>
              <w:left w:val="single" w:color="000000" w:sz="4" w:space="0"/>
              <w:bottom w:val="single" w:color="000000" w:sz="12" w:space="0"/>
              <w:right w:val="single" w:color="000000" w:sz="4" w:space="0"/>
            </w:tcBorders>
            <w:noWrap/>
            <w:vAlign w:val="center"/>
          </w:tcPr>
          <w:p w14:paraId="6E302A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3" w:type="dxa"/>
            <w:tcBorders>
              <w:top w:val="single" w:color="000000" w:sz="4" w:space="0"/>
              <w:left w:val="single" w:color="000000" w:sz="4" w:space="0"/>
              <w:bottom w:val="single" w:color="000000" w:sz="12" w:space="0"/>
              <w:right w:val="single" w:color="000000" w:sz="4" w:space="0"/>
            </w:tcBorders>
            <w:noWrap/>
            <w:vAlign w:val="center"/>
          </w:tcPr>
          <w:p w14:paraId="363617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436" w:type="dxa"/>
            <w:tcBorders>
              <w:top w:val="single" w:color="000000" w:sz="4" w:space="0"/>
              <w:left w:val="single" w:color="000000" w:sz="4" w:space="0"/>
              <w:bottom w:val="single" w:color="000000" w:sz="12" w:space="0"/>
              <w:right w:val="single" w:color="000000" w:sz="4" w:space="0"/>
            </w:tcBorders>
            <w:noWrap/>
            <w:vAlign w:val="center"/>
          </w:tcPr>
          <w:p w14:paraId="1D0E96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619" w:type="dxa"/>
            <w:tcBorders>
              <w:top w:val="single" w:color="000000" w:sz="4" w:space="0"/>
              <w:left w:val="single" w:color="000000" w:sz="4" w:space="0"/>
              <w:bottom w:val="single" w:color="000000" w:sz="12" w:space="0"/>
              <w:right w:val="single" w:color="000000" w:sz="4" w:space="0"/>
            </w:tcBorders>
            <w:noWrap/>
            <w:vAlign w:val="center"/>
          </w:tcPr>
          <w:p w14:paraId="6F3AD5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41" w:type="dxa"/>
            <w:tcBorders>
              <w:top w:val="single" w:color="000000" w:sz="4" w:space="0"/>
              <w:left w:val="single" w:color="000000" w:sz="4" w:space="0"/>
              <w:bottom w:val="single" w:color="000000" w:sz="12" w:space="0"/>
              <w:right w:val="single" w:color="000000" w:sz="4" w:space="0"/>
            </w:tcBorders>
            <w:noWrap/>
            <w:vAlign w:val="center"/>
          </w:tcPr>
          <w:p w14:paraId="667966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625" w:type="dxa"/>
            <w:tcBorders>
              <w:top w:val="single" w:color="000000" w:sz="4" w:space="0"/>
              <w:left w:val="single" w:color="000000" w:sz="4" w:space="0"/>
              <w:bottom w:val="single" w:color="000000" w:sz="12" w:space="0"/>
              <w:right w:val="single" w:color="000000" w:sz="4" w:space="0"/>
            </w:tcBorders>
            <w:noWrap/>
            <w:vAlign w:val="center"/>
          </w:tcPr>
          <w:p w14:paraId="24F4A6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332" w:type="dxa"/>
            <w:tcBorders>
              <w:top w:val="single" w:color="000000" w:sz="4" w:space="0"/>
              <w:left w:val="single" w:color="000000" w:sz="4" w:space="0"/>
              <w:bottom w:val="single" w:color="000000" w:sz="12" w:space="0"/>
              <w:right w:val="single" w:color="000000" w:sz="12" w:space="0"/>
            </w:tcBorders>
            <w:noWrap/>
            <w:vAlign w:val="center"/>
          </w:tcPr>
          <w:p w14:paraId="4FC38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14A2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789" w:type="dxa"/>
            <w:vMerge w:val="restart"/>
            <w:tcBorders>
              <w:top w:val="single" w:color="000000" w:sz="12" w:space="0"/>
              <w:left w:val="single" w:color="000000" w:sz="12" w:space="0"/>
              <w:bottom w:val="single" w:color="000000" w:sz="4" w:space="0"/>
              <w:right w:val="single" w:color="000000" w:sz="4" w:space="0"/>
            </w:tcBorders>
            <w:noWrap/>
            <w:vAlign w:val="center"/>
          </w:tcPr>
          <w:p w14:paraId="20DC29A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变</w:t>
            </w:r>
          </w:p>
          <w:p w14:paraId="0D98081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压</w:t>
            </w:r>
          </w:p>
          <w:p w14:paraId="335D61AE">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器</w:t>
            </w:r>
          </w:p>
        </w:tc>
        <w:tc>
          <w:tcPr>
            <w:tcW w:w="504" w:type="dxa"/>
            <w:tcBorders>
              <w:top w:val="single" w:color="000000" w:sz="12" w:space="0"/>
              <w:left w:val="single" w:color="000000" w:sz="4" w:space="0"/>
              <w:bottom w:val="single" w:color="000000" w:sz="4" w:space="0"/>
              <w:right w:val="single" w:color="000000" w:sz="4" w:space="0"/>
            </w:tcBorders>
            <w:noWrap/>
            <w:vAlign w:val="center"/>
          </w:tcPr>
          <w:p w14:paraId="7957B592">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次/日</w:t>
            </w:r>
          </w:p>
        </w:tc>
        <w:tc>
          <w:tcPr>
            <w:tcW w:w="1528" w:type="dxa"/>
            <w:tcBorders>
              <w:top w:val="single" w:color="000000" w:sz="12" w:space="0"/>
              <w:left w:val="single" w:color="000000" w:sz="4" w:space="0"/>
              <w:bottom w:val="single" w:color="000000" w:sz="4" w:space="0"/>
              <w:right w:val="single" w:color="000000" w:sz="4" w:space="0"/>
            </w:tcBorders>
            <w:noWrap/>
            <w:vAlign w:val="center"/>
          </w:tcPr>
          <w:p w14:paraId="66741848">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运行声音及温度</w:t>
            </w:r>
            <w:r>
              <w:rPr>
                <w:rFonts w:hint="eastAsia" w:ascii="宋体" w:hAnsi="宋体" w:cs="宋体"/>
                <w:color w:val="auto"/>
                <w:kern w:val="0"/>
                <w:sz w:val="18"/>
                <w:szCs w:val="18"/>
                <w:highlight w:val="none"/>
                <w:lang w:val="en-US" w:eastAsia="zh-CN" w:bidi="ar"/>
              </w:rPr>
              <w:t>正</w:t>
            </w:r>
            <w:r>
              <w:rPr>
                <w:rFonts w:hint="eastAsia" w:ascii="宋体" w:hAnsi="宋体" w:eastAsia="宋体" w:cs="宋体"/>
                <w:color w:val="auto"/>
                <w:kern w:val="0"/>
                <w:sz w:val="18"/>
                <w:szCs w:val="18"/>
                <w:highlight w:val="none"/>
                <w:lang w:val="en-US" w:eastAsia="zh-CN" w:bidi="ar"/>
              </w:rPr>
              <w:t>常，无异常震动、母排无异常发热，绝缘子无破损、防小动物措施严密</w:t>
            </w:r>
          </w:p>
        </w:tc>
        <w:tc>
          <w:tcPr>
            <w:tcW w:w="543" w:type="dxa"/>
            <w:tcBorders>
              <w:top w:val="single" w:color="000000" w:sz="12" w:space="0"/>
              <w:left w:val="single" w:color="000000" w:sz="4" w:space="0"/>
              <w:bottom w:val="single" w:color="000000" w:sz="4" w:space="0"/>
              <w:right w:val="single" w:color="000000" w:sz="4" w:space="0"/>
            </w:tcBorders>
            <w:noWrap/>
            <w:vAlign w:val="center"/>
          </w:tcPr>
          <w:p w14:paraId="3DA7BE4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3次/日</w:t>
            </w:r>
          </w:p>
        </w:tc>
        <w:tc>
          <w:tcPr>
            <w:tcW w:w="1436" w:type="dxa"/>
            <w:tcBorders>
              <w:top w:val="single" w:color="000000" w:sz="12" w:space="0"/>
              <w:left w:val="single" w:color="000000" w:sz="4" w:space="0"/>
              <w:bottom w:val="single" w:color="000000" w:sz="4" w:space="0"/>
              <w:right w:val="single" w:color="000000" w:sz="4" w:space="0"/>
            </w:tcBorders>
            <w:noWrap/>
            <w:vAlign w:val="center"/>
          </w:tcPr>
          <w:p w14:paraId="513BD197">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运行声音及温度正常，无异常震动、母排无异常发热，绝缘子无破损、防小动物措施严密</w:t>
            </w:r>
          </w:p>
        </w:tc>
        <w:tc>
          <w:tcPr>
            <w:tcW w:w="619" w:type="dxa"/>
            <w:tcBorders>
              <w:top w:val="single" w:color="000000" w:sz="12" w:space="0"/>
              <w:left w:val="single" w:color="000000" w:sz="4" w:space="0"/>
              <w:bottom w:val="single" w:color="000000" w:sz="4" w:space="0"/>
              <w:right w:val="single" w:color="000000" w:sz="4" w:space="0"/>
            </w:tcBorders>
            <w:noWrap/>
            <w:vAlign w:val="center"/>
          </w:tcPr>
          <w:p w14:paraId="5BA2BDE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000000" w:sz="12" w:space="0"/>
              <w:left w:val="single" w:color="000000" w:sz="4" w:space="0"/>
              <w:bottom w:val="single" w:color="000000" w:sz="4" w:space="0"/>
              <w:right w:val="single" w:color="000000" w:sz="4" w:space="0"/>
            </w:tcBorders>
            <w:noWrap/>
            <w:vAlign w:val="center"/>
          </w:tcPr>
          <w:p w14:paraId="04EE83F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000000" w:sz="12" w:space="0"/>
              <w:left w:val="single" w:color="000000" w:sz="4" w:space="0"/>
              <w:bottom w:val="single" w:color="000000" w:sz="4" w:space="0"/>
              <w:right w:val="single" w:color="000000" w:sz="4" w:space="0"/>
            </w:tcBorders>
            <w:noWrap/>
            <w:vAlign w:val="center"/>
          </w:tcPr>
          <w:p w14:paraId="30465B3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000000" w:sz="12" w:space="0"/>
              <w:left w:val="single" w:color="000000" w:sz="4" w:space="0"/>
              <w:bottom w:val="single" w:color="000000" w:sz="4" w:space="0"/>
              <w:right w:val="single" w:color="000000" w:sz="12" w:space="0"/>
            </w:tcBorders>
            <w:noWrap/>
            <w:vAlign w:val="center"/>
          </w:tcPr>
          <w:p w14:paraId="09846F5A">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r w14:paraId="4E2D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789" w:type="dxa"/>
            <w:vMerge w:val="continue"/>
            <w:tcBorders>
              <w:top w:val="single" w:color="000000" w:sz="4" w:space="0"/>
              <w:left w:val="single" w:color="000000" w:sz="12" w:space="0"/>
              <w:bottom w:val="single" w:color="000000" w:sz="4" w:space="0"/>
              <w:right w:val="single" w:color="000000" w:sz="4" w:space="0"/>
            </w:tcBorders>
            <w:noWrap/>
            <w:vAlign w:val="center"/>
          </w:tcPr>
          <w:p w14:paraId="294E0CF0">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p>
        </w:tc>
        <w:tc>
          <w:tcPr>
            <w:tcW w:w="504" w:type="dxa"/>
            <w:tcBorders>
              <w:top w:val="single" w:color="000000" w:sz="4" w:space="0"/>
              <w:left w:val="single" w:color="000000" w:sz="4" w:space="0"/>
              <w:bottom w:val="single" w:color="000000" w:sz="4" w:space="0"/>
              <w:right w:val="single" w:color="000000" w:sz="4" w:space="0"/>
            </w:tcBorders>
            <w:noWrap/>
            <w:vAlign w:val="center"/>
          </w:tcPr>
          <w:p w14:paraId="50C0AA5B">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7CE8A864">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检测接地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线圈绝缘电阻，各接线装置紧固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清理灰尘</w:t>
            </w: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1F3A476D">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69B09E9B">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检测接地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线圈绝缘电阻，各接线装置紧固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清理灰尘</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3927AC22">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7D366593">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4F754E6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000000" w:sz="4" w:space="0"/>
              <w:left w:val="single" w:color="000000" w:sz="4" w:space="0"/>
              <w:bottom w:val="single" w:color="000000" w:sz="4" w:space="0"/>
              <w:right w:val="single" w:color="000000" w:sz="12" w:space="0"/>
            </w:tcBorders>
            <w:noWrap/>
            <w:vAlign w:val="center"/>
          </w:tcPr>
          <w:p w14:paraId="3DDE19F6">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r w14:paraId="6BC5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jc w:val="center"/>
        </w:trPr>
        <w:tc>
          <w:tcPr>
            <w:tcW w:w="789" w:type="dxa"/>
            <w:vMerge w:val="restart"/>
            <w:tcBorders>
              <w:top w:val="single" w:color="000000" w:sz="4" w:space="0"/>
              <w:left w:val="single" w:color="000000" w:sz="12" w:space="0"/>
              <w:bottom w:val="single" w:color="000000" w:sz="4" w:space="0"/>
              <w:right w:val="single" w:color="000000" w:sz="4" w:space="0"/>
            </w:tcBorders>
            <w:noWrap/>
            <w:vAlign w:val="center"/>
          </w:tcPr>
          <w:p w14:paraId="771FC10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rPr>
              <w:t>配电柜</w:t>
            </w:r>
          </w:p>
        </w:tc>
        <w:tc>
          <w:tcPr>
            <w:tcW w:w="504" w:type="dxa"/>
            <w:tcBorders>
              <w:top w:val="single" w:color="000000" w:sz="4" w:space="0"/>
              <w:left w:val="single" w:color="000000" w:sz="4" w:space="0"/>
              <w:bottom w:val="single" w:color="000000" w:sz="4" w:space="0"/>
              <w:right w:val="single" w:color="000000" w:sz="4" w:space="0"/>
            </w:tcBorders>
            <w:noWrap/>
            <w:vAlign w:val="center"/>
          </w:tcPr>
          <w:p w14:paraId="58FF19D8">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次/日</w:t>
            </w:r>
          </w:p>
        </w:tc>
        <w:tc>
          <w:tcPr>
            <w:tcW w:w="1528" w:type="dxa"/>
            <w:tcBorders>
              <w:top w:val="single" w:color="000000" w:sz="4" w:space="0"/>
              <w:left w:val="single" w:color="000000" w:sz="4" w:space="0"/>
              <w:bottom w:val="single" w:color="000000" w:sz="4" w:space="0"/>
              <w:right w:val="single" w:color="000000" w:sz="4" w:space="0"/>
            </w:tcBorders>
            <w:noWrap/>
            <w:vAlign w:val="center"/>
          </w:tcPr>
          <w:p w14:paraId="2D02389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543" w:type="dxa"/>
            <w:tcBorders>
              <w:top w:val="single" w:color="000000" w:sz="4" w:space="0"/>
              <w:left w:val="single" w:color="000000" w:sz="4" w:space="0"/>
              <w:bottom w:val="single" w:color="000000" w:sz="4" w:space="0"/>
              <w:right w:val="single" w:color="000000" w:sz="4" w:space="0"/>
            </w:tcBorders>
            <w:noWrap/>
            <w:vAlign w:val="center"/>
          </w:tcPr>
          <w:p w14:paraId="0E8FDA77">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2次/日</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5ADAF6D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619" w:type="dxa"/>
            <w:tcBorders>
              <w:top w:val="single" w:color="000000" w:sz="4" w:space="0"/>
              <w:left w:val="single" w:color="000000" w:sz="4" w:space="0"/>
              <w:bottom w:val="single" w:color="000000" w:sz="4" w:space="0"/>
              <w:right w:val="single" w:color="000000" w:sz="4" w:space="0"/>
            </w:tcBorders>
            <w:noWrap/>
            <w:vAlign w:val="center"/>
          </w:tcPr>
          <w:p w14:paraId="455A5D9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2次/日</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73C5EAA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7B05FA79">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1次/日</w:t>
            </w:r>
          </w:p>
        </w:tc>
        <w:tc>
          <w:tcPr>
            <w:tcW w:w="1332" w:type="dxa"/>
            <w:tcBorders>
              <w:top w:val="single" w:color="000000" w:sz="4" w:space="0"/>
              <w:left w:val="single" w:color="000000" w:sz="4" w:space="0"/>
              <w:bottom w:val="single" w:color="000000" w:sz="4" w:space="0"/>
              <w:right w:val="single" w:color="000000" w:sz="12" w:space="0"/>
            </w:tcBorders>
            <w:noWrap/>
            <w:vAlign w:val="center"/>
          </w:tcPr>
          <w:p w14:paraId="254C69F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r>
      <w:tr w14:paraId="5CBD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jc w:val="center"/>
        </w:trPr>
        <w:tc>
          <w:tcPr>
            <w:tcW w:w="789" w:type="dxa"/>
            <w:vMerge w:val="continue"/>
            <w:tcBorders>
              <w:top w:val="single" w:color="000000" w:sz="4" w:space="0"/>
              <w:left w:val="single" w:color="000000" w:sz="12" w:space="0"/>
              <w:bottom w:val="single" w:color="000000" w:sz="12" w:space="0"/>
              <w:right w:val="single" w:color="000000" w:sz="4" w:space="0"/>
            </w:tcBorders>
            <w:noWrap/>
            <w:vAlign w:val="center"/>
          </w:tcPr>
          <w:p w14:paraId="2D29DF68">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p>
        </w:tc>
        <w:tc>
          <w:tcPr>
            <w:tcW w:w="504" w:type="dxa"/>
            <w:tcBorders>
              <w:top w:val="single" w:color="000000" w:sz="4" w:space="0"/>
              <w:left w:val="single" w:color="000000" w:sz="4" w:space="0"/>
              <w:bottom w:val="single" w:color="000000" w:sz="12" w:space="0"/>
              <w:right w:val="single" w:color="000000" w:sz="4" w:space="0"/>
            </w:tcBorders>
            <w:noWrap/>
            <w:vAlign w:val="center"/>
          </w:tcPr>
          <w:p w14:paraId="5F27DF8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528" w:type="dxa"/>
            <w:tcBorders>
              <w:top w:val="single" w:color="000000" w:sz="4" w:space="0"/>
              <w:left w:val="single" w:color="000000" w:sz="4" w:space="0"/>
              <w:bottom w:val="single" w:color="000000" w:sz="12" w:space="0"/>
              <w:right w:val="single" w:color="000000" w:sz="4" w:space="0"/>
            </w:tcBorders>
            <w:noWrap/>
            <w:vAlign w:val="center"/>
          </w:tcPr>
          <w:p w14:paraId="4F0607AF">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543" w:type="dxa"/>
            <w:tcBorders>
              <w:top w:val="single" w:color="000000" w:sz="4" w:space="0"/>
              <w:left w:val="single" w:color="000000" w:sz="4" w:space="0"/>
              <w:bottom w:val="single" w:color="000000" w:sz="12" w:space="0"/>
              <w:right w:val="single" w:color="000000" w:sz="4" w:space="0"/>
            </w:tcBorders>
            <w:noWrap/>
            <w:vAlign w:val="center"/>
          </w:tcPr>
          <w:p w14:paraId="79BCD80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436" w:type="dxa"/>
            <w:tcBorders>
              <w:top w:val="single" w:color="000000" w:sz="4" w:space="0"/>
              <w:left w:val="single" w:color="000000" w:sz="4" w:space="0"/>
              <w:bottom w:val="single" w:color="000000" w:sz="12" w:space="0"/>
              <w:right w:val="single" w:color="000000" w:sz="4" w:space="0"/>
            </w:tcBorders>
            <w:noWrap/>
            <w:vAlign w:val="center"/>
          </w:tcPr>
          <w:p w14:paraId="3C87523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619" w:type="dxa"/>
            <w:tcBorders>
              <w:top w:val="single" w:color="000000" w:sz="4" w:space="0"/>
              <w:left w:val="single" w:color="000000" w:sz="4" w:space="0"/>
              <w:bottom w:val="single" w:color="000000" w:sz="12" w:space="0"/>
              <w:right w:val="single" w:color="000000" w:sz="4" w:space="0"/>
            </w:tcBorders>
            <w:noWrap/>
            <w:vAlign w:val="center"/>
          </w:tcPr>
          <w:p w14:paraId="3F5FD73B">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保养≥1次/年</w:t>
            </w:r>
          </w:p>
        </w:tc>
        <w:tc>
          <w:tcPr>
            <w:tcW w:w="1141" w:type="dxa"/>
            <w:tcBorders>
              <w:top w:val="single" w:color="000000" w:sz="4" w:space="0"/>
              <w:left w:val="single" w:color="000000" w:sz="4" w:space="0"/>
              <w:bottom w:val="single" w:color="000000" w:sz="12" w:space="0"/>
              <w:right w:val="single" w:color="000000" w:sz="4" w:space="0"/>
            </w:tcBorders>
            <w:noWrap/>
            <w:vAlign w:val="center"/>
          </w:tcPr>
          <w:p w14:paraId="0744DA6C">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625" w:type="dxa"/>
            <w:tcBorders>
              <w:top w:val="single" w:color="000000" w:sz="4" w:space="0"/>
              <w:left w:val="single" w:color="000000" w:sz="4" w:space="0"/>
              <w:bottom w:val="single" w:color="000000" w:sz="12" w:space="0"/>
              <w:right w:val="single" w:color="000000" w:sz="4" w:space="0"/>
            </w:tcBorders>
            <w:noWrap/>
            <w:vAlign w:val="center"/>
          </w:tcPr>
          <w:p w14:paraId="783FE680">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保养≥1次/年</w:t>
            </w:r>
          </w:p>
        </w:tc>
        <w:tc>
          <w:tcPr>
            <w:tcW w:w="1332" w:type="dxa"/>
            <w:tcBorders>
              <w:top w:val="single" w:color="000000" w:sz="4" w:space="0"/>
              <w:left w:val="single" w:color="000000" w:sz="4" w:space="0"/>
              <w:bottom w:val="single" w:color="000000" w:sz="12" w:space="0"/>
              <w:right w:val="single" w:color="000000" w:sz="12" w:space="0"/>
            </w:tcBorders>
            <w:noWrap/>
            <w:vAlign w:val="center"/>
          </w:tcPr>
          <w:p w14:paraId="65B37D52">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r>
      <w:tr w14:paraId="4DE4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789" w:type="dxa"/>
            <w:tcBorders>
              <w:top w:val="single" w:color="auto" w:sz="12" w:space="0"/>
              <w:left w:val="single" w:color="auto" w:sz="12" w:space="0"/>
              <w:bottom w:val="single" w:color="auto" w:sz="12" w:space="0"/>
              <w:right w:val="single" w:color="auto" w:sz="4" w:space="0"/>
            </w:tcBorders>
            <w:noWrap/>
            <w:vAlign w:val="center"/>
          </w:tcPr>
          <w:p w14:paraId="3E5418CE">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备用发电机组</w:t>
            </w:r>
          </w:p>
        </w:tc>
        <w:tc>
          <w:tcPr>
            <w:tcW w:w="504" w:type="dxa"/>
            <w:tcBorders>
              <w:top w:val="single" w:color="auto" w:sz="12" w:space="0"/>
              <w:left w:val="single" w:color="auto" w:sz="4" w:space="0"/>
              <w:bottom w:val="single" w:color="auto" w:sz="12" w:space="0"/>
              <w:right w:val="single" w:color="auto" w:sz="4" w:space="0"/>
            </w:tcBorders>
            <w:noWrap/>
            <w:vAlign w:val="center"/>
          </w:tcPr>
          <w:p w14:paraId="4FE7BC80">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空载试机</w:t>
            </w:r>
            <w:r>
              <w:rPr>
                <w:rFonts w:hint="eastAsia" w:ascii="宋体" w:hAnsi="宋体" w:eastAsia="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次/月</w:t>
            </w:r>
          </w:p>
        </w:tc>
        <w:tc>
          <w:tcPr>
            <w:tcW w:w="1528" w:type="dxa"/>
            <w:tcBorders>
              <w:top w:val="single" w:color="auto" w:sz="12" w:space="0"/>
              <w:left w:val="single" w:color="auto" w:sz="4" w:space="0"/>
              <w:bottom w:val="single" w:color="auto" w:sz="12" w:space="0"/>
              <w:right w:val="single" w:color="auto" w:sz="4" w:space="0"/>
            </w:tcBorders>
            <w:noWrap/>
            <w:vAlign w:val="center"/>
          </w:tcPr>
          <w:p w14:paraId="1407E240">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bidi="ar"/>
              </w:rPr>
              <w:t>无异音、手动/自动运行正常，电池液、电压、油位、照明正常</w:t>
            </w:r>
          </w:p>
        </w:tc>
        <w:tc>
          <w:tcPr>
            <w:tcW w:w="543" w:type="dxa"/>
            <w:tcBorders>
              <w:top w:val="single" w:color="auto" w:sz="12" w:space="0"/>
              <w:left w:val="single" w:color="auto" w:sz="4" w:space="0"/>
              <w:bottom w:val="single" w:color="auto" w:sz="12" w:space="0"/>
              <w:right w:val="single" w:color="auto" w:sz="4" w:space="0"/>
            </w:tcBorders>
            <w:noWrap/>
            <w:vAlign w:val="center"/>
          </w:tcPr>
          <w:p w14:paraId="795795C8">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空载试机</w:t>
            </w:r>
            <w:r>
              <w:rPr>
                <w:rFonts w:hint="eastAsia" w:ascii="宋体" w:hAnsi="宋体" w:eastAsia="宋体" w:cs="宋体"/>
                <w:color w:val="auto"/>
                <w:sz w:val="18"/>
                <w:szCs w:val="18"/>
                <w:highlight w:val="none"/>
                <w:lang w:val="en-US" w:eastAsia="zh-CN"/>
              </w:rPr>
              <w:t>≥</w:t>
            </w:r>
            <w:r>
              <w:rPr>
                <w:rFonts w:hint="eastAsia" w:ascii="宋体" w:hAnsi="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次/月</w:t>
            </w:r>
          </w:p>
        </w:tc>
        <w:tc>
          <w:tcPr>
            <w:tcW w:w="1436" w:type="dxa"/>
            <w:tcBorders>
              <w:top w:val="single" w:color="auto" w:sz="12" w:space="0"/>
              <w:left w:val="single" w:color="auto" w:sz="4" w:space="0"/>
              <w:bottom w:val="single" w:color="auto" w:sz="12" w:space="0"/>
              <w:right w:val="single" w:color="auto" w:sz="4" w:space="0"/>
            </w:tcBorders>
            <w:noWrap/>
            <w:vAlign w:val="center"/>
          </w:tcPr>
          <w:p w14:paraId="01073B45">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无异音、手动/自动运行正常，电池液、电压、油位、照明正常</w:t>
            </w:r>
          </w:p>
        </w:tc>
        <w:tc>
          <w:tcPr>
            <w:tcW w:w="619" w:type="dxa"/>
            <w:tcBorders>
              <w:top w:val="single" w:color="auto" w:sz="12" w:space="0"/>
              <w:left w:val="single" w:color="auto" w:sz="4" w:space="0"/>
              <w:bottom w:val="single" w:color="auto" w:sz="12" w:space="0"/>
              <w:right w:val="single" w:color="auto" w:sz="4" w:space="0"/>
            </w:tcBorders>
            <w:noWrap/>
            <w:vAlign w:val="center"/>
          </w:tcPr>
          <w:p w14:paraId="517BB08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auto" w:sz="12" w:space="0"/>
              <w:left w:val="single" w:color="auto" w:sz="4" w:space="0"/>
              <w:bottom w:val="single" w:color="auto" w:sz="12" w:space="0"/>
              <w:right w:val="single" w:color="auto" w:sz="4" w:space="0"/>
            </w:tcBorders>
            <w:noWrap/>
            <w:vAlign w:val="center"/>
          </w:tcPr>
          <w:p w14:paraId="331260B9">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auto" w:sz="12" w:space="0"/>
              <w:left w:val="single" w:color="auto" w:sz="4" w:space="0"/>
              <w:bottom w:val="single" w:color="auto" w:sz="12" w:space="0"/>
              <w:right w:val="single" w:color="auto" w:sz="4" w:space="0"/>
            </w:tcBorders>
            <w:noWrap/>
            <w:vAlign w:val="center"/>
          </w:tcPr>
          <w:p w14:paraId="7D934745">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auto" w:sz="12" w:space="0"/>
              <w:left w:val="single" w:color="auto" w:sz="4" w:space="0"/>
              <w:bottom w:val="single" w:color="auto" w:sz="12" w:space="0"/>
              <w:right w:val="single" w:color="auto" w:sz="12" w:space="0"/>
            </w:tcBorders>
            <w:noWrap/>
            <w:vAlign w:val="center"/>
          </w:tcPr>
          <w:p w14:paraId="03FD5931">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bl>
    <w:p w14:paraId="1542164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4" w:name="_Toc19056"/>
      <w:bookmarkStart w:id="245" w:name="_Toc7666"/>
      <w:bookmarkStart w:id="246" w:name="_Toc27675"/>
      <w:r>
        <w:rPr>
          <w:rFonts w:hint="eastAsia" w:ascii="宋体" w:hAnsi="宋体" w:eastAsia="宋体" w:cs="宋体"/>
          <w:b/>
          <w:bCs/>
          <w:color w:val="auto"/>
          <w:sz w:val="24"/>
          <w:szCs w:val="24"/>
          <w:highlight w:val="none"/>
          <w:lang w:val="en-US" w:eastAsia="zh-CN"/>
        </w:rPr>
        <w:t>9.2  空调系统</w:t>
      </w:r>
      <w:bookmarkEnd w:id="244"/>
      <w:bookmarkEnd w:id="245"/>
      <w:bookmarkEnd w:id="246"/>
    </w:p>
    <w:p w14:paraId="291BB8E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9.2.1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w:t>
      </w:r>
      <w:r>
        <w:rPr>
          <w:rFonts w:hint="eastAsia" w:ascii="宋体" w:hAnsi="宋体" w:cs="宋体"/>
          <w:color w:val="auto"/>
          <w:kern w:val="0"/>
          <w:sz w:val="24"/>
          <w:szCs w:val="24"/>
          <w:highlight w:val="none"/>
          <w:lang w:val="en-US" w:eastAsia="zh-CN" w:bidi="ar"/>
        </w:rPr>
        <w:t>符合现行国家标准《空调通风系统运行管理标准》</w:t>
      </w:r>
      <w:r>
        <w:rPr>
          <w:rFonts w:hint="eastAsia" w:ascii="宋体" w:hAnsi="宋体" w:eastAsia="宋体" w:cs="宋体"/>
          <w:color w:val="auto"/>
          <w:kern w:val="0"/>
          <w:sz w:val="24"/>
          <w:szCs w:val="24"/>
          <w:highlight w:val="none"/>
          <w:lang w:val="en-US" w:eastAsia="zh-CN" w:bidi="ar"/>
        </w:rPr>
        <w:t>GB 50365的</w:t>
      </w:r>
      <w:r>
        <w:rPr>
          <w:rFonts w:hint="eastAsia" w:ascii="宋体" w:hAnsi="宋体" w:cs="宋体"/>
          <w:color w:val="auto"/>
          <w:kern w:val="0"/>
          <w:sz w:val="24"/>
          <w:szCs w:val="24"/>
          <w:highlight w:val="none"/>
          <w:lang w:val="en-US" w:eastAsia="zh-CN" w:bidi="ar"/>
        </w:rPr>
        <w:t>相关规定</w:t>
      </w:r>
      <w:r>
        <w:rPr>
          <w:rFonts w:hint="eastAsia" w:ascii="宋体" w:hAnsi="宋体" w:eastAsia="宋体" w:cs="宋体"/>
          <w:color w:val="auto"/>
          <w:kern w:val="0"/>
          <w:sz w:val="24"/>
          <w:szCs w:val="24"/>
          <w:highlight w:val="none"/>
          <w:lang w:val="en-US" w:eastAsia="zh-CN" w:bidi="ar"/>
        </w:rPr>
        <w:t>，建立运行、维修保养、检测、节能等管理机制，包括但不限于以下内容：</w:t>
      </w:r>
    </w:p>
    <w:p w14:paraId="05A10793">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47" w:name="_Toc20758"/>
      <w:bookmarkStart w:id="248" w:name="_Toc12265"/>
      <w:bookmarkStart w:id="249" w:name="_Toc15043"/>
      <w:bookmarkStart w:id="250" w:name="_Toc20486"/>
      <w:bookmarkStart w:id="251" w:name="_Toc5571"/>
      <w:r>
        <w:rPr>
          <w:rFonts w:hint="eastAsia" w:ascii="宋体" w:hAnsi="宋体" w:eastAsia="宋体" w:cs="宋体"/>
          <w:color w:val="auto"/>
          <w:sz w:val="24"/>
          <w:szCs w:val="24"/>
          <w:highlight w:val="none"/>
          <w:lang w:val="en-US" w:eastAsia="zh-CN" w:bidi="ar-SA"/>
        </w:rPr>
        <w:t>1  中央空调系统运行应按制度每日定时巡查，将运行参数做好记录并存档；</w:t>
      </w:r>
      <w:bookmarkEnd w:id="247"/>
      <w:bookmarkEnd w:id="248"/>
      <w:bookmarkEnd w:id="249"/>
      <w:bookmarkEnd w:id="250"/>
      <w:bookmarkEnd w:id="251"/>
    </w:p>
    <w:p w14:paraId="52C40C79">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52" w:name="_Toc18466"/>
      <w:bookmarkStart w:id="253" w:name="_Toc13564"/>
      <w:bookmarkStart w:id="254" w:name="_Toc847"/>
      <w:bookmarkStart w:id="255" w:name="_Toc25515"/>
      <w:bookmarkStart w:id="256" w:name="_Toc17331"/>
      <w:r>
        <w:rPr>
          <w:rFonts w:hint="eastAsia" w:ascii="宋体" w:hAnsi="宋体" w:eastAsia="宋体" w:cs="宋体"/>
          <w:color w:val="auto"/>
          <w:sz w:val="24"/>
          <w:szCs w:val="24"/>
          <w:highlight w:val="none"/>
          <w:lang w:val="en-US" w:eastAsia="zh-CN" w:bidi="ar-SA"/>
        </w:rPr>
        <w:t>2  在每个供冷期或供暖期交替运行之前，或系统停机一段时间后又重新投入运行时，应对系统所有设施设备（如冷却水循环管道、冷冻水循环管道风管、新风系统等的管件、阀门、电气控制、隔热保温等）进行严格细致的检查、清洗、测试和调整，确定正常后方能投入运行；</w:t>
      </w:r>
      <w:bookmarkEnd w:id="252"/>
      <w:bookmarkEnd w:id="253"/>
      <w:bookmarkEnd w:id="254"/>
      <w:bookmarkEnd w:id="255"/>
      <w:bookmarkEnd w:id="256"/>
    </w:p>
    <w:p w14:paraId="793AD34C">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57" w:name="_Toc21814"/>
      <w:bookmarkStart w:id="258" w:name="_Toc13018"/>
      <w:bookmarkStart w:id="259" w:name="_Toc14489"/>
      <w:bookmarkStart w:id="260" w:name="_Toc31019"/>
      <w:bookmarkStart w:id="261" w:name="_Toc17393"/>
      <w:r>
        <w:rPr>
          <w:rFonts w:hint="eastAsia" w:ascii="宋体" w:hAnsi="宋体" w:eastAsia="宋体" w:cs="宋体"/>
          <w:color w:val="auto"/>
          <w:sz w:val="24"/>
          <w:szCs w:val="24"/>
          <w:highlight w:val="none"/>
          <w:lang w:val="en-US" w:eastAsia="zh-CN" w:bidi="ar-SA"/>
        </w:rPr>
        <w:t>3  定期检查冷却塔电机、变速箱、布水器及其它附属设备，每年至少清洗、维护保养≥1次；供冷期每年≥1次对冷却塔进行清洗和维护保养；</w:t>
      </w:r>
      <w:bookmarkEnd w:id="257"/>
      <w:bookmarkEnd w:id="258"/>
      <w:bookmarkEnd w:id="259"/>
      <w:bookmarkEnd w:id="260"/>
      <w:bookmarkEnd w:id="261"/>
    </w:p>
    <w:p w14:paraId="5B73E424">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62" w:name="_Toc31963"/>
      <w:bookmarkStart w:id="263" w:name="_Toc17266"/>
      <w:bookmarkStart w:id="264" w:name="_Toc2037"/>
      <w:bookmarkStart w:id="265" w:name="_Toc13966"/>
      <w:bookmarkStart w:id="266" w:name="_Toc4726"/>
      <w:r>
        <w:rPr>
          <w:rFonts w:hint="eastAsia" w:ascii="宋体" w:hAnsi="宋体" w:eastAsia="宋体" w:cs="宋体"/>
          <w:color w:val="auto"/>
          <w:sz w:val="24"/>
          <w:szCs w:val="24"/>
          <w:highlight w:val="none"/>
          <w:lang w:val="en-US" w:eastAsia="zh-CN" w:bidi="ar-SA"/>
        </w:rPr>
        <w:t>4  应符合现行国家标准《空调通风系统运行管理标准》</w:t>
      </w:r>
      <w:r>
        <w:rPr>
          <w:rFonts w:hint="eastAsia" w:ascii="宋体" w:hAnsi="宋体" w:eastAsia="宋体" w:cs="宋体"/>
          <w:color w:val="auto"/>
          <w:kern w:val="0"/>
          <w:sz w:val="24"/>
          <w:szCs w:val="24"/>
          <w:highlight w:val="none"/>
          <w:lang w:val="en-US" w:eastAsia="zh-CN" w:bidi="ar"/>
        </w:rPr>
        <w:t>GB 50365相关规定</w:t>
      </w:r>
      <w:r>
        <w:rPr>
          <w:rFonts w:hint="eastAsia" w:ascii="宋体" w:hAnsi="宋体" w:eastAsia="宋体" w:cs="宋体"/>
          <w:color w:val="auto"/>
          <w:sz w:val="24"/>
          <w:szCs w:val="24"/>
          <w:highlight w:val="none"/>
          <w:lang w:val="en-US" w:eastAsia="zh-CN" w:bidi="ar-SA"/>
        </w:rPr>
        <w:t>定期对中央空调系统设备进行养护；集中空调通风系统应符合现行行业标准《公共场所集中空调通风系统清洗消毒规范》WS/T 396的相关规定进行养护；</w:t>
      </w:r>
      <w:bookmarkEnd w:id="262"/>
      <w:bookmarkEnd w:id="263"/>
      <w:bookmarkEnd w:id="264"/>
      <w:bookmarkEnd w:id="265"/>
      <w:bookmarkEnd w:id="266"/>
    </w:p>
    <w:p w14:paraId="73C545F4">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67" w:name="_Toc22522"/>
      <w:bookmarkStart w:id="268" w:name="_Toc30979"/>
      <w:bookmarkStart w:id="269" w:name="_Toc17525"/>
      <w:bookmarkStart w:id="270" w:name="_Toc13641"/>
      <w:bookmarkStart w:id="271" w:name="_Toc25638"/>
      <w:r>
        <w:rPr>
          <w:rFonts w:hint="eastAsia" w:ascii="宋体" w:hAnsi="宋体" w:eastAsia="宋体" w:cs="宋体"/>
          <w:color w:val="auto"/>
          <w:sz w:val="24"/>
          <w:szCs w:val="24"/>
          <w:highlight w:val="none"/>
          <w:lang w:val="en-US" w:eastAsia="zh-CN" w:bidi="ar-SA"/>
        </w:rPr>
        <w:t xml:space="preserve">5 </w:t>
      </w:r>
      <w:bookmarkEnd w:id="267"/>
      <w:bookmarkEnd w:id="268"/>
      <w:bookmarkEnd w:id="269"/>
      <w:r>
        <w:rPr>
          <w:rFonts w:hint="eastAsia" w:ascii="宋体" w:hAnsi="宋体" w:eastAsia="宋体" w:cs="宋体"/>
          <w:color w:val="auto"/>
          <w:sz w:val="24"/>
          <w:szCs w:val="24"/>
          <w:highlight w:val="none"/>
          <w:lang w:val="en-US" w:eastAsia="zh-CN" w:bidi="ar-SA"/>
        </w:rPr>
        <w:t xml:space="preserve"> 中央空调每半年≥1次清洁空调新风机、出风口及盘管滤网，对空调循环水水质每年应进行≥1次细菌（如军团菌）检测；冷却水质要求：6.5≤ pH</w:t>
      </w:r>
      <w:bookmarkStart w:id="582" w:name="_GoBack"/>
      <w:bookmarkEnd w:id="582"/>
      <w:r>
        <w:rPr>
          <w:rFonts w:hint="eastAsia" w:ascii="宋体" w:hAnsi="宋体" w:eastAsia="宋体" w:cs="宋体"/>
          <w:color w:val="auto"/>
          <w:sz w:val="24"/>
          <w:szCs w:val="24"/>
          <w:highlight w:val="none"/>
          <w:lang w:val="en-US" w:eastAsia="zh-CN" w:bidi="ar-SA"/>
        </w:rPr>
        <w:t>值 ≤8.0，总硬度小于300mg/L；</w:t>
      </w:r>
      <w:bookmarkEnd w:id="270"/>
      <w:bookmarkEnd w:id="271"/>
    </w:p>
    <w:p w14:paraId="09F13595">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72" w:name="_Toc23382"/>
      <w:bookmarkStart w:id="273" w:name="_Toc1414"/>
      <w:bookmarkStart w:id="274" w:name="_Toc510"/>
      <w:bookmarkStart w:id="275" w:name="_Toc19849"/>
      <w:bookmarkStart w:id="276" w:name="_Toc30319"/>
      <w:r>
        <w:rPr>
          <w:rFonts w:hint="eastAsia" w:ascii="宋体" w:hAnsi="宋体" w:eastAsia="宋体" w:cs="宋体"/>
          <w:color w:val="auto"/>
          <w:sz w:val="24"/>
          <w:szCs w:val="24"/>
          <w:highlight w:val="none"/>
          <w:lang w:val="en-US" w:eastAsia="zh-CN" w:bidi="ar-SA"/>
        </w:rPr>
        <w:t>6  每天应对大堂、会议室、过道等区域，测试出风口温度、湿度，确保温度和湿度符合规范要求。</w:t>
      </w:r>
      <w:bookmarkEnd w:id="272"/>
      <w:bookmarkEnd w:id="273"/>
      <w:bookmarkEnd w:id="274"/>
      <w:bookmarkEnd w:id="275"/>
      <w:bookmarkEnd w:id="276"/>
    </w:p>
    <w:p w14:paraId="67862672">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i w:val="0"/>
          <w:color w:val="auto"/>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9.2.2</w:t>
      </w:r>
      <w:r>
        <w:rPr>
          <w:rFonts w:hint="eastAsia" w:ascii="宋体" w:hAnsi="宋体" w:eastAsia="宋体" w:cs="宋体"/>
          <w:b w:val="0"/>
          <w:i w:val="0"/>
          <w:color w:val="auto"/>
          <w:sz w:val="24"/>
          <w:szCs w:val="24"/>
          <w:highlight w:val="none"/>
          <w:lang w:val="en-US" w:eastAsia="zh-CN" w:bidi="ar-SA"/>
        </w:rPr>
        <w:t>　</w:t>
      </w:r>
      <w:bookmarkStart w:id="277" w:name="_Toc1722"/>
      <w:bookmarkStart w:id="278" w:name="_Toc25008"/>
      <w:bookmarkStart w:id="279" w:name="_Toc13299"/>
      <w:r>
        <w:rPr>
          <w:rFonts w:hint="eastAsia" w:ascii="宋体" w:hAnsi="宋体" w:eastAsia="宋体" w:cs="宋体"/>
          <w:color w:val="auto"/>
          <w:sz w:val="24"/>
          <w:szCs w:val="24"/>
          <w:highlight w:val="none"/>
          <w:lang w:val="en-US" w:eastAsia="zh-CN" w:bidi="ar-SA"/>
        </w:rPr>
        <w:t>分体空调按要求进行清洗和消毒，运行期间每年≥1次清洗除尘；</w:t>
      </w:r>
      <w:bookmarkEnd w:id="277"/>
      <w:bookmarkEnd w:id="278"/>
      <w:bookmarkEnd w:id="279"/>
    </w:p>
    <w:p w14:paraId="36AFCFD5">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9.2.3</w:t>
      </w:r>
      <w:r>
        <w:rPr>
          <w:rFonts w:hint="eastAsia" w:ascii="宋体" w:hAnsi="宋体" w:eastAsia="宋体" w:cs="宋体"/>
          <w:b w:val="0"/>
          <w:i w:val="0"/>
          <w:color w:val="auto"/>
          <w:sz w:val="24"/>
          <w:szCs w:val="24"/>
          <w:highlight w:val="none"/>
          <w:lang w:val="en-US" w:eastAsia="zh-CN" w:bidi="ar-SA"/>
        </w:rPr>
        <w:t>　</w:t>
      </w:r>
      <w:r>
        <w:rPr>
          <w:rFonts w:hint="eastAsia" w:ascii="宋体" w:hAnsi="宋体" w:eastAsia="宋体" w:cs="宋体"/>
          <w:color w:val="auto"/>
          <w:kern w:val="2"/>
          <w:sz w:val="24"/>
          <w:szCs w:val="24"/>
          <w:highlight w:val="none"/>
          <w:lang w:val="en-US" w:eastAsia="zh-CN" w:bidi="ar-SA"/>
        </w:rPr>
        <w:t>锅炉（特种设备）运行维护</w:t>
      </w:r>
      <w:r>
        <w:rPr>
          <w:rFonts w:hint="eastAsia" w:ascii="宋体" w:hAnsi="宋体" w:eastAsia="宋体" w:cs="宋体"/>
          <w:color w:val="auto"/>
          <w:sz w:val="24"/>
          <w:szCs w:val="24"/>
          <w:highlight w:val="none"/>
          <w:lang w:val="en-US" w:eastAsia="zh-CN" w:bidi="ar-SA"/>
        </w:rPr>
        <w:t>应符合现行行业标准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锅炉安全技术监察规程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TSG G0001的</w:t>
      </w:r>
      <w:r>
        <w:rPr>
          <w:rFonts w:hint="eastAsia" w:ascii="宋体" w:hAnsi="宋体" w:cs="宋体"/>
          <w:color w:val="auto"/>
          <w:kern w:val="2"/>
          <w:sz w:val="24"/>
          <w:szCs w:val="24"/>
          <w:highlight w:val="none"/>
          <w:lang w:val="en-US" w:eastAsia="zh-CN" w:bidi="ar-SA"/>
        </w:rPr>
        <w:t>相关规定</w:t>
      </w:r>
      <w:r>
        <w:rPr>
          <w:rFonts w:hint="eastAsia" w:ascii="宋体" w:hAnsi="宋体" w:eastAsia="宋体" w:cs="宋体"/>
          <w:color w:val="auto"/>
          <w:kern w:val="2"/>
          <w:sz w:val="24"/>
          <w:szCs w:val="24"/>
          <w:highlight w:val="none"/>
          <w:lang w:val="en-US" w:eastAsia="zh-CN" w:bidi="ar-SA"/>
        </w:rPr>
        <w:t>执行。</w:t>
      </w:r>
    </w:p>
    <w:p w14:paraId="2D3FFBF1">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宋体" w:hAnsi="宋体" w:eastAsia="宋体" w:cs="宋体"/>
          <w:b w:val="0"/>
          <w:bCs w:val="0"/>
          <w:color w:val="auto"/>
          <w:kern w:val="0"/>
          <w:sz w:val="24"/>
          <w:szCs w:val="24"/>
          <w:highlight w:val="none"/>
          <w:lang w:val="en-US" w:eastAsia="zh-CN" w:bidi="ar"/>
        </w:rPr>
      </w:pPr>
      <w:bookmarkStart w:id="280" w:name="_Toc31223"/>
      <w:bookmarkStart w:id="281" w:name="_Toc20646"/>
      <w:r>
        <w:rPr>
          <w:rFonts w:hint="eastAsia" w:ascii="Times New Roman" w:hAnsi="Times New Roman" w:eastAsia="宋体" w:cs="Times New Roman"/>
          <w:b/>
          <w:bCs/>
          <w:i w:val="0"/>
          <w:color w:val="auto"/>
          <w:kern w:val="2"/>
          <w:sz w:val="24"/>
          <w:szCs w:val="24"/>
          <w:highlight w:val="none"/>
          <w:lang w:val="en-US" w:eastAsia="zh-CN" w:bidi="ar-SA"/>
        </w:rPr>
        <w:t>9.2.4</w:t>
      </w:r>
      <w:r>
        <w:rPr>
          <w:rFonts w:hint="eastAsia" w:ascii="宋体" w:hAnsi="宋体" w:eastAsia="宋体" w:cs="宋体"/>
          <w:b w:val="0"/>
          <w:i w:val="0"/>
          <w:color w:val="auto"/>
          <w:sz w:val="24"/>
          <w:szCs w:val="24"/>
          <w:highlight w:val="none"/>
          <w:lang w:val="en-US" w:eastAsia="zh-CN" w:bidi="ar-SA"/>
        </w:rPr>
        <w:t>　</w:t>
      </w:r>
      <w:r>
        <w:rPr>
          <w:rFonts w:hint="eastAsia" w:ascii="宋体" w:hAnsi="宋体" w:eastAsia="宋体" w:cs="宋体"/>
          <w:b w:val="0"/>
          <w:bCs w:val="0"/>
          <w:color w:val="auto"/>
          <w:kern w:val="0"/>
          <w:sz w:val="24"/>
          <w:szCs w:val="24"/>
          <w:highlight w:val="none"/>
          <w:lang w:val="en-US" w:eastAsia="zh-CN" w:bidi="ar"/>
        </w:rPr>
        <w:t>中央空调系统维护保养具体内容见附录A。</w:t>
      </w:r>
      <w:bookmarkEnd w:id="280"/>
      <w:bookmarkEnd w:id="281"/>
    </w:p>
    <w:p w14:paraId="0236558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82" w:name="_Toc4034"/>
      <w:bookmarkStart w:id="283" w:name="_Toc28292"/>
      <w:bookmarkStart w:id="284" w:name="_Toc3813"/>
      <w:r>
        <w:rPr>
          <w:rFonts w:hint="eastAsia" w:ascii="宋体" w:hAnsi="宋体" w:eastAsia="宋体" w:cs="宋体"/>
          <w:b/>
          <w:bCs/>
          <w:color w:val="auto"/>
          <w:sz w:val="24"/>
          <w:szCs w:val="24"/>
          <w:highlight w:val="none"/>
          <w:lang w:val="en-US" w:eastAsia="zh-CN"/>
        </w:rPr>
        <w:t>9.3  给排水系统</w:t>
      </w:r>
      <w:bookmarkEnd w:id="282"/>
      <w:bookmarkEnd w:id="283"/>
      <w:bookmarkEnd w:id="284"/>
    </w:p>
    <w:p w14:paraId="2E5F2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9.3.1 </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应制定给水、排水系统维护保养、巡查、管理制度和应急响应预案。</w:t>
      </w:r>
    </w:p>
    <w:p w14:paraId="702961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outlineLvl w:val="1"/>
        <w:rPr>
          <w:rFonts w:hint="eastAsia" w:ascii="宋体" w:hAnsi="宋体" w:eastAsia="宋体" w:cs="宋体"/>
          <w:color w:val="auto"/>
          <w:sz w:val="24"/>
          <w:szCs w:val="24"/>
          <w:highlight w:val="none"/>
          <w:lang w:val="en-US" w:eastAsia="zh-CN"/>
        </w:rPr>
      </w:pPr>
      <w:bookmarkStart w:id="285" w:name="_Toc13562"/>
      <w:bookmarkStart w:id="286" w:name="_Toc17789"/>
      <w:r>
        <w:rPr>
          <w:rFonts w:hint="eastAsia" w:ascii="Times New Roman" w:hAnsi="Times New Roman" w:eastAsia="宋体" w:cs="Times New Roman"/>
          <w:b/>
          <w:bCs/>
          <w:i w:val="0"/>
          <w:color w:val="auto"/>
          <w:kern w:val="2"/>
          <w:sz w:val="24"/>
          <w:szCs w:val="24"/>
          <w:highlight w:val="none"/>
          <w:lang w:val="en-US" w:eastAsia="zh-CN" w:bidi="ar-SA"/>
        </w:rPr>
        <w:t xml:space="preserve">9.3.2 </w:t>
      </w:r>
      <w:r>
        <w:rPr>
          <w:rFonts w:hint="eastAsia" w:ascii="宋体" w:hAnsi="宋体" w:eastAsia="宋体" w:cs="宋体"/>
          <w:color w:val="auto"/>
          <w:sz w:val="24"/>
          <w:szCs w:val="24"/>
          <w:highlight w:val="none"/>
          <w:lang w:val="en-US" w:eastAsia="zh-CN"/>
        </w:rPr>
        <w:t xml:space="preserve"> 给水系统应包括但不限于以下主要内容：</w:t>
      </w:r>
      <w:bookmarkEnd w:id="285"/>
      <w:bookmarkEnd w:id="286"/>
      <w:r>
        <w:rPr>
          <w:rFonts w:hint="eastAsia" w:ascii="宋体" w:hAnsi="宋体" w:eastAsia="宋体" w:cs="宋体"/>
          <w:b w:val="0"/>
          <w:i w:val="0"/>
          <w:color w:val="auto"/>
          <w:kern w:val="2"/>
          <w:sz w:val="24"/>
          <w:szCs w:val="24"/>
          <w:highlight w:val="none"/>
          <w:lang w:val="en-US" w:eastAsia="zh-CN" w:bidi="ar-SA"/>
        </w:rPr>
        <w:t xml:space="preserve"> </w:t>
      </w:r>
    </w:p>
    <w:p w14:paraId="3D9E04F0">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87" w:name="_Toc21216"/>
      <w:bookmarkStart w:id="288" w:name="_Toc13572"/>
      <w:bookmarkStart w:id="289" w:name="_Toc7839"/>
      <w:bookmarkStart w:id="290" w:name="_Toc5896"/>
      <w:bookmarkStart w:id="291" w:name="_Toc1468"/>
      <w:r>
        <w:rPr>
          <w:rFonts w:hint="eastAsia" w:ascii="宋体" w:hAnsi="宋体" w:eastAsia="宋体" w:cs="宋体"/>
          <w:color w:val="auto"/>
          <w:sz w:val="24"/>
          <w:szCs w:val="24"/>
          <w:highlight w:val="none"/>
          <w:lang w:val="en-US" w:eastAsia="zh-CN" w:bidi="ar-SA"/>
        </w:rPr>
        <w:t>1  应对生活水泵和消毒装置以及设备控制柜等按</w:t>
      </w:r>
      <w:r>
        <w:rPr>
          <w:rFonts w:hint="eastAsia" w:ascii="宋体" w:hAnsi="宋体" w:eastAsia="宋体" w:cs="宋体"/>
          <w:color w:val="auto"/>
          <w:sz w:val="24"/>
          <w:szCs w:val="24"/>
          <w:highlight w:val="none"/>
          <w:lang w:val="en-US" w:eastAsia="zh-CN"/>
        </w:rPr>
        <w:t>附录B</w:t>
      </w:r>
      <w:r>
        <w:rPr>
          <w:rFonts w:hint="eastAsia" w:ascii="宋体" w:hAnsi="宋体" w:eastAsia="宋体" w:cs="宋体"/>
          <w:color w:val="auto"/>
          <w:sz w:val="24"/>
          <w:szCs w:val="24"/>
          <w:highlight w:val="none"/>
          <w:lang w:val="en-US" w:eastAsia="zh-CN" w:bidi="ar-SA"/>
        </w:rPr>
        <w:t>进行定期保养；</w:t>
      </w:r>
      <w:bookmarkEnd w:id="287"/>
      <w:bookmarkEnd w:id="288"/>
      <w:bookmarkEnd w:id="289"/>
      <w:bookmarkEnd w:id="290"/>
      <w:bookmarkEnd w:id="291"/>
    </w:p>
    <w:p w14:paraId="32649694">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92" w:name="_Toc21929"/>
      <w:bookmarkStart w:id="293" w:name="_Toc32723"/>
      <w:bookmarkStart w:id="294" w:name="_Toc3164"/>
      <w:bookmarkStart w:id="295" w:name="_Toc24834"/>
      <w:bookmarkStart w:id="296" w:name="_Toc4854"/>
      <w:bookmarkStart w:id="297" w:name="_Toc2215"/>
      <w:bookmarkStart w:id="298" w:name="_Toc10989"/>
      <w:bookmarkStart w:id="299" w:name="_Toc10006"/>
      <w:r>
        <w:rPr>
          <w:rFonts w:hint="eastAsia" w:ascii="宋体" w:hAnsi="宋体" w:eastAsia="宋体" w:cs="宋体"/>
          <w:color w:val="auto"/>
          <w:sz w:val="24"/>
          <w:szCs w:val="24"/>
          <w:highlight w:val="none"/>
          <w:lang w:val="en-US" w:eastAsia="zh-CN" w:bidi="ar-SA"/>
        </w:rPr>
        <w:t>2  定期清洗和消毒二次供水设施设备，生活水池水箱每半年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SA"/>
        </w:rPr>
        <w:t>1次清洗消毒并送水质检测，生活饮用水水质应符合现行国家标准《生活饮用水卫生标准》GB 5749的相关规定；</w:t>
      </w:r>
      <w:bookmarkEnd w:id="292"/>
      <w:bookmarkEnd w:id="293"/>
      <w:bookmarkEnd w:id="294"/>
      <w:bookmarkEnd w:id="295"/>
      <w:bookmarkEnd w:id="296"/>
    </w:p>
    <w:p w14:paraId="6B49AFDF">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300" w:name="_Toc10892"/>
      <w:bookmarkStart w:id="301" w:name="_Toc2066"/>
      <w:r>
        <w:rPr>
          <w:rFonts w:hint="eastAsia" w:ascii="宋体" w:hAnsi="宋体" w:eastAsia="宋体" w:cs="宋体"/>
          <w:color w:val="auto"/>
          <w:sz w:val="24"/>
          <w:szCs w:val="24"/>
          <w:highlight w:val="none"/>
          <w:lang w:val="en-US" w:eastAsia="zh-CN" w:bidi="ar-SA"/>
        </w:rPr>
        <w:t>3  设备机房内设备设施完好，定期对备用水泵进行轮换运行，供水水压正常稳定；</w:t>
      </w:r>
      <w:bookmarkEnd w:id="300"/>
      <w:bookmarkEnd w:id="301"/>
    </w:p>
    <w:p w14:paraId="33397897">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302" w:name="_Toc6037"/>
      <w:bookmarkStart w:id="303" w:name="_Toc29981"/>
      <w:r>
        <w:rPr>
          <w:rFonts w:hint="eastAsia" w:ascii="宋体" w:hAnsi="宋体" w:eastAsia="宋体" w:cs="宋体"/>
          <w:color w:val="auto"/>
          <w:sz w:val="24"/>
          <w:szCs w:val="24"/>
          <w:highlight w:val="none"/>
          <w:lang w:val="en-US" w:eastAsia="zh-CN" w:bidi="ar-SA"/>
        </w:rPr>
        <w:t>4  保持水箱、蓄水池盖板、防蚊网完好并加锁，钥匙由专人保管，溢流管口、透气口应安装金属防护网并保持完好，水池周边无杂物堆放，附近无污染源并整洁卫生；</w:t>
      </w:r>
      <w:bookmarkEnd w:id="302"/>
      <w:bookmarkEnd w:id="303"/>
    </w:p>
    <w:bookmarkEnd w:id="297"/>
    <w:bookmarkEnd w:id="298"/>
    <w:bookmarkEnd w:id="299"/>
    <w:p w14:paraId="55A0D1A6">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304" w:name="_Toc24367"/>
      <w:bookmarkStart w:id="305" w:name="_Toc8361"/>
      <w:r>
        <w:rPr>
          <w:rFonts w:hint="eastAsia" w:ascii="宋体" w:hAnsi="宋体" w:eastAsia="宋体" w:cs="宋体"/>
          <w:color w:val="auto"/>
          <w:sz w:val="24"/>
          <w:szCs w:val="24"/>
          <w:highlight w:val="none"/>
          <w:lang w:val="en-US" w:eastAsia="zh-CN" w:bidi="ar-SA"/>
        </w:rPr>
        <w:t>5  对供水泵运行进行定时巡查并做好记录，巡查要求见表9.3.2。</w:t>
      </w:r>
      <w:bookmarkEnd w:id="304"/>
      <w:bookmarkEnd w:id="305"/>
    </w:p>
    <w:p w14:paraId="0F0919DD">
      <w:pPr>
        <w:pStyle w:val="8"/>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306" w:name="_Toc19562"/>
      <w:bookmarkStart w:id="307" w:name="_Toc6867"/>
      <w:r>
        <w:rPr>
          <w:rFonts w:hint="eastAsia" w:ascii="Times New Roman" w:hAnsi="Times New Roman" w:eastAsia="黑体" w:cs="Times New Roman"/>
          <w:bCs w:val="0"/>
          <w:sz w:val="21"/>
          <w:szCs w:val="24"/>
          <w:highlight w:val="none"/>
          <w:lang w:val="en-US" w:eastAsia="zh-CN"/>
        </w:rPr>
        <w:t>表9.3.2  项目主要分类服务标准—给水设备设施维护</w:t>
      </w:r>
      <w:bookmarkEnd w:id="306"/>
      <w:bookmarkEnd w:id="307"/>
    </w:p>
    <w:tbl>
      <w:tblPr>
        <w:tblStyle w:val="3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552"/>
        <w:gridCol w:w="1320"/>
        <w:gridCol w:w="686"/>
        <w:gridCol w:w="1252"/>
        <w:gridCol w:w="726"/>
        <w:gridCol w:w="1172"/>
        <w:gridCol w:w="605"/>
        <w:gridCol w:w="1414"/>
      </w:tblGrid>
      <w:tr w14:paraId="7F69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90" w:type="dxa"/>
            <w:vMerge w:val="restart"/>
            <w:tcBorders>
              <w:top w:val="single" w:color="000000" w:sz="12" w:space="0"/>
              <w:left w:val="single" w:color="000000" w:sz="12" w:space="0"/>
              <w:bottom w:val="single" w:color="000000" w:sz="4" w:space="0"/>
              <w:right w:val="single" w:color="000000" w:sz="4" w:space="0"/>
            </w:tcBorders>
            <w:noWrap/>
            <w:vAlign w:val="center"/>
          </w:tcPr>
          <w:p w14:paraId="20863166">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72" w:type="dxa"/>
            <w:gridSpan w:val="2"/>
            <w:tcBorders>
              <w:top w:val="single" w:color="000000" w:sz="12" w:space="0"/>
              <w:left w:val="single" w:color="000000" w:sz="4" w:space="0"/>
              <w:bottom w:val="single" w:color="000000" w:sz="4" w:space="0"/>
              <w:right w:val="single" w:color="000000" w:sz="4" w:space="0"/>
            </w:tcBorders>
            <w:noWrap/>
            <w:vAlign w:val="center"/>
          </w:tcPr>
          <w:p w14:paraId="56EEB17D">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1938" w:type="dxa"/>
            <w:gridSpan w:val="2"/>
            <w:tcBorders>
              <w:top w:val="single" w:color="000000" w:sz="12" w:space="0"/>
              <w:left w:val="single" w:color="000000" w:sz="4" w:space="0"/>
              <w:bottom w:val="single" w:color="000000" w:sz="4" w:space="0"/>
              <w:right w:val="single" w:color="000000" w:sz="4" w:space="0"/>
            </w:tcBorders>
            <w:noWrap/>
            <w:vAlign w:val="center"/>
          </w:tcPr>
          <w:p w14:paraId="4C761D5F">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1898" w:type="dxa"/>
            <w:gridSpan w:val="2"/>
            <w:tcBorders>
              <w:top w:val="single" w:color="000000" w:sz="12" w:space="0"/>
              <w:left w:val="single" w:color="000000" w:sz="4" w:space="0"/>
              <w:bottom w:val="single" w:color="000000" w:sz="4" w:space="0"/>
              <w:right w:val="single" w:color="000000" w:sz="4" w:space="0"/>
            </w:tcBorders>
            <w:noWrap/>
            <w:vAlign w:val="center"/>
          </w:tcPr>
          <w:p w14:paraId="2958B67B">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变电站/换流站</w:t>
            </w:r>
          </w:p>
        </w:tc>
        <w:tc>
          <w:tcPr>
            <w:tcW w:w="2019" w:type="dxa"/>
            <w:gridSpan w:val="2"/>
            <w:tcBorders>
              <w:top w:val="single" w:color="000000" w:sz="12" w:space="0"/>
              <w:left w:val="single" w:color="000000" w:sz="4" w:space="0"/>
              <w:bottom w:val="single" w:color="000000" w:sz="4" w:space="0"/>
              <w:right w:val="single" w:color="000000" w:sz="12" w:space="0"/>
            </w:tcBorders>
            <w:noWrap/>
            <w:vAlign w:val="center"/>
          </w:tcPr>
          <w:p w14:paraId="74A87DA1">
            <w:pPr>
              <w:keepNext w:val="0"/>
              <w:keepLines w:val="0"/>
              <w:widowControl/>
              <w:suppressLineNumbers w:val="0"/>
              <w:jc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周转仓</w:t>
            </w:r>
          </w:p>
        </w:tc>
      </w:tr>
      <w:tr w14:paraId="1F5A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90" w:type="dxa"/>
            <w:vMerge w:val="continue"/>
            <w:tcBorders>
              <w:top w:val="single" w:color="000000" w:sz="4" w:space="0"/>
              <w:left w:val="single" w:color="000000" w:sz="12" w:space="0"/>
              <w:bottom w:val="single" w:color="000000" w:sz="12" w:space="0"/>
              <w:right w:val="single" w:color="000000" w:sz="4" w:space="0"/>
            </w:tcBorders>
            <w:noWrap/>
            <w:vAlign w:val="center"/>
          </w:tcPr>
          <w:p w14:paraId="2D4972B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552" w:type="dxa"/>
            <w:tcBorders>
              <w:top w:val="single" w:color="000000" w:sz="4" w:space="0"/>
              <w:left w:val="single" w:color="000000" w:sz="4" w:space="0"/>
              <w:bottom w:val="single" w:color="000000" w:sz="12" w:space="0"/>
              <w:right w:val="single" w:color="000000" w:sz="4" w:space="0"/>
            </w:tcBorders>
            <w:noWrap/>
            <w:vAlign w:val="center"/>
          </w:tcPr>
          <w:p w14:paraId="22D983A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320" w:type="dxa"/>
            <w:tcBorders>
              <w:top w:val="single" w:color="000000" w:sz="4" w:space="0"/>
              <w:left w:val="single" w:color="000000" w:sz="4" w:space="0"/>
              <w:bottom w:val="single" w:color="000000" w:sz="12" w:space="0"/>
              <w:right w:val="single" w:color="000000" w:sz="4" w:space="0"/>
            </w:tcBorders>
            <w:noWrap/>
            <w:vAlign w:val="center"/>
          </w:tcPr>
          <w:p w14:paraId="77CD196D">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86" w:type="dxa"/>
            <w:tcBorders>
              <w:top w:val="single" w:color="000000" w:sz="4" w:space="0"/>
              <w:left w:val="single" w:color="000000" w:sz="4" w:space="0"/>
              <w:bottom w:val="single" w:color="000000" w:sz="12" w:space="0"/>
              <w:right w:val="single" w:color="000000" w:sz="4" w:space="0"/>
            </w:tcBorders>
            <w:noWrap/>
            <w:vAlign w:val="center"/>
          </w:tcPr>
          <w:p w14:paraId="510663A2">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52" w:type="dxa"/>
            <w:tcBorders>
              <w:top w:val="single" w:color="000000" w:sz="4" w:space="0"/>
              <w:left w:val="single" w:color="000000" w:sz="4" w:space="0"/>
              <w:bottom w:val="single" w:color="000000" w:sz="12" w:space="0"/>
              <w:right w:val="single" w:color="000000" w:sz="4" w:space="0"/>
            </w:tcBorders>
            <w:noWrap/>
            <w:vAlign w:val="center"/>
          </w:tcPr>
          <w:p w14:paraId="743F2EF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726" w:type="dxa"/>
            <w:tcBorders>
              <w:top w:val="single" w:color="000000" w:sz="4" w:space="0"/>
              <w:left w:val="single" w:color="000000" w:sz="4" w:space="0"/>
              <w:bottom w:val="single" w:color="000000" w:sz="12" w:space="0"/>
              <w:right w:val="single" w:color="000000" w:sz="4" w:space="0"/>
            </w:tcBorders>
            <w:noWrap/>
            <w:vAlign w:val="center"/>
          </w:tcPr>
          <w:p w14:paraId="0FAE55F3">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172" w:type="dxa"/>
            <w:tcBorders>
              <w:top w:val="single" w:color="000000" w:sz="4" w:space="0"/>
              <w:left w:val="single" w:color="000000" w:sz="4" w:space="0"/>
              <w:bottom w:val="single" w:color="000000" w:sz="12" w:space="0"/>
              <w:right w:val="single" w:color="000000" w:sz="4" w:space="0"/>
            </w:tcBorders>
            <w:noWrap/>
            <w:vAlign w:val="center"/>
          </w:tcPr>
          <w:p w14:paraId="1F8CF6F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05" w:type="dxa"/>
            <w:tcBorders>
              <w:top w:val="single" w:color="000000" w:sz="4" w:space="0"/>
              <w:left w:val="single" w:color="000000" w:sz="4" w:space="0"/>
              <w:bottom w:val="single" w:color="000000" w:sz="12" w:space="0"/>
              <w:right w:val="single" w:color="000000" w:sz="4" w:space="0"/>
            </w:tcBorders>
            <w:noWrap/>
            <w:vAlign w:val="center"/>
          </w:tcPr>
          <w:p w14:paraId="264EDC3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414" w:type="dxa"/>
            <w:tcBorders>
              <w:top w:val="single" w:color="000000" w:sz="4" w:space="0"/>
              <w:left w:val="single" w:color="000000" w:sz="4" w:space="0"/>
              <w:bottom w:val="single" w:color="000000" w:sz="12" w:space="0"/>
              <w:right w:val="single" w:color="000000" w:sz="12" w:space="0"/>
            </w:tcBorders>
            <w:noWrap/>
            <w:vAlign w:val="center"/>
          </w:tcPr>
          <w:p w14:paraId="7AA26A6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14:paraId="7412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890" w:type="dxa"/>
            <w:tcBorders>
              <w:top w:val="single" w:color="000000" w:sz="12" w:space="0"/>
              <w:left w:val="single" w:color="000000" w:sz="12" w:space="0"/>
              <w:bottom w:val="single" w:color="000000" w:sz="4" w:space="0"/>
              <w:right w:val="single" w:color="000000" w:sz="4" w:space="0"/>
            </w:tcBorders>
            <w:noWrap/>
            <w:vAlign w:val="center"/>
          </w:tcPr>
          <w:p w14:paraId="5A405E6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生活泵、喷淋泵、水幕泵、雨淋泵、消防泵</w:t>
            </w:r>
          </w:p>
        </w:tc>
        <w:tc>
          <w:tcPr>
            <w:tcW w:w="552" w:type="dxa"/>
            <w:tcBorders>
              <w:top w:val="single" w:color="000000" w:sz="12" w:space="0"/>
              <w:left w:val="single" w:color="000000" w:sz="4" w:space="0"/>
              <w:bottom w:val="single" w:color="000000" w:sz="4" w:space="0"/>
              <w:right w:val="single" w:color="000000" w:sz="4" w:space="0"/>
            </w:tcBorders>
            <w:noWrap/>
            <w:vAlign w:val="center"/>
          </w:tcPr>
          <w:p w14:paraId="7E3ACE4D">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12" w:space="0"/>
              <w:left w:val="single" w:color="000000" w:sz="4" w:space="0"/>
              <w:bottom w:val="single" w:color="000000" w:sz="4" w:space="0"/>
              <w:right w:val="single" w:color="000000" w:sz="4" w:space="0"/>
            </w:tcBorders>
            <w:noWrap/>
            <w:vAlign w:val="center"/>
          </w:tcPr>
          <w:p w14:paraId="52B1A1D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86" w:type="dxa"/>
            <w:tcBorders>
              <w:top w:val="single" w:color="000000" w:sz="12" w:space="0"/>
              <w:left w:val="single" w:color="000000" w:sz="4" w:space="0"/>
              <w:bottom w:val="single" w:color="000000" w:sz="4" w:space="0"/>
              <w:right w:val="single" w:color="000000" w:sz="4" w:space="0"/>
            </w:tcBorders>
            <w:noWrap/>
            <w:vAlign w:val="center"/>
          </w:tcPr>
          <w:p w14:paraId="21FF795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12" w:space="0"/>
              <w:left w:val="single" w:color="000000" w:sz="4" w:space="0"/>
              <w:bottom w:val="single" w:color="000000" w:sz="4" w:space="0"/>
              <w:right w:val="single" w:color="000000" w:sz="4" w:space="0"/>
            </w:tcBorders>
            <w:noWrap/>
            <w:vAlign w:val="center"/>
          </w:tcPr>
          <w:p w14:paraId="44172BD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726" w:type="dxa"/>
            <w:tcBorders>
              <w:top w:val="single" w:color="000000" w:sz="12" w:space="0"/>
              <w:left w:val="single" w:color="000000" w:sz="4" w:space="0"/>
              <w:bottom w:val="single" w:color="000000" w:sz="4" w:space="0"/>
              <w:right w:val="single" w:color="000000" w:sz="4" w:space="0"/>
            </w:tcBorders>
            <w:noWrap/>
            <w:vAlign w:val="center"/>
          </w:tcPr>
          <w:p w14:paraId="462C5D16">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12" w:space="0"/>
              <w:left w:val="single" w:color="000000" w:sz="4" w:space="0"/>
              <w:bottom w:val="single" w:color="000000" w:sz="4" w:space="0"/>
              <w:right w:val="single" w:color="000000" w:sz="4" w:space="0"/>
            </w:tcBorders>
            <w:noWrap/>
            <w:vAlign w:val="center"/>
          </w:tcPr>
          <w:p w14:paraId="415E7BA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05" w:type="dxa"/>
            <w:tcBorders>
              <w:top w:val="single" w:color="000000" w:sz="12" w:space="0"/>
              <w:left w:val="single" w:color="000000" w:sz="4" w:space="0"/>
              <w:bottom w:val="single" w:color="000000" w:sz="4" w:space="0"/>
              <w:right w:val="single" w:color="000000" w:sz="4" w:space="0"/>
            </w:tcBorders>
            <w:noWrap/>
            <w:vAlign w:val="center"/>
          </w:tcPr>
          <w:p w14:paraId="1C0A5484">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12" w:space="0"/>
              <w:left w:val="single" w:color="000000" w:sz="4" w:space="0"/>
              <w:bottom w:val="single" w:color="000000" w:sz="4" w:space="0"/>
              <w:right w:val="single" w:color="000000" w:sz="12" w:space="0"/>
            </w:tcBorders>
            <w:noWrap/>
            <w:vAlign w:val="center"/>
          </w:tcPr>
          <w:p w14:paraId="33C55063">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r>
      <w:tr w14:paraId="34F0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jc w:val="center"/>
        </w:trPr>
        <w:tc>
          <w:tcPr>
            <w:tcW w:w="890" w:type="dxa"/>
            <w:tcBorders>
              <w:top w:val="single" w:color="000000" w:sz="4" w:space="0"/>
              <w:left w:val="single" w:color="000000" w:sz="12" w:space="0"/>
              <w:bottom w:val="single" w:color="000000" w:sz="4" w:space="0"/>
              <w:right w:val="single" w:color="000000" w:sz="4" w:space="0"/>
            </w:tcBorders>
            <w:noWrap/>
            <w:vAlign w:val="center"/>
          </w:tcPr>
          <w:p w14:paraId="024E2F6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配电柜</w:t>
            </w:r>
          </w:p>
        </w:tc>
        <w:tc>
          <w:tcPr>
            <w:tcW w:w="552" w:type="dxa"/>
            <w:tcBorders>
              <w:top w:val="single" w:color="000000" w:sz="4" w:space="0"/>
              <w:left w:val="single" w:color="000000" w:sz="4" w:space="0"/>
              <w:bottom w:val="single" w:color="000000" w:sz="4" w:space="0"/>
              <w:right w:val="single" w:color="000000" w:sz="4" w:space="0"/>
            </w:tcBorders>
            <w:noWrap/>
            <w:vAlign w:val="center"/>
          </w:tcPr>
          <w:p w14:paraId="7BF3E2F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783F7D">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73299BC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4" w:space="0"/>
              <w:left w:val="single" w:color="000000" w:sz="4" w:space="0"/>
              <w:bottom w:val="single" w:color="000000" w:sz="4" w:space="0"/>
              <w:right w:val="single" w:color="000000" w:sz="4" w:space="0"/>
            </w:tcBorders>
            <w:noWrap/>
            <w:vAlign w:val="center"/>
          </w:tcPr>
          <w:p w14:paraId="0C1B32B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174FE61">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4" w:space="0"/>
              <w:left w:val="single" w:color="000000" w:sz="4" w:space="0"/>
              <w:bottom w:val="single" w:color="000000" w:sz="4" w:space="0"/>
              <w:right w:val="single" w:color="000000" w:sz="4" w:space="0"/>
            </w:tcBorders>
            <w:noWrap/>
            <w:vAlign w:val="center"/>
          </w:tcPr>
          <w:p w14:paraId="1DB8FA2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605" w:type="dxa"/>
            <w:tcBorders>
              <w:top w:val="single" w:color="000000" w:sz="4" w:space="0"/>
              <w:left w:val="single" w:color="000000" w:sz="4" w:space="0"/>
              <w:bottom w:val="single" w:color="000000" w:sz="4" w:space="0"/>
              <w:right w:val="single" w:color="000000" w:sz="4" w:space="0"/>
            </w:tcBorders>
            <w:noWrap/>
            <w:vAlign w:val="center"/>
          </w:tcPr>
          <w:p w14:paraId="035217B9">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4" w:space="0"/>
              <w:left w:val="single" w:color="000000" w:sz="4" w:space="0"/>
              <w:bottom w:val="single" w:color="000000" w:sz="4" w:space="0"/>
              <w:right w:val="single" w:color="000000" w:sz="12" w:space="0"/>
            </w:tcBorders>
            <w:noWrap/>
            <w:vAlign w:val="center"/>
          </w:tcPr>
          <w:p w14:paraId="2CC43727">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r>
      <w:tr w14:paraId="2FAB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jc w:val="center"/>
        </w:trPr>
        <w:tc>
          <w:tcPr>
            <w:tcW w:w="890" w:type="dxa"/>
            <w:tcBorders>
              <w:top w:val="single" w:color="000000" w:sz="4" w:space="0"/>
              <w:left w:val="single" w:color="000000" w:sz="12" w:space="0"/>
              <w:bottom w:val="single" w:color="000000" w:sz="12" w:space="0"/>
              <w:right w:val="single" w:color="000000" w:sz="4" w:space="0"/>
            </w:tcBorders>
            <w:noWrap/>
            <w:vAlign w:val="center"/>
          </w:tcPr>
          <w:p w14:paraId="59040CC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水箱水池</w:t>
            </w:r>
          </w:p>
        </w:tc>
        <w:tc>
          <w:tcPr>
            <w:tcW w:w="552" w:type="dxa"/>
            <w:tcBorders>
              <w:top w:val="single" w:color="000000" w:sz="4" w:space="0"/>
              <w:left w:val="single" w:color="000000" w:sz="4" w:space="0"/>
              <w:bottom w:val="single" w:color="000000" w:sz="12" w:space="0"/>
              <w:right w:val="single" w:color="000000" w:sz="4" w:space="0"/>
            </w:tcBorders>
            <w:noWrap/>
            <w:vAlign w:val="center"/>
          </w:tcPr>
          <w:p w14:paraId="612E03E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4" w:space="0"/>
              <w:left w:val="single" w:color="000000" w:sz="4" w:space="0"/>
              <w:bottom w:val="single" w:color="000000" w:sz="12" w:space="0"/>
              <w:right w:val="single" w:color="000000" w:sz="4" w:space="0"/>
            </w:tcBorders>
            <w:noWrap/>
            <w:vAlign w:val="center"/>
          </w:tcPr>
          <w:p w14:paraId="285FEF7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无漏水，箱口、通气管理防虫纱网是否完好、水箱水池盖板是否上锁，水位正常</w:t>
            </w:r>
          </w:p>
        </w:tc>
        <w:tc>
          <w:tcPr>
            <w:tcW w:w="686" w:type="dxa"/>
            <w:tcBorders>
              <w:top w:val="single" w:color="000000" w:sz="4" w:space="0"/>
              <w:left w:val="single" w:color="000000" w:sz="4" w:space="0"/>
              <w:bottom w:val="single" w:color="000000" w:sz="12" w:space="0"/>
              <w:right w:val="single" w:color="000000" w:sz="4" w:space="0"/>
            </w:tcBorders>
            <w:noWrap/>
            <w:vAlign w:val="center"/>
          </w:tcPr>
          <w:p w14:paraId="1FEC621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4" w:space="0"/>
              <w:left w:val="single" w:color="000000" w:sz="4" w:space="0"/>
              <w:bottom w:val="single" w:color="000000" w:sz="12" w:space="0"/>
              <w:right w:val="single" w:color="000000" w:sz="4" w:space="0"/>
            </w:tcBorders>
            <w:noWrap/>
            <w:vAlign w:val="center"/>
          </w:tcPr>
          <w:p w14:paraId="13249F3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无漏水，箱口、通气管理防虫纱网是否完好、水箱水池盖板是否上锁，水位正常</w:t>
            </w:r>
          </w:p>
        </w:tc>
        <w:tc>
          <w:tcPr>
            <w:tcW w:w="726" w:type="dxa"/>
            <w:tcBorders>
              <w:top w:val="single" w:color="000000" w:sz="4" w:space="0"/>
              <w:left w:val="single" w:color="000000" w:sz="4" w:space="0"/>
              <w:bottom w:val="single" w:color="000000" w:sz="12" w:space="0"/>
              <w:right w:val="single" w:color="000000" w:sz="4" w:space="0"/>
            </w:tcBorders>
            <w:noWrap/>
            <w:vAlign w:val="center"/>
          </w:tcPr>
          <w:p w14:paraId="6410378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4" w:space="0"/>
              <w:left w:val="single" w:color="000000" w:sz="4" w:space="0"/>
              <w:bottom w:val="single" w:color="000000" w:sz="12" w:space="0"/>
              <w:right w:val="single" w:color="000000" w:sz="4" w:space="0"/>
            </w:tcBorders>
            <w:noWrap/>
            <w:vAlign w:val="center"/>
          </w:tcPr>
          <w:p w14:paraId="0CCD1E02">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无漏水，箱口、通气管理防虫纱网是否完好、水箱盖板是否上锁，水位正常</w:t>
            </w:r>
          </w:p>
        </w:tc>
        <w:tc>
          <w:tcPr>
            <w:tcW w:w="605" w:type="dxa"/>
            <w:tcBorders>
              <w:top w:val="single" w:color="000000" w:sz="4" w:space="0"/>
              <w:left w:val="single" w:color="000000" w:sz="4" w:space="0"/>
              <w:bottom w:val="single" w:color="000000" w:sz="12" w:space="0"/>
              <w:right w:val="single" w:color="000000" w:sz="4" w:space="0"/>
            </w:tcBorders>
            <w:noWrap/>
            <w:vAlign w:val="center"/>
          </w:tcPr>
          <w:p w14:paraId="3C7255C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4" w:space="0"/>
              <w:left w:val="single" w:color="000000" w:sz="4" w:space="0"/>
              <w:bottom w:val="single" w:color="000000" w:sz="12" w:space="0"/>
              <w:right w:val="single" w:color="000000" w:sz="12" w:space="0"/>
            </w:tcBorders>
            <w:noWrap/>
            <w:vAlign w:val="center"/>
          </w:tcPr>
          <w:p w14:paraId="350CF2C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无漏水，箱口、通气管理防虫纱网是否完好、水箱盖板是否上锁，水位正常</w:t>
            </w:r>
          </w:p>
        </w:tc>
      </w:tr>
    </w:tbl>
    <w:p w14:paraId="78286AD8">
      <w:pPr>
        <w:rPr>
          <w:rFonts w:hint="eastAsia"/>
          <w:color w:val="auto"/>
          <w:highlight w:val="none"/>
          <w:lang w:val="en-US" w:eastAsia="zh-CN"/>
        </w:rPr>
      </w:pPr>
    </w:p>
    <w:p w14:paraId="407C5E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color w:val="auto"/>
          <w:sz w:val="24"/>
          <w:szCs w:val="24"/>
          <w:highlight w:val="none"/>
          <w:lang w:val="en-US" w:eastAsia="zh-CN"/>
        </w:rPr>
      </w:pPr>
      <w:bookmarkStart w:id="308" w:name="_Toc28222"/>
      <w:bookmarkStart w:id="309" w:name="_Toc27309"/>
      <w:r>
        <w:rPr>
          <w:rFonts w:hint="eastAsia" w:ascii="Times New Roman" w:hAnsi="Times New Roman" w:eastAsia="宋体" w:cs="Times New Roman"/>
          <w:b/>
          <w:bCs/>
          <w:i w:val="0"/>
          <w:color w:val="auto"/>
          <w:kern w:val="2"/>
          <w:sz w:val="24"/>
          <w:szCs w:val="24"/>
          <w:highlight w:val="none"/>
          <w:lang w:val="en-US" w:eastAsia="zh-CN" w:bidi="ar-SA"/>
        </w:rPr>
        <w:t xml:space="preserve">9.3.3 </w:t>
      </w:r>
      <w:r>
        <w:rPr>
          <w:rFonts w:hint="eastAsia" w:ascii="宋体" w:hAnsi="宋体" w:eastAsia="宋体" w:cs="宋体"/>
          <w:color w:val="auto"/>
          <w:sz w:val="24"/>
          <w:szCs w:val="24"/>
          <w:highlight w:val="none"/>
          <w:lang w:val="en-US" w:eastAsia="zh-CN"/>
        </w:rPr>
        <w:t xml:space="preserve"> 排水系统应包括但不限于以下主要内容：</w:t>
      </w:r>
      <w:bookmarkEnd w:id="308"/>
      <w:bookmarkEnd w:id="309"/>
    </w:p>
    <w:p w14:paraId="52022C6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排水排污泵应定期巡查运行情况并做好记录，</w:t>
      </w:r>
      <w:r>
        <w:rPr>
          <w:rFonts w:hint="eastAsia" w:ascii="宋体" w:hAnsi="宋体" w:eastAsia="宋体" w:cs="宋体"/>
          <w:color w:val="auto"/>
          <w:sz w:val="24"/>
          <w:szCs w:val="24"/>
          <w:highlight w:val="none"/>
          <w:lang w:val="en-US" w:eastAsia="zh-CN" w:bidi="ar-SA"/>
        </w:rPr>
        <w:t>巡查要求见表9.3.3</w:t>
      </w:r>
      <w:r>
        <w:rPr>
          <w:rFonts w:hint="eastAsia" w:ascii="宋体" w:hAnsi="宋体" w:eastAsia="宋体" w:cs="宋体"/>
          <w:color w:val="auto"/>
          <w:sz w:val="24"/>
          <w:szCs w:val="24"/>
          <w:highlight w:val="none"/>
          <w:lang w:val="en-US" w:eastAsia="zh-CN"/>
        </w:rPr>
        <w:t>；</w:t>
      </w:r>
    </w:p>
    <w:p w14:paraId="1C5A741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应保障排水排污正常运行、沉淀药水补充充足，排水无堵塞、无超标；</w:t>
      </w:r>
    </w:p>
    <w:p w14:paraId="2234932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化粪池巡查每月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1次，化粪池清理每半年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1次，若出现淤积应马上清理；</w:t>
      </w:r>
    </w:p>
    <w:p w14:paraId="45974A49">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集水坑、污水池每月清理1次、每周巡查</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次，发现问题应及时处理并定期巡查窖井井盖，发现凹陷、破损、缺失及时处理；日常巡查沟、渠、池、井、地下给排水管道，发现堵塞及时进行疏通清洗；</w:t>
      </w:r>
    </w:p>
    <w:p w14:paraId="262D483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cs="宋体"/>
          <w:color w:val="auto"/>
          <w:sz w:val="24"/>
          <w:szCs w:val="24"/>
          <w:highlight w:val="none"/>
          <w:lang w:val="en-US" w:eastAsia="zh-CN"/>
        </w:rPr>
        <w:t>台风、暴雨等特殊天气来临行前后</w:t>
      </w:r>
      <w:r>
        <w:rPr>
          <w:rFonts w:hint="eastAsia" w:ascii="宋体" w:hAnsi="宋体" w:eastAsia="宋体" w:cs="宋体"/>
          <w:color w:val="auto"/>
          <w:sz w:val="24"/>
          <w:szCs w:val="24"/>
          <w:highlight w:val="none"/>
          <w:lang w:val="en-US" w:eastAsia="zh-CN"/>
        </w:rPr>
        <w:t>及时对主要排水口、管井进行检查</w:t>
      </w:r>
      <w:r>
        <w:rPr>
          <w:rFonts w:hint="eastAsia" w:ascii="宋体" w:hAnsi="宋体" w:cs="宋体"/>
          <w:color w:val="auto"/>
          <w:sz w:val="24"/>
          <w:szCs w:val="24"/>
          <w:highlight w:val="none"/>
          <w:lang w:val="en-US" w:eastAsia="zh-CN"/>
        </w:rPr>
        <w:t>；宜</w:t>
      </w:r>
      <w:r>
        <w:rPr>
          <w:rFonts w:hint="eastAsia" w:ascii="宋体" w:hAnsi="宋体" w:eastAsia="宋体" w:cs="宋体"/>
          <w:color w:val="auto"/>
          <w:sz w:val="24"/>
          <w:szCs w:val="24"/>
          <w:highlight w:val="none"/>
          <w:lang w:val="en-US" w:eastAsia="zh-CN"/>
        </w:rPr>
        <w:t>根据车库出入口高度、城市主干道高差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有无遮雨棚、城市排水系统状态</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配置适量防洪挡板、防洪沙等设施，</w:t>
      </w:r>
      <w:r>
        <w:rPr>
          <w:rFonts w:hint="eastAsia" w:ascii="宋体" w:hAnsi="宋体" w:cs="宋体"/>
          <w:color w:val="auto"/>
          <w:sz w:val="24"/>
          <w:szCs w:val="24"/>
          <w:highlight w:val="none"/>
          <w:lang w:val="en-US" w:eastAsia="zh-CN"/>
        </w:rPr>
        <w:t>当</w:t>
      </w:r>
      <w:r>
        <w:rPr>
          <w:rFonts w:hint="eastAsia" w:ascii="宋体" w:hAnsi="宋体" w:eastAsia="宋体" w:cs="宋体"/>
          <w:color w:val="auto"/>
          <w:sz w:val="24"/>
          <w:szCs w:val="24"/>
          <w:highlight w:val="none"/>
          <w:lang w:val="en-US" w:eastAsia="zh-CN"/>
        </w:rPr>
        <w:t>降雨过程排水出现异常情况，应立即启动相应的应急预案；</w:t>
      </w:r>
    </w:p>
    <w:p w14:paraId="2DAE945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楼宇内设有厨房、餐厅应安装污水处理设施或设备，对污水处理设备及隔油池进行定期维护保养，对污水排放进行抽样检查，发现异常及时报告处理。</w:t>
      </w:r>
    </w:p>
    <w:p w14:paraId="61666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color w:val="auto"/>
          <w:sz w:val="24"/>
          <w:szCs w:val="24"/>
          <w:highlight w:val="none"/>
          <w:lang w:val="en-US" w:eastAsia="zh-CN"/>
        </w:rPr>
      </w:pPr>
      <w:bookmarkStart w:id="310" w:name="_Toc25922"/>
      <w:bookmarkStart w:id="311" w:name="_Toc26605"/>
      <w:r>
        <w:rPr>
          <w:rFonts w:hint="eastAsia" w:ascii="Times New Roman" w:hAnsi="Times New Roman" w:eastAsia="宋体" w:cs="Times New Roman"/>
          <w:b/>
          <w:bCs/>
          <w:i w:val="0"/>
          <w:color w:val="auto"/>
          <w:kern w:val="2"/>
          <w:sz w:val="24"/>
          <w:szCs w:val="24"/>
          <w:highlight w:val="none"/>
          <w:lang w:val="en-US" w:eastAsia="zh-CN" w:bidi="ar-SA"/>
        </w:rPr>
        <w:t>9.3.</w:t>
      </w:r>
      <w:r>
        <w:rPr>
          <w:rFonts w:hint="eastAsia" w:ascii="Times New Roman" w:hAnsi="Times New Roman" w:cs="Times New Roman"/>
          <w:b/>
          <w:bCs/>
          <w:i w:val="0"/>
          <w:color w:val="auto"/>
          <w:kern w:val="2"/>
          <w:sz w:val="24"/>
          <w:szCs w:val="24"/>
          <w:highlight w:val="none"/>
          <w:lang w:val="en-US" w:eastAsia="zh-CN" w:bidi="ar-SA"/>
        </w:rPr>
        <w:t>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给排水系统维护保养内容见附录B。</w:t>
      </w:r>
      <w:bookmarkEnd w:id="310"/>
      <w:bookmarkEnd w:id="311"/>
    </w:p>
    <w:p w14:paraId="32E6AA3D">
      <w:pPr>
        <w:pStyle w:val="8"/>
        <w:tabs>
          <w:tab w:val="left" w:pos="420"/>
        </w:tabs>
        <w:spacing w:before="312" w:beforeLines="100" w:after="0" w:line="240" w:lineRule="auto"/>
        <w:jc w:val="center"/>
        <w:outlineLvl w:val="2"/>
        <w:rPr>
          <w:rFonts w:hint="eastAsia" w:ascii="Times New Roman" w:hAnsi="Times New Roman" w:eastAsia="黑体" w:cs="Times New Roman"/>
          <w:bCs w:val="0"/>
          <w:sz w:val="21"/>
          <w:szCs w:val="24"/>
          <w:highlight w:val="none"/>
          <w:lang w:val="en-US" w:eastAsia="zh-CN"/>
        </w:rPr>
      </w:pPr>
      <w:bookmarkStart w:id="312" w:name="_Toc19005"/>
      <w:bookmarkStart w:id="313" w:name="_Toc1943"/>
      <w:r>
        <w:rPr>
          <w:rFonts w:hint="eastAsia" w:ascii="Times New Roman" w:hAnsi="Times New Roman" w:eastAsia="黑体" w:cs="Times New Roman"/>
          <w:bCs w:val="0"/>
          <w:sz w:val="21"/>
          <w:szCs w:val="24"/>
          <w:highlight w:val="none"/>
          <w:lang w:val="en-US" w:eastAsia="zh-CN"/>
        </w:rPr>
        <w:t>表9.3.3  项目主要分类服务标准—排水设备设施巡查维护</w:t>
      </w:r>
      <w:bookmarkEnd w:id="312"/>
      <w:bookmarkEnd w:id="313"/>
    </w:p>
    <w:tbl>
      <w:tblPr>
        <w:tblStyle w:val="38"/>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
        <w:gridCol w:w="621"/>
        <w:gridCol w:w="1214"/>
        <w:gridCol w:w="644"/>
        <w:gridCol w:w="1302"/>
        <w:gridCol w:w="580"/>
        <w:gridCol w:w="1214"/>
        <w:gridCol w:w="566"/>
        <w:gridCol w:w="1189"/>
      </w:tblGrid>
      <w:tr w14:paraId="7EAC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068" w:type="dxa"/>
            <w:vMerge w:val="restart"/>
            <w:tcBorders>
              <w:top w:val="single" w:color="000000" w:sz="12" w:space="0"/>
              <w:left w:val="single" w:color="000000" w:sz="12" w:space="0"/>
              <w:bottom w:val="single" w:color="000000" w:sz="4" w:space="0"/>
              <w:right w:val="single" w:color="000000" w:sz="4" w:space="0"/>
            </w:tcBorders>
            <w:noWrap/>
            <w:vAlign w:val="center"/>
          </w:tcPr>
          <w:p w14:paraId="23B9EF36">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35" w:type="dxa"/>
            <w:gridSpan w:val="2"/>
            <w:tcBorders>
              <w:top w:val="single" w:color="000000" w:sz="12" w:space="0"/>
              <w:left w:val="single" w:color="000000" w:sz="4" w:space="0"/>
              <w:bottom w:val="single" w:color="000000" w:sz="4" w:space="0"/>
              <w:right w:val="single" w:color="000000" w:sz="4" w:space="0"/>
            </w:tcBorders>
            <w:noWrap/>
            <w:vAlign w:val="center"/>
          </w:tcPr>
          <w:p w14:paraId="69C0BB05">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1946" w:type="dxa"/>
            <w:gridSpan w:val="2"/>
            <w:tcBorders>
              <w:top w:val="single" w:color="000000" w:sz="12" w:space="0"/>
              <w:left w:val="single" w:color="000000" w:sz="4" w:space="0"/>
              <w:bottom w:val="single" w:color="000000" w:sz="4" w:space="0"/>
              <w:right w:val="single" w:color="000000" w:sz="4" w:space="0"/>
            </w:tcBorders>
            <w:noWrap/>
            <w:vAlign w:val="center"/>
          </w:tcPr>
          <w:p w14:paraId="48C3A346">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1794" w:type="dxa"/>
            <w:gridSpan w:val="2"/>
            <w:tcBorders>
              <w:top w:val="single" w:color="000000" w:sz="12" w:space="0"/>
              <w:left w:val="single" w:color="000000" w:sz="4" w:space="0"/>
              <w:bottom w:val="single" w:color="000000" w:sz="4" w:space="0"/>
              <w:right w:val="single" w:color="000000" w:sz="4" w:space="0"/>
            </w:tcBorders>
            <w:noWrap/>
            <w:vAlign w:val="center"/>
          </w:tcPr>
          <w:p w14:paraId="311C3627">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变电站/换流站</w:t>
            </w:r>
          </w:p>
        </w:tc>
        <w:tc>
          <w:tcPr>
            <w:tcW w:w="1755" w:type="dxa"/>
            <w:gridSpan w:val="2"/>
            <w:tcBorders>
              <w:top w:val="single" w:color="000000" w:sz="12" w:space="0"/>
              <w:left w:val="single" w:color="000000" w:sz="4" w:space="0"/>
              <w:bottom w:val="single" w:color="000000" w:sz="4" w:space="0"/>
              <w:right w:val="single" w:color="000000" w:sz="12" w:space="0"/>
            </w:tcBorders>
            <w:noWrap/>
            <w:vAlign w:val="center"/>
          </w:tcPr>
          <w:p w14:paraId="091CFECC">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周转仓</w:t>
            </w:r>
          </w:p>
        </w:tc>
      </w:tr>
      <w:tr w14:paraId="1703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068" w:type="dxa"/>
            <w:vMerge w:val="continue"/>
            <w:tcBorders>
              <w:top w:val="single" w:color="000000" w:sz="4" w:space="0"/>
              <w:left w:val="single" w:color="000000" w:sz="12" w:space="0"/>
              <w:bottom w:val="single" w:color="000000" w:sz="4" w:space="0"/>
              <w:right w:val="single" w:color="000000" w:sz="4" w:space="0"/>
            </w:tcBorders>
            <w:noWrap/>
            <w:vAlign w:val="center"/>
          </w:tcPr>
          <w:p w14:paraId="27BB8E46">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5E5A834D">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713F18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B398C4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4761A52">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1D6779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7801BAF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66" w:type="dxa"/>
            <w:tcBorders>
              <w:top w:val="single" w:color="000000" w:sz="4" w:space="0"/>
              <w:left w:val="single" w:color="000000" w:sz="4" w:space="0"/>
              <w:bottom w:val="single" w:color="000000" w:sz="4" w:space="0"/>
              <w:right w:val="single" w:color="000000" w:sz="4" w:space="0"/>
            </w:tcBorders>
            <w:noWrap/>
            <w:vAlign w:val="center"/>
          </w:tcPr>
          <w:p w14:paraId="4A1586E3">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189" w:type="dxa"/>
            <w:tcBorders>
              <w:top w:val="single" w:color="000000" w:sz="4" w:space="0"/>
              <w:left w:val="single" w:color="000000" w:sz="4" w:space="0"/>
              <w:bottom w:val="single" w:color="000000" w:sz="4" w:space="0"/>
              <w:right w:val="single" w:color="000000" w:sz="12" w:space="0"/>
            </w:tcBorders>
            <w:noWrap/>
            <w:vAlign w:val="center"/>
          </w:tcPr>
          <w:p w14:paraId="3639835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14:paraId="3C0D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3" w:hRule="atLeast"/>
          <w:jc w:val="center"/>
        </w:trPr>
        <w:tc>
          <w:tcPr>
            <w:tcW w:w="1068" w:type="dxa"/>
            <w:tcBorders>
              <w:top w:val="single" w:color="000000" w:sz="4" w:space="0"/>
              <w:left w:val="single" w:color="000000" w:sz="12" w:space="0"/>
              <w:bottom w:val="single" w:color="000000" w:sz="4" w:space="0"/>
              <w:right w:val="single" w:color="000000" w:sz="4" w:space="0"/>
            </w:tcBorders>
            <w:noWrap/>
            <w:vAlign w:val="center"/>
          </w:tcPr>
          <w:p w14:paraId="53BE023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排水、排污泵</w:t>
            </w: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4B15036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6E4401B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D870EE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900B2F3">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3D3B616E">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0A830F8">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566" w:type="dxa"/>
            <w:tcBorders>
              <w:top w:val="single" w:color="000000" w:sz="4" w:space="0"/>
              <w:left w:val="single" w:color="000000" w:sz="4" w:space="0"/>
              <w:bottom w:val="single" w:color="000000" w:sz="4" w:space="0"/>
              <w:right w:val="single" w:color="000000" w:sz="4" w:space="0"/>
            </w:tcBorders>
            <w:noWrap/>
            <w:vAlign w:val="center"/>
          </w:tcPr>
          <w:p w14:paraId="31937FA5">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巡查≥1次/2周</w:t>
            </w:r>
          </w:p>
        </w:tc>
        <w:tc>
          <w:tcPr>
            <w:tcW w:w="1189" w:type="dxa"/>
            <w:tcBorders>
              <w:top w:val="single" w:color="000000" w:sz="4" w:space="0"/>
              <w:left w:val="single" w:color="000000" w:sz="4" w:space="0"/>
              <w:bottom w:val="single" w:color="000000" w:sz="4" w:space="0"/>
              <w:right w:val="single" w:color="000000" w:sz="12" w:space="0"/>
            </w:tcBorders>
            <w:noWrap/>
            <w:vAlign w:val="center"/>
          </w:tcPr>
          <w:p w14:paraId="3518D14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r>
      <w:tr w14:paraId="2FC3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068" w:type="dxa"/>
            <w:tcBorders>
              <w:top w:val="single" w:color="000000" w:sz="4" w:space="0"/>
              <w:left w:val="single" w:color="000000" w:sz="12" w:space="0"/>
              <w:bottom w:val="single" w:color="000000" w:sz="12" w:space="0"/>
              <w:right w:val="single" w:color="000000" w:sz="4" w:space="0"/>
            </w:tcBorders>
            <w:noWrap/>
            <w:vAlign w:val="center"/>
          </w:tcPr>
          <w:p w14:paraId="34DEDFB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隔油池</w:t>
            </w:r>
          </w:p>
        </w:tc>
        <w:tc>
          <w:tcPr>
            <w:tcW w:w="621" w:type="dxa"/>
            <w:tcBorders>
              <w:top w:val="single" w:color="000000" w:sz="4" w:space="0"/>
              <w:left w:val="single" w:color="000000" w:sz="4" w:space="0"/>
              <w:bottom w:val="single" w:color="000000" w:sz="12" w:space="0"/>
              <w:right w:val="single" w:color="000000" w:sz="4" w:space="0"/>
            </w:tcBorders>
            <w:noWrap/>
            <w:vAlign w:val="center"/>
          </w:tcPr>
          <w:p w14:paraId="63ECC4AF">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214" w:type="dxa"/>
            <w:tcBorders>
              <w:top w:val="single" w:color="000000" w:sz="4" w:space="0"/>
              <w:left w:val="single" w:color="000000" w:sz="4" w:space="0"/>
              <w:bottom w:val="single" w:color="000000" w:sz="12" w:space="0"/>
              <w:right w:val="single" w:color="000000" w:sz="4" w:space="0"/>
            </w:tcBorders>
            <w:noWrap/>
            <w:vAlign w:val="center"/>
          </w:tcPr>
          <w:p w14:paraId="27CDE491">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644" w:type="dxa"/>
            <w:tcBorders>
              <w:top w:val="single" w:color="000000" w:sz="4" w:space="0"/>
              <w:left w:val="single" w:color="000000" w:sz="4" w:space="0"/>
              <w:bottom w:val="single" w:color="000000" w:sz="12" w:space="0"/>
              <w:right w:val="single" w:color="000000" w:sz="4" w:space="0"/>
            </w:tcBorders>
            <w:noWrap/>
            <w:vAlign w:val="center"/>
          </w:tcPr>
          <w:p w14:paraId="4240384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302" w:type="dxa"/>
            <w:tcBorders>
              <w:top w:val="single" w:color="000000" w:sz="4" w:space="0"/>
              <w:left w:val="single" w:color="000000" w:sz="4" w:space="0"/>
              <w:bottom w:val="single" w:color="000000" w:sz="12" w:space="0"/>
              <w:right w:val="single" w:color="000000" w:sz="4" w:space="0"/>
            </w:tcBorders>
            <w:noWrap/>
            <w:vAlign w:val="center"/>
          </w:tcPr>
          <w:p w14:paraId="4F4BC30E">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580" w:type="dxa"/>
            <w:tcBorders>
              <w:top w:val="single" w:color="000000" w:sz="4" w:space="0"/>
              <w:left w:val="single" w:color="000000" w:sz="4" w:space="0"/>
              <w:bottom w:val="single" w:color="000000" w:sz="12" w:space="0"/>
              <w:right w:val="single" w:color="000000" w:sz="4" w:space="0"/>
            </w:tcBorders>
            <w:noWrap/>
            <w:vAlign w:val="center"/>
          </w:tcPr>
          <w:p w14:paraId="48EA3F7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214" w:type="dxa"/>
            <w:tcBorders>
              <w:top w:val="single" w:color="000000" w:sz="4" w:space="0"/>
              <w:left w:val="single" w:color="000000" w:sz="4" w:space="0"/>
              <w:bottom w:val="single" w:color="000000" w:sz="12" w:space="0"/>
              <w:right w:val="single" w:color="000000" w:sz="4" w:space="0"/>
            </w:tcBorders>
            <w:noWrap/>
            <w:vAlign w:val="center"/>
          </w:tcPr>
          <w:p w14:paraId="5CAD29E7">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566" w:type="dxa"/>
            <w:tcBorders>
              <w:top w:val="single" w:color="000000" w:sz="4" w:space="0"/>
              <w:left w:val="single" w:color="000000" w:sz="4" w:space="0"/>
              <w:bottom w:val="single" w:color="000000" w:sz="12" w:space="0"/>
              <w:right w:val="single" w:color="000000" w:sz="4" w:space="0"/>
            </w:tcBorders>
            <w:noWrap/>
            <w:vAlign w:val="center"/>
          </w:tcPr>
          <w:p w14:paraId="2C7DABA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189" w:type="dxa"/>
            <w:tcBorders>
              <w:top w:val="single" w:color="000000" w:sz="4" w:space="0"/>
              <w:left w:val="single" w:color="000000" w:sz="4" w:space="0"/>
              <w:bottom w:val="single" w:color="000000" w:sz="12" w:space="0"/>
              <w:right w:val="single" w:color="000000" w:sz="12" w:space="0"/>
            </w:tcBorders>
            <w:noWrap/>
            <w:vAlign w:val="center"/>
          </w:tcPr>
          <w:p w14:paraId="35DC4AF7">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r>
    </w:tbl>
    <w:p w14:paraId="05894CC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14" w:name="_Toc20500"/>
      <w:bookmarkStart w:id="315" w:name="_Toc29607"/>
      <w:bookmarkStart w:id="316" w:name="_Toc29645"/>
      <w:r>
        <w:rPr>
          <w:rFonts w:hint="eastAsia" w:ascii="宋体" w:hAnsi="宋体" w:eastAsia="宋体" w:cs="宋体"/>
          <w:b/>
          <w:bCs/>
          <w:color w:val="auto"/>
          <w:sz w:val="24"/>
          <w:szCs w:val="24"/>
          <w:highlight w:val="none"/>
          <w:lang w:val="en-US" w:eastAsia="zh-CN"/>
        </w:rPr>
        <w:t>9.4  电梯系统</w:t>
      </w:r>
      <w:bookmarkEnd w:id="314"/>
      <w:bookmarkEnd w:id="315"/>
      <w:bookmarkEnd w:id="316"/>
    </w:p>
    <w:p w14:paraId="724ED7B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9.4.1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应建立电梯系统运行、维护保养管理制度、应急操作流程和年度演练计划。</w:t>
      </w:r>
    </w:p>
    <w:p w14:paraId="54598A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 xml:space="preserve">9.4.2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 xml:space="preserve">应在轿箱内张贴最新的特种设备检验机构出具的《安全检验合格证》和《特种设备使用登记证》。 </w:t>
      </w:r>
    </w:p>
    <w:p w14:paraId="72C10D1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lang w:val="en-US"/>
        </w:rPr>
      </w:pPr>
      <w:r>
        <w:rPr>
          <w:rFonts w:hint="eastAsia" w:ascii="Times New Roman" w:hAnsi="Times New Roman" w:eastAsia="宋体" w:cs="Times New Roman"/>
          <w:b/>
          <w:bCs/>
          <w:i w:val="0"/>
          <w:color w:val="auto"/>
          <w:kern w:val="2"/>
          <w:sz w:val="24"/>
          <w:szCs w:val="24"/>
          <w:highlight w:val="none"/>
          <w:lang w:val="en-US" w:eastAsia="zh-CN" w:bidi="ar-SA"/>
        </w:rPr>
        <w:t xml:space="preserve">9.4.3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应委托具有维修保养资质的单位与之签订电梯维保合同并</w:t>
      </w:r>
      <w:r>
        <w:rPr>
          <w:rFonts w:hint="eastAsia" w:ascii="宋体" w:hAnsi="宋体" w:cs="宋体"/>
          <w:color w:val="auto"/>
          <w:kern w:val="0"/>
          <w:sz w:val="24"/>
          <w:szCs w:val="24"/>
          <w:highlight w:val="none"/>
          <w:lang w:val="en-US" w:eastAsia="zh-CN" w:bidi="ar"/>
        </w:rPr>
        <w:t>应符合现行行业标准《电梯维护保养规则》</w:t>
      </w:r>
      <w:r>
        <w:rPr>
          <w:rFonts w:hint="eastAsia" w:ascii="宋体" w:hAnsi="宋体" w:eastAsia="宋体" w:cs="宋体"/>
          <w:color w:val="auto"/>
          <w:kern w:val="0"/>
          <w:sz w:val="24"/>
          <w:szCs w:val="24"/>
          <w:highlight w:val="none"/>
          <w:lang w:val="en-US" w:eastAsia="zh-CN" w:bidi="ar"/>
        </w:rPr>
        <w:t>TSG T5002的</w:t>
      </w:r>
      <w:r>
        <w:rPr>
          <w:rFonts w:hint="eastAsia" w:ascii="宋体" w:hAnsi="宋体" w:cs="宋体"/>
          <w:color w:val="auto"/>
          <w:kern w:val="0"/>
          <w:sz w:val="24"/>
          <w:szCs w:val="24"/>
          <w:highlight w:val="none"/>
          <w:lang w:val="en-US" w:eastAsia="zh-CN" w:bidi="ar"/>
        </w:rPr>
        <w:t>相关规定</w:t>
      </w:r>
      <w:r>
        <w:rPr>
          <w:rFonts w:hint="eastAsia" w:ascii="宋体" w:hAnsi="宋体" w:eastAsia="宋体" w:cs="宋体"/>
          <w:color w:val="auto"/>
          <w:kern w:val="0"/>
          <w:sz w:val="24"/>
          <w:szCs w:val="24"/>
          <w:highlight w:val="none"/>
          <w:lang w:val="en-US" w:eastAsia="zh-CN" w:bidi="ar"/>
        </w:rPr>
        <w:t>进行维保；并提供派驻保养作业人员有效证件备查。维保合同约定不限于以下要求：电梯故障、困人应急处理响应时间；维保计划安排和停梯预告；上门维保确认、监督配合；设备磨损情况分析报告以及维保期间的安全措施等，物业服务单位监督电梯保养单位按规定做好保养并做好保养记录归档备查。</w:t>
      </w:r>
    </w:p>
    <w:p w14:paraId="056D83D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9.4.4 </w:t>
      </w:r>
      <w:r>
        <w:rPr>
          <w:rFonts w:hint="eastAsia" w:ascii="宋体" w:hAnsi="宋体" w:eastAsia="宋体" w:cs="宋体"/>
          <w:b w:val="0"/>
          <w:i w:val="0"/>
          <w:color w:val="auto"/>
          <w:sz w:val="24"/>
          <w:szCs w:val="24"/>
          <w:highlight w:val="none"/>
          <w:lang w:val="en-US" w:eastAsia="zh-CN" w:bidi="ar-SA"/>
        </w:rPr>
        <w:t xml:space="preserve"> 应按《特种设备使用单位落实使用安全主体责任监督管理规定》规定</w:t>
      </w:r>
      <w:r>
        <w:rPr>
          <w:rFonts w:hint="eastAsia" w:ascii="宋体" w:hAnsi="宋体" w:eastAsia="宋体" w:cs="宋体"/>
          <w:color w:val="auto"/>
          <w:kern w:val="0"/>
          <w:sz w:val="24"/>
          <w:szCs w:val="24"/>
          <w:highlight w:val="none"/>
          <w:lang w:val="en-US" w:eastAsia="zh-CN" w:bidi="ar"/>
        </w:rPr>
        <w:t>配置电梯安全总监和电梯安全管理员，每台电梯应有责任人对电梯维保进行监督，确保电梯正常运行；在发生电梯困人或其它重大事件时，电梯安全管理人员应及时处理并通知专业维修保养员进行处理和抢修，专业维修保养人员应在30分钟内到达现场。</w:t>
      </w:r>
    </w:p>
    <w:p w14:paraId="419E2A4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9.4.5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电梯设备应建立完整的设备设施台帐，做到一梯一档，大中修都应记录存档备查。</w:t>
      </w:r>
    </w:p>
    <w:p w14:paraId="3F5695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9.4.6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定期进行电梯事故应急和救援预案演练，检查应急照明、灭火器和盘车工具齐全，机房操作处张贴悬挂盘车流程和平层表等。</w:t>
      </w:r>
    </w:p>
    <w:p w14:paraId="675D0493">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宋体" w:hAnsi="宋体" w:eastAsia="宋体" w:cs="宋体"/>
          <w:color w:val="auto"/>
          <w:kern w:val="0"/>
          <w:sz w:val="24"/>
          <w:szCs w:val="24"/>
          <w:highlight w:val="none"/>
          <w:lang w:val="en-US" w:eastAsia="zh-CN" w:bidi="ar"/>
        </w:rPr>
      </w:pPr>
      <w:bookmarkStart w:id="317" w:name="_Toc22844"/>
      <w:bookmarkStart w:id="318" w:name="_Toc2827"/>
      <w:r>
        <w:rPr>
          <w:rFonts w:hint="eastAsia" w:ascii="Times New Roman" w:hAnsi="Times New Roman" w:eastAsia="宋体" w:cs="Times New Roman"/>
          <w:b/>
          <w:bCs/>
          <w:i w:val="0"/>
          <w:color w:val="auto"/>
          <w:kern w:val="2"/>
          <w:sz w:val="24"/>
          <w:szCs w:val="24"/>
          <w:highlight w:val="none"/>
          <w:lang w:val="en-US" w:eastAsia="zh-CN" w:bidi="ar-SA"/>
        </w:rPr>
        <w:t xml:space="preserve">9.4.7 </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电梯系统巡查要求见表9.4.7。</w:t>
      </w:r>
      <w:bookmarkEnd w:id="317"/>
      <w:bookmarkEnd w:id="318"/>
    </w:p>
    <w:p w14:paraId="1666F4F2">
      <w:pPr>
        <w:pStyle w:val="8"/>
        <w:tabs>
          <w:tab w:val="left" w:pos="420"/>
        </w:tabs>
        <w:spacing w:before="312" w:beforeLines="100" w:after="0" w:line="240" w:lineRule="auto"/>
        <w:jc w:val="center"/>
        <w:outlineLvl w:val="2"/>
        <w:rPr>
          <w:rFonts w:hint="eastAsia" w:ascii="Times New Roman" w:hAnsi="Times New Roman" w:eastAsia="黑体" w:cs="Times New Roman"/>
          <w:bCs w:val="0"/>
          <w:sz w:val="21"/>
          <w:szCs w:val="24"/>
          <w:highlight w:val="none"/>
          <w:lang w:val="en-US" w:eastAsia="zh-CN"/>
        </w:rPr>
      </w:pPr>
      <w:bookmarkStart w:id="319" w:name="_Toc32686"/>
      <w:bookmarkStart w:id="320" w:name="_Toc15333"/>
      <w:r>
        <w:rPr>
          <w:rFonts w:hint="eastAsia" w:ascii="Times New Roman" w:hAnsi="Times New Roman" w:eastAsia="黑体" w:cs="Times New Roman"/>
          <w:bCs w:val="0"/>
          <w:sz w:val="21"/>
          <w:szCs w:val="24"/>
          <w:highlight w:val="none"/>
          <w:lang w:val="en-US" w:eastAsia="zh-CN"/>
        </w:rPr>
        <w:t>表9.4.7  项目主要分类服务标准—电梯系统巡查</w:t>
      </w:r>
      <w:bookmarkEnd w:id="319"/>
      <w:bookmarkEnd w:id="320"/>
    </w:p>
    <w:tbl>
      <w:tblPr>
        <w:tblStyle w:val="38"/>
        <w:tblW w:w="8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12"/>
        <w:gridCol w:w="1243"/>
        <w:gridCol w:w="595"/>
        <w:gridCol w:w="1457"/>
        <w:gridCol w:w="613"/>
        <w:gridCol w:w="1479"/>
        <w:gridCol w:w="613"/>
        <w:gridCol w:w="1537"/>
      </w:tblGrid>
      <w:tr w14:paraId="72826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9" w:type="dxa"/>
            <w:vMerge w:val="restart"/>
            <w:noWrap/>
            <w:vAlign w:val="center"/>
          </w:tcPr>
          <w:p w14:paraId="68F5AD8F">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55" w:type="dxa"/>
            <w:gridSpan w:val="2"/>
            <w:noWrap/>
            <w:vAlign w:val="center"/>
          </w:tcPr>
          <w:p w14:paraId="7F15A3DA">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2052" w:type="dxa"/>
            <w:gridSpan w:val="2"/>
            <w:noWrap/>
            <w:vAlign w:val="center"/>
          </w:tcPr>
          <w:p w14:paraId="657807FF">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2092" w:type="dxa"/>
            <w:gridSpan w:val="2"/>
            <w:noWrap/>
            <w:vAlign w:val="center"/>
          </w:tcPr>
          <w:p w14:paraId="2BFD1857">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变电站/换流站</w:t>
            </w:r>
          </w:p>
        </w:tc>
        <w:tc>
          <w:tcPr>
            <w:tcW w:w="2150" w:type="dxa"/>
            <w:gridSpan w:val="2"/>
            <w:noWrap/>
            <w:vAlign w:val="center"/>
          </w:tcPr>
          <w:p w14:paraId="5EF4DCD9">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周转仓</w:t>
            </w:r>
          </w:p>
        </w:tc>
      </w:tr>
      <w:tr w14:paraId="0ABF7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49" w:type="dxa"/>
            <w:vMerge w:val="continue"/>
            <w:tcBorders>
              <w:bottom w:val="single" w:color="000000" w:sz="12" w:space="0"/>
            </w:tcBorders>
            <w:noWrap/>
            <w:vAlign w:val="center"/>
          </w:tcPr>
          <w:p w14:paraId="5897DAA3">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612" w:type="dxa"/>
            <w:tcBorders>
              <w:bottom w:val="single" w:color="000000" w:sz="12" w:space="0"/>
            </w:tcBorders>
            <w:noWrap/>
            <w:vAlign w:val="center"/>
          </w:tcPr>
          <w:p w14:paraId="3F5FD70E">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43" w:type="dxa"/>
            <w:tcBorders>
              <w:bottom w:val="single" w:color="000000" w:sz="12" w:space="0"/>
            </w:tcBorders>
            <w:noWrap/>
            <w:vAlign w:val="center"/>
          </w:tcPr>
          <w:p w14:paraId="72741ECD">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95" w:type="dxa"/>
            <w:tcBorders>
              <w:bottom w:val="single" w:color="000000" w:sz="12" w:space="0"/>
            </w:tcBorders>
            <w:noWrap/>
            <w:vAlign w:val="center"/>
          </w:tcPr>
          <w:p w14:paraId="3D85D157">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457" w:type="dxa"/>
            <w:tcBorders>
              <w:bottom w:val="single" w:color="000000" w:sz="12" w:space="0"/>
            </w:tcBorders>
            <w:noWrap/>
            <w:vAlign w:val="center"/>
          </w:tcPr>
          <w:p w14:paraId="014E758D">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13" w:type="dxa"/>
            <w:tcBorders>
              <w:bottom w:val="single" w:color="000000" w:sz="12" w:space="0"/>
            </w:tcBorders>
            <w:noWrap/>
            <w:vAlign w:val="center"/>
          </w:tcPr>
          <w:p w14:paraId="0E6C0FAC">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479" w:type="dxa"/>
            <w:tcBorders>
              <w:bottom w:val="single" w:color="000000" w:sz="12" w:space="0"/>
            </w:tcBorders>
            <w:noWrap/>
            <w:vAlign w:val="center"/>
          </w:tcPr>
          <w:p w14:paraId="180F7E2C">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13" w:type="dxa"/>
            <w:tcBorders>
              <w:bottom w:val="single" w:color="000000" w:sz="12" w:space="0"/>
            </w:tcBorders>
            <w:noWrap/>
            <w:vAlign w:val="center"/>
          </w:tcPr>
          <w:p w14:paraId="41810DA4">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537" w:type="dxa"/>
            <w:tcBorders>
              <w:bottom w:val="single" w:color="000000" w:sz="12" w:space="0"/>
            </w:tcBorders>
            <w:noWrap/>
            <w:vAlign w:val="center"/>
          </w:tcPr>
          <w:p w14:paraId="16673F8A">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14:paraId="3F55A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649" w:type="dxa"/>
            <w:tcBorders>
              <w:top w:val="single" w:color="000000" w:sz="12" w:space="0"/>
              <w:bottom w:val="single" w:color="000000" w:sz="4" w:space="0"/>
            </w:tcBorders>
            <w:noWrap/>
            <w:vAlign w:val="center"/>
          </w:tcPr>
          <w:p w14:paraId="7331D02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轿箱</w:t>
            </w:r>
          </w:p>
        </w:tc>
        <w:tc>
          <w:tcPr>
            <w:tcW w:w="612" w:type="dxa"/>
            <w:tcBorders>
              <w:top w:val="single" w:color="000000" w:sz="12" w:space="0"/>
              <w:bottom w:val="single" w:color="000000" w:sz="4" w:space="0"/>
            </w:tcBorders>
            <w:noWrap/>
            <w:vAlign w:val="center"/>
          </w:tcPr>
          <w:p w14:paraId="0DB755BE">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≥1次/周</w:t>
            </w:r>
          </w:p>
          <w:p w14:paraId="5182BDC6">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p>
        </w:tc>
        <w:tc>
          <w:tcPr>
            <w:tcW w:w="1243" w:type="dxa"/>
            <w:tcBorders>
              <w:top w:val="single" w:color="000000" w:sz="12" w:space="0"/>
              <w:bottom w:val="single" w:color="000000" w:sz="4" w:space="0"/>
            </w:tcBorders>
            <w:noWrap/>
            <w:vAlign w:val="center"/>
          </w:tcPr>
          <w:p w14:paraId="6B2E8C9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 xml:space="preserve">轿厢门/厅门开关顺畅、运行平稳无异； </w:t>
            </w:r>
          </w:p>
        </w:tc>
        <w:tc>
          <w:tcPr>
            <w:tcW w:w="595" w:type="dxa"/>
            <w:tcBorders>
              <w:top w:val="single" w:color="000000" w:sz="12" w:space="0"/>
              <w:bottom w:val="single" w:color="000000" w:sz="4" w:space="0"/>
            </w:tcBorders>
            <w:noWrap/>
            <w:vAlign w:val="center"/>
          </w:tcPr>
          <w:p w14:paraId="2D0DBF71">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次/周</w:t>
            </w:r>
          </w:p>
          <w:p w14:paraId="650D3C6C">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p>
        </w:tc>
        <w:tc>
          <w:tcPr>
            <w:tcW w:w="1457" w:type="dxa"/>
            <w:tcBorders>
              <w:top w:val="single" w:color="000000" w:sz="12" w:space="0"/>
              <w:bottom w:val="single" w:color="000000" w:sz="4" w:space="0"/>
            </w:tcBorders>
            <w:noWrap/>
            <w:vAlign w:val="center"/>
          </w:tcPr>
          <w:p w14:paraId="39F5B7A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c>
          <w:tcPr>
            <w:tcW w:w="613" w:type="dxa"/>
            <w:tcBorders>
              <w:top w:val="single" w:color="000000" w:sz="12" w:space="0"/>
              <w:bottom w:val="single" w:color="000000" w:sz="4" w:space="0"/>
            </w:tcBorders>
            <w:noWrap/>
            <w:vAlign w:val="center"/>
          </w:tcPr>
          <w:p w14:paraId="0C1E89E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≥1次/周</w:t>
            </w:r>
          </w:p>
          <w:p w14:paraId="58F818D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1479" w:type="dxa"/>
            <w:tcBorders>
              <w:top w:val="single" w:color="000000" w:sz="12" w:space="0"/>
              <w:bottom w:val="single" w:color="000000" w:sz="4" w:space="0"/>
            </w:tcBorders>
            <w:noWrap/>
            <w:vAlign w:val="center"/>
          </w:tcPr>
          <w:p w14:paraId="436C03DD">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c>
          <w:tcPr>
            <w:tcW w:w="613" w:type="dxa"/>
            <w:tcBorders>
              <w:top w:val="single" w:color="000000" w:sz="12" w:space="0"/>
              <w:bottom w:val="single" w:color="000000" w:sz="4" w:space="0"/>
            </w:tcBorders>
            <w:noWrap/>
            <w:vAlign w:val="center"/>
          </w:tcPr>
          <w:p w14:paraId="4788B3B9">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≥1次/周</w:t>
            </w:r>
          </w:p>
          <w:p w14:paraId="30A4250D">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p>
        </w:tc>
        <w:tc>
          <w:tcPr>
            <w:tcW w:w="1537" w:type="dxa"/>
            <w:tcBorders>
              <w:top w:val="single" w:color="000000" w:sz="12" w:space="0"/>
              <w:bottom w:val="single" w:color="000000" w:sz="4" w:space="0"/>
            </w:tcBorders>
            <w:noWrap/>
            <w:vAlign w:val="center"/>
          </w:tcPr>
          <w:p w14:paraId="6178BC76">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r>
      <w:tr w14:paraId="5C9F3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649" w:type="dxa"/>
            <w:tcBorders>
              <w:tl2br w:val="nil"/>
              <w:tr2bl w:val="nil"/>
            </w:tcBorders>
            <w:noWrap/>
            <w:vAlign w:val="center"/>
          </w:tcPr>
          <w:p w14:paraId="7BDA5974">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w:t>
            </w:r>
          </w:p>
        </w:tc>
        <w:tc>
          <w:tcPr>
            <w:tcW w:w="612" w:type="dxa"/>
            <w:tcBorders>
              <w:tl2br w:val="nil"/>
              <w:tr2bl w:val="nil"/>
            </w:tcBorders>
            <w:noWrap/>
            <w:vAlign w:val="center"/>
          </w:tcPr>
          <w:p w14:paraId="4A0582D1">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w:t>
            </w:r>
            <w:r>
              <w:rPr>
                <w:rFonts w:hint="eastAsia" w:ascii="宋体" w:hAnsi="宋体" w:cs="宋体"/>
                <w:color w:val="auto"/>
                <w:kern w:val="0"/>
                <w:sz w:val="18"/>
                <w:szCs w:val="18"/>
                <w:highlight w:val="none"/>
                <w:lang w:val="en-US" w:eastAsia="zh-CN" w:bidi="ar"/>
              </w:rPr>
              <w:t>日</w:t>
            </w:r>
          </w:p>
        </w:tc>
        <w:tc>
          <w:tcPr>
            <w:tcW w:w="1243" w:type="dxa"/>
            <w:tcBorders>
              <w:tl2br w:val="nil"/>
              <w:tr2bl w:val="nil"/>
            </w:tcBorders>
            <w:noWrap/>
            <w:vAlign w:val="center"/>
          </w:tcPr>
          <w:p w14:paraId="11CC1869">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595" w:type="dxa"/>
            <w:tcBorders>
              <w:tl2br w:val="nil"/>
              <w:tr2bl w:val="nil"/>
            </w:tcBorders>
            <w:noWrap/>
            <w:vAlign w:val="center"/>
          </w:tcPr>
          <w:p w14:paraId="2B899052">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 次/</w:t>
            </w:r>
            <w:r>
              <w:rPr>
                <w:rFonts w:hint="eastAsia" w:ascii="宋体" w:hAnsi="宋体" w:cs="宋体"/>
                <w:color w:val="auto"/>
                <w:kern w:val="0"/>
                <w:sz w:val="18"/>
                <w:szCs w:val="18"/>
                <w:highlight w:val="none"/>
                <w:lang w:val="en-US" w:eastAsia="zh-CN" w:bidi="ar"/>
              </w:rPr>
              <w:t>日</w:t>
            </w:r>
          </w:p>
        </w:tc>
        <w:tc>
          <w:tcPr>
            <w:tcW w:w="1457" w:type="dxa"/>
            <w:tcBorders>
              <w:tl2br w:val="nil"/>
              <w:tr2bl w:val="nil"/>
            </w:tcBorders>
            <w:noWrap/>
            <w:vAlign w:val="center"/>
          </w:tcPr>
          <w:p w14:paraId="7D1A450E">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613" w:type="dxa"/>
            <w:tcBorders>
              <w:tl2br w:val="nil"/>
              <w:tr2bl w:val="nil"/>
            </w:tcBorders>
            <w:noWrap/>
            <w:vAlign w:val="center"/>
          </w:tcPr>
          <w:p w14:paraId="426CF2B0">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w:t>
            </w:r>
            <w:r>
              <w:rPr>
                <w:rFonts w:hint="eastAsia" w:ascii="宋体" w:hAnsi="宋体" w:cs="宋体"/>
                <w:color w:val="auto"/>
                <w:kern w:val="0"/>
                <w:sz w:val="18"/>
                <w:szCs w:val="18"/>
                <w:highlight w:val="none"/>
                <w:lang w:val="en-US" w:eastAsia="zh-CN" w:bidi="ar"/>
              </w:rPr>
              <w:t>日</w:t>
            </w:r>
          </w:p>
        </w:tc>
        <w:tc>
          <w:tcPr>
            <w:tcW w:w="1479" w:type="dxa"/>
            <w:tcBorders>
              <w:tl2br w:val="nil"/>
              <w:tr2bl w:val="nil"/>
            </w:tcBorders>
            <w:noWrap/>
            <w:vAlign w:val="center"/>
          </w:tcPr>
          <w:p w14:paraId="01A7A45C">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613" w:type="dxa"/>
            <w:tcBorders>
              <w:tl2br w:val="nil"/>
              <w:tr2bl w:val="nil"/>
            </w:tcBorders>
            <w:noWrap/>
            <w:vAlign w:val="center"/>
          </w:tcPr>
          <w:p w14:paraId="5FBCF2E0">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w:t>
            </w:r>
            <w:r>
              <w:rPr>
                <w:rFonts w:hint="eastAsia" w:ascii="宋体" w:hAnsi="宋体" w:cs="宋体"/>
                <w:color w:val="auto"/>
                <w:kern w:val="0"/>
                <w:sz w:val="18"/>
                <w:szCs w:val="18"/>
                <w:highlight w:val="none"/>
                <w:lang w:val="en-US" w:eastAsia="zh-CN" w:bidi="ar"/>
              </w:rPr>
              <w:t>日</w:t>
            </w:r>
          </w:p>
        </w:tc>
        <w:tc>
          <w:tcPr>
            <w:tcW w:w="1537" w:type="dxa"/>
            <w:tcBorders>
              <w:tl2br w:val="nil"/>
              <w:tr2bl w:val="nil"/>
            </w:tcBorders>
            <w:noWrap/>
            <w:vAlign w:val="center"/>
          </w:tcPr>
          <w:p w14:paraId="026D0583">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r>
      <w:tr w14:paraId="670DB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9" w:type="dxa"/>
            <w:tcBorders>
              <w:tl2br w:val="nil"/>
              <w:tr2bl w:val="nil"/>
            </w:tcBorders>
            <w:noWrap/>
            <w:vAlign w:val="center"/>
          </w:tcPr>
          <w:p w14:paraId="614C156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电梯底坑</w:t>
            </w:r>
          </w:p>
        </w:tc>
        <w:tc>
          <w:tcPr>
            <w:tcW w:w="612" w:type="dxa"/>
            <w:tcBorders>
              <w:tl2br w:val="nil"/>
              <w:tr2bl w:val="nil"/>
            </w:tcBorders>
            <w:noWrap/>
            <w:vAlign w:val="center"/>
          </w:tcPr>
          <w:p w14:paraId="3566474F">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243" w:type="dxa"/>
            <w:tcBorders>
              <w:tl2br w:val="nil"/>
              <w:tr2bl w:val="nil"/>
            </w:tcBorders>
            <w:noWrap/>
            <w:vAlign w:val="center"/>
          </w:tcPr>
          <w:p w14:paraId="34F1548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 积水和杂物</w:t>
            </w:r>
          </w:p>
        </w:tc>
        <w:tc>
          <w:tcPr>
            <w:tcW w:w="595" w:type="dxa"/>
            <w:tcBorders>
              <w:tl2br w:val="nil"/>
              <w:tr2bl w:val="nil"/>
            </w:tcBorders>
            <w:noWrap/>
            <w:vAlign w:val="center"/>
          </w:tcPr>
          <w:p w14:paraId="31D7B62A">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457" w:type="dxa"/>
            <w:tcBorders>
              <w:tl2br w:val="nil"/>
              <w:tr2bl w:val="nil"/>
            </w:tcBorders>
            <w:noWrap/>
            <w:vAlign w:val="center"/>
          </w:tcPr>
          <w:p w14:paraId="43BF5E61">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c>
          <w:tcPr>
            <w:tcW w:w="613" w:type="dxa"/>
            <w:tcBorders>
              <w:tl2br w:val="nil"/>
              <w:tr2bl w:val="nil"/>
            </w:tcBorders>
            <w:noWrap/>
            <w:vAlign w:val="center"/>
          </w:tcPr>
          <w:p w14:paraId="3322AFEA">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479" w:type="dxa"/>
            <w:tcBorders>
              <w:tl2br w:val="nil"/>
              <w:tr2bl w:val="nil"/>
            </w:tcBorders>
            <w:noWrap/>
            <w:vAlign w:val="center"/>
          </w:tcPr>
          <w:p w14:paraId="0A5EC5CE">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c>
          <w:tcPr>
            <w:tcW w:w="613" w:type="dxa"/>
            <w:tcBorders>
              <w:tl2br w:val="nil"/>
              <w:tr2bl w:val="nil"/>
            </w:tcBorders>
            <w:noWrap/>
            <w:vAlign w:val="center"/>
          </w:tcPr>
          <w:p w14:paraId="0C2EEE79">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537" w:type="dxa"/>
            <w:tcBorders>
              <w:tl2br w:val="nil"/>
              <w:tr2bl w:val="nil"/>
            </w:tcBorders>
            <w:noWrap/>
            <w:vAlign w:val="center"/>
          </w:tcPr>
          <w:p w14:paraId="593CF46D">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r>
    </w:tbl>
    <w:p w14:paraId="01AB034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宋体" w:hAnsi="宋体" w:eastAsia="宋体" w:cs="宋体"/>
          <w:b/>
          <w:bCs/>
          <w:color w:val="auto"/>
          <w:sz w:val="24"/>
          <w:szCs w:val="24"/>
          <w:highlight w:val="none"/>
          <w:lang w:val="en-US" w:eastAsia="zh-CN"/>
        </w:rPr>
      </w:pPr>
    </w:p>
    <w:p w14:paraId="697AF9B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321" w:name="_Toc28280"/>
      <w:bookmarkStart w:id="322" w:name="_Toc18763"/>
      <w:r>
        <w:rPr>
          <w:rFonts w:hint="eastAsia" w:ascii="宋体" w:hAnsi="宋体" w:eastAsia="宋体" w:cs="宋体"/>
          <w:b/>
          <w:bCs/>
          <w:color w:val="auto"/>
          <w:sz w:val="24"/>
          <w:szCs w:val="24"/>
          <w:highlight w:val="none"/>
          <w:lang w:val="en-US" w:eastAsia="zh-CN"/>
        </w:rPr>
        <w:t>9.5  消防设施设备</w:t>
      </w:r>
      <w:bookmarkEnd w:id="321"/>
      <w:bookmarkEnd w:id="322"/>
    </w:p>
    <w:p w14:paraId="7135546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9.5.1</w:t>
      </w:r>
      <w:r>
        <w:rPr>
          <w:rFonts w:hint="eastAsia" w:ascii="宋体" w:hAnsi="宋体" w:eastAsia="宋体" w:cs="宋体"/>
          <w:color w:val="auto"/>
          <w:sz w:val="24"/>
          <w:szCs w:val="24"/>
          <w:highlight w:val="none"/>
          <w:lang w:val="en-US" w:eastAsia="zh-CN"/>
        </w:rPr>
        <w:t xml:space="preserve">  建立消防设施设备系统运行、维修保养、安全及管理制度和操作规程，包括但不限于以下内容：</w:t>
      </w:r>
    </w:p>
    <w:p w14:paraId="27B3C23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同一建筑有两个及以上产权、使用单位的消防设施，应明确建筑消防设施的维护管理责任，对建筑消防设施实行统一管理并以合同方式约定各自的权利义务；</w:t>
      </w:r>
    </w:p>
    <w:p w14:paraId="2C2A175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由具备</w:t>
      </w:r>
      <w:r>
        <w:rPr>
          <w:rFonts w:hint="eastAsia" w:ascii="宋体" w:hAnsi="宋体" w:eastAsia="宋体" w:cs="宋体"/>
          <w:color w:val="auto"/>
          <w:sz w:val="24"/>
          <w:szCs w:val="24"/>
          <w:highlight w:val="none"/>
        </w:rPr>
        <w:t>消防技术服务机构</w:t>
      </w:r>
      <w:r>
        <w:rPr>
          <w:rFonts w:hint="eastAsia" w:ascii="宋体" w:hAnsi="宋体" w:eastAsia="宋体" w:cs="宋体"/>
          <w:color w:val="auto"/>
          <w:sz w:val="24"/>
          <w:szCs w:val="24"/>
          <w:highlight w:val="none"/>
          <w:lang w:val="en-US" w:eastAsia="zh-CN"/>
        </w:rPr>
        <w:t>资质的单位对消防设施设备进行维护保养和检测并有完整的保养、检测记录</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p>
    <w:p w14:paraId="1935DEE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有设24</w:t>
      </w:r>
      <w:r>
        <w:rPr>
          <w:rFonts w:hint="eastAsia" w:ascii="宋体" w:hAnsi="宋体" w:cs="宋体"/>
          <w:color w:val="auto"/>
          <w:sz w:val="24"/>
          <w:szCs w:val="24"/>
          <w:highlight w:val="none"/>
          <w:lang w:val="en-US" w:eastAsia="zh-CN"/>
        </w:rPr>
        <w:t>h</w:t>
      </w:r>
      <w:r>
        <w:rPr>
          <w:rFonts w:hint="eastAsia" w:ascii="宋体" w:hAnsi="宋体" w:eastAsia="宋体" w:cs="宋体"/>
          <w:color w:val="auto"/>
          <w:sz w:val="24"/>
          <w:szCs w:val="24"/>
          <w:highlight w:val="none"/>
          <w:lang w:val="en-US" w:eastAsia="zh-CN"/>
        </w:rPr>
        <w:t xml:space="preserve">消防报修电话，当消防设施发生故障时，专业维保单位应在法规和合同约定的时间内到达现场维修；发生重大故障时，物业人员应及时采取措施应急处理，专业维修保养人员 30 </w:t>
      </w:r>
      <w:r>
        <w:rPr>
          <w:rFonts w:hint="eastAsia" w:ascii="宋体" w:hAnsi="宋体" w:cs="宋体"/>
          <w:color w:val="auto"/>
          <w:sz w:val="24"/>
          <w:szCs w:val="24"/>
          <w:highlight w:val="none"/>
          <w:lang w:val="en-US" w:eastAsia="zh-CN"/>
        </w:rPr>
        <w:t>min</w:t>
      </w:r>
      <w:r>
        <w:rPr>
          <w:rFonts w:hint="eastAsia" w:ascii="宋体" w:hAnsi="宋体" w:eastAsia="宋体" w:cs="宋体"/>
          <w:color w:val="auto"/>
          <w:sz w:val="24"/>
          <w:szCs w:val="24"/>
          <w:highlight w:val="none"/>
          <w:lang w:val="en-US" w:eastAsia="zh-CN"/>
        </w:rPr>
        <w:t>内到达现场抢修；</w:t>
      </w:r>
    </w:p>
    <w:p w14:paraId="2D23D7B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建筑消防设施应每月进行</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1次专项检查、检测每年</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1次并有完整的检测记录；</w:t>
      </w:r>
    </w:p>
    <w:p w14:paraId="1DED043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r>
        <w:rPr>
          <w:rFonts w:hint="eastAsia" w:ascii="宋体" w:hAnsi="宋体" w:eastAsia="宋体" w:cs="宋体"/>
          <w:color w:val="auto"/>
          <w:sz w:val="24"/>
          <w:szCs w:val="24"/>
          <w:highlight w:val="none"/>
          <w:lang w:val="en-US" w:eastAsia="zh-CN"/>
        </w:rPr>
        <w:t>对消防火灾自动报警系统、自动灭火系统、防烟、排烟系统、消火栓系统、消防给水系统等各功能系统按规定巡查、检测和维护保养，确保各系统处于正常工作状态；</w:t>
      </w:r>
    </w:p>
    <w:p w14:paraId="3532004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消防各系统巡查每月</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1次，消防水泵房巡查每天</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1次，消防水泵每月启动</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1次，如有异常应马上维修；</w:t>
      </w:r>
    </w:p>
    <w:p w14:paraId="6FD1537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消防储水设施水量应达到规定水位，能保证消防用水的基本储备，确保火灾险情时的应急灭火用水；</w:t>
      </w:r>
    </w:p>
    <w:p w14:paraId="2295814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灭火器按规范配置，无缺失、无过期；疏散通道、安全出口疏散指示标志醒目、无遮挡；火灾时，疏散指示灯、应急照明应维持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 xml:space="preserve"> min</w:t>
      </w:r>
      <w:r>
        <w:rPr>
          <w:rFonts w:hint="eastAsia" w:ascii="宋体" w:hAnsi="宋体" w:eastAsia="宋体" w:cs="宋体"/>
          <w:color w:val="auto"/>
          <w:sz w:val="24"/>
          <w:szCs w:val="24"/>
          <w:highlight w:val="none"/>
          <w:lang w:val="en-US" w:eastAsia="zh-CN"/>
        </w:rPr>
        <w:t>以上，超高层建筑维持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90</w:t>
      </w:r>
      <w:r>
        <w:rPr>
          <w:rFonts w:hint="eastAsia" w:ascii="宋体" w:hAnsi="宋体" w:cs="宋体"/>
          <w:color w:val="auto"/>
          <w:sz w:val="24"/>
          <w:szCs w:val="24"/>
          <w:highlight w:val="none"/>
          <w:lang w:val="en-US" w:eastAsia="zh-CN"/>
        </w:rPr>
        <w:t xml:space="preserve"> min</w:t>
      </w:r>
      <w:r>
        <w:rPr>
          <w:rFonts w:hint="eastAsia" w:ascii="宋体" w:hAnsi="宋体" w:eastAsia="宋体" w:cs="宋体"/>
          <w:color w:val="auto"/>
          <w:sz w:val="24"/>
          <w:szCs w:val="24"/>
          <w:highlight w:val="none"/>
          <w:lang w:val="en-US" w:eastAsia="zh-CN"/>
        </w:rPr>
        <w:t>以上；</w:t>
      </w:r>
    </w:p>
    <w:p w14:paraId="31505BA5">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消火栓每月检查</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次，保持消火栓箱内配件完好并每年定期进行放水试验；</w:t>
      </w:r>
    </w:p>
    <w:p w14:paraId="76C2F01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0"/>
        <w:rPr>
          <w:rFonts w:hint="eastAsia" w:ascii="宋体" w:hAnsi="宋体" w:eastAsia="宋体" w:cs="宋体"/>
          <w:color w:val="auto"/>
          <w:sz w:val="24"/>
          <w:szCs w:val="24"/>
          <w:highlight w:val="none"/>
          <w:lang w:val="en-US" w:eastAsia="zh-CN"/>
        </w:rPr>
      </w:pPr>
      <w:bookmarkStart w:id="323" w:name="_Toc12808"/>
      <w:bookmarkStart w:id="324" w:name="_Toc18635"/>
      <w:r>
        <w:rPr>
          <w:rFonts w:hint="eastAsia" w:ascii="宋体" w:hAnsi="宋体" w:eastAsia="宋体" w:cs="宋体"/>
          <w:color w:val="auto"/>
          <w:sz w:val="24"/>
          <w:szCs w:val="24"/>
          <w:highlight w:val="none"/>
          <w:lang w:val="en-US" w:eastAsia="zh-CN"/>
        </w:rPr>
        <w:t>10  消防安全重点单位每日巡查</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w:t>
      </w:r>
      <w:bookmarkEnd w:id="323"/>
      <w:bookmarkEnd w:id="324"/>
    </w:p>
    <w:p w14:paraId="013126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9.5.2</w:t>
      </w:r>
      <w:r>
        <w:rPr>
          <w:rFonts w:hint="eastAsia" w:ascii="宋体" w:hAnsi="宋体" w:eastAsia="宋体" w:cs="宋体"/>
          <w:color w:val="auto"/>
          <w:sz w:val="24"/>
          <w:szCs w:val="24"/>
          <w:highlight w:val="none"/>
          <w:lang w:val="en-US" w:eastAsia="zh-CN"/>
        </w:rPr>
        <w:t xml:space="preserve">  对装设电气火灾监控系统的，由厂家或有资质能力的单位进行保养，应定期对各设备传感器、报警器进行（每半年≥1次）全面检查；同时定期对电源线路、开关、继电器等进行预防性维护。</w:t>
      </w:r>
    </w:p>
    <w:p w14:paraId="0BA990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9.5.3</w:t>
      </w:r>
      <w:r>
        <w:rPr>
          <w:rFonts w:hint="eastAsia" w:ascii="宋体" w:hAnsi="宋体" w:eastAsia="宋体" w:cs="宋体"/>
          <w:color w:val="auto"/>
          <w:sz w:val="24"/>
          <w:szCs w:val="24"/>
          <w:highlight w:val="none"/>
          <w:lang w:val="en-US" w:eastAsia="zh-CN"/>
        </w:rPr>
        <w:t xml:space="preserve">  定期巡查设置在厨房等部位的燃气探测报警装置，发现气体泄漏，马上按应急预案处置。</w:t>
      </w:r>
    </w:p>
    <w:p w14:paraId="51F181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9.5.4 </w:t>
      </w:r>
      <w:r>
        <w:rPr>
          <w:rFonts w:hint="eastAsia" w:ascii="宋体" w:hAnsi="宋体" w:eastAsia="宋体" w:cs="宋体"/>
          <w:color w:val="auto"/>
          <w:sz w:val="24"/>
          <w:szCs w:val="24"/>
          <w:highlight w:val="none"/>
          <w:lang w:val="en-US" w:eastAsia="zh-CN"/>
        </w:rPr>
        <w:t xml:space="preserve"> 消防系统巡查维护</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r>
        <w:rPr>
          <w:rFonts w:hint="eastAsia" w:ascii="宋体" w:hAnsi="宋体" w:eastAsia="宋体" w:cs="宋体"/>
          <w:color w:val="auto"/>
          <w:sz w:val="24"/>
          <w:szCs w:val="24"/>
          <w:highlight w:val="none"/>
          <w:lang w:val="en-US" w:eastAsia="zh-CN"/>
        </w:rPr>
        <w:t>。</w:t>
      </w:r>
    </w:p>
    <w:p w14:paraId="47AF1DC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25" w:name="_Toc24417"/>
      <w:bookmarkStart w:id="326" w:name="_Toc29127"/>
      <w:r>
        <w:rPr>
          <w:rFonts w:hint="eastAsia" w:ascii="宋体" w:hAnsi="宋体" w:eastAsia="宋体" w:cs="宋体"/>
          <w:b/>
          <w:bCs/>
          <w:color w:val="auto"/>
          <w:sz w:val="24"/>
          <w:szCs w:val="24"/>
          <w:highlight w:val="none"/>
          <w:lang w:val="en-US" w:eastAsia="zh-CN"/>
        </w:rPr>
        <w:t>9.6  建筑物防雷系统</w:t>
      </w:r>
      <w:bookmarkEnd w:id="325"/>
      <w:bookmarkEnd w:id="326"/>
    </w:p>
    <w:p w14:paraId="3ABF7C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9.6.1 </w:t>
      </w:r>
      <w:r>
        <w:rPr>
          <w:rFonts w:hint="eastAsia" w:ascii="宋体" w:hAnsi="宋体" w:eastAsia="宋体" w:cs="宋体"/>
          <w:color w:val="auto"/>
          <w:sz w:val="24"/>
          <w:szCs w:val="24"/>
          <w:highlight w:val="none"/>
          <w:lang w:val="en-US" w:eastAsia="zh-CN"/>
        </w:rPr>
        <w:t xml:space="preserve"> 建筑物防雷避雷接地系统应由具有资质的机构每年定期进行检测。</w:t>
      </w:r>
    </w:p>
    <w:p w14:paraId="395935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9.6.2 </w:t>
      </w:r>
      <w:r>
        <w:rPr>
          <w:rFonts w:hint="eastAsia" w:ascii="宋体" w:hAnsi="宋体" w:eastAsia="宋体" w:cs="宋体"/>
          <w:color w:val="auto"/>
          <w:sz w:val="24"/>
          <w:szCs w:val="24"/>
          <w:highlight w:val="none"/>
          <w:lang w:val="en-US" w:eastAsia="zh-CN"/>
        </w:rPr>
        <w:t xml:space="preserve"> 物业服务人员应定期对建筑物楼顶层的避雷针、避雷线、避雷带及引下线连接牢固；楼层强、弱电间内的接地检查，服务区域避雷设施接地等防雷与接地系统进行巡查。 </w:t>
      </w:r>
    </w:p>
    <w:p w14:paraId="1267511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327" w:name="_Toc9363"/>
      <w:bookmarkStart w:id="328" w:name="_Toc30691"/>
      <w:r>
        <w:rPr>
          <w:rFonts w:hint="eastAsia" w:ascii="Times New Roman" w:hAnsi="Times New Roman" w:eastAsia="宋体" w:cs="Times New Roman"/>
          <w:b/>
          <w:bCs/>
          <w:i w:val="0"/>
          <w:color w:val="auto"/>
          <w:kern w:val="2"/>
          <w:sz w:val="24"/>
          <w:szCs w:val="24"/>
          <w:highlight w:val="none"/>
          <w:lang w:val="en-US" w:eastAsia="zh-CN" w:bidi="ar-SA"/>
        </w:rPr>
        <w:t>9.6.3</w:t>
      </w:r>
      <w:r>
        <w:rPr>
          <w:rFonts w:hint="eastAsia" w:ascii="宋体" w:hAnsi="宋体" w:eastAsia="宋体" w:cs="宋体"/>
          <w:color w:val="auto"/>
          <w:sz w:val="24"/>
          <w:szCs w:val="24"/>
          <w:highlight w:val="none"/>
          <w:lang w:val="en-US" w:eastAsia="zh-CN"/>
        </w:rPr>
        <w:t xml:space="preserve">  建筑物防雷设施巡查要求见表9.6.3。</w:t>
      </w:r>
      <w:bookmarkEnd w:id="327"/>
      <w:bookmarkEnd w:id="328"/>
    </w:p>
    <w:p w14:paraId="6EEB2898">
      <w:pPr>
        <w:jc w:val="both"/>
        <w:rPr>
          <w:rFonts w:hint="default" w:ascii="黑体" w:hAnsi="黑体" w:eastAsia="黑体" w:cs="黑体"/>
          <w:color w:val="auto"/>
          <w:highlight w:val="none"/>
          <w:lang w:val="en-US" w:eastAsia="zh-CN"/>
        </w:rPr>
      </w:pPr>
    </w:p>
    <w:p w14:paraId="2687C87E">
      <w:pPr>
        <w:jc w:val="both"/>
        <w:rPr>
          <w:rFonts w:hint="default" w:ascii="黑体" w:hAnsi="黑体" w:eastAsia="黑体" w:cs="黑体"/>
          <w:color w:val="auto"/>
          <w:highlight w:val="none"/>
          <w:lang w:val="en-US" w:eastAsia="zh-CN"/>
        </w:rPr>
      </w:pPr>
    </w:p>
    <w:p w14:paraId="62B71B12">
      <w:pPr>
        <w:pStyle w:val="8"/>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329" w:name="_Toc22081"/>
      <w:bookmarkStart w:id="330" w:name="_Toc29376"/>
      <w:r>
        <w:rPr>
          <w:rFonts w:hint="eastAsia" w:ascii="Times New Roman" w:hAnsi="Times New Roman" w:eastAsia="黑体" w:cs="Times New Roman"/>
          <w:bCs w:val="0"/>
          <w:sz w:val="21"/>
          <w:szCs w:val="24"/>
          <w:highlight w:val="none"/>
          <w:lang w:val="en-US" w:eastAsia="zh-CN"/>
        </w:rPr>
        <w:t>表9.6.3  项目主要分类服务标准—建筑物防雷设施巡查</w:t>
      </w:r>
      <w:bookmarkEnd w:id="329"/>
      <w:bookmarkEnd w:id="330"/>
    </w:p>
    <w:tbl>
      <w:tblPr>
        <w:tblStyle w:val="38"/>
        <w:tblW w:w="8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8"/>
        <w:gridCol w:w="564"/>
        <w:gridCol w:w="1227"/>
        <w:gridCol w:w="542"/>
        <w:gridCol w:w="1124"/>
        <w:gridCol w:w="542"/>
        <w:gridCol w:w="1260"/>
        <w:gridCol w:w="569"/>
        <w:gridCol w:w="1111"/>
      </w:tblGrid>
      <w:tr w14:paraId="3DA0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38" w:type="dxa"/>
            <w:vMerge w:val="restart"/>
            <w:tcBorders>
              <w:top w:val="single" w:color="000000" w:sz="12" w:space="0"/>
              <w:left w:val="single" w:color="000000" w:sz="12" w:space="0"/>
              <w:bottom w:val="single" w:color="000000" w:sz="4" w:space="0"/>
              <w:right w:val="single" w:color="000000" w:sz="4" w:space="0"/>
            </w:tcBorders>
            <w:noWrap/>
            <w:vAlign w:val="center"/>
          </w:tcPr>
          <w:p w14:paraId="717A6B42">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1791" w:type="dxa"/>
            <w:gridSpan w:val="2"/>
            <w:tcBorders>
              <w:top w:val="single" w:color="000000" w:sz="12" w:space="0"/>
              <w:left w:val="single" w:color="000000" w:sz="4" w:space="0"/>
              <w:bottom w:val="single" w:color="000000" w:sz="4" w:space="0"/>
              <w:right w:val="single" w:color="000000" w:sz="4" w:space="0"/>
            </w:tcBorders>
            <w:noWrap/>
            <w:vAlign w:val="center"/>
          </w:tcPr>
          <w:p w14:paraId="474A1CB2">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666" w:type="dxa"/>
            <w:gridSpan w:val="2"/>
            <w:tcBorders>
              <w:top w:val="single" w:color="000000" w:sz="12" w:space="0"/>
              <w:left w:val="single" w:color="000000" w:sz="4" w:space="0"/>
              <w:bottom w:val="single" w:color="000000" w:sz="4" w:space="0"/>
              <w:right w:val="single" w:color="000000" w:sz="4" w:space="0"/>
            </w:tcBorders>
            <w:noWrap/>
            <w:vAlign w:val="center"/>
          </w:tcPr>
          <w:p w14:paraId="32F76A9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802" w:type="dxa"/>
            <w:gridSpan w:val="2"/>
            <w:tcBorders>
              <w:top w:val="single" w:color="000000" w:sz="12" w:space="0"/>
              <w:left w:val="single" w:color="000000" w:sz="4" w:space="0"/>
              <w:bottom w:val="single" w:color="000000" w:sz="4" w:space="0"/>
              <w:right w:val="single" w:color="000000" w:sz="4" w:space="0"/>
            </w:tcBorders>
            <w:noWrap/>
            <w:vAlign w:val="center"/>
          </w:tcPr>
          <w:p w14:paraId="76F2680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变电站/换流站</w:t>
            </w:r>
          </w:p>
        </w:tc>
        <w:tc>
          <w:tcPr>
            <w:tcW w:w="1680" w:type="dxa"/>
            <w:gridSpan w:val="2"/>
            <w:tcBorders>
              <w:top w:val="single" w:color="000000" w:sz="12" w:space="0"/>
              <w:left w:val="single" w:color="000000" w:sz="4" w:space="0"/>
              <w:bottom w:val="single" w:color="000000" w:sz="4" w:space="0"/>
              <w:right w:val="single" w:color="000000" w:sz="12" w:space="0"/>
            </w:tcBorders>
            <w:noWrap/>
            <w:vAlign w:val="center"/>
          </w:tcPr>
          <w:p w14:paraId="5AEB3BD4">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周转仓</w:t>
            </w:r>
          </w:p>
        </w:tc>
      </w:tr>
      <w:tr w14:paraId="7035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38" w:type="dxa"/>
            <w:vMerge w:val="continue"/>
            <w:tcBorders>
              <w:top w:val="single" w:color="000000" w:sz="4" w:space="0"/>
              <w:left w:val="single" w:color="000000" w:sz="12" w:space="0"/>
              <w:bottom w:val="single" w:color="000000" w:sz="12" w:space="0"/>
              <w:right w:val="single" w:color="000000" w:sz="4" w:space="0"/>
            </w:tcBorders>
            <w:noWrap/>
            <w:vAlign w:val="center"/>
          </w:tcPr>
          <w:p w14:paraId="1D4DE544">
            <w:pPr>
              <w:jc w:val="center"/>
              <w:rPr>
                <w:rFonts w:hint="eastAsia" w:ascii="宋体" w:hAnsi="宋体" w:eastAsia="宋体" w:cs="宋体"/>
                <w:b w:val="0"/>
                <w:bCs w:val="0"/>
                <w:i w:val="0"/>
                <w:iCs w:val="0"/>
                <w:color w:val="auto"/>
                <w:sz w:val="18"/>
                <w:szCs w:val="18"/>
                <w:highlight w:val="none"/>
                <w:u w:val="none"/>
              </w:rPr>
            </w:pPr>
          </w:p>
        </w:tc>
        <w:tc>
          <w:tcPr>
            <w:tcW w:w="564" w:type="dxa"/>
            <w:tcBorders>
              <w:top w:val="single" w:color="000000" w:sz="4" w:space="0"/>
              <w:left w:val="single" w:color="000000" w:sz="4" w:space="0"/>
              <w:bottom w:val="single" w:color="000000" w:sz="12" w:space="0"/>
              <w:right w:val="single" w:color="000000" w:sz="4" w:space="0"/>
            </w:tcBorders>
            <w:noWrap/>
            <w:vAlign w:val="center"/>
          </w:tcPr>
          <w:p w14:paraId="1EC8A571">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27" w:type="dxa"/>
            <w:tcBorders>
              <w:top w:val="single" w:color="000000" w:sz="4" w:space="0"/>
              <w:left w:val="single" w:color="000000" w:sz="4" w:space="0"/>
              <w:bottom w:val="single" w:color="000000" w:sz="12" w:space="0"/>
              <w:right w:val="single" w:color="000000" w:sz="4" w:space="0"/>
            </w:tcBorders>
            <w:noWrap/>
            <w:vAlign w:val="center"/>
          </w:tcPr>
          <w:p w14:paraId="69224BE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2" w:type="dxa"/>
            <w:tcBorders>
              <w:top w:val="single" w:color="000000" w:sz="4" w:space="0"/>
              <w:left w:val="single" w:color="000000" w:sz="4" w:space="0"/>
              <w:bottom w:val="single" w:color="000000" w:sz="12" w:space="0"/>
              <w:right w:val="single" w:color="000000" w:sz="4" w:space="0"/>
            </w:tcBorders>
            <w:noWrap/>
            <w:vAlign w:val="center"/>
          </w:tcPr>
          <w:p w14:paraId="77D15B1F">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24" w:type="dxa"/>
            <w:tcBorders>
              <w:top w:val="single" w:color="000000" w:sz="4" w:space="0"/>
              <w:left w:val="single" w:color="000000" w:sz="4" w:space="0"/>
              <w:bottom w:val="single" w:color="000000" w:sz="12" w:space="0"/>
              <w:right w:val="single" w:color="000000" w:sz="4" w:space="0"/>
            </w:tcBorders>
            <w:noWrap/>
            <w:vAlign w:val="center"/>
          </w:tcPr>
          <w:p w14:paraId="4B87071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2" w:type="dxa"/>
            <w:tcBorders>
              <w:top w:val="single" w:color="000000" w:sz="4" w:space="0"/>
              <w:left w:val="single" w:color="000000" w:sz="4" w:space="0"/>
              <w:bottom w:val="single" w:color="000000" w:sz="12" w:space="0"/>
              <w:right w:val="single" w:color="000000" w:sz="4" w:space="0"/>
            </w:tcBorders>
            <w:noWrap/>
            <w:vAlign w:val="center"/>
          </w:tcPr>
          <w:p w14:paraId="497FD6F5">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60" w:type="dxa"/>
            <w:tcBorders>
              <w:top w:val="single" w:color="000000" w:sz="4" w:space="0"/>
              <w:left w:val="single" w:color="000000" w:sz="4" w:space="0"/>
              <w:bottom w:val="single" w:color="000000" w:sz="12" w:space="0"/>
              <w:right w:val="single" w:color="000000" w:sz="4" w:space="0"/>
            </w:tcBorders>
            <w:noWrap/>
            <w:vAlign w:val="center"/>
          </w:tcPr>
          <w:p w14:paraId="19775C3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69" w:type="dxa"/>
            <w:tcBorders>
              <w:top w:val="single" w:color="000000" w:sz="4" w:space="0"/>
              <w:left w:val="single" w:color="000000" w:sz="4" w:space="0"/>
              <w:bottom w:val="single" w:color="000000" w:sz="12" w:space="0"/>
              <w:right w:val="single" w:color="000000" w:sz="4" w:space="0"/>
            </w:tcBorders>
            <w:noWrap/>
            <w:vAlign w:val="center"/>
          </w:tcPr>
          <w:p w14:paraId="5FA4F94F">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11" w:type="dxa"/>
            <w:tcBorders>
              <w:top w:val="single" w:color="000000" w:sz="4" w:space="0"/>
              <w:left w:val="single" w:color="000000" w:sz="4" w:space="0"/>
              <w:bottom w:val="single" w:color="000000" w:sz="12" w:space="0"/>
              <w:right w:val="single" w:color="000000" w:sz="12" w:space="0"/>
            </w:tcBorders>
            <w:noWrap/>
            <w:vAlign w:val="center"/>
          </w:tcPr>
          <w:p w14:paraId="6E248FAB">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0C8A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1338" w:type="dxa"/>
            <w:tcBorders>
              <w:top w:val="single" w:color="000000" w:sz="12" w:space="0"/>
              <w:left w:val="single" w:color="000000" w:sz="12" w:space="0"/>
              <w:bottom w:val="single" w:color="000000" w:sz="12" w:space="0"/>
              <w:right w:val="single" w:color="000000" w:sz="4" w:space="0"/>
            </w:tcBorders>
            <w:noWrap/>
            <w:vAlign w:val="center"/>
          </w:tcPr>
          <w:p w14:paraId="73DBC9C5">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 xml:space="preserve">避雷带、避雷针、避雷线巡查 </w:t>
            </w:r>
          </w:p>
        </w:tc>
        <w:tc>
          <w:tcPr>
            <w:tcW w:w="564" w:type="dxa"/>
            <w:tcBorders>
              <w:top w:val="single" w:color="000000" w:sz="12" w:space="0"/>
              <w:left w:val="single" w:color="000000" w:sz="4" w:space="0"/>
              <w:bottom w:val="single" w:color="000000" w:sz="12" w:space="0"/>
              <w:right w:val="single" w:color="000000" w:sz="4" w:space="0"/>
            </w:tcBorders>
            <w:noWrap/>
            <w:vAlign w:val="center"/>
          </w:tcPr>
          <w:p w14:paraId="420EF6F7">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14:paraId="4946DAA0">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227" w:type="dxa"/>
            <w:tcBorders>
              <w:top w:val="single" w:color="000000" w:sz="12" w:space="0"/>
              <w:left w:val="single" w:color="000000" w:sz="4" w:space="0"/>
              <w:bottom w:val="single" w:color="000000" w:sz="12" w:space="0"/>
              <w:right w:val="single" w:color="000000" w:sz="4" w:space="0"/>
            </w:tcBorders>
            <w:noWrap/>
            <w:vAlign w:val="center"/>
          </w:tcPr>
          <w:p w14:paraId="235FB05D">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连接牢固，无松动、脱落、生锈现象</w:t>
            </w:r>
          </w:p>
        </w:tc>
        <w:tc>
          <w:tcPr>
            <w:tcW w:w="542" w:type="dxa"/>
            <w:tcBorders>
              <w:top w:val="single" w:color="000000" w:sz="12" w:space="0"/>
              <w:left w:val="single" w:color="000000" w:sz="4" w:space="0"/>
              <w:bottom w:val="single" w:color="000000" w:sz="12" w:space="0"/>
              <w:right w:val="single" w:color="000000" w:sz="4" w:space="0"/>
            </w:tcBorders>
            <w:noWrap/>
            <w:vAlign w:val="center"/>
          </w:tcPr>
          <w:p w14:paraId="6F906070">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14:paraId="493F9A1C">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124" w:type="dxa"/>
            <w:tcBorders>
              <w:top w:val="single" w:color="000000" w:sz="12" w:space="0"/>
              <w:left w:val="single" w:color="000000" w:sz="4" w:space="0"/>
              <w:bottom w:val="single" w:color="000000" w:sz="12" w:space="0"/>
              <w:right w:val="single" w:color="000000" w:sz="4" w:space="0"/>
            </w:tcBorders>
            <w:noWrap/>
            <w:vAlign w:val="center"/>
          </w:tcPr>
          <w:p w14:paraId="7BB2385C">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连接牢固，无松动、脱落、生锈现象</w:t>
            </w:r>
          </w:p>
        </w:tc>
        <w:tc>
          <w:tcPr>
            <w:tcW w:w="542" w:type="dxa"/>
            <w:tcBorders>
              <w:top w:val="single" w:color="000000" w:sz="12" w:space="0"/>
              <w:left w:val="single" w:color="000000" w:sz="4" w:space="0"/>
              <w:bottom w:val="single" w:color="000000" w:sz="12" w:space="0"/>
              <w:right w:val="single" w:color="000000" w:sz="4" w:space="0"/>
            </w:tcBorders>
            <w:noWrap/>
            <w:vAlign w:val="center"/>
          </w:tcPr>
          <w:p w14:paraId="7174B1B7">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14:paraId="683013AC">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260" w:type="dxa"/>
            <w:tcBorders>
              <w:top w:val="single" w:color="000000" w:sz="12" w:space="0"/>
              <w:left w:val="single" w:color="000000" w:sz="4" w:space="0"/>
              <w:bottom w:val="single" w:color="000000" w:sz="12" w:space="0"/>
              <w:right w:val="single" w:color="000000" w:sz="4" w:space="0"/>
            </w:tcBorders>
            <w:noWrap/>
            <w:vAlign w:val="center"/>
          </w:tcPr>
          <w:p w14:paraId="668BA884">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连接牢固，无松动、脱落、生锈现象</w:t>
            </w:r>
          </w:p>
        </w:tc>
        <w:tc>
          <w:tcPr>
            <w:tcW w:w="569" w:type="dxa"/>
            <w:tcBorders>
              <w:top w:val="single" w:color="000000" w:sz="12" w:space="0"/>
              <w:left w:val="single" w:color="000000" w:sz="4" w:space="0"/>
              <w:bottom w:val="single" w:color="000000" w:sz="12" w:space="0"/>
              <w:right w:val="single" w:color="000000" w:sz="4" w:space="0"/>
            </w:tcBorders>
            <w:noWrap/>
            <w:vAlign w:val="center"/>
          </w:tcPr>
          <w:p w14:paraId="23135E81">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14:paraId="7A537807">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111" w:type="dxa"/>
            <w:tcBorders>
              <w:top w:val="single" w:color="000000" w:sz="12" w:space="0"/>
              <w:left w:val="single" w:color="000000" w:sz="4" w:space="0"/>
              <w:bottom w:val="single" w:color="000000" w:sz="12" w:space="0"/>
              <w:right w:val="single" w:color="000000" w:sz="12" w:space="0"/>
            </w:tcBorders>
            <w:noWrap/>
            <w:vAlign w:val="center"/>
          </w:tcPr>
          <w:p w14:paraId="7B936FD4">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连接牢固，无松动、脱落、生锈现象</w:t>
            </w:r>
          </w:p>
        </w:tc>
      </w:tr>
    </w:tbl>
    <w:p w14:paraId="2C8708D4">
      <w:pPr>
        <w:pStyle w:val="63"/>
        <w:keepNext w:val="0"/>
        <w:keepLines w:val="0"/>
        <w:pageBreakBefore w:val="0"/>
        <w:widowControl/>
        <w:numPr>
          <w:ilvl w:val="2"/>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黑体" w:hAnsi="黑体" w:eastAsia="黑体" w:cs="黑体"/>
          <w:b w:val="0"/>
          <w:i w:val="0"/>
          <w:color w:val="auto"/>
          <w:sz w:val="21"/>
          <w:szCs w:val="21"/>
          <w:highlight w:val="none"/>
          <w:lang w:val="en-US" w:eastAsia="zh-CN" w:bidi="ar-SA"/>
        </w:rPr>
      </w:pPr>
      <w:bookmarkStart w:id="331" w:name="_Toc30588"/>
    </w:p>
    <w:p w14:paraId="6C84794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2" w:name="_Toc17012"/>
      <w:bookmarkStart w:id="333" w:name="_Toc26992"/>
      <w:r>
        <w:rPr>
          <w:rFonts w:hint="eastAsia" w:ascii="宋体" w:hAnsi="宋体" w:eastAsia="宋体" w:cs="宋体"/>
          <w:b/>
          <w:bCs/>
          <w:color w:val="auto"/>
          <w:sz w:val="24"/>
          <w:szCs w:val="24"/>
          <w:highlight w:val="none"/>
          <w:lang w:val="en-US" w:eastAsia="zh-CN"/>
        </w:rPr>
        <w:t>9.7  安全技术防范与多媒体系统</w:t>
      </w:r>
      <w:bookmarkEnd w:id="331"/>
      <w:bookmarkEnd w:id="332"/>
      <w:bookmarkEnd w:id="333"/>
    </w:p>
    <w:p w14:paraId="43FA7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9.7.1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建立</w:t>
      </w:r>
      <w:r>
        <w:rPr>
          <w:rFonts w:hint="eastAsia" w:ascii="宋体" w:hAnsi="宋体" w:eastAsia="宋体" w:cs="宋体"/>
          <w:color w:val="auto"/>
          <w:sz w:val="24"/>
          <w:szCs w:val="24"/>
          <w:highlight w:val="none"/>
        </w:rPr>
        <w:t>安全技术防范</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多媒体</w:t>
      </w:r>
      <w:r>
        <w:rPr>
          <w:rFonts w:hint="eastAsia" w:ascii="宋体" w:hAnsi="宋体" w:eastAsia="宋体" w:cs="宋体"/>
          <w:color w:val="auto"/>
          <w:sz w:val="24"/>
          <w:szCs w:val="24"/>
          <w:highlight w:val="none"/>
        </w:rPr>
        <w:t>系统</w:t>
      </w:r>
      <w:r>
        <w:rPr>
          <w:rFonts w:hint="eastAsia" w:ascii="宋体" w:hAnsi="宋体" w:eastAsia="宋体" w:cs="宋体"/>
          <w:color w:val="auto"/>
          <w:kern w:val="0"/>
          <w:sz w:val="24"/>
          <w:szCs w:val="24"/>
          <w:highlight w:val="none"/>
          <w:lang w:val="en-US" w:eastAsia="zh-CN" w:bidi="ar"/>
        </w:rPr>
        <w:t>设施设备管理制度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内容保密管理措施，摄像头采集告知制度</w:t>
      </w:r>
      <w:r>
        <w:rPr>
          <w:rFonts w:hint="eastAsia" w:ascii="宋体" w:hAnsi="宋体" w:cs="宋体"/>
          <w:color w:val="auto"/>
          <w:kern w:val="0"/>
          <w:sz w:val="24"/>
          <w:szCs w:val="24"/>
          <w:highlight w:val="none"/>
          <w:lang w:val="en-US" w:eastAsia="zh-CN" w:bidi="ar"/>
        </w:rPr>
        <w:t>等</w:t>
      </w:r>
      <w:r>
        <w:rPr>
          <w:rFonts w:hint="eastAsia" w:ascii="宋体" w:hAnsi="宋体" w:eastAsia="宋体" w:cs="宋体"/>
          <w:color w:val="auto"/>
          <w:kern w:val="0"/>
          <w:sz w:val="24"/>
          <w:szCs w:val="24"/>
          <w:highlight w:val="none"/>
          <w:lang w:val="en-US" w:eastAsia="zh-CN" w:bidi="ar"/>
        </w:rPr>
        <w:t>。针对入侵和紧急报警、视频监控、出入口控制、停车场（库）安全管理、安全检查、楼宇对讲、电子巡查与多媒体等系统，与具有资质或能力的供应商签订维护保养合同并建立厂家供应商管理制度，合同内约定好定期保养及故障应急响应时效以及重大活动的保障等内容。</w:t>
      </w:r>
    </w:p>
    <w:p w14:paraId="1D217E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9.7.2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根据各种类型设备由相关责任人进行管理，每日定期巡检设备运行工作，如有异常，应马上报供应商处理并记录归档。</w:t>
      </w:r>
    </w:p>
    <w:p w14:paraId="32685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9.7.3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对各系统的运行数据应进行定期收集，优化设备运行参数，规范记录备份归档。</w:t>
      </w:r>
    </w:p>
    <w:p w14:paraId="460BC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color w:val="auto"/>
          <w:sz w:val="24"/>
          <w:szCs w:val="24"/>
          <w:highlight w:val="none"/>
          <w:lang w:val="en-US" w:eastAsia="zh-CN"/>
        </w:rPr>
      </w:pPr>
      <w:bookmarkStart w:id="334" w:name="_Toc7125"/>
      <w:bookmarkStart w:id="335" w:name="_Toc29237"/>
      <w:r>
        <w:rPr>
          <w:rFonts w:hint="eastAsia" w:ascii="Times New Roman" w:hAnsi="Times New Roman" w:eastAsia="宋体" w:cs="Times New Roman"/>
          <w:b/>
          <w:bCs/>
          <w:i w:val="0"/>
          <w:color w:val="auto"/>
          <w:kern w:val="2"/>
          <w:sz w:val="24"/>
          <w:szCs w:val="24"/>
          <w:highlight w:val="none"/>
          <w:lang w:val="en-US" w:eastAsia="zh-CN" w:bidi="ar-SA"/>
        </w:rPr>
        <w:t>9.7.4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安全技术防范</w:t>
      </w:r>
      <w:r>
        <w:rPr>
          <w:rFonts w:hint="eastAsia" w:ascii="宋体" w:hAnsi="宋体" w:eastAsia="宋体" w:cs="宋体"/>
          <w:color w:val="auto"/>
          <w:sz w:val="24"/>
          <w:szCs w:val="24"/>
          <w:highlight w:val="none"/>
          <w:lang w:val="en-US" w:eastAsia="zh-CN" w:bidi="ar-SA"/>
        </w:rPr>
        <w:t>与多媒体</w:t>
      </w:r>
      <w:r>
        <w:rPr>
          <w:rFonts w:hint="eastAsia" w:ascii="宋体" w:hAnsi="宋体" w:eastAsia="宋体" w:cs="宋体"/>
          <w:color w:val="auto"/>
          <w:kern w:val="0"/>
          <w:sz w:val="24"/>
          <w:szCs w:val="24"/>
          <w:highlight w:val="none"/>
          <w:lang w:val="en-US" w:eastAsia="zh-CN" w:bidi="ar"/>
        </w:rPr>
        <w:t>系统巡查维护要求见附录C。</w:t>
      </w:r>
      <w:bookmarkEnd w:id="334"/>
      <w:bookmarkEnd w:id="335"/>
    </w:p>
    <w:p w14:paraId="727110A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6" w:name="_Toc26968"/>
      <w:bookmarkStart w:id="337" w:name="_Toc10992"/>
      <w:bookmarkStart w:id="338" w:name="_Toc4275"/>
      <w:r>
        <w:rPr>
          <w:rFonts w:hint="eastAsia" w:ascii="宋体" w:hAnsi="宋体" w:eastAsia="宋体" w:cs="宋体"/>
          <w:b/>
          <w:bCs/>
          <w:color w:val="auto"/>
          <w:sz w:val="24"/>
          <w:szCs w:val="24"/>
          <w:highlight w:val="none"/>
          <w:lang w:val="en-US" w:eastAsia="zh-CN"/>
        </w:rPr>
        <w:t>9.8  公共及生产区照明系统</w:t>
      </w:r>
      <w:bookmarkEnd w:id="336"/>
      <w:bookmarkEnd w:id="337"/>
      <w:bookmarkEnd w:id="338"/>
    </w:p>
    <w:p w14:paraId="0CA656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9.8.1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应建立健全的公共</w:t>
      </w:r>
      <w:r>
        <w:rPr>
          <w:rFonts w:hint="eastAsia" w:ascii="宋体" w:hAnsi="宋体" w:eastAsia="宋体" w:cs="宋体"/>
          <w:b w:val="0"/>
          <w:bCs w:val="0"/>
          <w:color w:val="auto"/>
          <w:kern w:val="0"/>
          <w:sz w:val="24"/>
          <w:szCs w:val="24"/>
          <w:highlight w:val="none"/>
          <w:lang w:val="en-US" w:eastAsia="zh-CN" w:bidi="ar"/>
        </w:rPr>
        <w:t>及生产区</w:t>
      </w:r>
      <w:r>
        <w:rPr>
          <w:rFonts w:hint="eastAsia" w:ascii="宋体" w:hAnsi="宋体" w:eastAsia="宋体" w:cs="宋体"/>
          <w:color w:val="auto"/>
          <w:kern w:val="0"/>
          <w:sz w:val="24"/>
          <w:szCs w:val="24"/>
          <w:highlight w:val="none"/>
          <w:lang w:val="en-US" w:eastAsia="zh-CN" w:bidi="ar"/>
        </w:rPr>
        <w:t>照明管理制度，应包括但不限于：运行、保养、节能等。</w:t>
      </w:r>
    </w:p>
    <w:p w14:paraId="2CC210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应制定年度/月度照明维护保养计划。</w:t>
      </w:r>
    </w:p>
    <w:p w14:paraId="247773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对公共路灯每周</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1次的巡查，确保路灯照明正常。</w:t>
      </w:r>
    </w:p>
    <w:p w14:paraId="620E9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9.8.4</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对生产/办公区内的照明配电箱及灯具每周≥1次巡查，确保生产/办公照明正常。</w:t>
      </w:r>
    </w:p>
    <w:p w14:paraId="20D47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rPr>
        <w:t>对照明配电箱每</w:t>
      </w:r>
      <w:r>
        <w:rPr>
          <w:rFonts w:hint="eastAsia" w:ascii="宋体" w:hAnsi="宋体" w:cs="宋体"/>
          <w:color w:val="auto"/>
          <w:sz w:val="24"/>
          <w:szCs w:val="24"/>
          <w:highlight w:val="none"/>
          <w:lang w:val="en-US" w:eastAsia="zh-CN"/>
        </w:rPr>
        <w:t>半年</w:t>
      </w:r>
      <w:r>
        <w:rPr>
          <w:rFonts w:hint="eastAsia" w:ascii="宋体" w:hAnsi="宋体" w:eastAsia="宋体" w:cs="宋体"/>
          <w:color w:val="auto"/>
          <w:sz w:val="24"/>
          <w:szCs w:val="24"/>
          <w:highlight w:val="none"/>
        </w:rPr>
        <w:t>进行</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w:t>
      </w:r>
      <w:r>
        <w:rPr>
          <w:rFonts w:hint="eastAsia" w:ascii="宋体" w:hAnsi="宋体" w:eastAsia="宋体" w:cs="宋体"/>
          <w:color w:val="auto"/>
          <w:sz w:val="24"/>
          <w:szCs w:val="24"/>
          <w:highlight w:val="none"/>
          <w:lang w:val="en-US" w:eastAsia="zh-CN"/>
        </w:rPr>
        <w:t>巡查和清</w:t>
      </w:r>
      <w:r>
        <w:rPr>
          <w:rFonts w:hint="eastAsia" w:ascii="宋体" w:hAnsi="宋体" w:eastAsia="宋体" w:cs="宋体"/>
          <w:color w:val="auto"/>
          <w:sz w:val="24"/>
          <w:szCs w:val="24"/>
          <w:highlight w:val="none"/>
        </w:rPr>
        <w:t>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积尘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接线是否有松动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端子排和电缆排是否完好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出现</w:t>
      </w:r>
      <w:r>
        <w:rPr>
          <w:rFonts w:hint="eastAsia" w:ascii="宋体" w:hAnsi="宋体" w:eastAsia="宋体" w:cs="宋体"/>
          <w:color w:val="auto"/>
          <w:sz w:val="24"/>
          <w:szCs w:val="24"/>
          <w:highlight w:val="none"/>
        </w:rPr>
        <w:t>异常并紧固端子等</w:t>
      </w:r>
      <w:r>
        <w:rPr>
          <w:rFonts w:hint="eastAsia" w:ascii="宋体" w:hAnsi="宋体" w:eastAsia="宋体" w:cs="宋体"/>
          <w:color w:val="auto"/>
          <w:sz w:val="24"/>
          <w:szCs w:val="24"/>
          <w:highlight w:val="none"/>
          <w:lang w:eastAsia="zh-CN"/>
        </w:rPr>
        <w:t>。</w:t>
      </w:r>
    </w:p>
    <w:p w14:paraId="0FFCE0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9.8.6</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照明度应符合</w:t>
      </w:r>
      <w:r>
        <w:rPr>
          <w:rFonts w:hint="eastAsia" w:ascii="宋体" w:hAnsi="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val="en-US" w:eastAsia="zh-CN"/>
        </w:rPr>
        <w:t>建筑照明设计标准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50034的相关</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w:t>
      </w:r>
    </w:p>
    <w:p w14:paraId="118DADC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9" w:name="_Toc6382"/>
      <w:bookmarkStart w:id="340" w:name="_Toc1996"/>
      <w:bookmarkStart w:id="341" w:name="_Toc24131"/>
      <w:r>
        <w:rPr>
          <w:rFonts w:hint="eastAsia" w:ascii="宋体" w:hAnsi="宋体" w:eastAsia="宋体" w:cs="宋体"/>
          <w:b/>
          <w:bCs/>
          <w:color w:val="auto"/>
          <w:sz w:val="24"/>
          <w:szCs w:val="24"/>
          <w:highlight w:val="none"/>
          <w:lang w:val="en-US" w:eastAsia="zh-CN"/>
        </w:rPr>
        <w:t>9.9  生产区设备清洁保养</w:t>
      </w:r>
      <w:bookmarkEnd w:id="339"/>
      <w:bookmarkEnd w:id="340"/>
      <w:bookmarkEnd w:id="341"/>
    </w:p>
    <w:p w14:paraId="70BC35E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9.9.1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厂房设备辅助清洁保养作业，应制定健全的安全作业制度及流程。</w:t>
      </w:r>
    </w:p>
    <w:p w14:paraId="62ACF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9.9.2</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应制定厂房设备清洁保养计划，</w:t>
      </w:r>
      <w:r>
        <w:rPr>
          <w:rFonts w:hint="eastAsia" w:ascii="宋体" w:hAnsi="宋体" w:cs="宋体"/>
          <w:color w:val="auto"/>
          <w:sz w:val="24"/>
          <w:szCs w:val="24"/>
          <w:highlight w:val="none"/>
          <w:lang w:val="en-US" w:eastAsia="zh-CN"/>
        </w:rPr>
        <w:t>按本标准第</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en-US" w:eastAsia="zh-CN"/>
        </w:rPr>
        <w:t>严格执行同时满足且不限于以下内容：</w:t>
      </w:r>
    </w:p>
    <w:p w14:paraId="3A545B93">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342" w:name="_Toc23972"/>
      <w:bookmarkStart w:id="343" w:name="_Toc14404"/>
      <w:bookmarkStart w:id="344" w:name="_Toc2653"/>
      <w:bookmarkStart w:id="345" w:name="_Toc25745"/>
      <w:bookmarkStart w:id="346" w:name="_Toc9093"/>
      <w:r>
        <w:rPr>
          <w:rFonts w:hint="eastAsia" w:ascii="宋体" w:hAnsi="宋体" w:eastAsia="宋体" w:cs="宋体"/>
          <w:color w:val="auto"/>
          <w:sz w:val="24"/>
          <w:szCs w:val="24"/>
          <w:highlight w:val="none"/>
          <w:lang w:val="en-US" w:eastAsia="zh-CN" w:bidi="ar-SA"/>
        </w:rPr>
        <w:t>1  生产区内厂房/设备清洁保养的工作人员，应通过安全部门组织的安全培训并取得合格，方可进入指定区域开展工作</w:t>
      </w:r>
      <w:bookmarkEnd w:id="342"/>
      <w:bookmarkEnd w:id="343"/>
      <w:bookmarkEnd w:id="344"/>
      <w:bookmarkEnd w:id="345"/>
      <w:r>
        <w:rPr>
          <w:rFonts w:hint="eastAsia" w:ascii="宋体" w:hAnsi="宋体" w:eastAsia="宋体" w:cs="宋体"/>
          <w:color w:val="auto"/>
          <w:sz w:val="24"/>
          <w:szCs w:val="24"/>
          <w:highlight w:val="none"/>
          <w:lang w:val="en-US" w:eastAsia="zh-CN" w:bidi="ar-SA"/>
        </w:rPr>
        <w:t>；</w:t>
      </w:r>
      <w:bookmarkEnd w:id="346"/>
    </w:p>
    <w:p w14:paraId="690C0C44">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347" w:name="_Toc29892"/>
      <w:bookmarkStart w:id="348" w:name="_Toc15659"/>
      <w:bookmarkStart w:id="349" w:name="_Toc32020"/>
      <w:bookmarkStart w:id="350" w:name="_Toc9873"/>
      <w:bookmarkStart w:id="351" w:name="_Toc29336"/>
      <w:r>
        <w:rPr>
          <w:rFonts w:hint="eastAsia" w:ascii="宋体" w:hAnsi="宋体" w:eastAsia="宋体" w:cs="宋体"/>
          <w:color w:val="auto"/>
          <w:sz w:val="24"/>
          <w:szCs w:val="24"/>
          <w:highlight w:val="none"/>
          <w:lang w:val="en-US" w:eastAsia="zh-CN" w:bidi="ar-SA"/>
        </w:rPr>
        <w:t>2  应有相关注意事项和安全措施的细项要求</w:t>
      </w:r>
      <w:bookmarkEnd w:id="347"/>
      <w:bookmarkEnd w:id="348"/>
      <w:bookmarkEnd w:id="349"/>
      <w:bookmarkEnd w:id="350"/>
      <w:r>
        <w:rPr>
          <w:rFonts w:hint="eastAsia" w:ascii="宋体" w:hAnsi="宋体" w:eastAsia="宋体" w:cs="宋体"/>
          <w:color w:val="auto"/>
          <w:sz w:val="24"/>
          <w:szCs w:val="24"/>
          <w:highlight w:val="none"/>
          <w:lang w:val="en-US" w:eastAsia="zh-CN" w:bidi="ar-SA"/>
        </w:rPr>
        <w:t>；</w:t>
      </w:r>
      <w:bookmarkEnd w:id="351"/>
    </w:p>
    <w:p w14:paraId="2F653CBB">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352" w:name="_Toc10963"/>
      <w:bookmarkStart w:id="353" w:name="_Toc32491"/>
      <w:bookmarkStart w:id="354" w:name="_Toc32511"/>
      <w:bookmarkStart w:id="355" w:name="_Toc3848"/>
      <w:bookmarkStart w:id="356" w:name="_Toc28358"/>
      <w:r>
        <w:rPr>
          <w:rFonts w:hint="eastAsia" w:ascii="宋体" w:hAnsi="宋体" w:eastAsia="宋体" w:cs="宋体"/>
          <w:color w:val="auto"/>
          <w:sz w:val="24"/>
          <w:szCs w:val="24"/>
          <w:highlight w:val="none"/>
          <w:lang w:val="en-US" w:eastAsia="zh-CN" w:bidi="ar-SA"/>
        </w:rPr>
        <w:t>3  明确相关的主要责任人员以及现场监护实施人员方可开展工作</w:t>
      </w:r>
      <w:bookmarkEnd w:id="352"/>
      <w:bookmarkEnd w:id="353"/>
      <w:bookmarkEnd w:id="354"/>
      <w:bookmarkEnd w:id="355"/>
      <w:r>
        <w:rPr>
          <w:rFonts w:hint="eastAsia" w:ascii="宋体" w:hAnsi="宋体" w:eastAsia="宋体" w:cs="宋体"/>
          <w:color w:val="auto"/>
          <w:sz w:val="24"/>
          <w:szCs w:val="24"/>
          <w:highlight w:val="none"/>
          <w:lang w:val="en-US" w:eastAsia="zh-CN" w:bidi="ar-SA"/>
        </w:rPr>
        <w:t>；</w:t>
      </w:r>
      <w:bookmarkEnd w:id="356"/>
    </w:p>
    <w:p w14:paraId="1E33147C">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bookmarkStart w:id="357" w:name="_Toc25597"/>
      <w:bookmarkStart w:id="358" w:name="_Toc11323"/>
      <w:bookmarkStart w:id="359" w:name="_Toc13150"/>
      <w:bookmarkStart w:id="360" w:name="_Toc13075"/>
      <w:bookmarkStart w:id="361" w:name="_Toc20415"/>
      <w:r>
        <w:rPr>
          <w:rFonts w:hint="eastAsia" w:ascii="宋体" w:hAnsi="宋体" w:eastAsia="宋体" w:cs="宋体"/>
          <w:color w:val="auto"/>
          <w:sz w:val="24"/>
          <w:szCs w:val="24"/>
          <w:highlight w:val="none"/>
          <w:lang w:val="en-US" w:eastAsia="zh-CN" w:bidi="ar-SA"/>
        </w:rPr>
        <w:t>4  进入机械转动或带电区域的作业人员，应严格遵循在安全工作范围内作业；作业范围边界宜设有临时护栏和警示标示，须在监护人员的监督下严格按作业计划、作业流程开展工作。</w:t>
      </w:r>
      <w:bookmarkEnd w:id="357"/>
      <w:bookmarkEnd w:id="358"/>
      <w:bookmarkEnd w:id="359"/>
      <w:bookmarkEnd w:id="360"/>
      <w:bookmarkEnd w:id="361"/>
    </w:p>
    <w:p w14:paraId="6FD4F864">
      <w:pPr>
        <w:pStyle w:val="4"/>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362" w:name="_Toc13344"/>
      <w:bookmarkStart w:id="363" w:name="_Toc17579"/>
      <w:bookmarkStart w:id="364" w:name="_Toc21328"/>
      <w:r>
        <w:rPr>
          <w:rFonts w:hint="eastAsia" w:ascii="Times New Roman" w:hAnsi="Times New Roman" w:eastAsia="宋体" w:cs="Times New Roman"/>
          <w:sz w:val="30"/>
          <w:highlight w:val="none"/>
          <w:lang w:val="en-US" w:eastAsia="zh-CN"/>
        </w:rPr>
        <w:t xml:space="preserve">10  </w:t>
      </w:r>
      <w:r>
        <w:rPr>
          <w:rFonts w:hint="eastAsia" w:ascii="Times New Roman" w:hAnsi="Times New Roman" w:eastAsia="宋体" w:cs="Times New Roman"/>
          <w:b w:val="0"/>
          <w:bCs w:val="0"/>
          <w:sz w:val="30"/>
          <w:highlight w:val="none"/>
          <w:lang w:val="en-US" w:eastAsia="zh-CN"/>
        </w:rPr>
        <w:t>秩序消防</w:t>
      </w:r>
      <w:bookmarkEnd w:id="362"/>
      <w:r>
        <w:rPr>
          <w:rFonts w:hint="eastAsia" w:ascii="Times New Roman" w:hAnsi="Times New Roman" w:eastAsia="宋体" w:cs="Times New Roman"/>
          <w:b w:val="0"/>
          <w:bCs w:val="0"/>
          <w:sz w:val="30"/>
          <w:highlight w:val="none"/>
          <w:lang w:val="en-US" w:eastAsia="zh-CN"/>
        </w:rPr>
        <w:t>服务</w:t>
      </w:r>
      <w:bookmarkEnd w:id="363"/>
      <w:bookmarkEnd w:id="364"/>
    </w:p>
    <w:p w14:paraId="0823C43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5" w:name="_Toc12381"/>
      <w:bookmarkStart w:id="366" w:name="_Toc8037"/>
      <w:bookmarkStart w:id="367" w:name="_Toc22619"/>
      <w:r>
        <w:rPr>
          <w:rFonts w:hint="eastAsia" w:ascii="宋体" w:hAnsi="宋体" w:eastAsia="宋体" w:cs="宋体"/>
          <w:b/>
          <w:bCs/>
          <w:color w:val="auto"/>
          <w:sz w:val="24"/>
          <w:szCs w:val="24"/>
          <w:highlight w:val="none"/>
          <w:lang w:val="en-US" w:eastAsia="zh-CN"/>
        </w:rPr>
        <w:t>10.1  出入管理</w:t>
      </w:r>
      <w:bookmarkEnd w:id="365"/>
      <w:bookmarkEnd w:id="366"/>
      <w:bookmarkEnd w:id="367"/>
    </w:p>
    <w:p w14:paraId="3A04B4D6">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b/>
          <w:bCs/>
          <w:i w:val="0"/>
          <w:color w:val="auto"/>
          <w:kern w:val="2"/>
          <w:sz w:val="24"/>
          <w:szCs w:val="24"/>
          <w:highlight w:val="none"/>
          <w:lang w:val="en-US" w:eastAsia="zh-CN" w:bidi="ar-SA"/>
        </w:rPr>
        <w:t>10.1.1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应制定人员、车辆、物品进出的相关管理制度。</w:t>
      </w:r>
    </w:p>
    <w:p w14:paraId="304B7E3C">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10.1.2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接待来访人员应做到规范指引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除紧急抢修、救人救灾等特殊情况外，需严格执行准入制度，应加强出入人员、车辆和物品的安全检查，防止发生外力破坏、盗窃、恐怖袭击等事件。</w:t>
      </w:r>
    </w:p>
    <w:p w14:paraId="1802F77B">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主要出入口实行24小时值班制度，实行定时站岗制，应有详细的交接班记录。</w:t>
      </w:r>
    </w:p>
    <w:p w14:paraId="34A69518">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10.1.4</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电力企业驻地单位工作人员凭工作卡（证）或人脸识别等生物识别系统确认后出入。</w:t>
      </w:r>
    </w:p>
    <w:p w14:paraId="6C15C17A">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营业厅非营业区人员进入应持出入（卡）证或人脸识别等生物识别系统确认后进入。</w:t>
      </w:r>
    </w:p>
    <w:p w14:paraId="4F09388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10.1.6</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外委工作人员、施工作业人员及车辆出入生产场所时，应经相关对接部门办理相关登记备案手续后，方可出入。因特殊情况，来不及提前登记备案时，应检查其有效证件，要求其说明工作事由并经相关对接部门批准后方可进入。</w:t>
      </w:r>
    </w:p>
    <w:p w14:paraId="7B4AA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10.1.7</w:t>
      </w:r>
      <w:r>
        <w:rPr>
          <w:rFonts w:hint="eastAsia" w:ascii="宋体" w:hAnsi="宋体" w:eastAsia="宋体" w:cs="宋体"/>
          <w:b w:val="0"/>
          <w:i w:val="0"/>
          <w:color w:val="auto"/>
          <w:sz w:val="24"/>
          <w:szCs w:val="24"/>
          <w:highlight w:val="none"/>
          <w:lang w:val="en-US" w:eastAsia="zh-CN" w:bidi="ar-SA"/>
        </w:rPr>
        <w:t xml:space="preserve">  按制度执行物品进出管理，</w:t>
      </w:r>
      <w:r>
        <w:rPr>
          <w:rFonts w:hint="eastAsia" w:ascii="宋体" w:hAnsi="宋体" w:eastAsia="宋体" w:cs="宋体"/>
          <w:color w:val="auto"/>
          <w:sz w:val="24"/>
          <w:szCs w:val="24"/>
          <w:highlight w:val="none"/>
          <w:lang w:val="en-US" w:eastAsia="zh-CN"/>
        </w:rPr>
        <w:t>禁止人员、车辆携带违禁易燃、易爆危险品禁止进入</w:t>
      </w:r>
      <w:r>
        <w:rPr>
          <w:rFonts w:hint="eastAsia" w:ascii="宋体" w:hAnsi="宋体" w:cs="宋体"/>
          <w:color w:val="auto"/>
          <w:sz w:val="24"/>
          <w:szCs w:val="24"/>
          <w:highlight w:val="none"/>
          <w:lang w:val="en-US" w:eastAsia="zh-CN"/>
        </w:rPr>
        <w:t>。</w:t>
      </w:r>
      <w:r>
        <w:rPr>
          <w:rFonts w:hint="eastAsia" w:ascii="Times New Roman" w:hAnsi="Times New Roman" w:eastAsia="宋体" w:cs="Times New Roman"/>
          <w:b/>
          <w:bCs/>
          <w:i w:val="0"/>
          <w:color w:val="auto"/>
          <w:kern w:val="2"/>
          <w:sz w:val="24"/>
          <w:szCs w:val="24"/>
          <w:highlight w:val="none"/>
          <w:lang w:val="en-US" w:eastAsia="zh-CN" w:bidi="ar-SA"/>
        </w:rPr>
        <w:t>10.1.</w:t>
      </w:r>
      <w:r>
        <w:rPr>
          <w:rFonts w:hint="eastAsia" w:ascii="Times New Roman" w:hAnsi="Times New Roman" w:cs="Times New Roman"/>
          <w:b/>
          <w:bCs/>
          <w:i w:val="0"/>
          <w:color w:val="auto"/>
          <w:kern w:val="2"/>
          <w:sz w:val="24"/>
          <w:szCs w:val="24"/>
          <w:highlight w:val="none"/>
          <w:lang w:val="en-US" w:eastAsia="zh-CN" w:bidi="ar-SA"/>
        </w:rPr>
        <w:t>8</w:t>
      </w:r>
      <w:r>
        <w:rPr>
          <w:rFonts w:hint="eastAsia" w:ascii="宋体" w:hAnsi="宋体" w:eastAsia="宋体" w:cs="宋体"/>
          <w:b w:val="0"/>
          <w:i w:val="0"/>
          <w:color w:val="auto"/>
          <w:sz w:val="24"/>
          <w:szCs w:val="24"/>
          <w:highlight w:val="none"/>
          <w:lang w:val="en-US" w:eastAsia="zh-CN" w:bidi="ar-SA"/>
        </w:rPr>
        <w:t xml:space="preserve">  装运电力物资材料的车辆在出入生产场所和物资仓库时，应凭相关管理部门核发的物资材料出入放行条，严格查验物资材料清单后放行，并做好进出记录和存档备查。</w:t>
      </w:r>
    </w:p>
    <w:p w14:paraId="107C242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8" w:name="_Toc26802"/>
      <w:bookmarkStart w:id="369" w:name="_Toc6172"/>
      <w:bookmarkStart w:id="370" w:name="_Toc19412"/>
      <w:r>
        <w:rPr>
          <w:rFonts w:hint="eastAsia" w:ascii="宋体" w:hAnsi="宋体" w:eastAsia="宋体" w:cs="宋体"/>
          <w:b/>
          <w:bCs/>
          <w:color w:val="auto"/>
          <w:sz w:val="24"/>
          <w:szCs w:val="24"/>
          <w:highlight w:val="none"/>
          <w:lang w:val="en-US" w:eastAsia="zh-CN"/>
        </w:rPr>
        <w:t>10.2  交通停车</w:t>
      </w:r>
      <w:bookmarkEnd w:id="368"/>
      <w:r>
        <w:rPr>
          <w:rFonts w:hint="eastAsia" w:ascii="宋体" w:hAnsi="宋体" w:eastAsia="宋体" w:cs="宋体"/>
          <w:b/>
          <w:bCs/>
          <w:color w:val="auto"/>
          <w:sz w:val="24"/>
          <w:szCs w:val="24"/>
          <w:highlight w:val="none"/>
          <w:lang w:val="en-US" w:eastAsia="zh-CN"/>
        </w:rPr>
        <w:t>秩序</w:t>
      </w:r>
      <w:bookmarkEnd w:id="369"/>
      <w:bookmarkEnd w:id="370"/>
    </w:p>
    <w:p w14:paraId="65B8239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eastAsia="zh-CN"/>
        </w:rPr>
      </w:pPr>
      <w:r>
        <w:rPr>
          <w:rFonts w:hint="eastAsia" w:ascii="Times New Roman" w:hAnsi="Times New Roman" w:eastAsia="宋体" w:cs="Times New Roman"/>
          <w:b/>
          <w:bCs/>
          <w:i w:val="0"/>
          <w:color w:val="auto"/>
          <w:kern w:val="2"/>
          <w:sz w:val="24"/>
          <w:szCs w:val="24"/>
          <w:highlight w:val="none"/>
          <w:lang w:val="en-US" w:eastAsia="zh-CN" w:bidi="ar-SA"/>
        </w:rPr>
        <w:t>10.2.1</w:t>
      </w:r>
      <w:r>
        <w:rPr>
          <w:rFonts w:hint="eastAsia" w:ascii="宋体" w:hAnsi="宋体" w:eastAsia="宋体" w:cs="宋体"/>
          <w:vanish w:val="0"/>
          <w:color w:val="auto"/>
          <w:sz w:val="24"/>
          <w:szCs w:val="24"/>
          <w:highlight w:val="none"/>
          <w:lang w:val="en-US" w:eastAsia="zh-CN"/>
        </w:rPr>
        <w:t xml:space="preserve">  应有停车场管理制度，建立并妥善保存车辆信息档案。 </w:t>
      </w:r>
    </w:p>
    <w:p w14:paraId="490A605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10.2.2 </w:t>
      </w:r>
      <w:r>
        <w:rPr>
          <w:rFonts w:hint="eastAsia" w:ascii="宋体" w:hAnsi="宋体" w:eastAsia="宋体" w:cs="宋体"/>
          <w:vanish w:val="0"/>
          <w:color w:val="auto"/>
          <w:sz w:val="24"/>
          <w:szCs w:val="24"/>
          <w:highlight w:val="none"/>
          <w:lang w:val="en-US" w:eastAsia="zh-CN"/>
        </w:rPr>
        <w:t xml:space="preserve"> 应有停电、系统故障、暴力、盗窃、车辆堵塞与车祸事件的应急处理方案，定期演练。</w:t>
      </w:r>
    </w:p>
    <w:p w14:paraId="3322CF7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10.2.3 </w:t>
      </w:r>
      <w:r>
        <w:rPr>
          <w:rFonts w:hint="eastAsia" w:ascii="宋体" w:hAnsi="宋体" w:eastAsia="宋体" w:cs="宋体"/>
          <w:vanish w:val="0"/>
          <w:color w:val="auto"/>
          <w:sz w:val="24"/>
          <w:szCs w:val="24"/>
          <w:highlight w:val="none"/>
          <w:lang w:val="en-US" w:eastAsia="zh-CN"/>
        </w:rPr>
        <w:t xml:space="preserve"> 在显眼位置公示停车收费标准及停车场相关管理要求。</w:t>
      </w:r>
    </w:p>
    <w:p w14:paraId="3FBAE9A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10.2.4</w:t>
      </w:r>
      <w:r>
        <w:rPr>
          <w:rFonts w:hint="eastAsia" w:ascii="宋体" w:hAnsi="宋体" w:eastAsia="宋体" w:cs="宋体"/>
          <w:vanish w:val="0"/>
          <w:color w:val="auto"/>
          <w:sz w:val="24"/>
          <w:szCs w:val="24"/>
          <w:highlight w:val="none"/>
          <w:lang w:val="en-US" w:eastAsia="zh-CN"/>
        </w:rPr>
        <w:t xml:space="preserve">  安排专人在高峰期对停车场及主要交通出入口进行管控</w:t>
      </w:r>
      <w:r>
        <w:rPr>
          <w:rFonts w:hint="eastAsia" w:ascii="宋体" w:hAnsi="宋体" w:eastAsia="宋体" w:cs="宋体"/>
          <w:vanish w:val="0"/>
          <w:color w:val="auto"/>
          <w:sz w:val="24"/>
          <w:szCs w:val="24"/>
          <w:highlight w:val="none"/>
          <w:lang w:eastAsia="zh-CN"/>
        </w:rPr>
        <w:t>指挥、疏导车辆出入</w:t>
      </w:r>
      <w:r>
        <w:rPr>
          <w:rFonts w:hint="eastAsia" w:ascii="宋体" w:hAnsi="宋体" w:eastAsia="宋体" w:cs="宋体"/>
          <w:vanish w:val="0"/>
          <w:color w:val="auto"/>
          <w:sz w:val="24"/>
          <w:szCs w:val="24"/>
          <w:highlight w:val="none"/>
          <w:lang w:val="en-US" w:eastAsia="zh-CN"/>
        </w:rPr>
        <w:t>，保证人车通行有序、安全，</w:t>
      </w:r>
      <w:r>
        <w:rPr>
          <w:rFonts w:hint="eastAsia" w:ascii="宋体" w:hAnsi="宋体" w:eastAsia="宋体" w:cs="宋体"/>
          <w:vanish w:val="0"/>
          <w:color w:val="auto"/>
          <w:sz w:val="24"/>
          <w:szCs w:val="24"/>
          <w:highlight w:val="none"/>
          <w:lang w:eastAsia="zh-CN"/>
        </w:rPr>
        <w:t>不发生交通堵塞</w:t>
      </w:r>
      <w:r>
        <w:rPr>
          <w:rFonts w:hint="eastAsia" w:ascii="宋体" w:hAnsi="宋体" w:eastAsia="宋体" w:cs="宋体"/>
          <w:vanish w:val="0"/>
          <w:color w:val="auto"/>
          <w:sz w:val="24"/>
          <w:szCs w:val="24"/>
          <w:highlight w:val="none"/>
          <w:lang w:val="en-US" w:eastAsia="zh-CN"/>
        </w:rPr>
        <w:t>。</w:t>
      </w:r>
    </w:p>
    <w:p w14:paraId="5634819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10.2.5 </w:t>
      </w:r>
      <w:r>
        <w:rPr>
          <w:rFonts w:hint="eastAsia" w:ascii="宋体" w:hAnsi="宋体" w:eastAsia="宋体" w:cs="宋体"/>
          <w:vanish w:val="0"/>
          <w:color w:val="auto"/>
          <w:sz w:val="24"/>
          <w:szCs w:val="24"/>
          <w:highlight w:val="none"/>
          <w:lang w:val="en-US" w:eastAsia="zh-CN"/>
        </w:rPr>
        <w:t xml:space="preserve"> 保障</w:t>
      </w:r>
      <w:r>
        <w:rPr>
          <w:rFonts w:hint="eastAsia" w:ascii="宋体" w:hAnsi="宋体" w:eastAsia="宋体" w:cs="宋体"/>
          <w:vanish w:val="0"/>
          <w:color w:val="auto"/>
          <w:sz w:val="24"/>
          <w:szCs w:val="24"/>
          <w:highlight w:val="none"/>
          <w:lang w:eastAsia="zh-CN"/>
        </w:rPr>
        <w:t>重大活动、会议接待</w:t>
      </w:r>
      <w:r>
        <w:rPr>
          <w:rFonts w:hint="eastAsia" w:ascii="宋体" w:hAnsi="宋体" w:eastAsia="宋体" w:cs="宋体"/>
          <w:vanish w:val="0"/>
          <w:color w:val="auto"/>
          <w:sz w:val="24"/>
          <w:szCs w:val="24"/>
          <w:highlight w:val="none"/>
          <w:lang w:val="en-US" w:eastAsia="zh-CN"/>
        </w:rPr>
        <w:t>等</w:t>
      </w:r>
      <w:r>
        <w:rPr>
          <w:rFonts w:hint="eastAsia" w:ascii="宋体" w:hAnsi="宋体" w:eastAsia="宋体" w:cs="宋体"/>
          <w:vanish w:val="0"/>
          <w:color w:val="auto"/>
          <w:sz w:val="24"/>
          <w:szCs w:val="24"/>
          <w:highlight w:val="none"/>
          <w:lang w:eastAsia="zh-CN"/>
        </w:rPr>
        <w:t>车辆指挥、疏导、停放</w:t>
      </w:r>
      <w:r>
        <w:rPr>
          <w:rFonts w:hint="eastAsia" w:ascii="宋体" w:hAnsi="宋体" w:eastAsia="宋体" w:cs="宋体"/>
          <w:vanish w:val="0"/>
          <w:color w:val="auto"/>
          <w:sz w:val="24"/>
          <w:szCs w:val="24"/>
          <w:highlight w:val="none"/>
          <w:lang w:val="en-US" w:eastAsia="zh-CN"/>
        </w:rPr>
        <w:t>有</w:t>
      </w:r>
      <w:r>
        <w:rPr>
          <w:rFonts w:hint="eastAsia" w:ascii="宋体" w:hAnsi="宋体" w:eastAsia="宋体" w:cs="宋体"/>
          <w:vanish w:val="0"/>
          <w:color w:val="auto"/>
          <w:sz w:val="24"/>
          <w:szCs w:val="24"/>
          <w:highlight w:val="none"/>
          <w:lang w:eastAsia="zh-CN"/>
        </w:rPr>
        <w:t>秩序</w:t>
      </w:r>
      <w:r>
        <w:rPr>
          <w:rFonts w:hint="eastAsia" w:ascii="宋体" w:hAnsi="宋体" w:eastAsia="宋体" w:cs="宋体"/>
          <w:vanish w:val="0"/>
          <w:color w:val="auto"/>
          <w:sz w:val="24"/>
          <w:szCs w:val="24"/>
          <w:highlight w:val="none"/>
          <w:lang w:val="en-US" w:eastAsia="zh-CN"/>
        </w:rPr>
        <w:t>进行。</w:t>
      </w:r>
    </w:p>
    <w:p w14:paraId="5A3578B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10.2.6 </w:t>
      </w:r>
      <w:r>
        <w:rPr>
          <w:rFonts w:hint="eastAsia" w:ascii="宋体" w:hAnsi="宋体" w:eastAsia="宋体" w:cs="宋体"/>
          <w:vanish w:val="0"/>
          <w:color w:val="auto"/>
          <w:sz w:val="24"/>
          <w:szCs w:val="24"/>
          <w:highlight w:val="none"/>
          <w:lang w:val="en-US" w:eastAsia="zh-CN"/>
        </w:rPr>
        <w:t xml:space="preserve"> 应保持停车场内通风排气、照明、防洪沙袋、排水、消防设施、设备正常使用，保障车辆安全，保持消防通道畅通。</w:t>
      </w:r>
    </w:p>
    <w:p w14:paraId="7AA5302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10.2.7</w:t>
      </w:r>
      <w:r>
        <w:rPr>
          <w:rFonts w:hint="eastAsia" w:ascii="宋体" w:hAnsi="宋体" w:eastAsia="宋体" w:cs="宋体"/>
          <w:vanish w:val="0"/>
          <w:color w:val="auto"/>
          <w:sz w:val="24"/>
          <w:szCs w:val="24"/>
          <w:highlight w:val="none"/>
          <w:lang w:val="en-US" w:eastAsia="zh-CN"/>
        </w:rPr>
        <w:t xml:space="preserve">  应</w:t>
      </w:r>
      <w:r>
        <w:rPr>
          <w:rFonts w:hint="eastAsia" w:ascii="宋体" w:hAnsi="宋体" w:cs="宋体"/>
          <w:vanish w:val="0"/>
          <w:color w:val="auto"/>
          <w:sz w:val="24"/>
          <w:szCs w:val="24"/>
          <w:highlight w:val="none"/>
          <w:lang w:val="en-US" w:eastAsia="zh-CN"/>
        </w:rPr>
        <w:t>符合现行国家标准《</w:t>
      </w:r>
      <w:r>
        <w:rPr>
          <w:rFonts w:hint="eastAsia" w:ascii="宋体" w:hAnsi="宋体" w:eastAsia="宋体" w:cs="宋体"/>
          <w:vanish w:val="0"/>
          <w:color w:val="auto"/>
          <w:sz w:val="24"/>
          <w:szCs w:val="24"/>
          <w:highlight w:val="none"/>
          <w:lang w:val="en-US" w:eastAsia="zh-CN"/>
        </w:rPr>
        <w:t>道路交通标志和标线  第2部分：道路交通标志》GB 5768.2的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设置规范的停车场标识标牌，划定交通标线和泊位标线，对停车泊位实施编号管理。张贴安全停车的警示标语；标明专用车位，保障</w:t>
      </w:r>
      <w:r>
        <w:rPr>
          <w:rFonts w:hint="eastAsia" w:ascii="宋体" w:hAnsi="宋体" w:eastAsia="宋体" w:cs="宋体"/>
          <w:vanish w:val="0"/>
          <w:color w:val="auto"/>
          <w:sz w:val="24"/>
          <w:szCs w:val="24"/>
          <w:highlight w:val="none"/>
          <w:lang w:eastAsia="zh-CN"/>
        </w:rPr>
        <w:t>车辆有序停放</w:t>
      </w:r>
      <w:r>
        <w:rPr>
          <w:rFonts w:hint="eastAsia" w:ascii="宋体" w:hAnsi="宋体" w:eastAsia="宋体" w:cs="宋体"/>
          <w:vanish w:val="0"/>
          <w:color w:val="auto"/>
          <w:sz w:val="24"/>
          <w:szCs w:val="24"/>
          <w:highlight w:val="none"/>
          <w:lang w:val="en-US" w:eastAsia="zh-CN"/>
        </w:rPr>
        <w:t>。</w:t>
      </w:r>
    </w:p>
    <w:p w14:paraId="17AEBD2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10.2.8</w:t>
      </w:r>
      <w:r>
        <w:rPr>
          <w:rFonts w:hint="eastAsia" w:ascii="宋体" w:hAnsi="宋体" w:eastAsia="宋体" w:cs="宋体"/>
          <w:vanish w:val="0"/>
          <w:color w:val="auto"/>
          <w:sz w:val="24"/>
          <w:szCs w:val="24"/>
          <w:highlight w:val="none"/>
          <w:lang w:val="en-US" w:eastAsia="zh-CN"/>
        </w:rPr>
        <w:t xml:space="preserve">  物业禁行区域，应协助业主做好车辆限行管理工作。</w:t>
      </w:r>
    </w:p>
    <w:p w14:paraId="74150E9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10.2.9  </w:t>
      </w:r>
      <w:r>
        <w:rPr>
          <w:rFonts w:hint="eastAsia" w:ascii="宋体" w:hAnsi="宋体" w:eastAsia="宋体" w:cs="宋体"/>
          <w:vanish w:val="0"/>
          <w:color w:val="auto"/>
          <w:sz w:val="24"/>
          <w:szCs w:val="24"/>
          <w:highlight w:val="none"/>
          <w:lang w:val="en-US" w:eastAsia="zh-CN"/>
        </w:rPr>
        <w:t>根据车辆实际出入情况进行实时有效疏导，保证出入口畅通</w:t>
      </w:r>
      <w:r>
        <w:rPr>
          <w:rFonts w:hint="eastAsia" w:ascii="宋体" w:hAnsi="宋体" w:cs="宋体"/>
          <w:vanish w:val="0"/>
          <w:color w:val="auto"/>
          <w:sz w:val="24"/>
          <w:szCs w:val="24"/>
          <w:highlight w:val="none"/>
          <w:lang w:val="en-US" w:eastAsia="zh-CN"/>
        </w:rPr>
        <w:t>。</w:t>
      </w:r>
    </w:p>
    <w:p w14:paraId="10BE78A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w:t>
      </w: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应对停车场进行巡查，巡查中发现车辆停放有问题的，如车门未锁，灯未关、漏油、报警等异常现象，及时通知车主或车管并做好记录。</w:t>
      </w:r>
    </w:p>
    <w:p w14:paraId="0AFD889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71" w:name="_Toc29766"/>
      <w:bookmarkStart w:id="372" w:name="_Toc25596"/>
      <w:bookmarkStart w:id="373" w:name="_Toc9991"/>
      <w:r>
        <w:rPr>
          <w:rFonts w:hint="eastAsia" w:ascii="宋体" w:hAnsi="宋体" w:eastAsia="宋体" w:cs="宋体"/>
          <w:b/>
          <w:bCs/>
          <w:color w:val="auto"/>
          <w:sz w:val="24"/>
          <w:szCs w:val="24"/>
          <w:highlight w:val="none"/>
          <w:lang w:val="en-US" w:eastAsia="zh-CN"/>
        </w:rPr>
        <w:t>10.3  装卸管理</w:t>
      </w:r>
      <w:bookmarkEnd w:id="371"/>
      <w:bookmarkEnd w:id="372"/>
      <w:bookmarkEnd w:id="373"/>
    </w:p>
    <w:p w14:paraId="5460EEE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10.3.1 </w:t>
      </w:r>
      <w:r>
        <w:rPr>
          <w:rFonts w:hint="eastAsia" w:ascii="宋体" w:hAnsi="宋体" w:eastAsia="宋体" w:cs="宋体"/>
          <w:vanish w:val="0"/>
          <w:color w:val="auto"/>
          <w:sz w:val="24"/>
          <w:szCs w:val="24"/>
          <w:highlight w:val="none"/>
          <w:lang w:val="en-US" w:eastAsia="zh-CN"/>
        </w:rPr>
        <w:t xml:space="preserve"> 物业公共范围内应划定货物装卸区，指引车辆在指定装卸区域和规定时间进行装卸，避免造成通道阻塞。</w:t>
      </w:r>
    </w:p>
    <w:p w14:paraId="3F5740B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10.3.2</w:t>
      </w:r>
      <w:r>
        <w:rPr>
          <w:rFonts w:hint="eastAsia" w:ascii="宋体" w:hAnsi="宋体" w:eastAsia="宋体" w:cs="宋体"/>
          <w:vanish w:val="0"/>
          <w:color w:val="auto"/>
          <w:sz w:val="24"/>
          <w:szCs w:val="24"/>
          <w:highlight w:val="none"/>
          <w:lang w:val="en-US" w:eastAsia="zh-CN"/>
        </w:rPr>
        <w:t xml:space="preserve">  装卸危险品时，必须检查运输许可证、危化车辆驾驶员和押运证人员资格证等有效；确保安全装卸。</w:t>
      </w:r>
    </w:p>
    <w:p w14:paraId="2D75E75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10.3.3</w:t>
      </w:r>
      <w:r>
        <w:rPr>
          <w:rFonts w:hint="eastAsia" w:ascii="宋体" w:hAnsi="宋体" w:eastAsia="宋体" w:cs="宋体"/>
          <w:vanish w:val="0"/>
          <w:color w:val="auto"/>
          <w:sz w:val="24"/>
          <w:szCs w:val="24"/>
          <w:highlight w:val="none"/>
          <w:lang w:val="en-US" w:eastAsia="zh-CN"/>
        </w:rPr>
        <w:t xml:space="preserve">  对于特殊形态如液体、粉状、超长、尖锐等货物要加强监管，防止污染环境和损坏设备。</w:t>
      </w:r>
    </w:p>
    <w:p w14:paraId="4AA53BF1">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374" w:name="_Toc2380"/>
      <w:bookmarkStart w:id="375" w:name="_Toc13642"/>
      <w:r>
        <w:rPr>
          <w:rFonts w:hint="eastAsia" w:ascii="Times New Roman" w:hAnsi="Times New Roman" w:eastAsia="宋体" w:cs="Times New Roman"/>
          <w:b/>
          <w:bCs/>
          <w:i w:val="0"/>
          <w:color w:val="auto"/>
          <w:kern w:val="2"/>
          <w:sz w:val="24"/>
          <w:szCs w:val="24"/>
          <w:highlight w:val="none"/>
          <w:lang w:val="en-US" w:eastAsia="zh-CN" w:bidi="ar-SA"/>
        </w:rPr>
        <w:t>10.3.4</w:t>
      </w:r>
      <w:r>
        <w:rPr>
          <w:rFonts w:hint="eastAsia" w:ascii="宋体" w:hAnsi="宋体" w:eastAsia="宋体" w:cs="宋体"/>
          <w:vanish w:val="0"/>
          <w:color w:val="auto"/>
          <w:sz w:val="24"/>
          <w:szCs w:val="24"/>
          <w:highlight w:val="none"/>
          <w:lang w:val="en-US" w:eastAsia="zh-CN"/>
        </w:rPr>
        <w:t xml:space="preserve">  装卸后要及时</w:t>
      </w:r>
      <w:r>
        <w:rPr>
          <w:rFonts w:hint="eastAsia" w:ascii="宋体" w:hAnsi="宋体" w:cs="宋体"/>
          <w:vanish w:val="0"/>
          <w:color w:val="auto"/>
          <w:sz w:val="24"/>
          <w:szCs w:val="24"/>
          <w:highlight w:val="none"/>
          <w:lang w:val="en-US" w:eastAsia="zh-CN"/>
        </w:rPr>
        <w:t>清</w:t>
      </w:r>
      <w:r>
        <w:rPr>
          <w:rFonts w:hint="eastAsia" w:ascii="宋体" w:hAnsi="宋体" w:eastAsia="宋体" w:cs="宋体"/>
          <w:vanish w:val="0"/>
          <w:color w:val="auto"/>
          <w:sz w:val="24"/>
          <w:szCs w:val="24"/>
          <w:highlight w:val="none"/>
          <w:lang w:val="en-US" w:eastAsia="zh-CN"/>
        </w:rPr>
        <w:t>理现场，保持环境整洁卫生。</w:t>
      </w:r>
      <w:bookmarkEnd w:id="374"/>
      <w:bookmarkEnd w:id="375"/>
    </w:p>
    <w:p w14:paraId="24A8B8D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76" w:name="_Toc10918"/>
      <w:bookmarkStart w:id="377" w:name="_Toc1966"/>
      <w:bookmarkStart w:id="378" w:name="_Toc14439"/>
      <w:r>
        <w:rPr>
          <w:rFonts w:hint="eastAsia" w:ascii="宋体" w:hAnsi="宋体" w:eastAsia="宋体" w:cs="宋体"/>
          <w:b/>
          <w:bCs/>
          <w:color w:val="auto"/>
          <w:sz w:val="24"/>
          <w:szCs w:val="24"/>
          <w:highlight w:val="none"/>
          <w:lang w:val="en-US" w:eastAsia="zh-CN"/>
        </w:rPr>
        <w:t>10.4  治安</w:t>
      </w:r>
      <w:bookmarkEnd w:id="376"/>
      <w:r>
        <w:rPr>
          <w:rFonts w:hint="eastAsia" w:ascii="宋体" w:hAnsi="宋体" w:eastAsia="宋体" w:cs="宋体"/>
          <w:b/>
          <w:bCs/>
          <w:color w:val="auto"/>
          <w:sz w:val="24"/>
          <w:szCs w:val="24"/>
          <w:highlight w:val="none"/>
          <w:lang w:val="en-US" w:eastAsia="zh-CN"/>
        </w:rPr>
        <w:t>秩序</w:t>
      </w:r>
      <w:bookmarkEnd w:id="377"/>
      <w:bookmarkEnd w:id="378"/>
    </w:p>
    <w:p w14:paraId="760C51E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10.4.1</w:t>
      </w:r>
      <w:r>
        <w:rPr>
          <w:rFonts w:hint="eastAsia" w:ascii="宋体" w:hAnsi="宋体" w:eastAsia="宋体" w:cs="宋体"/>
          <w:vanish w:val="0"/>
          <w:color w:val="auto"/>
          <w:sz w:val="24"/>
          <w:szCs w:val="24"/>
          <w:highlight w:val="none"/>
          <w:lang w:val="en-US" w:eastAsia="zh-CN"/>
        </w:rPr>
        <w:t xml:space="preserve">  定期开展风险源识别评估，将风险源列</w:t>
      </w:r>
      <w:r>
        <w:rPr>
          <w:rFonts w:hint="eastAsia" w:ascii="宋体" w:hAnsi="宋体" w:cs="宋体"/>
          <w:vanish w:val="0"/>
          <w:color w:val="auto"/>
          <w:sz w:val="24"/>
          <w:szCs w:val="24"/>
          <w:highlight w:val="none"/>
          <w:lang w:val="en-US" w:eastAsia="zh-CN"/>
        </w:rPr>
        <w:t>入</w:t>
      </w:r>
      <w:r>
        <w:rPr>
          <w:rFonts w:hint="eastAsia" w:ascii="宋体" w:hAnsi="宋体" w:eastAsia="宋体" w:cs="宋体"/>
          <w:vanish w:val="0"/>
          <w:color w:val="auto"/>
          <w:sz w:val="24"/>
          <w:szCs w:val="24"/>
          <w:highlight w:val="none"/>
          <w:lang w:val="en-US" w:eastAsia="zh-CN"/>
        </w:rPr>
        <w:t>重点巡查管理工作事项。</w:t>
      </w:r>
    </w:p>
    <w:p w14:paraId="3138938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10.4.2</w:t>
      </w:r>
      <w:r>
        <w:rPr>
          <w:rFonts w:hint="eastAsia" w:ascii="宋体" w:hAnsi="宋体" w:eastAsia="宋体" w:cs="宋体"/>
          <w:vanish w:val="0"/>
          <w:color w:val="auto"/>
          <w:sz w:val="24"/>
          <w:szCs w:val="24"/>
          <w:highlight w:val="none"/>
          <w:lang w:val="en-US" w:eastAsia="zh-CN"/>
        </w:rPr>
        <w:t xml:space="preserve">  应建立巡查管理制度，结合实际风险源和特点，制定周详的巡查计划及巡查路线，应具备多条可选巡查路线，择机换线巡查，确保安全。</w:t>
      </w:r>
    </w:p>
    <w:p w14:paraId="1C9D213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10.4.3</w:t>
      </w:r>
      <w:r>
        <w:rPr>
          <w:rFonts w:hint="eastAsia" w:ascii="宋体" w:hAnsi="宋体" w:eastAsia="宋体" w:cs="宋体"/>
          <w:vanish w:val="0"/>
          <w:color w:val="auto"/>
          <w:sz w:val="24"/>
          <w:szCs w:val="24"/>
          <w:highlight w:val="none"/>
          <w:lang w:val="en-US" w:eastAsia="zh-CN"/>
        </w:rPr>
        <w:t xml:space="preserve">  充分用好巡查设备并保证巡查记录完整。发现违法、违规行为及异常情况，应及时制止并立即通知相关部门。</w:t>
      </w:r>
    </w:p>
    <w:p w14:paraId="0E453D1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10.4.4</w:t>
      </w:r>
      <w:r>
        <w:rPr>
          <w:rFonts w:hint="eastAsia" w:ascii="宋体" w:hAnsi="宋体" w:eastAsia="宋体" w:cs="宋体"/>
          <w:vanish w:val="0"/>
          <w:color w:val="auto"/>
          <w:sz w:val="24"/>
          <w:szCs w:val="24"/>
          <w:highlight w:val="none"/>
          <w:lang w:val="en-US" w:eastAsia="zh-CN"/>
        </w:rPr>
        <w:t xml:space="preserve">  巡查过程中应与监控室保持联动，收到监控室发出的指令后，巡查人员应及时到达现场。</w:t>
      </w:r>
    </w:p>
    <w:p w14:paraId="161E0E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10.4.5</w:t>
      </w:r>
      <w:r>
        <w:rPr>
          <w:rFonts w:hint="eastAsia" w:ascii="宋体" w:hAnsi="宋体" w:eastAsia="宋体" w:cs="宋体"/>
          <w:vanish w:val="0"/>
          <w:color w:val="auto"/>
          <w:sz w:val="24"/>
          <w:szCs w:val="24"/>
          <w:highlight w:val="none"/>
          <w:lang w:val="en-US" w:eastAsia="zh-CN"/>
        </w:rPr>
        <w:t xml:space="preserve">  物业公共区域巡查≥2次/日，重点区域应增加巡查频次。</w:t>
      </w:r>
    </w:p>
    <w:p w14:paraId="64BD093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10.4.6</w:t>
      </w:r>
      <w:r>
        <w:rPr>
          <w:rFonts w:hint="eastAsia" w:ascii="宋体" w:hAnsi="宋体" w:eastAsia="宋体" w:cs="宋体"/>
          <w:vanish w:val="0"/>
          <w:color w:val="auto"/>
          <w:sz w:val="24"/>
          <w:szCs w:val="24"/>
          <w:highlight w:val="none"/>
          <w:lang w:val="en-US" w:eastAsia="zh-CN"/>
        </w:rPr>
        <w:t xml:space="preserve">  </w:t>
      </w:r>
      <w:r>
        <w:rPr>
          <w:rFonts w:hint="eastAsia" w:ascii="宋体" w:hAnsi="宋体" w:cs="宋体"/>
          <w:vanish w:val="0"/>
          <w:color w:val="auto"/>
          <w:sz w:val="24"/>
          <w:szCs w:val="24"/>
          <w:highlight w:val="none"/>
          <w:lang w:val="en-US" w:eastAsia="zh-CN"/>
        </w:rPr>
        <w:t>反恐防范</w:t>
      </w:r>
      <w:r>
        <w:rPr>
          <w:rFonts w:hint="eastAsia" w:ascii="宋体" w:hAnsi="宋体" w:eastAsia="宋体" w:cs="宋体"/>
          <w:vanish w:val="0"/>
          <w:color w:val="auto"/>
          <w:sz w:val="24"/>
          <w:szCs w:val="24"/>
          <w:highlight w:val="none"/>
          <w:lang w:val="en-US" w:eastAsia="zh-CN"/>
        </w:rPr>
        <w:t>重点区域巡查应观察空中是否有：空飘物体、无人机、异常响声、异常光源、大型飞鸟及动物，可疑人员或车辆等，发现可疑情况须及时报告并进行临时处置。</w:t>
      </w:r>
    </w:p>
    <w:p w14:paraId="414200B8">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val="0"/>
          <w:bCs w:val="0"/>
          <w:color w:val="auto"/>
          <w:sz w:val="21"/>
          <w:szCs w:val="21"/>
          <w:highlight w:val="none"/>
          <w:lang w:val="en-US" w:eastAsia="zh-CN"/>
        </w:rPr>
      </w:pPr>
      <w:bookmarkStart w:id="379" w:name="_Toc23173"/>
      <w:bookmarkStart w:id="380" w:name="_Toc18563"/>
      <w:r>
        <w:rPr>
          <w:rFonts w:hint="eastAsia" w:ascii="Times New Roman" w:hAnsi="Times New Roman" w:eastAsia="宋体" w:cs="Times New Roman"/>
          <w:b/>
          <w:bCs/>
          <w:i w:val="0"/>
          <w:color w:val="auto"/>
          <w:kern w:val="2"/>
          <w:sz w:val="24"/>
          <w:szCs w:val="24"/>
          <w:highlight w:val="none"/>
          <w:lang w:val="en-US" w:eastAsia="zh-CN" w:bidi="ar-SA"/>
        </w:rPr>
        <w:t>10.4.7</w:t>
      </w:r>
      <w:r>
        <w:rPr>
          <w:rFonts w:hint="eastAsia" w:ascii="宋体" w:hAnsi="宋体" w:eastAsia="宋体" w:cs="宋体"/>
          <w:vanish w:val="0"/>
          <w:color w:val="auto"/>
          <w:sz w:val="24"/>
          <w:szCs w:val="24"/>
          <w:highlight w:val="none"/>
          <w:lang w:val="en-US" w:eastAsia="zh-CN"/>
        </w:rPr>
        <w:t xml:space="preserve">  秩序维护巡查要求见表10.4.7。</w:t>
      </w:r>
      <w:bookmarkEnd w:id="379"/>
      <w:bookmarkEnd w:id="380"/>
    </w:p>
    <w:p w14:paraId="2DA49C70">
      <w:pPr>
        <w:pStyle w:val="8"/>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381" w:name="_Toc18441"/>
      <w:bookmarkStart w:id="382" w:name="_Toc27964"/>
      <w:r>
        <w:rPr>
          <w:rFonts w:hint="eastAsia" w:ascii="Times New Roman" w:hAnsi="Times New Roman" w:eastAsia="黑体" w:cs="Times New Roman"/>
          <w:bCs w:val="0"/>
          <w:sz w:val="21"/>
          <w:szCs w:val="24"/>
          <w:highlight w:val="none"/>
          <w:lang w:val="en-US" w:eastAsia="zh-CN"/>
        </w:rPr>
        <w:t>表1</w:t>
      </w:r>
      <w:r>
        <w:rPr>
          <w:rFonts w:hint="eastAsia" w:eastAsia="黑体" w:cs="Times New Roman"/>
          <w:bCs w:val="0"/>
          <w:sz w:val="21"/>
          <w:szCs w:val="24"/>
          <w:highlight w:val="none"/>
          <w:lang w:val="en-US" w:eastAsia="zh-CN"/>
        </w:rPr>
        <w:t>0</w:t>
      </w:r>
      <w:r>
        <w:rPr>
          <w:rFonts w:hint="eastAsia" w:ascii="Times New Roman" w:hAnsi="Times New Roman" w:eastAsia="黑体" w:cs="Times New Roman"/>
          <w:bCs w:val="0"/>
          <w:sz w:val="21"/>
          <w:szCs w:val="24"/>
          <w:highlight w:val="none"/>
          <w:lang w:val="en-US" w:eastAsia="zh-CN"/>
        </w:rPr>
        <w:t>.4.7  项目主要分类服务标准—秩序维护巡查</w:t>
      </w:r>
      <w:bookmarkEnd w:id="381"/>
      <w:bookmarkEnd w:id="382"/>
    </w:p>
    <w:tbl>
      <w:tblPr>
        <w:tblStyle w:val="38"/>
        <w:tblW w:w="8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703"/>
        <w:gridCol w:w="1768"/>
        <w:gridCol w:w="1685"/>
        <w:gridCol w:w="1395"/>
      </w:tblGrid>
      <w:tr w14:paraId="7CEC1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tcBorders>
              <w:bottom w:val="single" w:color="000000" w:sz="12" w:space="0"/>
            </w:tcBorders>
            <w:noWrap/>
            <w:vAlign w:val="center"/>
          </w:tcPr>
          <w:p w14:paraId="285F9F7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1703" w:type="dxa"/>
            <w:tcBorders>
              <w:bottom w:val="single" w:color="000000" w:sz="12" w:space="0"/>
            </w:tcBorders>
            <w:noWrap/>
            <w:vAlign w:val="center"/>
          </w:tcPr>
          <w:p w14:paraId="4CC3C8E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768" w:type="dxa"/>
            <w:tcBorders>
              <w:bottom w:val="single" w:color="000000" w:sz="12" w:space="0"/>
            </w:tcBorders>
            <w:noWrap/>
            <w:vAlign w:val="center"/>
          </w:tcPr>
          <w:p w14:paraId="7E8E62AC">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2"/>
                <w:sz w:val="18"/>
                <w:szCs w:val="18"/>
                <w:highlight w:val="none"/>
                <w:u w:val="none"/>
                <w:lang w:val="en-US" w:eastAsia="zh-CN" w:bidi="ar-SA"/>
              </w:rPr>
              <w:t>发电厂</w:t>
            </w:r>
          </w:p>
        </w:tc>
        <w:tc>
          <w:tcPr>
            <w:tcW w:w="1685" w:type="dxa"/>
            <w:tcBorders>
              <w:bottom w:val="single" w:color="000000" w:sz="12" w:space="0"/>
            </w:tcBorders>
            <w:noWrap/>
            <w:vAlign w:val="center"/>
          </w:tcPr>
          <w:p w14:paraId="3C2D35E2">
            <w:pPr>
              <w:keepNext w:val="0"/>
              <w:keepLines w:val="0"/>
              <w:widowControl/>
              <w:suppressLineNumbers w:val="0"/>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变电站/换流站</w:t>
            </w:r>
          </w:p>
        </w:tc>
        <w:tc>
          <w:tcPr>
            <w:tcW w:w="1395" w:type="dxa"/>
            <w:tcBorders>
              <w:bottom w:val="single" w:color="000000" w:sz="12" w:space="0"/>
            </w:tcBorders>
            <w:noWrap/>
            <w:vAlign w:val="center"/>
          </w:tcPr>
          <w:p w14:paraId="3A9F9FBD">
            <w:pPr>
              <w:keepNext w:val="0"/>
              <w:keepLines w:val="0"/>
              <w:widowControl/>
              <w:suppressLineNumbers w:val="0"/>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周转仓</w:t>
            </w:r>
          </w:p>
        </w:tc>
      </w:tr>
      <w:tr w14:paraId="11431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15" w:type="dxa"/>
            <w:tcBorders>
              <w:tl2br w:val="nil"/>
              <w:tr2bl w:val="nil"/>
            </w:tcBorders>
            <w:noWrap/>
            <w:vAlign w:val="center"/>
          </w:tcPr>
          <w:p w14:paraId="3F174BE7">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重点区域、重点部位巡查频次</w:t>
            </w:r>
          </w:p>
        </w:tc>
        <w:tc>
          <w:tcPr>
            <w:tcW w:w="1703" w:type="dxa"/>
            <w:tcBorders>
              <w:tl2br w:val="nil"/>
              <w:tr2bl w:val="nil"/>
            </w:tcBorders>
            <w:noWrap/>
            <w:vAlign w:val="center"/>
          </w:tcPr>
          <w:p w14:paraId="0C28610F">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val="en-US" w:eastAsia="zh-CN" w:bidi="ar"/>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768" w:type="dxa"/>
            <w:tcBorders>
              <w:tl2br w:val="nil"/>
              <w:tr2bl w:val="nil"/>
            </w:tcBorders>
            <w:noWrap/>
            <w:vAlign w:val="center"/>
          </w:tcPr>
          <w:p w14:paraId="63398C46">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i w:val="0"/>
                <w:iCs w:val="0"/>
                <w:color w:val="auto"/>
                <w:kern w:val="2"/>
                <w:sz w:val="18"/>
                <w:szCs w:val="18"/>
                <w:highlight w:val="none"/>
                <w:u w:val="none"/>
                <w:lang w:val="en-US" w:eastAsia="zh-CN" w:bidi="ar-SA"/>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685" w:type="dxa"/>
            <w:tcBorders>
              <w:tl2br w:val="nil"/>
              <w:tr2bl w:val="nil"/>
            </w:tcBorders>
            <w:noWrap/>
            <w:vAlign w:val="center"/>
          </w:tcPr>
          <w:p w14:paraId="71B77CF2">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i w:val="0"/>
                <w:iCs w:val="0"/>
                <w:color w:val="auto"/>
                <w:kern w:val="2"/>
                <w:sz w:val="18"/>
                <w:szCs w:val="18"/>
                <w:highlight w:val="none"/>
                <w:u w:val="none"/>
                <w:lang w:val="en-US" w:eastAsia="zh-CN" w:bidi="ar-SA"/>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395" w:type="dxa"/>
            <w:tcBorders>
              <w:tl2br w:val="nil"/>
              <w:tr2bl w:val="nil"/>
            </w:tcBorders>
            <w:noWrap/>
            <w:vAlign w:val="center"/>
          </w:tcPr>
          <w:p w14:paraId="5297056B">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i w:val="0"/>
                <w:iCs w:val="0"/>
                <w:color w:val="auto"/>
                <w:kern w:val="2"/>
                <w:sz w:val="18"/>
                <w:szCs w:val="18"/>
                <w:highlight w:val="none"/>
                <w:u w:val="none"/>
                <w:lang w:val="en-US" w:eastAsia="zh-CN" w:bidi="ar-SA"/>
              </w:rPr>
              <w:t>6次/日</w:t>
            </w:r>
          </w:p>
        </w:tc>
      </w:tr>
    </w:tbl>
    <w:p w14:paraId="6793005D">
      <w:pPr>
        <w:rPr>
          <w:rFonts w:hint="default"/>
          <w:color w:val="auto"/>
          <w:highlight w:val="none"/>
          <w:lang w:val="en-US" w:eastAsia="zh-CN"/>
        </w:rPr>
      </w:pPr>
    </w:p>
    <w:p w14:paraId="23BF898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83" w:name="_Toc32226"/>
      <w:bookmarkStart w:id="384" w:name="_Toc1363"/>
      <w:bookmarkStart w:id="385" w:name="_Toc29648"/>
      <w:r>
        <w:rPr>
          <w:rFonts w:hint="eastAsia" w:ascii="宋体" w:hAnsi="宋体" w:eastAsia="宋体" w:cs="宋体"/>
          <w:b/>
          <w:bCs/>
          <w:color w:val="auto"/>
          <w:sz w:val="24"/>
          <w:szCs w:val="24"/>
          <w:highlight w:val="none"/>
          <w:lang w:val="en-US" w:eastAsia="zh-CN"/>
        </w:rPr>
        <w:t>10.5  消防/监控管理</w:t>
      </w:r>
      <w:bookmarkEnd w:id="383"/>
      <w:bookmarkEnd w:id="384"/>
      <w:bookmarkEnd w:id="385"/>
    </w:p>
    <w:p w14:paraId="1918500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w:t>
      </w:r>
      <w:r>
        <w:rPr>
          <w:rFonts w:hint="eastAsia" w:ascii="宋体" w:hAnsi="宋体" w:eastAsia="宋体" w:cs="宋体"/>
          <w:vanish w:val="0"/>
          <w:color w:val="auto"/>
          <w:sz w:val="24"/>
          <w:szCs w:val="24"/>
          <w:highlight w:val="none"/>
          <w:lang w:val="en-US" w:eastAsia="zh-CN"/>
        </w:rPr>
        <w:t xml:space="preserve">  应建立消防安全管理制度、消防安全值班制度、</w:t>
      </w:r>
      <w:r>
        <w:rPr>
          <w:rFonts w:hint="eastAsia" w:ascii="宋体" w:hAnsi="宋体" w:eastAsia="宋体" w:cs="宋体"/>
          <w:vanish w:val="0"/>
          <w:color w:val="auto"/>
          <w:sz w:val="24"/>
          <w:szCs w:val="24"/>
          <w:highlight w:val="none"/>
          <w:lang w:eastAsia="zh-CN"/>
        </w:rPr>
        <w:t>分系统控制逻辑说明、</w:t>
      </w:r>
      <w:r>
        <w:rPr>
          <w:rFonts w:hint="eastAsia" w:ascii="宋体" w:hAnsi="宋体" w:eastAsia="宋体" w:cs="宋体"/>
          <w:vanish w:val="0"/>
          <w:color w:val="auto"/>
          <w:sz w:val="24"/>
          <w:szCs w:val="24"/>
          <w:highlight w:val="none"/>
          <w:lang w:val="en-US" w:eastAsia="zh-CN"/>
        </w:rPr>
        <w:t>消防</w:t>
      </w:r>
      <w:r>
        <w:rPr>
          <w:rFonts w:hint="eastAsia" w:ascii="宋体" w:hAnsi="宋体" w:eastAsia="宋体" w:cs="宋体"/>
          <w:vanish w:val="0"/>
          <w:color w:val="auto"/>
          <w:sz w:val="24"/>
          <w:szCs w:val="24"/>
          <w:highlight w:val="none"/>
          <w:lang w:eastAsia="zh-CN"/>
        </w:rPr>
        <w:t>系统操作规程</w:t>
      </w:r>
      <w:r>
        <w:rPr>
          <w:rFonts w:hint="eastAsia" w:ascii="宋体" w:hAnsi="宋体" w:eastAsia="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eastAsia="zh-CN"/>
        </w:rPr>
        <w:t>设备时钟校对制度、</w:t>
      </w:r>
      <w:r>
        <w:rPr>
          <w:rFonts w:hint="eastAsia" w:ascii="宋体" w:hAnsi="宋体" w:eastAsia="宋体" w:cs="宋体"/>
          <w:vanish w:val="0"/>
          <w:color w:val="auto"/>
          <w:sz w:val="24"/>
          <w:szCs w:val="24"/>
          <w:highlight w:val="none"/>
          <w:lang w:val="en-US" w:eastAsia="zh-CN"/>
        </w:rPr>
        <w:t>灭火和应急流程及疏散预案。</w:t>
      </w:r>
      <w:r>
        <w:rPr>
          <w:rFonts w:hint="eastAsia" w:ascii="宋体" w:hAnsi="宋体" w:eastAsia="宋体" w:cs="宋体"/>
          <w:vanish w:val="0"/>
          <w:color w:val="auto"/>
          <w:sz w:val="24"/>
          <w:szCs w:val="24"/>
          <w:highlight w:val="none"/>
          <w:lang w:eastAsia="zh-CN"/>
        </w:rPr>
        <w:t>值班记录等文件资料</w:t>
      </w:r>
      <w:r>
        <w:rPr>
          <w:rFonts w:hint="eastAsia" w:ascii="宋体" w:hAnsi="宋体" w:eastAsia="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eastAsia="zh-CN"/>
        </w:rPr>
        <w:t>完整齐全。</w:t>
      </w:r>
    </w:p>
    <w:p w14:paraId="1162AE8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10.5.2</w:t>
      </w:r>
      <w:r>
        <w:rPr>
          <w:rFonts w:hint="eastAsia" w:ascii="宋体" w:hAnsi="宋体" w:eastAsia="宋体" w:cs="宋体"/>
          <w:vanish w:val="0"/>
          <w:color w:val="auto"/>
          <w:sz w:val="24"/>
          <w:szCs w:val="24"/>
          <w:highlight w:val="none"/>
          <w:lang w:val="en-US" w:eastAsia="zh-CN"/>
        </w:rPr>
        <w:t xml:space="preserve">  应建立消防责任制，明确消防安全责任人和消防安全管理人；针对同一物业不同权属而同一消防系统的物业，要明确消防责任，另行签订《消防安全责任界定书》。</w:t>
      </w:r>
    </w:p>
    <w:p w14:paraId="24605D9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10.5.3</w:t>
      </w:r>
      <w:r>
        <w:rPr>
          <w:rFonts w:hint="eastAsia" w:ascii="宋体" w:hAnsi="宋体" w:eastAsia="宋体" w:cs="宋体"/>
          <w:vanish w:val="0"/>
          <w:color w:val="auto"/>
          <w:sz w:val="24"/>
          <w:szCs w:val="24"/>
          <w:highlight w:val="none"/>
          <w:lang w:val="en-US" w:eastAsia="zh-CN"/>
        </w:rPr>
        <w:t xml:space="preserve">  消防器材和设施应实行专人专管；消防灭火器、水带等每月应进行检查并建立设施器材台帐；消防系统应</w:t>
      </w:r>
      <w:r>
        <w:rPr>
          <w:rFonts w:hint="eastAsia" w:ascii="宋体" w:hAnsi="宋体" w:cs="宋体"/>
          <w:color w:val="auto"/>
          <w:sz w:val="24"/>
          <w:szCs w:val="24"/>
          <w:highlight w:val="none"/>
          <w:lang w:val="en-US" w:eastAsia="zh-CN"/>
        </w:rPr>
        <w:t>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eastAsia="宋体" w:cs="宋体"/>
          <w:vanish w:val="0"/>
          <w:color w:val="auto"/>
          <w:sz w:val="24"/>
          <w:szCs w:val="24"/>
          <w:highlight w:val="none"/>
          <w:lang w:val="en-US" w:eastAsia="zh-CN"/>
        </w:rPr>
        <w:t>的规定每年进行</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1次全面检测，确保消防系统处理良好的工作状态。</w:t>
      </w:r>
    </w:p>
    <w:p w14:paraId="00146C0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10.5.4</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消防控制室应由其管理单位实行</w:t>
      </w:r>
      <w:r>
        <w:rPr>
          <w:rFonts w:hint="eastAsia" w:ascii="宋体" w:hAnsi="宋体" w:eastAsia="宋体" w:cs="宋体"/>
          <w:vanish w:val="0"/>
          <w:color w:val="auto"/>
          <w:sz w:val="24"/>
          <w:szCs w:val="24"/>
          <w:highlight w:val="none"/>
          <w:lang w:val="en-US" w:eastAsia="zh-CN"/>
        </w:rPr>
        <w:t>24</w:t>
      </w:r>
      <w:r>
        <w:rPr>
          <w:rFonts w:hint="eastAsia" w:ascii="宋体" w:hAnsi="宋体" w:eastAsia="宋体" w:cs="宋体"/>
          <w:vanish w:val="0"/>
          <w:color w:val="auto"/>
          <w:sz w:val="24"/>
          <w:szCs w:val="24"/>
          <w:highlight w:val="none"/>
          <w:lang w:eastAsia="zh-CN"/>
        </w:rPr>
        <w:t>小时值班制度，每班</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eastAsia="zh-CN"/>
        </w:rPr>
        <w:t>人；能够通过城市消防远程监控系统实现远程操作消防控制室所有控制功能的，每班</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eastAsia="zh-CN"/>
        </w:rPr>
        <w:t>人。消防控制室值班操作人员应依法取得相应等级的消防行业特有工种职业资格证书，熟练掌握火警处置程序和要求，依法履行相关岗位职责。</w:t>
      </w:r>
    </w:p>
    <w:p w14:paraId="7A6706A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10.5.5</w:t>
      </w:r>
      <w:r>
        <w:rPr>
          <w:rFonts w:hint="eastAsia" w:ascii="宋体" w:hAnsi="宋体" w:eastAsia="宋体" w:cs="宋体"/>
          <w:vanish w:val="0"/>
          <w:color w:val="auto"/>
          <w:sz w:val="24"/>
          <w:szCs w:val="24"/>
          <w:highlight w:val="none"/>
          <w:lang w:val="en-US" w:eastAsia="zh-CN"/>
        </w:rPr>
        <w:t xml:space="preserve">  应建立志愿消防队，每半年应</w:t>
      </w:r>
      <w:r>
        <w:rPr>
          <w:rFonts w:hint="eastAsia" w:ascii="宋体" w:hAnsi="宋体" w:cs="宋体"/>
          <w:vanish w:val="0"/>
          <w:color w:val="auto"/>
          <w:sz w:val="24"/>
          <w:szCs w:val="24"/>
          <w:highlight w:val="none"/>
          <w:lang w:val="en-US" w:eastAsia="zh-CN"/>
        </w:rPr>
        <w:t>配合电力企业</w:t>
      </w:r>
      <w:r>
        <w:rPr>
          <w:rFonts w:hint="eastAsia" w:ascii="宋体" w:hAnsi="宋体" w:eastAsia="宋体" w:cs="宋体"/>
          <w:vanish w:val="0"/>
          <w:color w:val="auto"/>
          <w:sz w:val="24"/>
          <w:szCs w:val="24"/>
          <w:highlight w:val="none"/>
          <w:lang w:val="en-US" w:eastAsia="zh-CN"/>
        </w:rPr>
        <w:t>组织</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1次以上消防设施、器材使用、灭火和安全疏 散为重点的消防宣传和演练活动，消防重点单位应符合法律规定的要求。</w:t>
      </w:r>
    </w:p>
    <w:p w14:paraId="6D3D214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10.5.6</w:t>
      </w:r>
      <w:r>
        <w:rPr>
          <w:rFonts w:hint="eastAsia" w:ascii="宋体" w:hAnsi="宋体" w:eastAsia="宋体" w:cs="宋体"/>
          <w:vanish w:val="0"/>
          <w:color w:val="auto"/>
          <w:sz w:val="24"/>
          <w:szCs w:val="24"/>
          <w:highlight w:val="none"/>
          <w:lang w:val="en-US" w:eastAsia="zh-CN"/>
        </w:rPr>
        <w:t xml:space="preserve">  定期组织物业服务人员消防应急疏散和灭火技能训练。</w:t>
      </w:r>
    </w:p>
    <w:p w14:paraId="30D4AB7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10.5.7</w:t>
      </w:r>
      <w:r>
        <w:rPr>
          <w:rFonts w:hint="eastAsia" w:ascii="宋体" w:hAnsi="宋体" w:eastAsia="宋体" w:cs="宋体"/>
          <w:vanish w:val="0"/>
          <w:color w:val="auto"/>
          <w:sz w:val="24"/>
          <w:szCs w:val="24"/>
          <w:highlight w:val="none"/>
          <w:lang w:val="en-US" w:eastAsia="zh-CN"/>
        </w:rPr>
        <w:t xml:space="preserve">  发生火情时,应立即启动火警和应急疏散预案,拨打119火警电话,组织安全疏散,实施初起火灾扑救。</w:t>
      </w:r>
    </w:p>
    <w:p w14:paraId="17A6201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10.5.8</w:t>
      </w:r>
      <w:r>
        <w:rPr>
          <w:rFonts w:hint="eastAsia" w:ascii="宋体" w:hAnsi="宋体" w:eastAsia="宋体" w:cs="宋体"/>
          <w:vanish w:val="0"/>
          <w:color w:val="auto"/>
          <w:sz w:val="24"/>
          <w:szCs w:val="24"/>
          <w:highlight w:val="none"/>
          <w:lang w:val="en-US" w:eastAsia="zh-CN"/>
        </w:rPr>
        <w:t xml:space="preserve">  每月</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eastAsia="zh-CN"/>
        </w:rPr>
        <w:t>1次</w:t>
      </w:r>
      <w:r>
        <w:rPr>
          <w:rFonts w:hint="eastAsia" w:ascii="宋体" w:hAnsi="宋体" w:eastAsia="宋体" w:cs="宋体"/>
          <w:vanish w:val="0"/>
          <w:color w:val="auto"/>
          <w:sz w:val="24"/>
          <w:szCs w:val="24"/>
          <w:highlight w:val="none"/>
          <w:lang w:val="en-US" w:eastAsia="zh-CN"/>
        </w:rPr>
        <w:t>针对物业</w:t>
      </w:r>
      <w:r>
        <w:rPr>
          <w:rFonts w:hint="eastAsia" w:ascii="宋体" w:hAnsi="宋体" w:eastAsia="宋体" w:cs="宋体"/>
          <w:vanish w:val="0"/>
          <w:color w:val="auto"/>
          <w:sz w:val="24"/>
          <w:szCs w:val="24"/>
          <w:highlight w:val="none"/>
          <w:lang w:eastAsia="zh-CN"/>
        </w:rPr>
        <w:t>包括消防水源、疏散通道、应急照明、灭火器材、消防车</w:t>
      </w:r>
      <w:r>
        <w:rPr>
          <w:rFonts w:hint="eastAsia" w:ascii="宋体" w:hAnsi="宋体" w:eastAsia="宋体" w:cs="宋体"/>
          <w:vanish w:val="0"/>
          <w:color w:val="auto"/>
          <w:sz w:val="24"/>
          <w:szCs w:val="24"/>
          <w:highlight w:val="none"/>
          <w:lang w:val="en-US" w:eastAsia="zh-CN"/>
        </w:rPr>
        <w:t>及车</w:t>
      </w:r>
      <w:r>
        <w:rPr>
          <w:rFonts w:hint="eastAsia" w:ascii="宋体" w:hAnsi="宋体" w:eastAsia="宋体" w:cs="宋体"/>
          <w:vanish w:val="0"/>
          <w:color w:val="auto"/>
          <w:sz w:val="24"/>
          <w:szCs w:val="24"/>
          <w:highlight w:val="none"/>
          <w:lang w:eastAsia="zh-CN"/>
        </w:rPr>
        <w:t>道、消防值班室值班人员应急操作知识、用火、用电进行防火</w:t>
      </w:r>
      <w:r>
        <w:rPr>
          <w:rFonts w:hint="eastAsia" w:ascii="宋体" w:hAnsi="宋体" w:eastAsia="宋体" w:cs="宋体"/>
          <w:vanish w:val="0"/>
          <w:color w:val="auto"/>
          <w:sz w:val="24"/>
          <w:szCs w:val="24"/>
          <w:highlight w:val="none"/>
          <w:lang w:val="en-US" w:eastAsia="zh-CN"/>
        </w:rPr>
        <w:t>安全</w:t>
      </w:r>
      <w:r>
        <w:rPr>
          <w:rFonts w:hint="eastAsia" w:ascii="宋体" w:hAnsi="宋体" w:eastAsia="宋体" w:cs="宋体"/>
          <w:vanish w:val="0"/>
          <w:color w:val="auto"/>
          <w:sz w:val="24"/>
          <w:szCs w:val="24"/>
          <w:highlight w:val="none"/>
          <w:lang w:eastAsia="zh-CN"/>
        </w:rPr>
        <w:t>检查。</w:t>
      </w:r>
    </w:p>
    <w:p w14:paraId="2CD4C6A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10.5.9</w:t>
      </w:r>
      <w:r>
        <w:rPr>
          <w:rFonts w:hint="eastAsia" w:ascii="宋体" w:hAnsi="宋体" w:eastAsia="宋体" w:cs="宋体"/>
          <w:vanish w:val="0"/>
          <w:color w:val="auto"/>
          <w:sz w:val="24"/>
          <w:szCs w:val="24"/>
          <w:highlight w:val="none"/>
          <w:lang w:val="en-US" w:eastAsia="zh-CN"/>
        </w:rPr>
        <w:t xml:space="preserve">  消防设施管理</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eastAsia="宋体" w:cs="宋体"/>
          <w:vanish w:val="0"/>
          <w:color w:val="auto"/>
          <w:sz w:val="24"/>
          <w:szCs w:val="24"/>
          <w:highlight w:val="none"/>
          <w:lang w:val="en-US" w:eastAsia="zh-CN"/>
        </w:rPr>
        <w:t>的规定，定期巡查，发现问题及时组织处理。</w:t>
      </w:r>
    </w:p>
    <w:p w14:paraId="5879B9A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10.5.10</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保障疏散通道、安全出口、消防车通道畅通。确保避难设施、消防车登高操作场地不被占用、堵塞、封闭，保证防火防烟分区、防火间距符合消防技术标准。</w:t>
      </w:r>
    </w:p>
    <w:p w14:paraId="4DB2973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10.5.11</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对电动自行车、电动摩托车和电动汽车停放</w:t>
      </w:r>
      <w:r>
        <w:rPr>
          <w:rFonts w:hint="eastAsia" w:ascii="宋体" w:hAnsi="宋体" w:eastAsia="宋体" w:cs="宋体"/>
          <w:vanish w:val="0"/>
          <w:color w:val="auto"/>
          <w:sz w:val="24"/>
          <w:szCs w:val="24"/>
          <w:highlight w:val="none"/>
          <w:lang w:val="en-US" w:eastAsia="zh-CN"/>
        </w:rPr>
        <w:t>应符合</w:t>
      </w:r>
      <w:r>
        <w:rPr>
          <w:rFonts w:hint="eastAsia" w:ascii="宋体" w:hAnsi="宋体" w:eastAsia="宋体" w:cs="宋体"/>
          <w:vanish w:val="0"/>
          <w:color w:val="auto"/>
          <w:sz w:val="24"/>
          <w:szCs w:val="24"/>
          <w:highlight w:val="none"/>
          <w:lang w:eastAsia="zh-CN"/>
        </w:rPr>
        <w:t>消防安全管理</w:t>
      </w:r>
      <w:r>
        <w:rPr>
          <w:rFonts w:hint="eastAsia" w:ascii="宋体" w:hAnsi="宋体" w:eastAsia="宋体" w:cs="宋体"/>
          <w:vanish w:val="0"/>
          <w:color w:val="auto"/>
          <w:sz w:val="24"/>
          <w:szCs w:val="24"/>
          <w:highlight w:val="none"/>
          <w:lang w:val="en-US" w:eastAsia="zh-CN"/>
        </w:rPr>
        <w:t>要求</w:t>
      </w:r>
      <w:r>
        <w:rPr>
          <w:rFonts w:hint="eastAsia" w:ascii="宋体" w:hAnsi="宋体" w:eastAsia="宋体" w:cs="宋体"/>
          <w:vanish w:val="0"/>
          <w:color w:val="auto"/>
          <w:sz w:val="24"/>
          <w:szCs w:val="24"/>
          <w:highlight w:val="none"/>
          <w:lang w:eastAsia="zh-CN"/>
        </w:rPr>
        <w:t>。</w:t>
      </w:r>
    </w:p>
    <w:p w14:paraId="5749413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10.5.12</w:t>
      </w:r>
      <w:r>
        <w:rPr>
          <w:rFonts w:hint="eastAsia" w:ascii="宋体" w:hAnsi="宋体" w:eastAsia="宋体" w:cs="宋体"/>
          <w:vanish w:val="0"/>
          <w:color w:val="auto"/>
          <w:sz w:val="24"/>
          <w:szCs w:val="24"/>
          <w:highlight w:val="none"/>
          <w:lang w:val="en-US" w:eastAsia="zh-CN"/>
        </w:rPr>
        <w:t xml:space="preserve">  视频监控设备完好，</w:t>
      </w:r>
      <w:r>
        <w:rPr>
          <w:rFonts w:hint="eastAsia" w:ascii="宋体" w:hAnsi="宋体" w:eastAsia="宋体" w:cs="宋体"/>
          <w:vanish w:val="0"/>
          <w:color w:val="auto"/>
          <w:sz w:val="24"/>
          <w:szCs w:val="24"/>
          <w:highlight w:val="none"/>
          <w:lang w:val="zh-CN" w:eastAsia="zh-CN"/>
        </w:rPr>
        <w:t>监控</w:t>
      </w:r>
      <w:r>
        <w:rPr>
          <w:rFonts w:hint="eastAsia" w:ascii="宋体" w:hAnsi="宋体" w:eastAsia="宋体" w:cs="宋体"/>
          <w:vanish w:val="0"/>
          <w:color w:val="auto"/>
          <w:sz w:val="24"/>
          <w:szCs w:val="24"/>
          <w:highlight w:val="none"/>
          <w:lang w:val="en-US" w:eastAsia="zh-CN"/>
        </w:rPr>
        <w:t>运行</w:t>
      </w:r>
      <w:r>
        <w:rPr>
          <w:rFonts w:hint="eastAsia" w:ascii="宋体" w:hAnsi="宋体" w:eastAsia="宋体" w:cs="宋体"/>
          <w:vanish w:val="0"/>
          <w:color w:val="auto"/>
          <w:sz w:val="24"/>
          <w:szCs w:val="24"/>
          <w:highlight w:val="none"/>
          <w:lang w:val="zh-CN" w:eastAsia="zh-CN"/>
        </w:rPr>
        <w:t>记录完整，</w:t>
      </w:r>
      <w:r>
        <w:rPr>
          <w:rFonts w:hint="eastAsia" w:ascii="宋体" w:hAnsi="宋体" w:eastAsia="宋体" w:cs="宋体"/>
          <w:vanish w:val="0"/>
          <w:color w:val="auto"/>
          <w:sz w:val="24"/>
          <w:szCs w:val="24"/>
          <w:highlight w:val="none"/>
          <w:lang w:val="en-US" w:eastAsia="zh-CN"/>
        </w:rPr>
        <w:t>视频回放</w:t>
      </w:r>
      <w:r>
        <w:rPr>
          <w:rFonts w:hint="eastAsia" w:ascii="宋体" w:hAnsi="宋体" w:eastAsia="宋体" w:cs="宋体"/>
          <w:vanish w:val="0"/>
          <w:color w:val="auto"/>
          <w:sz w:val="24"/>
          <w:szCs w:val="24"/>
          <w:highlight w:val="none"/>
          <w:lang w:val="zh-CN" w:eastAsia="zh-CN"/>
        </w:rPr>
        <w:t>保存时间</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30</w:t>
      </w:r>
      <w:r>
        <w:rPr>
          <w:rFonts w:hint="eastAsia" w:ascii="仿宋" w:hAnsi="仿宋" w:eastAsia="仿宋" w:cs="仿宋"/>
          <w:color w:val="auto"/>
          <w:sz w:val="24"/>
          <w:szCs w:val="24"/>
          <w:highlight w:val="none"/>
          <w:lang w:val="en-US" w:eastAsia="zh-CN"/>
        </w:rPr>
        <w:t xml:space="preserve">d </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防范恐怖袭击重点目标的视频图像信息保存期限≥ 90d</w:t>
      </w:r>
      <w:r>
        <w:rPr>
          <w:rFonts w:hint="eastAsia" w:ascii="仿宋" w:hAnsi="仿宋" w:eastAsia="仿宋" w:cs="仿宋"/>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定期校正监控录像设备时间，应与北京时间保持一致</w:t>
      </w:r>
      <w:r>
        <w:rPr>
          <w:rFonts w:hint="eastAsia" w:ascii="宋体" w:hAnsi="宋体" w:eastAsia="宋体" w:cs="宋体"/>
          <w:vanish w:val="0"/>
          <w:color w:val="auto"/>
          <w:sz w:val="24"/>
          <w:szCs w:val="24"/>
          <w:highlight w:val="none"/>
          <w:lang w:val="zh-CN" w:eastAsia="zh-CN"/>
        </w:rPr>
        <w:t>。</w:t>
      </w:r>
    </w:p>
    <w:p w14:paraId="528E8FA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86" w:name="_Toc17052"/>
      <w:bookmarkStart w:id="387" w:name="_Toc30611"/>
      <w:bookmarkStart w:id="388" w:name="_Toc23576"/>
      <w:r>
        <w:rPr>
          <w:rFonts w:hint="eastAsia" w:ascii="宋体" w:hAnsi="宋体" w:eastAsia="宋体" w:cs="宋体"/>
          <w:b/>
          <w:bCs/>
          <w:color w:val="auto"/>
          <w:sz w:val="24"/>
          <w:szCs w:val="24"/>
          <w:highlight w:val="none"/>
          <w:lang w:val="en-US" w:eastAsia="zh-CN"/>
        </w:rPr>
        <w:t>10.6  充电桩巡查管理</w:t>
      </w:r>
      <w:bookmarkEnd w:id="386"/>
      <w:bookmarkEnd w:id="387"/>
      <w:bookmarkEnd w:id="388"/>
    </w:p>
    <w:p w14:paraId="6F3443B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10.6.1</w:t>
      </w:r>
      <w:r>
        <w:rPr>
          <w:rFonts w:hint="eastAsia" w:ascii="宋体" w:hAnsi="宋体" w:eastAsia="宋体" w:cs="宋体"/>
          <w:vanish w:val="0"/>
          <w:color w:val="auto"/>
          <w:sz w:val="24"/>
          <w:szCs w:val="24"/>
          <w:highlight w:val="none"/>
          <w:lang w:val="en-US" w:eastAsia="zh-CN"/>
        </w:rPr>
        <w:t xml:space="preserve">  应建立电动汽车停放、充电设备安全管理制度，明确安全责任人。</w:t>
      </w:r>
    </w:p>
    <w:p w14:paraId="63E5E2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10.6.2</w:t>
      </w:r>
      <w:r>
        <w:rPr>
          <w:rFonts w:hint="eastAsia" w:ascii="宋体" w:hAnsi="宋体" w:eastAsia="宋体" w:cs="宋体"/>
          <w:vanish w:val="0"/>
          <w:color w:val="auto"/>
          <w:sz w:val="24"/>
          <w:szCs w:val="24"/>
          <w:highlight w:val="none"/>
          <w:lang w:val="en-US" w:eastAsia="zh-CN"/>
        </w:rPr>
        <w:t xml:space="preserve">  应在显眼位置设置公示充电设备运营机构的名称、运营时间、服务范围、服务项目、收费标准、救援电话、监督热线及可供使用的设备情况等。</w:t>
      </w:r>
    </w:p>
    <w:p w14:paraId="695CC79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10.6.3</w:t>
      </w:r>
      <w:r>
        <w:rPr>
          <w:rFonts w:hint="eastAsia" w:ascii="宋体" w:hAnsi="宋体" w:eastAsia="宋体" w:cs="宋体"/>
          <w:vanish w:val="0"/>
          <w:color w:val="auto"/>
          <w:sz w:val="24"/>
          <w:szCs w:val="24"/>
          <w:highlight w:val="none"/>
          <w:lang w:val="en-US" w:eastAsia="zh-CN"/>
        </w:rPr>
        <w:t xml:space="preserve">  充电区域内必须配备相应的消防器材并对消防器材进行日常巡查和定期保养，需做好相关记录存档备查。</w:t>
      </w:r>
    </w:p>
    <w:p w14:paraId="386CDD0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10.6.4</w:t>
      </w:r>
      <w:r>
        <w:rPr>
          <w:rFonts w:hint="eastAsia" w:ascii="宋体" w:hAnsi="宋体" w:eastAsia="宋体" w:cs="宋体"/>
          <w:vanish w:val="0"/>
          <w:color w:val="auto"/>
          <w:sz w:val="24"/>
          <w:szCs w:val="24"/>
          <w:highlight w:val="none"/>
          <w:lang w:val="en-US" w:eastAsia="zh-CN"/>
        </w:rPr>
        <w:t xml:space="preserve">  对充电设施进行日常巡查外，应定期同设备厂家进行维护保养并做好相关记录存档备查。</w:t>
      </w:r>
    </w:p>
    <w:p w14:paraId="189A07A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10.6.5</w:t>
      </w:r>
      <w:r>
        <w:rPr>
          <w:rFonts w:hint="eastAsia" w:ascii="宋体" w:hAnsi="宋体" w:eastAsia="宋体" w:cs="宋体"/>
          <w:vanish w:val="0"/>
          <w:color w:val="auto"/>
          <w:sz w:val="24"/>
          <w:szCs w:val="24"/>
          <w:highlight w:val="none"/>
          <w:lang w:val="en-US" w:eastAsia="zh-CN"/>
        </w:rPr>
        <w:t xml:space="preserve">  加装电动汽车充电设施及配套用电设备的线路，应符合</w:t>
      </w:r>
      <w:r>
        <w:rPr>
          <w:rFonts w:hint="eastAsia" w:ascii="宋体" w:hAnsi="宋体" w:cs="宋体"/>
          <w:vanish w:val="0"/>
          <w:color w:val="auto"/>
          <w:sz w:val="24"/>
          <w:szCs w:val="24"/>
          <w:highlight w:val="none"/>
          <w:lang w:val="en-US" w:eastAsia="zh-CN"/>
        </w:rPr>
        <w:t>现行地方标准《</w:t>
      </w:r>
      <w:r>
        <w:rPr>
          <w:rFonts w:hint="eastAsia" w:ascii="宋体" w:hAnsi="宋体" w:eastAsia="宋体" w:cs="宋体"/>
          <w:vanish w:val="0"/>
          <w:color w:val="auto"/>
          <w:sz w:val="24"/>
          <w:szCs w:val="24"/>
          <w:highlight w:val="none"/>
          <w:lang w:val="en-US" w:eastAsia="zh-CN"/>
        </w:rPr>
        <w:t>电动汽车充电基础设施建设技术规程》DBJ/T-15-150的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w:t>
      </w:r>
    </w:p>
    <w:p w14:paraId="7087DDB0">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bookmarkStart w:id="389" w:name="_Toc8995"/>
    </w:p>
    <w:p w14:paraId="5547ACAC">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133E8FCF">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5B7D98F4">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764972DA">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31C22D7B">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14:paraId="64A611E8">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both"/>
        <w:textAlignment w:val="auto"/>
        <w:outlineLvl w:val="9"/>
        <w:rPr>
          <w:rFonts w:hint="eastAsia" w:ascii="Times New Roman" w:hAnsi="Times New Roman" w:eastAsia="宋体" w:cs="Times New Roman"/>
          <w:b/>
          <w:bCs/>
          <w:kern w:val="44"/>
          <w:sz w:val="30"/>
          <w:szCs w:val="44"/>
          <w:highlight w:val="none"/>
          <w:lang w:val="en-US" w:eastAsia="zh-CN" w:bidi="ar-SA"/>
        </w:rPr>
      </w:pPr>
    </w:p>
    <w:p w14:paraId="41B10901">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0"/>
        <w:rPr>
          <w:rFonts w:hint="eastAsia" w:ascii="黑体" w:hAnsi="黑体" w:eastAsia="黑体" w:cs="黑体"/>
          <w:b w:val="0"/>
          <w:i w:val="0"/>
          <w:color w:val="auto"/>
          <w:sz w:val="21"/>
          <w:szCs w:val="21"/>
          <w:highlight w:val="none"/>
          <w:lang w:val="en-US" w:eastAsia="zh-CN" w:bidi="ar-SA"/>
        </w:rPr>
      </w:pPr>
      <w:bookmarkStart w:id="390" w:name="_Toc4752"/>
      <w:bookmarkStart w:id="391" w:name="_Toc18795"/>
      <w:r>
        <w:rPr>
          <w:rFonts w:hint="eastAsia" w:ascii="Times New Roman" w:hAnsi="Times New Roman" w:eastAsia="宋体" w:cs="Times New Roman"/>
          <w:b/>
          <w:bCs/>
          <w:kern w:val="44"/>
          <w:sz w:val="30"/>
          <w:szCs w:val="44"/>
          <w:highlight w:val="none"/>
          <w:lang w:val="en-US" w:eastAsia="zh-CN" w:bidi="ar-SA"/>
        </w:rPr>
        <w:t xml:space="preserve">11  </w:t>
      </w:r>
      <w:r>
        <w:rPr>
          <w:rFonts w:hint="eastAsia" w:ascii="Times New Roman" w:hAnsi="Times New Roman" w:eastAsia="宋体" w:cs="Times New Roman"/>
          <w:b w:val="0"/>
          <w:bCs w:val="0"/>
          <w:kern w:val="44"/>
          <w:sz w:val="30"/>
          <w:szCs w:val="44"/>
          <w:highlight w:val="none"/>
          <w:lang w:val="en-US" w:eastAsia="zh-CN" w:bidi="ar-SA"/>
        </w:rPr>
        <w:t>电力</w:t>
      </w:r>
      <w:r>
        <w:rPr>
          <w:rFonts w:hint="eastAsia" w:ascii="Times New Roman" w:eastAsia="宋体" w:cs="Times New Roman"/>
          <w:b w:val="0"/>
          <w:bCs w:val="0"/>
          <w:kern w:val="44"/>
          <w:sz w:val="30"/>
          <w:szCs w:val="44"/>
          <w:highlight w:val="none"/>
          <w:lang w:val="en-US" w:eastAsia="zh-CN" w:bidi="ar-SA"/>
        </w:rPr>
        <w:t>反</w:t>
      </w:r>
      <w:r>
        <w:rPr>
          <w:rFonts w:hint="eastAsia" w:ascii="Times New Roman" w:hAnsi="Times New Roman" w:eastAsia="宋体" w:cs="Times New Roman"/>
          <w:b w:val="0"/>
          <w:bCs w:val="0"/>
          <w:kern w:val="44"/>
          <w:sz w:val="30"/>
          <w:szCs w:val="44"/>
          <w:highlight w:val="none"/>
          <w:lang w:val="en-US" w:eastAsia="zh-CN" w:bidi="ar-SA"/>
        </w:rPr>
        <w:t>恐</w:t>
      </w:r>
      <w:r>
        <w:rPr>
          <w:rFonts w:hint="eastAsia" w:ascii="Times New Roman" w:eastAsia="宋体" w:cs="Times New Roman"/>
          <w:b w:val="0"/>
          <w:bCs w:val="0"/>
          <w:kern w:val="44"/>
          <w:sz w:val="30"/>
          <w:szCs w:val="44"/>
          <w:highlight w:val="none"/>
          <w:lang w:val="en-US" w:eastAsia="zh-CN" w:bidi="ar-SA"/>
        </w:rPr>
        <w:t>防范</w:t>
      </w:r>
      <w:r>
        <w:rPr>
          <w:rFonts w:hint="eastAsia" w:ascii="Times New Roman" w:hAnsi="Times New Roman" w:eastAsia="宋体" w:cs="Times New Roman"/>
          <w:b w:val="0"/>
          <w:bCs w:val="0"/>
          <w:kern w:val="44"/>
          <w:sz w:val="30"/>
          <w:szCs w:val="44"/>
          <w:highlight w:val="none"/>
          <w:lang w:val="en-US" w:eastAsia="zh-CN" w:bidi="ar-SA"/>
        </w:rPr>
        <w:t>与应急</w:t>
      </w:r>
      <w:bookmarkEnd w:id="389"/>
      <w:bookmarkEnd w:id="390"/>
      <w:bookmarkEnd w:id="391"/>
    </w:p>
    <w:p w14:paraId="724F5F7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92" w:name="_Toc9544"/>
      <w:bookmarkStart w:id="393" w:name="_Toc478"/>
      <w:bookmarkStart w:id="394" w:name="_Toc11436"/>
      <w:r>
        <w:rPr>
          <w:rFonts w:hint="eastAsia" w:ascii="宋体" w:hAnsi="宋体" w:eastAsia="宋体" w:cs="宋体"/>
          <w:b/>
          <w:bCs/>
          <w:color w:val="auto"/>
          <w:sz w:val="24"/>
          <w:szCs w:val="24"/>
          <w:highlight w:val="none"/>
          <w:lang w:val="en-US" w:eastAsia="zh-CN"/>
        </w:rPr>
        <w:t>11.1  常态反恐防范要求</w:t>
      </w:r>
      <w:bookmarkEnd w:id="392"/>
      <w:bookmarkEnd w:id="393"/>
      <w:bookmarkEnd w:id="394"/>
    </w:p>
    <w:p w14:paraId="2110020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95" w:name="_Toc31731"/>
      <w:bookmarkStart w:id="396" w:name="_Toc6630"/>
      <w:r>
        <w:rPr>
          <w:rFonts w:hint="eastAsia" w:ascii="宋体" w:hAnsi="宋体" w:eastAsia="宋体" w:cs="宋体"/>
          <w:b/>
          <w:bCs/>
          <w:color w:val="auto"/>
          <w:sz w:val="24"/>
          <w:szCs w:val="24"/>
          <w:highlight w:val="none"/>
          <w:lang w:val="en-US" w:eastAsia="zh-CN"/>
        </w:rPr>
        <w:t>Ⅰ  制度要求</w:t>
      </w:r>
      <w:bookmarkEnd w:id="395"/>
      <w:bookmarkEnd w:id="396"/>
    </w:p>
    <w:p w14:paraId="101CB1E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11.1.1</w:t>
      </w:r>
      <w:r>
        <w:rPr>
          <w:rFonts w:hint="eastAsia" w:ascii="宋体" w:hAnsi="宋体" w:eastAsia="宋体" w:cs="宋体"/>
          <w:vanish w:val="0"/>
          <w:color w:val="auto"/>
          <w:sz w:val="24"/>
          <w:szCs w:val="24"/>
          <w:highlight w:val="none"/>
          <w:lang w:val="en-US" w:eastAsia="zh-CN"/>
        </w:rPr>
        <w:t xml:space="preserve">  应建立健全的反恐防范</w:t>
      </w:r>
      <w:r>
        <w:rPr>
          <w:rFonts w:hint="eastAsia" w:ascii="宋体" w:hAnsi="宋体" w:eastAsia="宋体" w:cs="宋体"/>
          <w:vanish w:val="0"/>
          <w:color w:val="auto"/>
          <w:sz w:val="24"/>
          <w:szCs w:val="24"/>
          <w:highlight w:val="none"/>
          <w:lang w:val="zh-CN" w:eastAsia="zh-CN"/>
        </w:rPr>
        <w:t>责任管理制度，</w:t>
      </w:r>
      <w:r>
        <w:rPr>
          <w:rFonts w:hint="eastAsia" w:ascii="宋体" w:hAnsi="宋体" w:eastAsia="宋体" w:cs="宋体"/>
          <w:vanish w:val="0"/>
          <w:color w:val="auto"/>
          <w:sz w:val="24"/>
          <w:szCs w:val="24"/>
          <w:highlight w:val="none"/>
          <w:lang w:val="en-US" w:eastAsia="zh-CN"/>
        </w:rPr>
        <w:t>反恐防范组织架构（物业应急分队）和相关应急处置预案、流程等</w:t>
      </w:r>
      <w:r>
        <w:rPr>
          <w:rFonts w:hint="eastAsia" w:ascii="宋体" w:hAnsi="宋体" w:eastAsia="宋体" w:cs="宋体"/>
          <w:vanish w:val="0"/>
          <w:color w:val="auto"/>
          <w:sz w:val="24"/>
          <w:szCs w:val="24"/>
          <w:highlight w:val="none"/>
          <w:lang w:val="zh-CN" w:eastAsia="zh-CN"/>
        </w:rPr>
        <w:t>，确保</w:t>
      </w:r>
      <w:r>
        <w:rPr>
          <w:rFonts w:hint="eastAsia" w:ascii="宋体" w:hAnsi="宋体" w:eastAsia="宋体" w:cs="宋体"/>
          <w:vanish w:val="0"/>
          <w:color w:val="auto"/>
          <w:sz w:val="24"/>
          <w:szCs w:val="24"/>
          <w:highlight w:val="none"/>
          <w:lang w:val="en-US" w:eastAsia="zh-CN"/>
        </w:rPr>
        <w:t>电网、</w:t>
      </w:r>
      <w:r>
        <w:rPr>
          <w:rFonts w:hint="eastAsia" w:ascii="宋体" w:hAnsi="宋体" w:eastAsia="宋体" w:cs="宋体"/>
          <w:vanish w:val="0"/>
          <w:color w:val="auto"/>
          <w:sz w:val="24"/>
          <w:szCs w:val="24"/>
          <w:highlight w:val="none"/>
          <w:lang w:val="zh-CN" w:eastAsia="zh-CN"/>
        </w:rPr>
        <w:t>电站设备安全运行。</w:t>
      </w:r>
    </w:p>
    <w:p w14:paraId="172EABE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11.1.2</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全面落实治安</w:t>
      </w:r>
      <w:r>
        <w:rPr>
          <w:rFonts w:hint="eastAsia" w:ascii="宋体" w:hAnsi="宋体" w:eastAsia="宋体" w:cs="宋体"/>
          <w:vanish w:val="0"/>
          <w:color w:val="auto"/>
          <w:sz w:val="24"/>
          <w:szCs w:val="24"/>
          <w:highlight w:val="none"/>
          <w:lang w:val="en-US" w:eastAsia="zh-CN"/>
        </w:rPr>
        <w:t>反恐防范</w:t>
      </w:r>
      <w:r>
        <w:rPr>
          <w:rFonts w:hint="eastAsia" w:ascii="宋体" w:hAnsi="宋体" w:eastAsia="宋体" w:cs="宋体"/>
          <w:vanish w:val="0"/>
          <w:color w:val="auto"/>
          <w:sz w:val="24"/>
          <w:szCs w:val="24"/>
          <w:highlight w:val="none"/>
          <w:lang w:val="zh-CN" w:eastAsia="zh-CN"/>
        </w:rPr>
        <w:t>工作责任制，</w:t>
      </w:r>
      <w:r>
        <w:rPr>
          <w:rFonts w:hint="eastAsia" w:ascii="宋体" w:hAnsi="宋体" w:eastAsia="宋体" w:cs="宋体"/>
          <w:vanish w:val="0"/>
          <w:color w:val="auto"/>
          <w:sz w:val="24"/>
          <w:szCs w:val="24"/>
          <w:highlight w:val="none"/>
          <w:lang w:val="en-US" w:eastAsia="zh-CN"/>
        </w:rPr>
        <w:t>物业服务企业应配合并按照电力企业驻地单位的分工，</w:t>
      </w:r>
      <w:r>
        <w:rPr>
          <w:rFonts w:hint="eastAsia" w:ascii="宋体" w:hAnsi="宋体" w:eastAsia="宋体" w:cs="宋体"/>
          <w:vanish w:val="0"/>
          <w:color w:val="auto"/>
          <w:sz w:val="24"/>
          <w:szCs w:val="24"/>
          <w:highlight w:val="none"/>
          <w:lang w:val="zh-CN" w:eastAsia="zh-CN"/>
        </w:rPr>
        <w:t>全面落实治安</w:t>
      </w:r>
      <w:r>
        <w:rPr>
          <w:rFonts w:hint="eastAsia" w:ascii="宋体" w:hAnsi="宋体" w:eastAsia="宋体" w:cs="宋体"/>
          <w:vanish w:val="0"/>
          <w:color w:val="auto"/>
          <w:sz w:val="24"/>
          <w:szCs w:val="24"/>
          <w:highlight w:val="none"/>
          <w:lang w:val="en-US" w:eastAsia="zh-CN"/>
        </w:rPr>
        <w:t>反恐防范工作。</w:t>
      </w:r>
    </w:p>
    <w:p w14:paraId="3483DD1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11.1.3</w:t>
      </w:r>
      <w:r>
        <w:rPr>
          <w:rFonts w:hint="eastAsia" w:ascii="宋体" w:hAnsi="宋体" w:eastAsia="宋体" w:cs="宋体"/>
          <w:vanish w:val="0"/>
          <w:color w:val="auto"/>
          <w:sz w:val="24"/>
          <w:szCs w:val="24"/>
          <w:highlight w:val="none"/>
          <w:lang w:val="en-US" w:eastAsia="zh-CN"/>
        </w:rPr>
        <w:t xml:space="preserve">  成立反恐防范应急分队：在电力企业驻地单位反恐防范应急响应架构下成立反恐防范应急分队，应</w:t>
      </w:r>
      <w:r>
        <w:rPr>
          <w:rFonts w:hint="eastAsia" w:ascii="宋体" w:hAnsi="宋体" w:eastAsia="宋体" w:cs="宋体"/>
          <w:vanish w:val="0"/>
          <w:color w:val="auto"/>
          <w:sz w:val="24"/>
          <w:szCs w:val="24"/>
          <w:highlight w:val="none"/>
          <w:lang w:val="zh-CN" w:eastAsia="zh-CN"/>
        </w:rPr>
        <w:t>每</w:t>
      </w:r>
      <w:r>
        <w:rPr>
          <w:rFonts w:hint="eastAsia" w:ascii="宋体" w:hAnsi="宋体" w:cs="宋体"/>
          <w:vanish w:val="0"/>
          <w:color w:val="auto"/>
          <w:sz w:val="24"/>
          <w:szCs w:val="24"/>
          <w:highlight w:val="none"/>
          <w:lang w:val="en-US" w:eastAsia="zh-CN"/>
        </w:rPr>
        <w:t>半</w:t>
      </w:r>
      <w:r>
        <w:rPr>
          <w:rFonts w:hint="eastAsia" w:ascii="宋体" w:hAnsi="宋体" w:eastAsia="宋体" w:cs="宋体"/>
          <w:vanish w:val="0"/>
          <w:color w:val="auto"/>
          <w:sz w:val="24"/>
          <w:szCs w:val="24"/>
          <w:highlight w:val="none"/>
          <w:lang w:val="zh-CN" w:eastAsia="zh-CN"/>
        </w:rPr>
        <w:t>年至少组织</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zh-CN" w:eastAsia="zh-CN"/>
        </w:rPr>
        <w:t>次</w:t>
      </w:r>
      <w:r>
        <w:rPr>
          <w:rFonts w:hint="eastAsia" w:ascii="宋体" w:hAnsi="宋体" w:eastAsia="宋体" w:cs="宋体"/>
          <w:vanish w:val="0"/>
          <w:color w:val="auto"/>
          <w:sz w:val="24"/>
          <w:szCs w:val="24"/>
          <w:highlight w:val="none"/>
          <w:lang w:val="en-US" w:eastAsia="zh-CN"/>
        </w:rPr>
        <w:t>定期进行反恐防范应急演练</w:t>
      </w:r>
      <w:r>
        <w:rPr>
          <w:rFonts w:hint="eastAsia" w:ascii="宋体" w:hAnsi="宋体" w:eastAsia="宋体" w:cs="宋体"/>
          <w:vanish w:val="0"/>
          <w:color w:val="auto"/>
          <w:sz w:val="24"/>
          <w:szCs w:val="24"/>
          <w:highlight w:val="none"/>
          <w:lang w:val="zh-CN" w:eastAsia="zh-CN"/>
        </w:rPr>
        <w:t>、重点目标演练。</w:t>
      </w:r>
    </w:p>
    <w:p w14:paraId="095E342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97" w:name="_Toc24030"/>
      <w:bookmarkStart w:id="398" w:name="_Toc21927"/>
      <w:r>
        <w:rPr>
          <w:rFonts w:hint="eastAsia" w:ascii="宋体" w:hAnsi="宋体" w:eastAsia="宋体" w:cs="宋体"/>
          <w:b/>
          <w:bCs/>
          <w:color w:val="auto"/>
          <w:sz w:val="24"/>
          <w:szCs w:val="24"/>
          <w:highlight w:val="none"/>
          <w:lang w:val="en-US" w:eastAsia="zh-CN"/>
        </w:rPr>
        <w:t>Ⅱ  人防要求</w:t>
      </w:r>
      <w:bookmarkEnd w:id="397"/>
      <w:bookmarkEnd w:id="398"/>
      <w:r>
        <w:rPr>
          <w:rFonts w:hint="eastAsia" w:ascii="宋体" w:hAnsi="宋体" w:eastAsia="宋体" w:cs="宋体"/>
          <w:b/>
          <w:bCs/>
          <w:color w:val="auto"/>
          <w:sz w:val="24"/>
          <w:szCs w:val="24"/>
          <w:highlight w:val="none"/>
          <w:lang w:val="en-US" w:eastAsia="zh-CN"/>
        </w:rPr>
        <w:t xml:space="preserve"> </w:t>
      </w:r>
    </w:p>
    <w:p w14:paraId="0008233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建立治安</w:t>
      </w:r>
      <w:r>
        <w:rPr>
          <w:rFonts w:hint="eastAsia" w:ascii="宋体" w:hAnsi="宋体" w:eastAsia="宋体" w:cs="宋体"/>
          <w:vanish w:val="0"/>
          <w:color w:val="auto"/>
          <w:sz w:val="24"/>
          <w:szCs w:val="24"/>
          <w:highlight w:val="none"/>
          <w:lang w:val="en-US" w:eastAsia="zh-CN"/>
        </w:rPr>
        <w:t>反恐防范</w:t>
      </w:r>
      <w:r>
        <w:rPr>
          <w:rFonts w:hint="eastAsia" w:ascii="宋体" w:hAnsi="宋体" w:eastAsia="宋体" w:cs="宋体"/>
          <w:vanish w:val="0"/>
          <w:color w:val="auto"/>
          <w:sz w:val="24"/>
          <w:szCs w:val="24"/>
          <w:highlight w:val="none"/>
          <w:lang w:val="zh-CN" w:eastAsia="zh-CN"/>
        </w:rPr>
        <w:t>教育培训，提高员工</w:t>
      </w:r>
      <w:r>
        <w:rPr>
          <w:rFonts w:hint="eastAsia" w:ascii="宋体" w:hAnsi="宋体" w:eastAsia="宋体" w:cs="宋体"/>
          <w:vanish w:val="0"/>
          <w:color w:val="auto"/>
          <w:sz w:val="24"/>
          <w:szCs w:val="24"/>
          <w:highlight w:val="none"/>
          <w:lang w:val="en-US" w:eastAsia="zh-CN"/>
        </w:rPr>
        <w:t>反恐防范</w:t>
      </w:r>
      <w:r>
        <w:rPr>
          <w:rFonts w:hint="eastAsia" w:ascii="宋体" w:hAnsi="宋体" w:eastAsia="宋体" w:cs="宋体"/>
          <w:vanish w:val="0"/>
          <w:color w:val="auto"/>
          <w:sz w:val="24"/>
          <w:szCs w:val="24"/>
          <w:highlight w:val="none"/>
          <w:lang w:val="zh-CN" w:eastAsia="zh-CN"/>
        </w:rPr>
        <w:t>意识，定期对重点部门和重要岗位员工进行有针对性的教育培训，重点目标场所每年至少组织</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zh-CN" w:eastAsia="zh-CN"/>
        </w:rPr>
        <w:t>次治安</w:t>
      </w:r>
      <w:r>
        <w:rPr>
          <w:rFonts w:hint="eastAsia" w:ascii="宋体" w:hAnsi="宋体" w:eastAsia="宋体" w:cs="宋体"/>
          <w:vanish w:val="0"/>
          <w:color w:val="auto"/>
          <w:sz w:val="24"/>
          <w:szCs w:val="24"/>
          <w:highlight w:val="none"/>
          <w:lang w:val="en-US" w:eastAsia="zh-CN"/>
        </w:rPr>
        <w:t>反恐防范</w:t>
      </w:r>
      <w:r>
        <w:rPr>
          <w:rFonts w:hint="eastAsia" w:ascii="宋体" w:hAnsi="宋体" w:eastAsia="宋体" w:cs="宋体"/>
          <w:vanish w:val="0"/>
          <w:color w:val="auto"/>
          <w:sz w:val="24"/>
          <w:szCs w:val="24"/>
          <w:highlight w:val="none"/>
          <w:lang w:val="zh-CN" w:eastAsia="zh-CN"/>
        </w:rPr>
        <w:t>教育培训</w:t>
      </w:r>
      <w:r>
        <w:rPr>
          <w:rFonts w:hint="eastAsia" w:ascii="宋体" w:hAnsi="宋体" w:eastAsia="宋体" w:cs="宋体"/>
          <w:vanish w:val="0"/>
          <w:color w:val="auto"/>
          <w:sz w:val="24"/>
          <w:szCs w:val="24"/>
          <w:highlight w:val="none"/>
          <w:lang w:val="en-US" w:eastAsia="zh-CN"/>
        </w:rPr>
        <w:t>和演练</w:t>
      </w:r>
      <w:r>
        <w:rPr>
          <w:rFonts w:hint="eastAsia" w:ascii="宋体" w:hAnsi="宋体" w:eastAsia="宋体" w:cs="宋体"/>
          <w:vanish w:val="0"/>
          <w:color w:val="auto"/>
          <w:sz w:val="24"/>
          <w:szCs w:val="24"/>
          <w:highlight w:val="none"/>
          <w:lang w:val="zh-CN" w:eastAsia="zh-CN"/>
        </w:rPr>
        <w:t>。</w:t>
      </w:r>
    </w:p>
    <w:p w14:paraId="5EF3A91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5</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已实施警企联动的重要区域、特别重要区域，要明确各区域的警企联系人和联系方式，常用应急电话应贴于保安室墙上，信息定期更新，确保沟通渠道畅通。</w:t>
      </w:r>
    </w:p>
    <w:p w14:paraId="1754CCD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6</w:t>
      </w:r>
      <w:r>
        <w:rPr>
          <w:rFonts w:hint="eastAsia" w:ascii="宋体" w:hAnsi="宋体" w:eastAsia="宋体" w:cs="宋体"/>
          <w:vanish w:val="0"/>
          <w:color w:val="auto"/>
          <w:sz w:val="24"/>
          <w:szCs w:val="24"/>
          <w:highlight w:val="none"/>
          <w:lang w:val="en-US" w:eastAsia="zh-CN"/>
        </w:rPr>
        <w:t xml:space="preserve">  进入重点部位等特殊区域场所的外联、外委、施工单位人员，需经电力企业驻地单位审批备案，凭工作票、临时工作证及身份证核对后方可进入。</w:t>
      </w:r>
    </w:p>
    <w:p w14:paraId="4C88681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7</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进入生产场所的外来人员：作业人员凭有效工作票及相关资质证明，经核实、登记后进入；非作业人员凭有效证件，经主管部门同意，核实登记后进入。实行“白名单”的场所，检查其工作证，了解其工作事由，经核实登记后方可出入。</w:t>
      </w:r>
    </w:p>
    <w:p w14:paraId="6F28EC3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重要部位（区域）</w:t>
      </w:r>
      <w:r>
        <w:rPr>
          <w:rFonts w:hint="eastAsia" w:ascii="宋体" w:hAnsi="宋体" w:eastAsia="宋体" w:cs="宋体"/>
          <w:vanish w:val="0"/>
          <w:color w:val="auto"/>
          <w:sz w:val="24"/>
          <w:szCs w:val="24"/>
          <w:highlight w:val="none"/>
          <w:lang w:val="en-US" w:eastAsia="zh-CN"/>
        </w:rPr>
        <w:t>人防配置应按附录D要求。</w:t>
      </w:r>
    </w:p>
    <w:p w14:paraId="59770D8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99" w:name="_Toc13765"/>
      <w:bookmarkStart w:id="400" w:name="_Toc22600"/>
      <w:r>
        <w:rPr>
          <w:rFonts w:hint="eastAsia" w:ascii="宋体" w:hAnsi="宋体" w:eastAsia="宋体" w:cs="宋体"/>
          <w:b/>
          <w:bCs/>
          <w:color w:val="auto"/>
          <w:sz w:val="24"/>
          <w:szCs w:val="24"/>
          <w:highlight w:val="none"/>
          <w:lang w:val="en-US" w:eastAsia="zh-CN"/>
        </w:rPr>
        <w:t>Ⅲ  技防要求</w:t>
      </w:r>
      <w:bookmarkEnd w:id="399"/>
      <w:bookmarkEnd w:id="400"/>
    </w:p>
    <w:p w14:paraId="7421B83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定期检查/测试视频监控系统、入侵报警系统、无人机防御系统、门禁系统、紧急报警系统、强闯</w:t>
      </w:r>
      <w:r>
        <w:rPr>
          <w:rFonts w:hint="eastAsia" w:ascii="宋体" w:hAnsi="宋体" w:eastAsia="宋体" w:cs="宋体"/>
          <w:vanish w:val="0"/>
          <w:color w:val="auto"/>
          <w:sz w:val="24"/>
          <w:szCs w:val="24"/>
          <w:highlight w:val="none"/>
          <w:lang w:val="zh-CN" w:eastAsia="zh-CN"/>
        </w:rPr>
        <w:t>报警</w:t>
      </w:r>
      <w:r>
        <w:rPr>
          <w:rFonts w:hint="eastAsia" w:ascii="宋体" w:hAnsi="宋体" w:eastAsia="宋体" w:cs="宋体"/>
          <w:vanish w:val="0"/>
          <w:color w:val="auto"/>
          <w:sz w:val="24"/>
          <w:szCs w:val="24"/>
          <w:highlight w:val="none"/>
          <w:lang w:val="en-US" w:eastAsia="zh-CN"/>
        </w:rPr>
        <w:t>系统等技防设备，确保正常投入使用。</w:t>
      </w:r>
    </w:p>
    <w:p w14:paraId="054261B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定期监督检查如下设备运行和性能是否达到要求，发现异常及时报告处置：</w:t>
      </w:r>
    </w:p>
    <w:p w14:paraId="0C8965F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01" w:name="_Toc6530"/>
      <w:bookmarkStart w:id="402" w:name="_Toc1431"/>
      <w:bookmarkStart w:id="403" w:name="_Toc10501"/>
      <w:r>
        <w:rPr>
          <w:rFonts w:hint="eastAsia" w:ascii="宋体" w:hAnsi="宋体" w:eastAsia="宋体" w:cs="宋体"/>
          <w:vanish w:val="0"/>
          <w:color w:val="auto"/>
          <w:sz w:val="24"/>
          <w:szCs w:val="24"/>
          <w:highlight w:val="none"/>
          <w:lang w:val="en-US" w:eastAsia="zh-CN"/>
        </w:rPr>
        <w:t>1  检查所有的视频监控</w:t>
      </w:r>
      <w:r>
        <w:rPr>
          <w:rFonts w:hint="eastAsia" w:ascii="宋体" w:hAnsi="宋体" w:eastAsia="宋体" w:cs="宋体"/>
          <w:vanish w:val="0"/>
          <w:color w:val="auto"/>
          <w:sz w:val="24"/>
          <w:szCs w:val="24"/>
          <w:highlight w:val="none"/>
          <w:lang w:val="zh-CN" w:eastAsia="zh-CN"/>
        </w:rPr>
        <w:t>系统</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清晰度、</w:t>
      </w:r>
      <w:r>
        <w:rPr>
          <w:rFonts w:hint="eastAsia" w:ascii="宋体" w:hAnsi="宋体" w:eastAsia="宋体" w:cs="宋体"/>
          <w:vanish w:val="0"/>
          <w:color w:val="auto"/>
          <w:sz w:val="24"/>
          <w:szCs w:val="24"/>
          <w:highlight w:val="none"/>
          <w:lang w:val="en-US" w:eastAsia="zh-CN"/>
        </w:rPr>
        <w:t>运行状况是否正常；</w:t>
      </w:r>
      <w:bookmarkEnd w:id="401"/>
      <w:bookmarkEnd w:id="402"/>
      <w:bookmarkEnd w:id="403"/>
    </w:p>
    <w:p w14:paraId="5358014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04" w:name="bookmark1"/>
      <w:bookmarkStart w:id="405" w:name="_Toc24757"/>
      <w:bookmarkStart w:id="406" w:name="_Toc7422"/>
      <w:bookmarkStart w:id="407" w:name="_Toc2631"/>
      <w:r>
        <w:rPr>
          <w:rFonts w:hint="eastAsia" w:ascii="宋体" w:hAnsi="宋体" w:eastAsia="宋体" w:cs="宋体"/>
          <w:vanish w:val="0"/>
          <w:color w:val="auto"/>
          <w:sz w:val="24"/>
          <w:szCs w:val="24"/>
          <w:highlight w:val="none"/>
          <w:lang w:val="en-US" w:eastAsia="zh-CN"/>
        </w:rPr>
        <w:t>2  监督检查</w:t>
      </w:r>
      <w:bookmarkEnd w:id="404"/>
      <w:r>
        <w:rPr>
          <w:rFonts w:hint="eastAsia" w:ascii="宋体" w:hAnsi="宋体" w:eastAsia="宋体" w:cs="宋体"/>
          <w:vanish w:val="0"/>
          <w:color w:val="auto"/>
          <w:sz w:val="24"/>
          <w:szCs w:val="24"/>
          <w:highlight w:val="none"/>
          <w:lang w:val="zh-CN" w:eastAsia="zh-CN"/>
        </w:rPr>
        <w:t>报警系统信息本地保存时间</w:t>
      </w:r>
      <w:r>
        <w:rPr>
          <w:rFonts w:hint="eastAsia" w:ascii="宋体" w:hAnsi="宋体" w:eastAsia="宋体" w:cs="宋体"/>
          <w:vanish w:val="0"/>
          <w:color w:val="auto"/>
          <w:sz w:val="24"/>
          <w:szCs w:val="24"/>
          <w:highlight w:val="none"/>
          <w:lang w:val="en-US" w:eastAsia="zh-CN"/>
        </w:rPr>
        <w:t>是否</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180天；</w:t>
      </w:r>
      <w:bookmarkEnd w:id="405"/>
      <w:bookmarkEnd w:id="406"/>
      <w:bookmarkEnd w:id="407"/>
    </w:p>
    <w:p w14:paraId="190D3F6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08" w:name="_Toc16398"/>
      <w:bookmarkStart w:id="409" w:name="_Toc14424"/>
      <w:bookmarkStart w:id="410" w:name="_Toc26094"/>
      <w:r>
        <w:rPr>
          <w:rFonts w:hint="eastAsia" w:ascii="宋体" w:hAnsi="宋体" w:eastAsia="宋体" w:cs="宋体"/>
          <w:vanish w:val="0"/>
          <w:color w:val="auto"/>
          <w:sz w:val="24"/>
          <w:szCs w:val="24"/>
          <w:highlight w:val="none"/>
          <w:lang w:val="en-US" w:eastAsia="zh-CN"/>
        </w:rPr>
        <w:t>3  重点目标现场监督检查</w:t>
      </w:r>
      <w:r>
        <w:rPr>
          <w:rFonts w:hint="eastAsia" w:ascii="宋体" w:hAnsi="宋体" w:eastAsia="宋体" w:cs="宋体"/>
          <w:vanish w:val="0"/>
          <w:color w:val="auto"/>
          <w:sz w:val="24"/>
          <w:szCs w:val="24"/>
          <w:highlight w:val="none"/>
          <w:lang w:val="zh-CN" w:eastAsia="zh-CN"/>
        </w:rPr>
        <w:t>视频录像保存时间应</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90天，视频监控范围内的报警系统</w:t>
      </w:r>
      <w:r>
        <w:rPr>
          <w:rFonts w:hint="eastAsia" w:ascii="宋体" w:hAnsi="宋体" w:cs="宋体"/>
          <w:vanish w:val="0"/>
          <w:color w:val="auto"/>
          <w:sz w:val="24"/>
          <w:szCs w:val="24"/>
          <w:highlight w:val="none"/>
          <w:lang w:val="zh-CN" w:eastAsia="zh-CN"/>
        </w:rPr>
        <w:t>；</w:t>
      </w:r>
    </w:p>
    <w:p w14:paraId="4DD7260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 xml:space="preserve">4  </w:t>
      </w:r>
      <w:r>
        <w:rPr>
          <w:rFonts w:hint="eastAsia" w:ascii="宋体" w:hAnsi="宋体" w:eastAsia="宋体" w:cs="宋体"/>
          <w:vanish w:val="0"/>
          <w:color w:val="auto"/>
          <w:sz w:val="24"/>
          <w:szCs w:val="24"/>
          <w:highlight w:val="none"/>
          <w:lang w:val="zh-CN" w:eastAsia="zh-CN"/>
        </w:rPr>
        <w:t>发生报警时，应</w:t>
      </w:r>
      <w:r>
        <w:rPr>
          <w:rFonts w:hint="eastAsia" w:ascii="宋体" w:hAnsi="宋体" w:eastAsia="宋体" w:cs="宋体"/>
          <w:vanish w:val="0"/>
          <w:color w:val="auto"/>
          <w:sz w:val="24"/>
          <w:szCs w:val="24"/>
          <w:highlight w:val="none"/>
          <w:lang w:val="en-US" w:eastAsia="zh-CN"/>
        </w:rPr>
        <w:t>能</w:t>
      </w:r>
      <w:r>
        <w:rPr>
          <w:rFonts w:hint="eastAsia" w:ascii="宋体" w:hAnsi="宋体" w:eastAsia="宋体" w:cs="宋体"/>
          <w:vanish w:val="0"/>
          <w:color w:val="auto"/>
          <w:sz w:val="24"/>
          <w:szCs w:val="24"/>
          <w:highlight w:val="none"/>
          <w:lang w:val="zh-CN" w:eastAsia="zh-CN"/>
        </w:rPr>
        <w:t>与该视频系统联动；</w:t>
      </w:r>
      <w:bookmarkEnd w:id="408"/>
      <w:bookmarkEnd w:id="409"/>
      <w:bookmarkEnd w:id="410"/>
    </w:p>
    <w:p w14:paraId="726D366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11" w:name="_Toc15559"/>
      <w:bookmarkStart w:id="412" w:name="_Toc27425"/>
      <w:bookmarkStart w:id="413" w:name="_Toc1900"/>
      <w:r>
        <w:rPr>
          <w:rFonts w:hint="eastAsia" w:ascii="宋体" w:hAnsi="宋体" w:eastAsia="宋体" w:cs="宋体"/>
          <w:vanish w:val="0"/>
          <w:color w:val="auto"/>
          <w:sz w:val="24"/>
          <w:szCs w:val="24"/>
          <w:highlight w:val="none"/>
          <w:lang w:val="en-US" w:eastAsia="zh-CN"/>
        </w:rPr>
        <w:t>5  监督检查</w:t>
      </w:r>
      <w:r>
        <w:rPr>
          <w:rFonts w:hint="eastAsia" w:ascii="宋体" w:hAnsi="宋体" w:eastAsia="宋体" w:cs="宋体"/>
          <w:vanish w:val="0"/>
          <w:color w:val="auto"/>
          <w:sz w:val="24"/>
          <w:szCs w:val="24"/>
          <w:highlight w:val="none"/>
          <w:lang w:val="zh-CN" w:eastAsia="zh-CN"/>
        </w:rPr>
        <w:t>辅助照明灯光应满足视频系统正常摄取图像的照度要求，视频监控系统的备用电源</w:t>
      </w:r>
      <w:r>
        <w:rPr>
          <w:rFonts w:hint="eastAsia" w:ascii="宋体" w:hAnsi="宋体" w:eastAsia="宋体" w:cs="宋体"/>
          <w:vanish w:val="0"/>
          <w:color w:val="auto"/>
          <w:sz w:val="24"/>
          <w:szCs w:val="24"/>
          <w:highlight w:val="none"/>
          <w:lang w:val="en-US" w:eastAsia="zh-CN"/>
        </w:rPr>
        <w:t>是否能</w:t>
      </w:r>
      <w:r>
        <w:rPr>
          <w:rFonts w:hint="eastAsia" w:ascii="宋体" w:hAnsi="宋体" w:eastAsia="宋体" w:cs="宋体"/>
          <w:vanish w:val="0"/>
          <w:color w:val="auto"/>
          <w:sz w:val="24"/>
          <w:szCs w:val="24"/>
          <w:highlight w:val="none"/>
          <w:lang w:val="zh-CN" w:eastAsia="zh-CN"/>
        </w:rPr>
        <w:t>满足至少4小时正常工作的需要；</w:t>
      </w:r>
      <w:bookmarkEnd w:id="411"/>
      <w:bookmarkEnd w:id="412"/>
      <w:bookmarkEnd w:id="413"/>
    </w:p>
    <w:p w14:paraId="644FE2A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14" w:name="_Toc21299"/>
      <w:bookmarkStart w:id="415" w:name="_Toc16169"/>
      <w:bookmarkStart w:id="416" w:name="_Toc11358"/>
      <w:r>
        <w:rPr>
          <w:rFonts w:hint="eastAsia" w:ascii="宋体" w:hAnsi="宋体" w:eastAsia="宋体" w:cs="宋体"/>
          <w:vanish w:val="0"/>
          <w:color w:val="auto"/>
          <w:sz w:val="24"/>
          <w:szCs w:val="24"/>
          <w:highlight w:val="none"/>
          <w:lang w:val="en-US" w:eastAsia="zh-CN"/>
        </w:rPr>
        <w:t>6  监督检查</w:t>
      </w:r>
      <w:r>
        <w:rPr>
          <w:rFonts w:hint="eastAsia" w:ascii="宋体" w:hAnsi="宋体" w:eastAsia="宋体" w:cs="宋体"/>
          <w:vanish w:val="0"/>
          <w:color w:val="auto"/>
          <w:sz w:val="24"/>
          <w:szCs w:val="24"/>
          <w:highlight w:val="none"/>
          <w:lang w:val="zh-CN" w:eastAsia="zh-CN"/>
        </w:rPr>
        <w:t>入侵报警系统备用电源</w:t>
      </w:r>
      <w:r>
        <w:rPr>
          <w:rFonts w:hint="eastAsia" w:ascii="宋体" w:hAnsi="宋体" w:eastAsia="宋体" w:cs="宋体"/>
          <w:vanish w:val="0"/>
          <w:color w:val="auto"/>
          <w:sz w:val="24"/>
          <w:szCs w:val="24"/>
          <w:highlight w:val="none"/>
          <w:lang w:val="en-US" w:eastAsia="zh-CN"/>
        </w:rPr>
        <w:t>是否能</w:t>
      </w:r>
      <w:r>
        <w:rPr>
          <w:rFonts w:hint="eastAsia" w:ascii="宋体" w:hAnsi="宋体" w:eastAsia="宋体" w:cs="宋体"/>
          <w:vanish w:val="0"/>
          <w:color w:val="auto"/>
          <w:sz w:val="24"/>
          <w:szCs w:val="24"/>
          <w:highlight w:val="none"/>
          <w:lang w:val="zh-CN" w:eastAsia="zh-CN"/>
        </w:rPr>
        <w:t>满足至少24小时正常工作的需要；</w:t>
      </w:r>
      <w:bookmarkEnd w:id="414"/>
      <w:bookmarkEnd w:id="415"/>
      <w:bookmarkEnd w:id="416"/>
    </w:p>
    <w:p w14:paraId="1209F17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17" w:name="_Toc11504"/>
      <w:bookmarkStart w:id="418" w:name="_Toc11394"/>
      <w:bookmarkStart w:id="419" w:name="_Toc29750"/>
      <w:r>
        <w:rPr>
          <w:rFonts w:hint="eastAsia" w:ascii="宋体" w:hAnsi="宋体" w:eastAsia="宋体" w:cs="宋体"/>
          <w:vanish w:val="0"/>
          <w:color w:val="auto"/>
          <w:sz w:val="24"/>
          <w:szCs w:val="24"/>
          <w:highlight w:val="none"/>
          <w:lang w:val="en-US" w:eastAsia="zh-CN"/>
        </w:rPr>
        <w:t>7  监督检查</w:t>
      </w:r>
      <w:r>
        <w:rPr>
          <w:rFonts w:hint="eastAsia" w:ascii="宋体" w:hAnsi="宋体" w:eastAsia="宋体" w:cs="宋体"/>
          <w:vanish w:val="0"/>
          <w:color w:val="auto"/>
          <w:sz w:val="24"/>
          <w:szCs w:val="24"/>
          <w:highlight w:val="none"/>
          <w:lang w:val="zh-CN" w:eastAsia="zh-CN"/>
        </w:rPr>
        <w:t>安全技术防范系统的资料信息、事件信息、报警信息等保存时间</w:t>
      </w:r>
      <w:r>
        <w:rPr>
          <w:rFonts w:hint="eastAsia" w:ascii="宋体" w:hAnsi="宋体" w:eastAsia="宋体" w:cs="宋体"/>
          <w:vanish w:val="0"/>
          <w:color w:val="auto"/>
          <w:sz w:val="24"/>
          <w:szCs w:val="24"/>
          <w:highlight w:val="none"/>
          <w:lang w:val="en-US" w:eastAsia="zh-CN"/>
        </w:rPr>
        <w:t>是否</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90天；</w:t>
      </w:r>
      <w:bookmarkEnd w:id="417"/>
      <w:bookmarkEnd w:id="418"/>
      <w:bookmarkEnd w:id="419"/>
    </w:p>
    <w:p w14:paraId="321B756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20" w:name="_Toc16141"/>
      <w:bookmarkStart w:id="421" w:name="_Toc7856"/>
      <w:bookmarkStart w:id="422" w:name="_Toc32459"/>
      <w:r>
        <w:rPr>
          <w:rFonts w:hint="eastAsia" w:ascii="宋体" w:hAnsi="宋体" w:eastAsia="宋体" w:cs="宋体"/>
          <w:vanish w:val="0"/>
          <w:color w:val="auto"/>
          <w:sz w:val="24"/>
          <w:szCs w:val="24"/>
          <w:highlight w:val="none"/>
          <w:lang w:val="en-US" w:eastAsia="zh-CN"/>
        </w:rPr>
        <w:t>8  监督检查</w:t>
      </w:r>
      <w:r>
        <w:rPr>
          <w:rFonts w:hint="eastAsia" w:ascii="宋体" w:hAnsi="宋体" w:eastAsia="宋体" w:cs="宋体"/>
          <w:vanish w:val="0"/>
          <w:color w:val="auto"/>
          <w:sz w:val="24"/>
          <w:szCs w:val="24"/>
          <w:highlight w:val="none"/>
          <w:lang w:val="zh-CN" w:eastAsia="zh-CN"/>
        </w:rPr>
        <w:t>安全技术防范系统</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独立运行，通讯网络</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为专用网络。</w:t>
      </w:r>
      <w:bookmarkEnd w:id="420"/>
      <w:bookmarkEnd w:id="421"/>
      <w:bookmarkEnd w:id="422"/>
    </w:p>
    <w:p w14:paraId="64B0FF4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23" w:name="_Toc21172"/>
      <w:bookmarkStart w:id="424" w:name="_Toc15998"/>
      <w:r>
        <w:rPr>
          <w:rFonts w:hint="eastAsia" w:ascii="宋体" w:hAnsi="宋体" w:eastAsia="宋体" w:cs="宋体"/>
          <w:b/>
          <w:bCs/>
          <w:color w:val="auto"/>
          <w:sz w:val="24"/>
          <w:szCs w:val="24"/>
          <w:highlight w:val="none"/>
          <w:lang w:val="en-US" w:eastAsia="zh-CN"/>
        </w:rPr>
        <w:t>Ⅳ  物防要求</w:t>
      </w:r>
      <w:bookmarkEnd w:id="423"/>
      <w:bookmarkEnd w:id="424"/>
    </w:p>
    <w:p w14:paraId="354DE29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11</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健全岗位反恐防范装备检查、管理和装备的培训应用。</w:t>
      </w:r>
    </w:p>
    <w:p w14:paraId="2AA385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查</w:t>
      </w:r>
      <w:r>
        <w:rPr>
          <w:rFonts w:hint="eastAsia" w:ascii="宋体" w:hAnsi="宋体" w:eastAsia="宋体" w:cs="宋体"/>
          <w:vanish w:val="0"/>
          <w:color w:val="auto"/>
          <w:sz w:val="24"/>
          <w:szCs w:val="24"/>
          <w:highlight w:val="none"/>
          <w:lang w:val="zh-CN" w:eastAsia="zh-CN"/>
        </w:rPr>
        <w:t>车辆出入口的电动栏杆应符合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《车辆出入口电动栏杆机技术要求》GA/T 1132</w:t>
      </w:r>
      <w:r>
        <w:rPr>
          <w:rFonts w:hint="eastAsia" w:ascii="宋体" w:hAnsi="宋体" w:eastAsia="宋体" w:cs="宋体"/>
          <w:vanish w:val="0"/>
          <w:color w:val="auto"/>
          <w:sz w:val="24"/>
          <w:szCs w:val="24"/>
          <w:highlight w:val="none"/>
          <w:lang w:val="zh-CN" w:eastAsia="zh-CN"/>
        </w:rPr>
        <w:t>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并随时能启用</w:t>
      </w:r>
      <w:r>
        <w:rPr>
          <w:rFonts w:hint="eastAsia" w:ascii="宋体" w:hAnsi="宋体" w:eastAsia="宋体" w:cs="宋体"/>
          <w:vanish w:val="0"/>
          <w:color w:val="auto"/>
          <w:sz w:val="24"/>
          <w:szCs w:val="24"/>
          <w:highlight w:val="none"/>
          <w:lang w:val="zh-CN" w:eastAsia="zh-CN"/>
        </w:rPr>
        <w:t>。</w:t>
      </w:r>
    </w:p>
    <w:p w14:paraId="1261845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检查</w:t>
      </w:r>
      <w:r>
        <w:rPr>
          <w:rFonts w:hint="eastAsia" w:ascii="宋体" w:hAnsi="宋体" w:eastAsia="宋体" w:cs="宋体"/>
          <w:vanish w:val="0"/>
          <w:color w:val="auto"/>
          <w:sz w:val="24"/>
          <w:szCs w:val="24"/>
          <w:highlight w:val="none"/>
          <w:lang w:val="zh-CN" w:eastAsia="zh-CN"/>
        </w:rPr>
        <w:t>防暴升降式阻车路障</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《防暴升降式阻车路障》</w:t>
      </w:r>
      <w:r>
        <w:rPr>
          <w:rFonts w:hint="eastAsia" w:ascii="宋体" w:hAnsi="宋体" w:eastAsia="宋体" w:cs="宋体"/>
          <w:vanish w:val="0"/>
          <w:color w:val="auto"/>
          <w:sz w:val="24"/>
          <w:szCs w:val="24"/>
          <w:highlight w:val="none"/>
          <w:lang w:val="zh-CN" w:eastAsia="zh-CN"/>
        </w:rPr>
        <w:t>GA/T</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134</w:t>
      </w:r>
      <w:r>
        <w:rPr>
          <w:rFonts w:hint="eastAsia" w:ascii="宋体" w:hAnsi="宋体" w:eastAsia="宋体" w:cs="宋体"/>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zh-CN" w:eastAsia="zh-CN"/>
        </w:rPr>
        <w:t>的</w:t>
      </w:r>
      <w:r>
        <w:rPr>
          <w:rFonts w:hint="eastAsia" w:ascii="宋体" w:hAnsi="宋体" w:eastAsia="宋体" w:cs="宋体"/>
          <w:vanish w:val="0"/>
          <w:color w:val="auto"/>
          <w:sz w:val="24"/>
          <w:szCs w:val="24"/>
          <w:highlight w:val="none"/>
          <w:lang w:val="en-US" w:eastAsia="zh-CN"/>
        </w:rPr>
        <w:t>规定并随时能启用。</w:t>
      </w:r>
    </w:p>
    <w:p w14:paraId="377EF1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检查</w:t>
      </w:r>
      <w:r>
        <w:rPr>
          <w:rFonts w:hint="eastAsia" w:ascii="宋体" w:hAnsi="宋体" w:eastAsia="宋体" w:cs="宋体"/>
          <w:vanish w:val="0"/>
          <w:color w:val="auto"/>
          <w:sz w:val="24"/>
          <w:szCs w:val="24"/>
          <w:highlight w:val="none"/>
          <w:lang w:val="zh-CN" w:eastAsia="zh-CN"/>
        </w:rPr>
        <w:t>防尾随联动互锁安全门应符合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 xml:space="preserve">《防尾随联动互锁安全门通用技术条件》GA </w:t>
      </w:r>
      <w:r>
        <w:rPr>
          <w:rFonts w:hint="eastAsia" w:ascii="宋体" w:hAnsi="宋体" w:eastAsia="宋体" w:cs="宋体"/>
          <w:vanish w:val="0"/>
          <w:color w:val="auto"/>
          <w:sz w:val="24"/>
          <w:szCs w:val="24"/>
          <w:highlight w:val="none"/>
          <w:lang w:val="zh-CN" w:eastAsia="zh-CN"/>
        </w:rPr>
        <w:t>576的</w:t>
      </w:r>
      <w:r>
        <w:rPr>
          <w:rFonts w:hint="eastAsia" w:ascii="宋体" w:hAnsi="宋体" w:eastAsia="宋体" w:cs="宋体"/>
          <w:vanish w:val="0"/>
          <w:color w:val="auto"/>
          <w:sz w:val="24"/>
          <w:szCs w:val="24"/>
          <w:highlight w:val="none"/>
          <w:lang w:val="en-US" w:eastAsia="zh-CN"/>
        </w:rPr>
        <w:t>规定并定期测试。</w:t>
      </w:r>
    </w:p>
    <w:p w14:paraId="10D06B5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检查实体防护设施比如：围墙、钢铁围栏等是否完整。</w:t>
      </w:r>
    </w:p>
    <w:p w14:paraId="42E751C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 xml:space="preserve"> 按规定反恐防范装备物资包括并不限于如下物资：</w:t>
      </w:r>
    </w:p>
    <w:p w14:paraId="661D599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25" w:name="_Toc27432"/>
      <w:bookmarkStart w:id="426" w:name="_Toc4482"/>
      <w:bookmarkStart w:id="427" w:name="_Toc26383"/>
      <w:r>
        <w:rPr>
          <w:rFonts w:hint="eastAsia" w:ascii="宋体" w:hAnsi="宋体" w:eastAsia="宋体" w:cs="宋体"/>
          <w:vanish w:val="0"/>
          <w:color w:val="auto"/>
          <w:sz w:val="24"/>
          <w:szCs w:val="24"/>
          <w:highlight w:val="none"/>
          <w:lang w:val="en-US" w:eastAsia="zh-CN"/>
        </w:rPr>
        <w:t>1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公安单警装备</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强光手电》</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883</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的强光手电筒；</w:t>
      </w:r>
      <w:bookmarkEnd w:id="425"/>
      <w:bookmarkEnd w:id="426"/>
      <w:bookmarkEnd w:id="427"/>
    </w:p>
    <w:p w14:paraId="15D2B1D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28" w:name="_Toc30614"/>
      <w:bookmarkStart w:id="429" w:name="_Toc15926"/>
      <w:bookmarkStart w:id="430" w:name="_Toc2175"/>
      <w:r>
        <w:rPr>
          <w:rFonts w:hint="eastAsia" w:ascii="宋体" w:hAnsi="宋体" w:eastAsia="宋体" w:cs="宋体"/>
          <w:vanish w:val="0"/>
          <w:color w:val="auto"/>
          <w:sz w:val="24"/>
          <w:szCs w:val="24"/>
          <w:highlight w:val="none"/>
          <w:lang w:val="en-US" w:eastAsia="zh-CN"/>
        </w:rPr>
        <w:t>2  装备</w:t>
      </w:r>
      <w:r>
        <w:rPr>
          <w:rFonts w:hint="eastAsia" w:ascii="宋体" w:hAnsi="宋体" w:eastAsia="宋体" w:cs="宋体"/>
          <w:vanish w:val="0"/>
          <w:color w:val="auto"/>
          <w:sz w:val="24"/>
          <w:szCs w:val="24"/>
          <w:highlight w:val="none"/>
          <w:lang w:val="zh-CN" w:eastAsia="zh-CN"/>
        </w:rPr>
        <w:t>由铝合金制成，哨音分贝</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160</w:t>
      </w:r>
      <w:r>
        <w:rPr>
          <w:rFonts w:hint="eastAsia" w:ascii="宋体" w:hAnsi="宋体" w:eastAsia="宋体" w:cs="宋体"/>
          <w:vanish w:val="0"/>
          <w:color w:val="auto"/>
          <w:sz w:val="24"/>
          <w:szCs w:val="24"/>
          <w:highlight w:val="none"/>
          <w:lang w:val="en-US" w:eastAsia="zh-CN"/>
        </w:rPr>
        <w:t>db,</w:t>
      </w:r>
      <w:r>
        <w:rPr>
          <w:rFonts w:hint="eastAsia" w:ascii="宋体" w:hAnsi="宋体" w:eastAsia="宋体" w:cs="宋体"/>
          <w:vanish w:val="0"/>
          <w:color w:val="auto"/>
          <w:sz w:val="24"/>
          <w:szCs w:val="24"/>
          <w:highlight w:val="none"/>
          <w:lang w:val="zh-CN" w:eastAsia="zh-CN"/>
        </w:rPr>
        <w:t>配尼龙绳</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哨子；</w:t>
      </w:r>
      <w:bookmarkEnd w:id="428"/>
      <w:bookmarkEnd w:id="429"/>
      <w:bookmarkEnd w:id="430"/>
    </w:p>
    <w:p w14:paraId="10563F2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31" w:name="_Toc32439"/>
      <w:bookmarkStart w:id="432" w:name="_Toc732"/>
      <w:bookmarkStart w:id="433" w:name="_Toc31196"/>
      <w:r>
        <w:rPr>
          <w:rFonts w:hint="eastAsia" w:ascii="宋体" w:hAnsi="宋体" w:eastAsia="宋体" w:cs="宋体"/>
          <w:vanish w:val="0"/>
          <w:color w:val="auto"/>
          <w:sz w:val="24"/>
          <w:szCs w:val="24"/>
          <w:highlight w:val="none"/>
          <w:lang w:val="en-US" w:eastAsia="zh-CN"/>
        </w:rPr>
        <w:t>3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现行国家标准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400MH</w:t>
      </w:r>
      <w:r>
        <w:rPr>
          <w:rFonts w:hint="eastAsia" w:ascii="宋体" w:hAnsi="宋体" w:cs="宋体"/>
          <w:vanish w:val="0"/>
          <w:color w:val="auto"/>
          <w:sz w:val="24"/>
          <w:szCs w:val="24"/>
          <w:highlight w:val="none"/>
          <w:lang w:val="en-US" w:eastAsia="zh-CN"/>
        </w:rPr>
        <w:t>z</w:t>
      </w:r>
      <w:r>
        <w:rPr>
          <w:rFonts w:hint="eastAsia" w:ascii="宋体" w:hAnsi="宋体" w:eastAsia="宋体" w:cs="宋体"/>
          <w:vanish w:val="0"/>
          <w:color w:val="auto"/>
          <w:sz w:val="24"/>
          <w:szCs w:val="24"/>
          <w:highlight w:val="none"/>
          <w:lang w:val="en-US" w:eastAsia="zh-CN"/>
        </w:rPr>
        <w:t>频段模拟公众无线对讲机技术规范和测量方法</w:t>
      </w:r>
      <w:r>
        <w:rPr>
          <w:rFonts w:hint="eastAsia" w:ascii="宋体" w:hAnsi="宋体" w:cs="宋体"/>
          <w:color w:val="auto"/>
          <w:highlight w:val="none"/>
          <w:lang w:eastAsia="zh-CN"/>
        </w:rPr>
        <w:t>》</w:t>
      </w:r>
      <w:r>
        <w:rPr>
          <w:rFonts w:hint="eastAsia" w:ascii="宋体" w:hAnsi="宋体" w:eastAsia="宋体" w:cs="宋体"/>
          <w:vanish w:val="0"/>
          <w:color w:val="auto"/>
          <w:sz w:val="24"/>
          <w:szCs w:val="24"/>
          <w:highlight w:val="none"/>
          <w:lang w:val="en-US" w:eastAsia="zh-CN"/>
        </w:rPr>
        <w:t xml:space="preserve">GB/T </w:t>
      </w:r>
      <w:r>
        <w:rPr>
          <w:rFonts w:hint="eastAsia" w:ascii="宋体" w:hAnsi="宋体" w:eastAsia="宋体" w:cs="宋体"/>
          <w:vanish w:val="0"/>
          <w:color w:val="auto"/>
          <w:sz w:val="24"/>
          <w:szCs w:val="24"/>
          <w:highlight w:val="none"/>
          <w:lang w:val="zh-CN" w:eastAsia="zh-CN"/>
        </w:rPr>
        <w:t>21646</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模拟信号对讲机；</w:t>
      </w:r>
      <w:bookmarkEnd w:id="431"/>
      <w:bookmarkEnd w:id="432"/>
      <w:bookmarkEnd w:id="433"/>
    </w:p>
    <w:p w14:paraId="334B32C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34" w:name="_Toc28130"/>
      <w:bookmarkStart w:id="435" w:name="_Toc28587"/>
      <w:bookmarkStart w:id="436" w:name="_Toc26614"/>
      <w:r>
        <w:rPr>
          <w:rFonts w:hint="eastAsia" w:ascii="宋体" w:hAnsi="宋体" w:eastAsia="宋体" w:cs="宋体"/>
          <w:vanish w:val="0"/>
          <w:color w:val="auto"/>
          <w:sz w:val="24"/>
          <w:szCs w:val="24"/>
          <w:highlight w:val="none"/>
          <w:lang w:val="en-US" w:eastAsia="zh-CN"/>
        </w:rPr>
        <w:t>4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约束叉》</w:t>
      </w:r>
      <w:r>
        <w:rPr>
          <w:rFonts w:hint="eastAsia" w:ascii="宋体" w:hAnsi="宋体" w:eastAsia="宋体" w:cs="宋体"/>
          <w:vanish w:val="0"/>
          <w:color w:val="auto"/>
          <w:sz w:val="24"/>
          <w:szCs w:val="24"/>
          <w:highlight w:val="none"/>
          <w:lang w:val="en-US" w:eastAsia="zh-CN"/>
        </w:rPr>
        <w:t xml:space="preserve">GA/T </w:t>
      </w:r>
      <w:r>
        <w:rPr>
          <w:rFonts w:hint="eastAsia" w:ascii="宋体" w:hAnsi="宋体" w:eastAsia="宋体" w:cs="宋体"/>
          <w:vanish w:val="0"/>
          <w:color w:val="auto"/>
          <w:sz w:val="24"/>
          <w:szCs w:val="24"/>
          <w:highlight w:val="none"/>
          <w:lang w:val="zh-CN" w:eastAsia="zh-CN"/>
        </w:rPr>
        <w:t>1145</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防暴钢叉；</w:t>
      </w:r>
      <w:bookmarkEnd w:id="434"/>
      <w:bookmarkEnd w:id="435"/>
      <w:bookmarkEnd w:id="436"/>
    </w:p>
    <w:p w14:paraId="31CC451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37" w:name="_Toc18072"/>
      <w:bookmarkStart w:id="438" w:name="_Toc23655"/>
      <w:bookmarkStart w:id="439" w:name="_Toc18329"/>
      <w:r>
        <w:rPr>
          <w:rFonts w:hint="eastAsia" w:ascii="宋体" w:hAnsi="宋体" w:eastAsia="宋体" w:cs="宋体"/>
          <w:vanish w:val="0"/>
          <w:color w:val="auto"/>
          <w:sz w:val="24"/>
          <w:szCs w:val="24"/>
          <w:highlight w:val="none"/>
          <w:lang w:val="en-US" w:eastAsia="zh-CN"/>
        </w:rPr>
        <w:t>5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防暴头盔》</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294</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防暴头盔；</w:t>
      </w:r>
      <w:bookmarkEnd w:id="437"/>
      <w:bookmarkEnd w:id="438"/>
      <w:bookmarkEnd w:id="439"/>
    </w:p>
    <w:p w14:paraId="2F1A103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40" w:name="_Toc20686"/>
      <w:bookmarkStart w:id="441" w:name="_Toc14018"/>
      <w:bookmarkStart w:id="442" w:name="_Toc4712"/>
      <w:r>
        <w:rPr>
          <w:rFonts w:hint="eastAsia" w:ascii="宋体" w:hAnsi="宋体" w:eastAsia="宋体" w:cs="宋体"/>
          <w:vanish w:val="0"/>
          <w:color w:val="auto"/>
          <w:sz w:val="24"/>
          <w:szCs w:val="24"/>
          <w:highlight w:val="none"/>
          <w:lang w:val="en-US" w:eastAsia="zh-CN"/>
        </w:rPr>
        <w:t>6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防割手套》</w:t>
      </w:r>
      <w:r>
        <w:rPr>
          <w:rFonts w:hint="eastAsia" w:ascii="宋体" w:hAnsi="宋体" w:eastAsia="宋体" w:cs="宋体"/>
          <w:vanish w:val="0"/>
          <w:color w:val="auto"/>
          <w:sz w:val="24"/>
          <w:szCs w:val="24"/>
          <w:highlight w:val="none"/>
          <w:lang w:val="en-US" w:eastAsia="zh-CN"/>
        </w:rPr>
        <w:t>GA 614</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的防割（防刺）手套；</w:t>
      </w:r>
      <w:bookmarkEnd w:id="440"/>
      <w:bookmarkEnd w:id="441"/>
      <w:bookmarkEnd w:id="442"/>
    </w:p>
    <w:p w14:paraId="7B07F83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43" w:name="_Toc28815"/>
      <w:bookmarkStart w:id="444" w:name="_Toc2822"/>
      <w:bookmarkStart w:id="445" w:name="_Toc31418"/>
      <w:r>
        <w:rPr>
          <w:rFonts w:hint="eastAsia" w:ascii="宋体" w:hAnsi="宋体" w:eastAsia="宋体" w:cs="宋体"/>
          <w:vanish w:val="0"/>
          <w:color w:val="auto"/>
          <w:sz w:val="24"/>
          <w:szCs w:val="24"/>
          <w:highlight w:val="none"/>
          <w:lang w:val="en-US" w:eastAsia="zh-CN"/>
        </w:rPr>
        <w:t>7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w:t>
      </w:r>
      <w:r>
        <w:rPr>
          <w:rFonts w:hint="eastAsia" w:ascii="宋体" w:hAnsi="宋体" w:eastAsia="宋体" w:cs="宋体"/>
          <w:vanish w:val="0"/>
          <w:color w:val="auto"/>
          <w:sz w:val="24"/>
          <w:szCs w:val="24"/>
          <w:highlight w:val="none"/>
          <w:lang w:val="en-US" w:eastAsia="zh-CN"/>
        </w:rPr>
        <w:t>行业标准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警用防刺服</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68</w:t>
      </w:r>
      <w:r>
        <w:rPr>
          <w:rFonts w:hint="eastAsia" w:ascii="宋体" w:hAnsi="宋体" w:eastAsia="宋体" w:cs="宋体"/>
          <w:vanish w:val="0"/>
          <w:color w:val="auto"/>
          <w:sz w:val="24"/>
          <w:szCs w:val="24"/>
          <w:highlight w:val="none"/>
          <w:lang w:val="en-US" w:eastAsia="zh-CN"/>
        </w:rPr>
        <w:t>规</w:t>
      </w:r>
      <w:r>
        <w:rPr>
          <w:rFonts w:hint="eastAsia" w:ascii="宋体" w:hAnsi="宋体" w:cs="宋体"/>
          <w:vanish w:val="0"/>
          <w:color w:val="auto"/>
          <w:sz w:val="24"/>
          <w:szCs w:val="24"/>
          <w:highlight w:val="none"/>
          <w:lang w:val="en-US" w:eastAsia="zh-CN"/>
        </w:rPr>
        <w:t>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防刺服；</w:t>
      </w:r>
      <w:bookmarkEnd w:id="443"/>
      <w:bookmarkEnd w:id="444"/>
      <w:bookmarkEnd w:id="445"/>
    </w:p>
    <w:p w14:paraId="6DBA454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46" w:name="_Toc30906"/>
      <w:bookmarkStart w:id="447" w:name="_Toc26095"/>
      <w:bookmarkStart w:id="448" w:name="_Toc12362"/>
      <w:r>
        <w:rPr>
          <w:rFonts w:hint="eastAsia" w:ascii="宋体" w:hAnsi="宋体" w:eastAsia="宋体" w:cs="宋体"/>
          <w:vanish w:val="0"/>
          <w:color w:val="auto"/>
          <w:sz w:val="24"/>
          <w:szCs w:val="24"/>
          <w:highlight w:val="none"/>
          <w:lang w:val="en-US" w:eastAsia="zh-CN"/>
        </w:rPr>
        <w:t>8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现行国家标准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防护服装  化学防护服</w:t>
      </w:r>
      <w:r>
        <w:rPr>
          <w:rFonts w:hint="eastAsia" w:ascii="宋体" w:hAnsi="宋体" w:eastAsia="宋体" w:cs="宋体"/>
          <w:vanish w:val="0"/>
          <w:color w:val="auto"/>
          <w:sz w:val="24"/>
          <w:szCs w:val="24"/>
          <w:highlight w:val="none"/>
          <w:lang w:val="zh-CN" w:eastAsia="zh-CN"/>
        </w:rPr>
        <w:t>》GB 24539</w:t>
      </w:r>
      <w:r>
        <w:rPr>
          <w:rFonts w:hint="eastAsia"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的化学防护服；</w:t>
      </w:r>
      <w:bookmarkEnd w:id="446"/>
      <w:bookmarkEnd w:id="447"/>
      <w:bookmarkEnd w:id="448"/>
      <w:r>
        <w:rPr>
          <w:rFonts w:hint="eastAsia" w:ascii="宋体" w:hAnsi="宋体" w:eastAsia="宋体" w:cs="宋体"/>
          <w:vanish w:val="0"/>
          <w:color w:val="auto"/>
          <w:sz w:val="24"/>
          <w:szCs w:val="24"/>
          <w:highlight w:val="none"/>
          <w:lang w:val="zh-CN" w:eastAsia="zh-CN"/>
        </w:rPr>
        <w:t xml:space="preserve"> </w:t>
      </w:r>
    </w:p>
    <w:p w14:paraId="1A7837D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49" w:name="_Toc1128"/>
      <w:bookmarkStart w:id="450" w:name="_Toc11840"/>
      <w:bookmarkStart w:id="451" w:name="_Toc565"/>
      <w:r>
        <w:rPr>
          <w:rFonts w:hint="eastAsia" w:ascii="宋体" w:hAnsi="宋体" w:eastAsia="宋体" w:cs="宋体"/>
          <w:vanish w:val="0"/>
          <w:color w:val="auto"/>
          <w:sz w:val="24"/>
          <w:szCs w:val="24"/>
          <w:highlight w:val="none"/>
          <w:lang w:val="en-US" w:eastAsia="zh-CN"/>
        </w:rPr>
        <w:t>9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w:t>
      </w:r>
      <w:r>
        <w:rPr>
          <w:rFonts w:hint="eastAsia" w:ascii="宋体" w:hAnsi="宋体" w:eastAsia="宋体" w:cs="宋体"/>
          <w:vanish w:val="0"/>
          <w:color w:val="auto"/>
          <w:sz w:val="24"/>
          <w:szCs w:val="24"/>
          <w:highlight w:val="none"/>
          <w:lang w:val="en-US" w:eastAsia="zh-CN"/>
        </w:rPr>
        <w:t>行业标准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防爆毯</w:t>
      </w:r>
      <w:r>
        <w:rPr>
          <w:rFonts w:hint="eastAsia" w:ascii="宋体" w:hAnsi="宋体" w:eastAsia="宋体" w:cs="宋体"/>
          <w:vanish w:val="0"/>
          <w:color w:val="auto"/>
          <w:sz w:val="24"/>
          <w:szCs w:val="24"/>
          <w:highlight w:val="none"/>
          <w:lang w:val="zh-CN" w:eastAsia="zh-CN"/>
        </w:rPr>
        <w:t>》GA</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69</w:t>
      </w:r>
      <w:r>
        <w:rPr>
          <w:rFonts w:hint="eastAsia"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的防爆毯</w:t>
      </w:r>
      <w:bookmarkEnd w:id="449"/>
      <w:bookmarkEnd w:id="450"/>
      <w:bookmarkEnd w:id="451"/>
      <w:r>
        <w:rPr>
          <w:rFonts w:hint="eastAsia" w:ascii="宋体" w:hAnsi="宋体" w:cs="宋体"/>
          <w:vanish w:val="0"/>
          <w:color w:val="auto"/>
          <w:sz w:val="24"/>
          <w:szCs w:val="24"/>
          <w:highlight w:val="none"/>
          <w:lang w:val="zh-CN" w:eastAsia="zh-CN"/>
        </w:rPr>
        <w:t>；</w:t>
      </w:r>
    </w:p>
    <w:p w14:paraId="6EE8D87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vanish w:val="0"/>
          <w:color w:val="auto"/>
          <w:sz w:val="24"/>
          <w:szCs w:val="24"/>
          <w:highlight w:val="none"/>
          <w:lang w:val="en-US" w:eastAsia="zh-CN"/>
        </w:rPr>
      </w:pPr>
      <w:r>
        <w:rPr>
          <w:rFonts w:hint="eastAsia" w:ascii="宋体" w:hAnsi="宋体" w:cs="宋体"/>
          <w:vanish w:val="0"/>
          <w:color w:val="auto"/>
          <w:sz w:val="24"/>
          <w:szCs w:val="24"/>
          <w:highlight w:val="none"/>
          <w:lang w:val="en-US" w:eastAsia="zh-CN"/>
        </w:rPr>
        <w:t xml:space="preserve">10  </w:t>
      </w:r>
      <w:r>
        <w:rPr>
          <w:rFonts w:hint="eastAsia" w:ascii="宋体" w:hAnsi="宋体" w:eastAsia="宋体" w:cs="宋体"/>
          <w:vanish w:val="0"/>
          <w:color w:val="auto"/>
          <w:sz w:val="24"/>
          <w:szCs w:val="24"/>
          <w:highlight w:val="none"/>
          <w:lang w:val="en-US" w:eastAsia="zh-CN"/>
        </w:rPr>
        <w:t>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w:t>
      </w:r>
      <w:r>
        <w:rPr>
          <w:rFonts w:hint="eastAsia" w:ascii="宋体" w:hAnsi="宋体" w:eastAsia="宋体" w:cs="宋体"/>
          <w:vanish w:val="0"/>
          <w:color w:val="auto"/>
          <w:sz w:val="24"/>
          <w:szCs w:val="24"/>
          <w:highlight w:val="none"/>
          <w:lang w:val="en-US" w:eastAsia="zh-CN"/>
        </w:rPr>
        <w:t>行业标准</w:t>
      </w:r>
      <w:r>
        <w:rPr>
          <w:rFonts w:hint="eastAsia" w:ascii="宋体" w:hAnsi="宋体" w:eastAsia="宋体" w:cs="宋体"/>
          <w:vanish w:val="0"/>
          <w:color w:val="auto"/>
          <w:sz w:val="24"/>
          <w:szCs w:val="24"/>
          <w:highlight w:val="none"/>
          <w:lang w:val="zh-CN" w:eastAsia="zh-CN"/>
        </w:rPr>
        <w:t>《警用防暴盾牌》</w:t>
      </w:r>
      <w:r>
        <w:rPr>
          <w:rFonts w:hint="eastAsia" w:ascii="宋体" w:hAnsi="宋体" w:eastAsia="宋体" w:cs="宋体"/>
          <w:vanish w:val="0"/>
          <w:color w:val="auto"/>
          <w:sz w:val="24"/>
          <w:szCs w:val="24"/>
          <w:highlight w:val="none"/>
          <w:lang w:val="en-US" w:eastAsia="zh-CN"/>
        </w:rPr>
        <w:t>GA 422规定的防暴盾牌</w:t>
      </w:r>
      <w:r>
        <w:rPr>
          <w:rFonts w:hint="eastAsia" w:ascii="仿宋" w:hAnsi="仿宋" w:eastAsia="仿宋" w:cs="仿宋"/>
          <w:color w:val="auto"/>
          <w:sz w:val="24"/>
          <w:szCs w:val="24"/>
          <w:highlight w:val="none"/>
          <w:lang w:val="en-US" w:eastAsia="zh-CN"/>
        </w:rPr>
        <w:t>。</w:t>
      </w:r>
    </w:p>
    <w:p w14:paraId="59BF9F5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452" w:name="_Toc16267"/>
      <w:bookmarkStart w:id="453" w:name="_Toc2019"/>
      <w:r>
        <w:rPr>
          <w:rFonts w:hint="eastAsia" w:ascii="宋体" w:hAnsi="宋体" w:eastAsia="宋体" w:cs="宋体"/>
          <w:b/>
          <w:bCs/>
          <w:color w:val="auto"/>
          <w:sz w:val="24"/>
          <w:szCs w:val="24"/>
          <w:highlight w:val="none"/>
          <w:lang w:val="en-US" w:eastAsia="zh-CN"/>
        </w:rPr>
        <w:t>Ⅴ  常态三级反恐防范要求</w:t>
      </w:r>
      <w:bookmarkEnd w:id="452"/>
      <w:bookmarkEnd w:id="453"/>
    </w:p>
    <w:p w14:paraId="52B2B92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17</w:t>
      </w:r>
      <w:r>
        <w:rPr>
          <w:rFonts w:hint="eastAsia" w:ascii="宋体" w:hAnsi="宋体" w:eastAsia="宋体" w:cs="宋体"/>
          <w:vanish w:val="0"/>
          <w:color w:val="auto"/>
          <w:sz w:val="24"/>
          <w:szCs w:val="24"/>
          <w:highlight w:val="none"/>
          <w:lang w:val="en-US" w:eastAsia="zh-CN"/>
        </w:rPr>
        <w:t xml:space="preserve">  重点目标分级管理：物业服务企业按电力企业驻地单位</w:t>
      </w:r>
      <w:r>
        <w:rPr>
          <w:rFonts w:hint="eastAsia" w:ascii="宋体" w:hAnsi="宋体" w:eastAsia="宋体" w:cs="宋体"/>
          <w:vanish w:val="0"/>
          <w:color w:val="auto"/>
          <w:sz w:val="24"/>
          <w:szCs w:val="24"/>
          <w:highlight w:val="none"/>
          <w:lang w:val="zh-CN" w:eastAsia="zh-CN"/>
        </w:rPr>
        <w:t>对重点部位（</w:t>
      </w:r>
      <w:r>
        <w:rPr>
          <w:rFonts w:hint="eastAsia" w:ascii="宋体" w:hAnsi="宋体" w:eastAsia="宋体" w:cs="宋体"/>
          <w:vanish w:val="0"/>
          <w:color w:val="auto"/>
          <w:sz w:val="24"/>
          <w:szCs w:val="24"/>
          <w:highlight w:val="none"/>
          <w:lang w:val="en-US" w:eastAsia="zh-CN"/>
        </w:rPr>
        <w:t>见附录E），</w:t>
      </w:r>
      <w:r>
        <w:rPr>
          <w:rFonts w:hint="eastAsia" w:ascii="宋体" w:hAnsi="宋体" w:eastAsia="宋体" w:cs="宋体"/>
          <w:vanish w:val="0"/>
          <w:color w:val="auto"/>
          <w:sz w:val="24"/>
          <w:szCs w:val="24"/>
          <w:highlight w:val="none"/>
          <w:lang w:val="zh-CN" w:eastAsia="zh-CN"/>
        </w:rPr>
        <w:t>治安反恐防范重点目标分级管理</w:t>
      </w:r>
      <w:r>
        <w:rPr>
          <w:rFonts w:hint="eastAsia" w:ascii="宋体" w:hAnsi="宋体" w:eastAsia="宋体" w:cs="宋体"/>
          <w:vanish w:val="0"/>
          <w:color w:val="auto"/>
          <w:sz w:val="24"/>
          <w:szCs w:val="24"/>
          <w:highlight w:val="none"/>
          <w:lang w:val="en-US" w:eastAsia="zh-CN"/>
        </w:rPr>
        <w:t>要求</w:t>
      </w:r>
      <w:r>
        <w:rPr>
          <w:rFonts w:hint="eastAsia" w:ascii="宋体" w:hAnsi="宋体" w:eastAsia="宋体" w:cs="宋体"/>
          <w:vanish w:val="0"/>
          <w:color w:val="auto"/>
          <w:sz w:val="24"/>
          <w:szCs w:val="24"/>
          <w:highlight w:val="none"/>
          <w:lang w:val="zh-CN" w:eastAsia="zh-CN"/>
        </w:rPr>
        <w:t>（重点目标</w:t>
      </w:r>
      <w:r>
        <w:rPr>
          <w:rFonts w:hint="eastAsia" w:ascii="宋体" w:hAnsi="宋体" w:eastAsia="宋体" w:cs="宋体"/>
          <w:vanish w:val="0"/>
          <w:color w:val="auto"/>
          <w:sz w:val="24"/>
          <w:szCs w:val="24"/>
          <w:highlight w:val="none"/>
          <w:lang w:val="en-US" w:eastAsia="zh-CN"/>
        </w:rPr>
        <w:t>分级由电力企业驻地单位</w:t>
      </w:r>
      <w:r>
        <w:rPr>
          <w:rFonts w:hint="eastAsia" w:ascii="宋体" w:hAnsi="宋体" w:eastAsia="宋体" w:cs="宋体"/>
          <w:vanish w:val="0"/>
          <w:color w:val="auto"/>
          <w:sz w:val="24"/>
          <w:szCs w:val="24"/>
          <w:highlight w:val="none"/>
          <w:lang w:val="zh-CN" w:eastAsia="zh-CN"/>
        </w:rPr>
        <w:t>会同属地公安部门依据有关规定认定</w:t>
      </w:r>
      <w:r>
        <w:rPr>
          <w:rFonts w:hint="eastAsia" w:ascii="宋体" w:hAnsi="宋体" w:eastAsia="宋体" w:cs="宋体"/>
          <w:vanish w:val="0"/>
          <w:color w:val="auto"/>
          <w:sz w:val="24"/>
          <w:szCs w:val="24"/>
          <w:highlight w:val="none"/>
          <w:lang w:val="en-US" w:eastAsia="zh-CN"/>
        </w:rPr>
        <w:t>及</w:t>
      </w:r>
      <w:r>
        <w:rPr>
          <w:rFonts w:hint="eastAsia" w:ascii="宋体" w:hAnsi="宋体" w:eastAsia="宋体" w:cs="宋体"/>
          <w:vanish w:val="0"/>
          <w:color w:val="auto"/>
          <w:sz w:val="24"/>
          <w:szCs w:val="24"/>
          <w:highlight w:val="none"/>
          <w:lang w:val="zh-CN" w:eastAsia="zh-CN"/>
        </w:rPr>
        <w:t>报备）</w:t>
      </w:r>
      <w:r>
        <w:rPr>
          <w:rFonts w:hint="eastAsia" w:ascii="宋体" w:hAnsi="宋体" w:eastAsia="宋体" w:cs="宋体"/>
          <w:vanish w:val="0"/>
          <w:color w:val="auto"/>
          <w:sz w:val="24"/>
          <w:szCs w:val="24"/>
          <w:highlight w:val="none"/>
          <w:lang w:val="en-US" w:eastAsia="zh-CN"/>
        </w:rPr>
        <w:t>有侧重的开展工作</w:t>
      </w:r>
      <w:r>
        <w:rPr>
          <w:rFonts w:hint="eastAsia" w:ascii="宋体" w:hAnsi="宋体" w:eastAsia="宋体" w:cs="宋体"/>
          <w:vanish w:val="0"/>
          <w:color w:val="auto"/>
          <w:sz w:val="24"/>
          <w:szCs w:val="24"/>
          <w:highlight w:val="none"/>
          <w:lang w:val="zh-CN" w:eastAsia="zh-CN"/>
        </w:rPr>
        <w:t>。</w:t>
      </w:r>
    </w:p>
    <w:p w14:paraId="69C453B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18</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重点目标防范</w:t>
      </w:r>
      <w:r>
        <w:rPr>
          <w:rFonts w:hint="eastAsia" w:ascii="宋体" w:hAnsi="宋体" w:cs="宋体"/>
          <w:vanish w:val="0"/>
          <w:color w:val="auto"/>
          <w:sz w:val="24"/>
          <w:szCs w:val="24"/>
          <w:highlight w:val="none"/>
          <w:lang w:val="en-US" w:eastAsia="zh-CN"/>
        </w:rPr>
        <w:t>应符合现行行业标准《</w:t>
      </w:r>
      <w:r>
        <w:rPr>
          <w:rFonts w:hint="eastAsia" w:ascii="宋体" w:hAnsi="宋体" w:eastAsia="宋体" w:cs="宋体"/>
          <w:vanish w:val="0"/>
          <w:color w:val="auto"/>
          <w:sz w:val="24"/>
          <w:szCs w:val="24"/>
          <w:highlight w:val="none"/>
          <w:lang w:val="en-US" w:eastAsia="zh-CN"/>
        </w:rPr>
        <w:t>电力系统治安反恐防范要求第1部分:电网企业</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zh-CN" w:eastAsia="zh-CN"/>
        </w:rPr>
        <w:t>GA 1800.1</w:t>
      </w:r>
      <w:r>
        <w:rPr>
          <w:rFonts w:hint="eastAsia" w:ascii="宋体" w:hAnsi="宋体" w:cs="宋体"/>
          <w:vanish w:val="0"/>
          <w:color w:val="auto"/>
          <w:sz w:val="24"/>
          <w:szCs w:val="24"/>
          <w:highlight w:val="none"/>
          <w:lang w:val="en-US" w:eastAsia="zh-CN"/>
        </w:rPr>
        <w:t>的相关规定</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针对重点防范目标</w:t>
      </w:r>
      <w:r>
        <w:rPr>
          <w:rFonts w:hint="eastAsia" w:ascii="宋体" w:hAnsi="宋体" w:eastAsia="宋体" w:cs="宋体"/>
          <w:vanish w:val="0"/>
          <w:color w:val="auto"/>
          <w:sz w:val="24"/>
          <w:szCs w:val="24"/>
          <w:highlight w:val="none"/>
          <w:lang w:val="zh-CN" w:eastAsia="zh-CN"/>
        </w:rPr>
        <w:t>：电力调度机构、变电站/换流站、直接为重要用户供电的变电站，</w:t>
      </w:r>
      <w:r>
        <w:rPr>
          <w:rFonts w:hint="eastAsia" w:ascii="宋体" w:hAnsi="宋体" w:eastAsia="宋体" w:cs="宋体"/>
          <w:vanish w:val="0"/>
          <w:color w:val="auto"/>
          <w:sz w:val="24"/>
          <w:szCs w:val="24"/>
          <w:highlight w:val="none"/>
          <w:lang w:val="en-US" w:eastAsia="zh-CN"/>
        </w:rPr>
        <w:t>将</w:t>
      </w:r>
      <w:r>
        <w:rPr>
          <w:rFonts w:hint="eastAsia" w:ascii="宋体" w:hAnsi="宋体" w:eastAsia="宋体" w:cs="宋体"/>
          <w:vanish w:val="0"/>
          <w:color w:val="auto"/>
          <w:sz w:val="24"/>
          <w:szCs w:val="24"/>
          <w:highlight w:val="none"/>
          <w:lang w:val="zh-CN" w:eastAsia="zh-CN"/>
        </w:rPr>
        <w:t>治安反恐防范采取常态与非常态结合的方式进行防范。</w:t>
      </w:r>
    </w:p>
    <w:p w14:paraId="5D772D9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常态反恐防范工作分为</w:t>
      </w:r>
      <w:r>
        <w:rPr>
          <w:rFonts w:hint="eastAsia" w:ascii="宋体" w:hAnsi="宋体" w:eastAsia="宋体" w:cs="宋体"/>
          <w:vanish w:val="0"/>
          <w:color w:val="auto"/>
          <w:sz w:val="24"/>
          <w:szCs w:val="24"/>
          <w:highlight w:val="none"/>
          <w:lang w:val="en-US" w:eastAsia="zh-CN"/>
        </w:rPr>
        <w:t>三</w:t>
      </w:r>
      <w:r>
        <w:rPr>
          <w:rFonts w:hint="eastAsia" w:ascii="宋体" w:hAnsi="宋体" w:eastAsia="宋体" w:cs="宋体"/>
          <w:vanish w:val="0"/>
          <w:color w:val="auto"/>
          <w:sz w:val="24"/>
          <w:szCs w:val="24"/>
          <w:highlight w:val="none"/>
          <w:lang w:val="zh-CN" w:eastAsia="zh-CN"/>
        </w:rPr>
        <w:t>级</w:t>
      </w:r>
      <w:r>
        <w:rPr>
          <w:rFonts w:hint="eastAsia" w:ascii="宋体" w:hAnsi="宋体" w:eastAsia="宋体" w:cs="宋体"/>
          <w:vanish w:val="0"/>
          <w:color w:val="auto"/>
          <w:sz w:val="24"/>
          <w:szCs w:val="24"/>
          <w:highlight w:val="none"/>
          <w:lang w:val="en-US" w:eastAsia="zh-CN"/>
        </w:rPr>
        <w:t>管理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将</w:t>
      </w:r>
      <w:r>
        <w:rPr>
          <w:rFonts w:hint="eastAsia" w:ascii="宋体" w:hAnsi="宋体" w:eastAsia="宋体" w:cs="宋体"/>
          <w:vanish w:val="0"/>
          <w:color w:val="auto"/>
          <w:sz w:val="24"/>
          <w:szCs w:val="24"/>
          <w:highlight w:val="none"/>
          <w:lang w:val="zh-CN" w:eastAsia="zh-CN"/>
        </w:rPr>
        <w:t>重点目标的防范级别与</w:t>
      </w:r>
      <w:r>
        <w:rPr>
          <w:rFonts w:hint="eastAsia" w:ascii="宋体" w:hAnsi="宋体" w:eastAsia="宋体" w:cs="宋体"/>
          <w:vanish w:val="0"/>
          <w:color w:val="auto"/>
          <w:sz w:val="24"/>
          <w:szCs w:val="24"/>
          <w:highlight w:val="none"/>
          <w:lang w:val="en-US" w:eastAsia="zh-CN"/>
        </w:rPr>
        <w:t>重点</w:t>
      </w:r>
      <w:r>
        <w:rPr>
          <w:rFonts w:hint="eastAsia" w:ascii="宋体" w:hAnsi="宋体" w:eastAsia="宋体" w:cs="宋体"/>
          <w:vanish w:val="0"/>
          <w:color w:val="auto"/>
          <w:sz w:val="24"/>
          <w:szCs w:val="24"/>
          <w:highlight w:val="none"/>
          <w:lang w:val="zh-CN" w:eastAsia="zh-CN"/>
        </w:rPr>
        <w:t>目标等级相对应，</w:t>
      </w:r>
      <w:r>
        <w:rPr>
          <w:rFonts w:hint="eastAsia" w:ascii="宋体" w:hAnsi="宋体" w:eastAsia="宋体" w:cs="宋体"/>
          <w:vanish w:val="0"/>
          <w:color w:val="auto"/>
          <w:sz w:val="24"/>
          <w:szCs w:val="24"/>
          <w:highlight w:val="none"/>
          <w:lang w:val="en-US" w:eastAsia="zh-CN"/>
        </w:rPr>
        <w:t>三级防范分级管理</w:t>
      </w:r>
      <w:r>
        <w:rPr>
          <w:rFonts w:hint="eastAsia" w:ascii="宋体" w:hAnsi="宋体" w:eastAsia="宋体" w:cs="宋体"/>
          <w:vanish w:val="0"/>
          <w:color w:val="auto"/>
          <w:sz w:val="24"/>
          <w:szCs w:val="24"/>
          <w:highlight w:val="none"/>
          <w:lang w:val="zh-CN" w:eastAsia="zh-CN"/>
        </w:rPr>
        <w:t>由低到高分为常态三级、二级、一级防范，</w:t>
      </w:r>
      <w:r>
        <w:rPr>
          <w:rFonts w:hint="eastAsia" w:ascii="宋体" w:hAnsi="宋体" w:eastAsia="宋体" w:cs="宋体"/>
          <w:vanish w:val="0"/>
          <w:color w:val="auto"/>
          <w:sz w:val="24"/>
          <w:szCs w:val="24"/>
          <w:highlight w:val="none"/>
          <w:lang w:val="en-US" w:eastAsia="zh-CN"/>
        </w:rPr>
        <w:t>防范主要措施包括但不限于:</w:t>
      </w:r>
    </w:p>
    <w:p w14:paraId="5ADA2E9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54" w:name="_Toc5168"/>
      <w:bookmarkStart w:id="455" w:name="_Toc15677"/>
      <w:bookmarkStart w:id="456" w:name="_Toc30653"/>
      <w:r>
        <w:rPr>
          <w:rFonts w:hint="eastAsia" w:ascii="宋体" w:hAnsi="宋体" w:eastAsia="宋体" w:cs="宋体"/>
          <w:vanish w:val="0"/>
          <w:color w:val="auto"/>
          <w:sz w:val="24"/>
          <w:szCs w:val="24"/>
          <w:highlight w:val="none"/>
          <w:lang w:val="en-US" w:eastAsia="zh-CN"/>
        </w:rPr>
        <w:t>1  常态三级反恐防范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：岗位人员按三级防范标准配置到岗，主要岗位手持岗位配置的防恐装备，全面启用物防和</w:t>
      </w:r>
      <w:r>
        <w:rPr>
          <w:rFonts w:hint="eastAsia" w:ascii="宋体" w:hAnsi="宋体" w:eastAsia="宋体" w:cs="宋体"/>
          <w:vanish w:val="0"/>
          <w:color w:val="auto"/>
          <w:sz w:val="24"/>
          <w:szCs w:val="24"/>
          <w:highlight w:val="none"/>
          <w:lang w:val="zh-CN" w:eastAsia="zh-CN"/>
        </w:rPr>
        <w:t>周界设置视频监控系统、入侵和</w:t>
      </w:r>
      <w:r>
        <w:rPr>
          <w:rFonts w:hint="eastAsia" w:ascii="宋体" w:hAnsi="宋体" w:eastAsia="宋体" w:cs="宋体"/>
          <w:vanish w:val="0"/>
          <w:color w:val="auto"/>
          <w:sz w:val="24"/>
          <w:szCs w:val="24"/>
          <w:highlight w:val="none"/>
          <w:lang w:val="en-US" w:eastAsia="zh-CN"/>
        </w:rPr>
        <w:t>紧</w:t>
      </w:r>
      <w:r>
        <w:rPr>
          <w:rFonts w:hint="eastAsia" w:ascii="宋体" w:hAnsi="宋体" w:eastAsia="宋体" w:cs="宋体"/>
          <w:vanish w:val="0"/>
          <w:color w:val="auto"/>
          <w:sz w:val="24"/>
          <w:szCs w:val="24"/>
          <w:highlight w:val="none"/>
          <w:lang w:val="zh-CN" w:eastAsia="zh-CN"/>
        </w:rPr>
        <w:t>急报警</w:t>
      </w:r>
      <w:r>
        <w:rPr>
          <w:rFonts w:hint="eastAsia" w:ascii="宋体" w:hAnsi="宋体" w:eastAsia="宋体" w:cs="宋体"/>
          <w:vanish w:val="0"/>
          <w:color w:val="auto"/>
          <w:sz w:val="24"/>
          <w:szCs w:val="24"/>
          <w:highlight w:val="none"/>
          <w:lang w:val="en-US" w:eastAsia="zh-CN"/>
        </w:rPr>
        <w:t>等三级防范</w:t>
      </w:r>
      <w:r>
        <w:rPr>
          <w:rFonts w:hint="eastAsia" w:ascii="宋体" w:hAnsi="宋体" w:eastAsia="宋体" w:cs="宋体"/>
          <w:vanish w:val="0"/>
          <w:color w:val="auto"/>
          <w:sz w:val="24"/>
          <w:szCs w:val="24"/>
          <w:highlight w:val="none"/>
          <w:lang w:val="zh-CN" w:eastAsia="zh-CN"/>
        </w:rPr>
        <w:t>系统</w:t>
      </w:r>
      <w:r>
        <w:rPr>
          <w:rFonts w:hint="eastAsia" w:ascii="宋体" w:hAnsi="宋体" w:eastAsia="宋体" w:cs="宋体"/>
          <w:vanish w:val="0"/>
          <w:color w:val="auto"/>
          <w:sz w:val="24"/>
          <w:szCs w:val="24"/>
          <w:highlight w:val="none"/>
          <w:lang w:val="en-US" w:eastAsia="zh-CN"/>
        </w:rPr>
        <w:t>并要求对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中的常态三级标准</w:t>
      </w:r>
      <w:bookmarkEnd w:id="454"/>
      <w:bookmarkEnd w:id="455"/>
      <w:bookmarkEnd w:id="456"/>
      <w:r>
        <w:rPr>
          <w:rFonts w:hint="eastAsia" w:ascii="宋体" w:hAnsi="宋体" w:cs="宋体"/>
          <w:vanish w:val="0"/>
          <w:color w:val="auto"/>
          <w:sz w:val="24"/>
          <w:szCs w:val="24"/>
          <w:highlight w:val="none"/>
          <w:lang w:val="en-US" w:eastAsia="zh-CN"/>
        </w:rPr>
        <w:t>；</w:t>
      </w:r>
    </w:p>
    <w:p w14:paraId="0F124FE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57" w:name="_Toc14699"/>
      <w:bookmarkStart w:id="458" w:name="_Toc20394"/>
      <w:bookmarkStart w:id="459" w:name="_Toc12389"/>
      <w:r>
        <w:rPr>
          <w:rFonts w:hint="eastAsia" w:ascii="宋体" w:hAnsi="宋体" w:eastAsia="宋体" w:cs="宋体"/>
          <w:vanish w:val="0"/>
          <w:color w:val="auto"/>
          <w:sz w:val="24"/>
          <w:szCs w:val="24"/>
          <w:highlight w:val="none"/>
          <w:lang w:val="en-US" w:eastAsia="zh-CN"/>
        </w:rPr>
        <w:t>2  常态二级防范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：岗位人员按二级防范标准配置到岗，主要岗位手持岗位配置的防恐装备，全面启用物防和三级电子防范设备的基础上，全面启用</w:t>
      </w:r>
      <w:r>
        <w:rPr>
          <w:rFonts w:hint="eastAsia" w:ascii="宋体" w:hAnsi="宋体" w:eastAsia="宋体" w:cs="宋体"/>
          <w:vanish w:val="0"/>
          <w:color w:val="auto"/>
          <w:sz w:val="24"/>
          <w:szCs w:val="24"/>
          <w:highlight w:val="none"/>
          <w:lang w:val="zh-CN" w:eastAsia="zh-CN"/>
        </w:rPr>
        <w:t>人员、车所出入口控制系统、应设置</w:t>
      </w:r>
      <w:r>
        <w:rPr>
          <w:rFonts w:hint="eastAsia" w:ascii="宋体" w:hAnsi="宋体" w:eastAsia="宋体" w:cs="宋体"/>
          <w:vanish w:val="0"/>
          <w:color w:val="auto"/>
          <w:sz w:val="24"/>
          <w:szCs w:val="24"/>
          <w:highlight w:val="none"/>
          <w:lang w:val="en-US" w:eastAsia="zh-CN"/>
        </w:rPr>
        <w:t>强闯</w:t>
      </w:r>
      <w:r>
        <w:rPr>
          <w:rFonts w:hint="eastAsia" w:ascii="宋体" w:hAnsi="宋体" w:eastAsia="宋体" w:cs="宋体"/>
          <w:vanish w:val="0"/>
          <w:color w:val="auto"/>
          <w:sz w:val="24"/>
          <w:szCs w:val="24"/>
          <w:highlight w:val="none"/>
          <w:lang w:val="zh-CN" w:eastAsia="zh-CN"/>
        </w:rPr>
        <w:t>报警/灯光/视频监控系统</w:t>
      </w:r>
      <w:r>
        <w:rPr>
          <w:rFonts w:hint="eastAsia" w:ascii="宋体" w:hAnsi="宋体" w:eastAsia="宋体" w:cs="宋体"/>
          <w:vanish w:val="0"/>
          <w:color w:val="auto"/>
          <w:sz w:val="24"/>
          <w:szCs w:val="24"/>
          <w:highlight w:val="none"/>
          <w:lang w:val="en-US" w:eastAsia="zh-CN"/>
        </w:rPr>
        <w:t>联</w:t>
      </w:r>
      <w:r>
        <w:rPr>
          <w:rFonts w:hint="eastAsia" w:ascii="宋体" w:hAnsi="宋体" w:eastAsia="宋体" w:cs="宋体"/>
          <w:vanish w:val="0"/>
          <w:color w:val="auto"/>
          <w:sz w:val="24"/>
          <w:szCs w:val="24"/>
          <w:highlight w:val="none"/>
          <w:lang w:val="zh-CN" w:eastAsia="zh-CN"/>
        </w:rPr>
        <w:t>动响应</w:t>
      </w:r>
      <w:r>
        <w:rPr>
          <w:rFonts w:hint="eastAsia" w:ascii="宋体" w:hAnsi="宋体" w:eastAsia="宋体" w:cs="宋体"/>
          <w:vanish w:val="0"/>
          <w:color w:val="auto"/>
          <w:sz w:val="24"/>
          <w:szCs w:val="24"/>
          <w:highlight w:val="none"/>
          <w:lang w:val="en-US" w:eastAsia="zh-CN"/>
        </w:rPr>
        <w:t>等二级电子防范系统</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中的常态二级标准</w:t>
      </w:r>
      <w:bookmarkEnd w:id="457"/>
      <w:bookmarkEnd w:id="458"/>
      <w:bookmarkEnd w:id="459"/>
      <w:r>
        <w:rPr>
          <w:rFonts w:hint="eastAsia" w:ascii="宋体" w:hAnsi="宋体" w:cs="宋体"/>
          <w:vanish w:val="0"/>
          <w:color w:val="auto"/>
          <w:sz w:val="24"/>
          <w:szCs w:val="24"/>
          <w:highlight w:val="none"/>
          <w:lang w:val="en-US" w:eastAsia="zh-CN"/>
        </w:rPr>
        <w:t>；</w:t>
      </w:r>
    </w:p>
    <w:p w14:paraId="7888519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460" w:name="_Toc17660"/>
      <w:bookmarkStart w:id="461" w:name="_Toc1639"/>
      <w:bookmarkStart w:id="462" w:name="_Toc6028"/>
      <w:r>
        <w:rPr>
          <w:rFonts w:hint="eastAsia" w:ascii="宋体" w:hAnsi="宋体" w:eastAsia="宋体" w:cs="宋体"/>
          <w:vanish w:val="0"/>
          <w:color w:val="auto"/>
          <w:sz w:val="24"/>
          <w:szCs w:val="24"/>
          <w:highlight w:val="none"/>
          <w:lang w:val="en-US" w:eastAsia="zh-CN"/>
        </w:rPr>
        <w:t>3  常态一</w:t>
      </w:r>
      <w:r>
        <w:rPr>
          <w:rFonts w:hint="eastAsia" w:ascii="宋体" w:hAnsi="宋体" w:eastAsia="宋体" w:cs="宋体"/>
          <w:vanish w:val="0"/>
          <w:color w:val="auto"/>
          <w:sz w:val="24"/>
          <w:szCs w:val="24"/>
          <w:highlight w:val="none"/>
          <w:lang w:val="zh-CN" w:eastAsia="zh-CN"/>
        </w:rPr>
        <w:t>级</w:t>
      </w:r>
      <w:r>
        <w:rPr>
          <w:rFonts w:hint="eastAsia" w:ascii="宋体" w:hAnsi="宋体" w:eastAsia="宋体" w:cs="宋体"/>
          <w:vanish w:val="0"/>
          <w:color w:val="auto"/>
          <w:sz w:val="24"/>
          <w:szCs w:val="24"/>
          <w:highlight w:val="none"/>
          <w:lang w:val="en-US" w:eastAsia="zh-CN"/>
        </w:rPr>
        <w:t>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岗位人员按一级防范标准配置到岗，主要岗位手持岗位配置的防恐装备，全面启用物防和二级电子防范设备的基础上，配合电力企业反无人机防御系统的启用，要求对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中的常态一级标准。</w:t>
      </w:r>
      <w:bookmarkEnd w:id="460"/>
      <w:bookmarkEnd w:id="461"/>
      <w:bookmarkEnd w:id="462"/>
    </w:p>
    <w:p w14:paraId="0F5EB57F">
      <w:pPr>
        <w:pStyle w:val="8"/>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463" w:name="_Toc5806"/>
      <w:bookmarkStart w:id="464" w:name="_Toc26476"/>
      <w:r>
        <w:rPr>
          <w:rFonts w:hint="eastAsia" w:ascii="Times New Roman" w:hAnsi="Times New Roman" w:eastAsia="黑体" w:cs="Times New Roman"/>
          <w:bCs w:val="0"/>
          <w:sz w:val="21"/>
          <w:szCs w:val="24"/>
          <w:highlight w:val="none"/>
          <w:lang w:val="en-US" w:eastAsia="zh-CN"/>
        </w:rPr>
        <w:t>表11.1.</w:t>
      </w:r>
      <w:r>
        <w:rPr>
          <w:rFonts w:hint="eastAsia" w:eastAsia="黑体" w:cs="Times New Roman"/>
          <w:bCs w:val="0"/>
          <w:sz w:val="21"/>
          <w:szCs w:val="24"/>
          <w:highlight w:val="none"/>
          <w:lang w:val="en-US" w:eastAsia="zh-CN"/>
        </w:rPr>
        <w:t>19</w:t>
      </w:r>
      <w:r>
        <w:rPr>
          <w:rFonts w:hint="eastAsia" w:ascii="Times New Roman" w:hAnsi="Times New Roman" w:eastAsia="黑体" w:cs="Times New Roman"/>
          <w:bCs w:val="0"/>
          <w:sz w:val="21"/>
          <w:szCs w:val="24"/>
          <w:highlight w:val="none"/>
          <w:lang w:val="en-US" w:eastAsia="zh-CN"/>
        </w:rPr>
        <w:t xml:space="preserve">  常态三级反恐防范</w:t>
      </w:r>
      <w:r>
        <w:rPr>
          <w:rFonts w:hint="eastAsia" w:ascii="Times New Roman" w:hAnsi="Times New Roman" w:eastAsia="黑体" w:cs="Times New Roman"/>
          <w:bCs w:val="0"/>
          <w:sz w:val="21"/>
          <w:szCs w:val="24"/>
          <w:highlight w:val="none"/>
          <w:lang w:val="zh-CN" w:eastAsia="zh-CN"/>
        </w:rPr>
        <w:t>重点部位</w:t>
      </w:r>
      <w:r>
        <w:rPr>
          <w:rFonts w:hint="eastAsia" w:ascii="Times New Roman" w:hAnsi="Times New Roman" w:eastAsia="黑体" w:cs="Times New Roman"/>
          <w:bCs w:val="0"/>
          <w:sz w:val="21"/>
          <w:szCs w:val="24"/>
          <w:highlight w:val="none"/>
          <w:lang w:val="en-US" w:eastAsia="zh-CN"/>
        </w:rPr>
        <w:t>巡查标准</w:t>
      </w:r>
      <w:bookmarkEnd w:id="463"/>
      <w:bookmarkEnd w:id="464"/>
    </w:p>
    <w:tbl>
      <w:tblPr>
        <w:tblStyle w:val="38"/>
        <w:tblW w:w="7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632"/>
        <w:gridCol w:w="1700"/>
        <w:gridCol w:w="1767"/>
      </w:tblGrid>
      <w:tr w14:paraId="76C38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8" w:type="dxa"/>
            <w:tcBorders>
              <w:bottom w:val="single" w:color="000000" w:sz="12" w:space="0"/>
            </w:tcBorders>
            <w:noWrap/>
            <w:vAlign w:val="center"/>
          </w:tcPr>
          <w:p w14:paraId="75745B88">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重点部位</w:t>
            </w:r>
          </w:p>
        </w:tc>
        <w:tc>
          <w:tcPr>
            <w:tcW w:w="1632" w:type="dxa"/>
            <w:tcBorders>
              <w:bottom w:val="single" w:color="000000" w:sz="12" w:space="0"/>
            </w:tcBorders>
            <w:noWrap/>
            <w:vAlign w:val="center"/>
          </w:tcPr>
          <w:p w14:paraId="5AD2AC4D">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常态一级</w:t>
            </w:r>
          </w:p>
        </w:tc>
        <w:tc>
          <w:tcPr>
            <w:tcW w:w="1700" w:type="dxa"/>
            <w:tcBorders>
              <w:bottom w:val="single" w:color="000000" w:sz="12" w:space="0"/>
            </w:tcBorders>
            <w:noWrap/>
            <w:vAlign w:val="center"/>
          </w:tcPr>
          <w:p w14:paraId="55307630">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sz w:val="18"/>
                <w:szCs w:val="18"/>
                <w:highlight w:val="none"/>
                <w:u w:val="none"/>
                <w:lang w:val="en-US" w:eastAsia="zh-CN"/>
              </w:rPr>
              <w:t>常态二级</w:t>
            </w:r>
          </w:p>
        </w:tc>
        <w:tc>
          <w:tcPr>
            <w:tcW w:w="1767" w:type="dxa"/>
            <w:tcBorders>
              <w:bottom w:val="single" w:color="000000" w:sz="12" w:space="0"/>
            </w:tcBorders>
            <w:noWrap/>
            <w:vAlign w:val="center"/>
          </w:tcPr>
          <w:p w14:paraId="6BED3A6C">
            <w:pPr>
              <w:keepNext w:val="0"/>
              <w:keepLines w:val="0"/>
              <w:widowControl/>
              <w:suppressLineNumbers w:val="0"/>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lang w:val="en-US" w:eastAsia="zh-CN"/>
              </w:rPr>
              <w:t>常态三级</w:t>
            </w:r>
          </w:p>
        </w:tc>
      </w:tr>
      <w:tr w14:paraId="27623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8" w:type="dxa"/>
            <w:tcBorders>
              <w:top w:val="single" w:color="000000" w:sz="12" w:space="0"/>
              <w:tl2br w:val="nil"/>
              <w:tr2bl w:val="nil"/>
            </w:tcBorders>
            <w:noWrap/>
            <w:vAlign w:val="center"/>
          </w:tcPr>
          <w:p w14:paraId="1DD6FC54">
            <w:pPr>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电力调度机构</w:t>
            </w:r>
          </w:p>
        </w:tc>
        <w:tc>
          <w:tcPr>
            <w:tcW w:w="1632" w:type="dxa"/>
            <w:tcBorders>
              <w:top w:val="single" w:color="000000" w:sz="12" w:space="0"/>
              <w:tl2br w:val="nil"/>
              <w:tr2bl w:val="nil"/>
            </w:tcBorders>
            <w:noWrap/>
            <w:vAlign w:val="center"/>
          </w:tcPr>
          <w:p w14:paraId="384EEA3B">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00" w:type="dxa"/>
            <w:tcBorders>
              <w:top w:val="single" w:color="000000" w:sz="12" w:space="0"/>
              <w:tl2br w:val="nil"/>
              <w:tr2bl w:val="nil"/>
            </w:tcBorders>
            <w:noWrap/>
            <w:vAlign w:val="center"/>
          </w:tcPr>
          <w:p w14:paraId="62241C96">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67" w:type="dxa"/>
            <w:tcBorders>
              <w:top w:val="single" w:color="000000" w:sz="12" w:space="0"/>
              <w:tl2br w:val="nil"/>
              <w:tr2bl w:val="nil"/>
            </w:tcBorders>
            <w:noWrap/>
            <w:vAlign w:val="center"/>
          </w:tcPr>
          <w:p w14:paraId="0200A1C9">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 xml:space="preserve"> h</w:t>
            </w:r>
          </w:p>
        </w:tc>
      </w:tr>
      <w:tr w14:paraId="2A512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18" w:type="dxa"/>
            <w:tcBorders>
              <w:tl2br w:val="nil"/>
              <w:tr2bl w:val="nil"/>
            </w:tcBorders>
            <w:noWrap/>
            <w:vAlign w:val="center"/>
          </w:tcPr>
          <w:p w14:paraId="522B9751">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重点目标场所</w:t>
            </w:r>
          </w:p>
        </w:tc>
        <w:tc>
          <w:tcPr>
            <w:tcW w:w="1632" w:type="dxa"/>
            <w:tcBorders>
              <w:tl2br w:val="nil"/>
              <w:tr2bl w:val="nil"/>
            </w:tcBorders>
            <w:noWrap/>
            <w:vAlign w:val="center"/>
          </w:tcPr>
          <w:p w14:paraId="367CECC9">
            <w:pPr>
              <w:keepNext w:val="0"/>
              <w:keepLines w:val="0"/>
              <w:widowControl/>
              <w:suppressLineNumbers w:val="0"/>
              <w:jc w:val="center"/>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00" w:type="dxa"/>
            <w:tcBorders>
              <w:tl2br w:val="nil"/>
              <w:tr2bl w:val="nil"/>
            </w:tcBorders>
            <w:noWrap/>
            <w:vAlign w:val="center"/>
          </w:tcPr>
          <w:p w14:paraId="57C0DE7D">
            <w:pPr>
              <w:keepNext w:val="0"/>
              <w:keepLines w:val="0"/>
              <w:widowControl/>
              <w:suppressLineNumbers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h</w:t>
            </w:r>
          </w:p>
        </w:tc>
        <w:tc>
          <w:tcPr>
            <w:tcW w:w="1767" w:type="dxa"/>
            <w:tcBorders>
              <w:tl2br w:val="nil"/>
              <w:tr2bl w:val="nil"/>
            </w:tcBorders>
            <w:noWrap/>
            <w:vAlign w:val="center"/>
          </w:tcPr>
          <w:p w14:paraId="28308B22">
            <w:pPr>
              <w:keepNext w:val="0"/>
              <w:keepLines w:val="0"/>
              <w:widowControl/>
              <w:suppressLineNumbers w:val="0"/>
              <w:jc w:val="center"/>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r>
      <w:tr w14:paraId="0FA0A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618" w:type="dxa"/>
            <w:tcBorders>
              <w:tl2br w:val="nil"/>
              <w:tr2bl w:val="nil"/>
            </w:tcBorders>
            <w:noWrap/>
            <w:vAlign w:val="center"/>
          </w:tcPr>
          <w:p w14:paraId="0F4C025C">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变电站、换流站</w:t>
            </w:r>
          </w:p>
        </w:tc>
        <w:tc>
          <w:tcPr>
            <w:tcW w:w="1632" w:type="dxa"/>
            <w:tcBorders>
              <w:tl2br w:val="nil"/>
              <w:tr2bl w:val="nil"/>
            </w:tcBorders>
            <w:noWrap/>
            <w:vAlign w:val="center"/>
          </w:tcPr>
          <w:p w14:paraId="63A95C71">
            <w:pPr>
              <w:keepNext w:val="0"/>
              <w:keepLines w:val="0"/>
              <w:widowControl/>
              <w:suppressLineNumbers w:val="0"/>
              <w:jc w:val="center"/>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 xml:space="preserve"> h</w:t>
            </w:r>
          </w:p>
        </w:tc>
        <w:tc>
          <w:tcPr>
            <w:tcW w:w="1700" w:type="dxa"/>
            <w:tcBorders>
              <w:tl2br w:val="nil"/>
              <w:tr2bl w:val="nil"/>
            </w:tcBorders>
            <w:noWrap/>
            <w:vAlign w:val="center"/>
          </w:tcPr>
          <w:p w14:paraId="38ABD266">
            <w:pPr>
              <w:keepNext w:val="0"/>
              <w:keepLines w:val="0"/>
              <w:widowControl/>
              <w:suppressLineNumbers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lang w:val="zh-CN" w:eastAsia="zh-CN"/>
              </w:rPr>
              <w:t xml:space="preserve"> h</w:t>
            </w:r>
          </w:p>
        </w:tc>
        <w:tc>
          <w:tcPr>
            <w:tcW w:w="1767" w:type="dxa"/>
            <w:tcBorders>
              <w:tl2br w:val="nil"/>
              <w:tr2bl w:val="nil"/>
            </w:tcBorders>
            <w:noWrap/>
            <w:vAlign w:val="center"/>
          </w:tcPr>
          <w:p w14:paraId="7FC6D6E1">
            <w:pPr>
              <w:keepNext w:val="0"/>
              <w:keepLines w:val="0"/>
              <w:widowControl/>
              <w:suppressLineNumbers w:val="0"/>
              <w:jc w:val="center"/>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24</w:t>
            </w:r>
            <w:r>
              <w:rPr>
                <w:rFonts w:hint="eastAsia" w:ascii="宋体" w:hAnsi="宋体" w:eastAsia="宋体" w:cs="宋体"/>
                <w:color w:val="auto"/>
                <w:sz w:val="18"/>
                <w:szCs w:val="18"/>
                <w:highlight w:val="none"/>
                <w:lang w:val="zh-CN" w:eastAsia="zh-CN"/>
              </w:rPr>
              <w:t xml:space="preserve"> h</w:t>
            </w:r>
          </w:p>
        </w:tc>
      </w:tr>
    </w:tbl>
    <w:p w14:paraId="63863097">
      <w:pPr>
        <w:jc w:val="both"/>
        <w:rPr>
          <w:rFonts w:ascii="黑体" w:hAnsi="黑体" w:eastAsia="黑体" w:cs="黑体"/>
          <w:color w:val="auto"/>
          <w:highlight w:val="none"/>
        </w:rPr>
      </w:pPr>
    </w:p>
    <w:p w14:paraId="3E8D147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5" w:name="_Toc14490"/>
      <w:bookmarkStart w:id="466" w:name="_Toc19512"/>
      <w:r>
        <w:rPr>
          <w:rFonts w:hint="eastAsia" w:ascii="宋体" w:hAnsi="宋体" w:eastAsia="宋体" w:cs="宋体"/>
          <w:b/>
          <w:bCs/>
          <w:color w:val="auto"/>
          <w:sz w:val="24"/>
          <w:szCs w:val="24"/>
          <w:highlight w:val="none"/>
          <w:lang w:val="en-US" w:eastAsia="zh-CN"/>
        </w:rPr>
        <w:t>11.2  反恐防范应急</w:t>
      </w:r>
      <w:bookmarkEnd w:id="465"/>
      <w:bookmarkEnd w:id="466"/>
    </w:p>
    <w:p w14:paraId="6DA3AD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11.2.1 </w:t>
      </w:r>
      <w:r>
        <w:rPr>
          <w:rFonts w:hint="eastAsia" w:ascii="宋体" w:hAnsi="宋体" w:eastAsia="宋体" w:cs="宋体"/>
          <w:vanish w:val="0"/>
          <w:color w:val="auto"/>
          <w:sz w:val="24"/>
          <w:szCs w:val="24"/>
          <w:highlight w:val="none"/>
          <w:lang w:val="en-US" w:eastAsia="zh-CN"/>
        </w:rPr>
        <w:t xml:space="preserve"> 非常态反恐防范信息、事件处理要求：发生恐怖袭击信息或发生恐怖袭击事件时，按治安反恐防范事件信息报送流程及时报警，要求治安案件应≤1</w:t>
      </w:r>
      <w:r>
        <w:rPr>
          <w:rFonts w:hint="eastAsia" w:ascii="宋体" w:hAnsi="宋体" w:cs="宋体"/>
          <w:vanish w:val="0"/>
          <w:color w:val="auto"/>
          <w:sz w:val="24"/>
          <w:szCs w:val="24"/>
          <w:highlight w:val="none"/>
          <w:lang w:val="en-US" w:eastAsia="zh-CN"/>
        </w:rPr>
        <w:t xml:space="preserve"> h</w:t>
      </w:r>
      <w:r>
        <w:rPr>
          <w:rFonts w:hint="eastAsia" w:ascii="宋体" w:hAnsi="宋体" w:eastAsia="宋体" w:cs="宋体"/>
          <w:vanish w:val="0"/>
          <w:color w:val="auto"/>
          <w:sz w:val="24"/>
          <w:szCs w:val="24"/>
          <w:highlight w:val="none"/>
          <w:lang w:val="en-US" w:eastAsia="zh-CN"/>
        </w:rPr>
        <w:t>、涉恐信息≤0.5</w:t>
      </w:r>
      <w:r>
        <w:rPr>
          <w:rFonts w:hint="eastAsia" w:ascii="宋体" w:hAnsi="宋体" w:cs="宋体"/>
          <w:vanish w:val="0"/>
          <w:color w:val="auto"/>
          <w:sz w:val="24"/>
          <w:szCs w:val="24"/>
          <w:highlight w:val="none"/>
          <w:lang w:val="en-US" w:eastAsia="zh-CN"/>
        </w:rPr>
        <w:t xml:space="preserve"> h</w:t>
      </w:r>
      <w:r>
        <w:rPr>
          <w:rFonts w:hint="eastAsia" w:ascii="宋体" w:hAnsi="宋体" w:eastAsia="宋体" w:cs="宋体"/>
          <w:vanish w:val="0"/>
          <w:color w:val="auto"/>
          <w:sz w:val="24"/>
          <w:szCs w:val="24"/>
          <w:highlight w:val="none"/>
          <w:lang w:val="en-US" w:eastAsia="zh-CN"/>
        </w:rPr>
        <w:t>将案（事）件简况先以电话方式逐级上报同时应按重大事项报告时限及要求书面报送；发生其他涉治安防恐类的事件信息，按照电力企业驻地单位相关要求及时报送。</w:t>
      </w:r>
    </w:p>
    <w:p w14:paraId="15CE6E2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11.2.2</w:t>
      </w:r>
      <w:r>
        <w:rPr>
          <w:rFonts w:hint="eastAsia" w:ascii="宋体" w:hAnsi="宋体" w:eastAsia="宋体" w:cs="宋体"/>
          <w:vanish w:val="0"/>
          <w:color w:val="auto"/>
          <w:sz w:val="24"/>
          <w:szCs w:val="24"/>
          <w:highlight w:val="none"/>
          <w:lang w:val="en-US" w:eastAsia="zh-CN"/>
        </w:rPr>
        <w:t xml:space="preserve">  发生非常态反恐防范时，应立即开展治安防恐动员，在满足常态防范措施的基础上，落实包括但不限于以下内容：</w:t>
      </w:r>
    </w:p>
    <w:p w14:paraId="285FA68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1  加强保卫力量，安防监控中心加强监控，发现异常情况及时处理；</w:t>
      </w:r>
    </w:p>
    <w:p w14:paraId="4D99D66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2</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启动反恐防范应急分队与及“一所一警”、“一站一警”警企协作机制，加强场所的巡逻守护，视情况请求电力企业驻地单位协调属地公安机关派驻警力进行安全守卫；</w:t>
      </w:r>
    </w:p>
    <w:p w14:paraId="4D1DB14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3  物业负责人24小时带班组织防范工作，进入应急工作状态。重点部位定点巡查，严格控制无关人员进入并实行24小时不间断巡查；</w:t>
      </w:r>
    </w:p>
    <w:p w14:paraId="7373317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4  周界出入口应设置警戒区域，实行进出许可管控，必要时紧急疏散人员；</w:t>
      </w:r>
    </w:p>
    <w:p w14:paraId="6BECEF9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5  加强对出入人员、车辆及物品的安全检查，对外来人员携带物品进行开包检查，由受访人接入送出；</w:t>
      </w:r>
    </w:p>
    <w:p w14:paraId="4779AE5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6  做好防护器具、救援器材、应急物资以及重点部位的门、窗、锁、防冲撞装置等设施的有效检查，消除安全 隐患；</w:t>
      </w:r>
    </w:p>
    <w:p w14:paraId="11B08B3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7  结合实际关闭部分周界出入口，周界出入口的防冲撞装置 应设置为阻截状态，严禁外部车辆进入重点部位；</w:t>
      </w:r>
    </w:p>
    <w:p w14:paraId="158B2D2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8  做好技防设施、通信设备的检查和维护，确保安 防系统正常运行及通信设备的正常使用。</w:t>
      </w:r>
    </w:p>
    <w:p w14:paraId="0CD1660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11.2.3 </w:t>
      </w:r>
      <w:r>
        <w:rPr>
          <w:rFonts w:hint="eastAsia" w:ascii="宋体" w:hAnsi="宋体" w:eastAsia="宋体" w:cs="宋体"/>
          <w:vanish w:val="0"/>
          <w:color w:val="auto"/>
          <w:sz w:val="24"/>
          <w:szCs w:val="24"/>
          <w:highlight w:val="none"/>
          <w:lang w:val="en-US" w:eastAsia="zh-CN"/>
        </w:rPr>
        <w:t xml:space="preserve"> 在非常态出现突发紧急事件的情况下，按属地政府和反恐部门统一部署要求执行。</w:t>
      </w:r>
    </w:p>
    <w:p w14:paraId="689D7FC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11.2.4</w:t>
      </w:r>
      <w:r>
        <w:rPr>
          <w:rFonts w:hint="eastAsia" w:ascii="宋体" w:hAnsi="宋体" w:eastAsia="宋体" w:cs="宋体"/>
          <w:vanish w:val="0"/>
          <w:color w:val="auto"/>
          <w:sz w:val="24"/>
          <w:szCs w:val="24"/>
          <w:highlight w:val="none"/>
          <w:lang w:val="en-US" w:eastAsia="zh-CN"/>
        </w:rPr>
        <w:t xml:space="preserve">  发现无人机入侵需报属地公安机关，击落的无人机需送交属地公安机</w:t>
      </w:r>
      <w:r>
        <w:rPr>
          <w:rFonts w:hint="eastAsia" w:ascii="宋体" w:hAnsi="宋体" w:cs="宋体"/>
          <w:vanish w:val="0"/>
          <w:color w:val="auto"/>
          <w:sz w:val="24"/>
          <w:szCs w:val="24"/>
          <w:highlight w:val="none"/>
          <w:lang w:val="en-US" w:eastAsia="zh-CN"/>
        </w:rPr>
        <w:t>关</w:t>
      </w:r>
      <w:r>
        <w:rPr>
          <w:rFonts w:hint="eastAsia" w:ascii="宋体" w:hAnsi="宋体" w:eastAsia="宋体" w:cs="宋体"/>
          <w:vanish w:val="0"/>
          <w:color w:val="auto"/>
          <w:sz w:val="24"/>
          <w:szCs w:val="24"/>
          <w:highlight w:val="none"/>
          <w:lang w:val="en-US" w:eastAsia="zh-CN"/>
        </w:rPr>
        <w:t>。</w:t>
      </w:r>
    </w:p>
    <w:p w14:paraId="7345858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7" w:name="_Toc19656"/>
      <w:bookmarkStart w:id="468" w:name="_Toc32517"/>
      <w:r>
        <w:rPr>
          <w:rFonts w:hint="eastAsia" w:ascii="宋体" w:hAnsi="宋体" w:eastAsia="宋体" w:cs="宋体"/>
          <w:b/>
          <w:bCs/>
          <w:color w:val="auto"/>
          <w:sz w:val="24"/>
          <w:szCs w:val="24"/>
          <w:highlight w:val="none"/>
          <w:lang w:val="en-US" w:eastAsia="zh-CN"/>
        </w:rPr>
        <w:t>11.3  日常服务应急</w:t>
      </w:r>
      <w:bookmarkEnd w:id="467"/>
      <w:bookmarkEnd w:id="468"/>
    </w:p>
    <w:p w14:paraId="14A8489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11.3.1 </w:t>
      </w:r>
      <w:r>
        <w:rPr>
          <w:rFonts w:hint="eastAsia" w:ascii="宋体" w:hAnsi="宋体" w:eastAsia="宋体" w:cs="宋体"/>
          <w:vanish w:val="0"/>
          <w:color w:val="auto"/>
          <w:sz w:val="24"/>
          <w:szCs w:val="24"/>
          <w:highlight w:val="none"/>
          <w:lang w:val="en-US" w:eastAsia="zh-CN"/>
        </w:rPr>
        <w:t xml:space="preserve"> 建立日常运行服务应急管理制度、制定突发事件应急处理程序，落实应急管理组织机构及职责并成立应急分队。</w:t>
      </w:r>
    </w:p>
    <w:p w14:paraId="17CFA6E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11.3.2 </w:t>
      </w:r>
      <w:r>
        <w:rPr>
          <w:rFonts w:hint="eastAsia" w:ascii="宋体" w:hAnsi="宋体" w:eastAsia="宋体" w:cs="宋体"/>
          <w:vanish w:val="0"/>
          <w:color w:val="auto"/>
          <w:sz w:val="24"/>
          <w:szCs w:val="24"/>
          <w:highlight w:val="none"/>
          <w:lang w:val="en-US" w:eastAsia="zh-CN"/>
        </w:rPr>
        <w:t xml:space="preserve"> 建立良性的应急管理运行机制，包括：隐患排查、预测预警、应急处置、恢复和信息的报告。</w:t>
      </w:r>
    </w:p>
    <w:p w14:paraId="20B9C7B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11.3.3</w:t>
      </w:r>
      <w:r>
        <w:rPr>
          <w:rFonts w:hint="eastAsia" w:ascii="宋体" w:hAnsi="宋体" w:eastAsia="宋体" w:cs="宋体"/>
          <w:vanish w:val="0"/>
          <w:color w:val="auto"/>
          <w:sz w:val="24"/>
          <w:szCs w:val="24"/>
          <w:highlight w:val="none"/>
          <w:lang w:val="en-US" w:eastAsia="zh-CN"/>
        </w:rPr>
        <w:t xml:space="preserve">  应制定各类应急预案，包括意外事故类、公共卫生类、社会治安类、自然灾害类及其他类应急预案，分类的主要内容应包括但不限于：</w:t>
      </w:r>
    </w:p>
    <w:p w14:paraId="4BCB0DF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 xml:space="preserve">1  意外事故：主要包括火警火灾、电梯故障困人、燃气泄漏、突发爆水管、大面积停水/停电等、车辆交通安全等； </w:t>
      </w:r>
    </w:p>
    <w:p w14:paraId="41F2B61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2  社会安全：主要包括打架斗殴、游泳池人员溺水、火警火灾、群体性冲突、涉外突发事件、防恐怖主义和防暴力事件等；</w:t>
      </w:r>
    </w:p>
    <w:p w14:paraId="41EE4BD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3  公共卫生：主要包括传染病疫情、食物中毒等；</w:t>
      </w:r>
    </w:p>
    <w:p w14:paraId="6B55E84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4  自然灾害：主要包括地震、暴雨、台风、雷电、高温等。</w:t>
      </w:r>
    </w:p>
    <w:p w14:paraId="1BE0F77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11.3.4 </w:t>
      </w:r>
      <w:r>
        <w:rPr>
          <w:rFonts w:hint="eastAsia" w:ascii="宋体" w:hAnsi="宋体" w:eastAsia="宋体" w:cs="宋体"/>
          <w:vanish w:val="0"/>
          <w:color w:val="auto"/>
          <w:sz w:val="24"/>
          <w:szCs w:val="24"/>
          <w:highlight w:val="none"/>
          <w:lang w:val="en-US" w:eastAsia="zh-CN"/>
        </w:rPr>
        <w:t xml:space="preserve"> 应识别安全、环境、职业健康风险源，建立风险源管控台帐并定期评估。</w:t>
      </w:r>
    </w:p>
    <w:p w14:paraId="44CDF578">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469" w:name="_Toc16591"/>
      <w:bookmarkStart w:id="470" w:name="_Toc4744"/>
      <w:r>
        <w:rPr>
          <w:rFonts w:hint="eastAsia" w:ascii="Times New Roman" w:hAnsi="Times New Roman" w:eastAsia="宋体" w:cs="Times New Roman"/>
          <w:b/>
          <w:bCs/>
          <w:i w:val="0"/>
          <w:color w:val="auto"/>
          <w:kern w:val="2"/>
          <w:sz w:val="24"/>
          <w:szCs w:val="24"/>
          <w:highlight w:val="none"/>
          <w:lang w:val="en-US" w:eastAsia="zh-CN" w:bidi="ar-SA"/>
        </w:rPr>
        <w:t>11.3.5</w:t>
      </w:r>
      <w:r>
        <w:rPr>
          <w:rFonts w:hint="eastAsia" w:ascii="宋体" w:hAnsi="宋体" w:eastAsia="宋体" w:cs="宋体"/>
          <w:vanish w:val="0"/>
          <w:color w:val="auto"/>
          <w:sz w:val="24"/>
          <w:szCs w:val="24"/>
          <w:highlight w:val="none"/>
          <w:lang w:val="en-US" w:eastAsia="zh-CN"/>
        </w:rPr>
        <w:t xml:space="preserve">  定期对相关人员进行应急预案培训。</w:t>
      </w:r>
      <w:bookmarkEnd w:id="469"/>
      <w:bookmarkEnd w:id="470"/>
    </w:p>
    <w:p w14:paraId="16AA6F0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11.3.6</w:t>
      </w:r>
      <w:r>
        <w:rPr>
          <w:rFonts w:hint="eastAsia" w:ascii="宋体" w:hAnsi="宋体" w:eastAsia="宋体" w:cs="宋体"/>
          <w:vanish w:val="0"/>
          <w:color w:val="auto"/>
          <w:sz w:val="24"/>
          <w:szCs w:val="24"/>
          <w:highlight w:val="none"/>
          <w:lang w:val="en-US" w:eastAsia="zh-CN"/>
        </w:rPr>
        <w:t xml:space="preserve">  应制定应急预案的演练计划，明确不同类型应急预案的演练形式、范围、频次、内容。</w:t>
      </w:r>
    </w:p>
    <w:p w14:paraId="2D83170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11.3.7</w:t>
      </w:r>
      <w:r>
        <w:rPr>
          <w:rFonts w:hint="eastAsia" w:ascii="宋体" w:hAnsi="宋体" w:eastAsia="宋体" w:cs="宋体"/>
          <w:vanish w:val="0"/>
          <w:color w:val="auto"/>
          <w:sz w:val="24"/>
          <w:szCs w:val="24"/>
          <w:highlight w:val="none"/>
          <w:lang w:val="en-US" w:eastAsia="zh-CN"/>
        </w:rPr>
        <w:t xml:space="preserve">  每年组织对各类型应急预案均不能少于一次应急预案演练，不断优化应急预案。</w:t>
      </w:r>
    </w:p>
    <w:p w14:paraId="07819CA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11.3.8</w:t>
      </w:r>
      <w:r>
        <w:rPr>
          <w:rFonts w:hint="eastAsia" w:ascii="宋体" w:hAnsi="宋体" w:eastAsia="宋体" w:cs="宋体"/>
          <w:vanish w:val="0"/>
          <w:color w:val="auto"/>
          <w:sz w:val="24"/>
          <w:szCs w:val="24"/>
          <w:highlight w:val="none"/>
          <w:lang w:val="en-US" w:eastAsia="zh-CN"/>
        </w:rPr>
        <w:t xml:space="preserve">  应急救援器材、设备和物资应定期检查、维护和保养。</w:t>
      </w:r>
    </w:p>
    <w:p w14:paraId="23237B9D">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471" w:name="_Toc12175"/>
      <w:bookmarkStart w:id="472" w:name="_Toc11805"/>
      <w:r>
        <w:rPr>
          <w:rFonts w:hint="eastAsia" w:ascii="Times New Roman" w:hAnsi="Times New Roman" w:eastAsia="宋体" w:cs="Times New Roman"/>
          <w:b/>
          <w:bCs/>
          <w:i w:val="0"/>
          <w:color w:val="auto"/>
          <w:kern w:val="2"/>
          <w:sz w:val="24"/>
          <w:szCs w:val="24"/>
          <w:highlight w:val="none"/>
          <w:lang w:val="en-US" w:eastAsia="zh-CN" w:bidi="ar-SA"/>
        </w:rPr>
        <w:t>11.3.9</w:t>
      </w:r>
      <w:r>
        <w:rPr>
          <w:rFonts w:hint="eastAsia" w:ascii="宋体" w:hAnsi="宋体" w:eastAsia="宋体" w:cs="宋体"/>
          <w:vanish w:val="0"/>
          <w:color w:val="auto"/>
          <w:sz w:val="24"/>
          <w:szCs w:val="24"/>
          <w:highlight w:val="none"/>
          <w:lang w:val="en-US" w:eastAsia="zh-CN"/>
        </w:rPr>
        <w:t xml:space="preserve">  事件处置应记录并存档。</w:t>
      </w:r>
      <w:bookmarkEnd w:id="471"/>
      <w:bookmarkEnd w:id="472"/>
    </w:p>
    <w:p w14:paraId="520270A9">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sz w:val="21"/>
          <w:szCs w:val="21"/>
          <w:highlight w:val="none"/>
        </w:rPr>
      </w:pPr>
    </w:p>
    <w:p w14:paraId="67A02CED">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sz w:val="21"/>
          <w:szCs w:val="21"/>
          <w:highlight w:val="none"/>
        </w:rPr>
      </w:pPr>
    </w:p>
    <w:p w14:paraId="50D1F7E5">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473" w:name="_Toc31185"/>
      <w:bookmarkStart w:id="474" w:name="_Toc16102"/>
      <w:r>
        <w:rPr>
          <w:rFonts w:hint="eastAsia" w:ascii="Times New Roman" w:hAnsi="Times New Roman" w:eastAsia="宋体" w:cs="Times New Roman"/>
          <w:sz w:val="30"/>
          <w:highlight w:val="none"/>
          <w:lang w:val="en-US" w:eastAsia="zh-CN"/>
        </w:rPr>
        <w:t xml:space="preserve">12  </w:t>
      </w:r>
      <w:r>
        <w:rPr>
          <w:rFonts w:hint="eastAsia" w:ascii="Times New Roman" w:hAnsi="Times New Roman" w:eastAsia="宋体" w:cs="Times New Roman"/>
          <w:b w:val="0"/>
          <w:bCs w:val="0"/>
          <w:sz w:val="30"/>
          <w:highlight w:val="none"/>
          <w:lang w:val="en-US" w:eastAsia="zh-CN"/>
        </w:rPr>
        <w:t>车辆驾驶与管理服务</w:t>
      </w:r>
      <w:bookmarkEnd w:id="473"/>
      <w:bookmarkEnd w:id="474"/>
    </w:p>
    <w:p w14:paraId="6B94BFCC">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vanish w:val="0"/>
          <w:color w:val="auto"/>
          <w:sz w:val="24"/>
          <w:szCs w:val="24"/>
          <w:highlight w:val="none"/>
          <w:lang w:val="en-US" w:eastAsia="zh-CN"/>
        </w:rPr>
      </w:pPr>
      <w:bookmarkStart w:id="475" w:name="_Toc19598"/>
      <w:bookmarkStart w:id="476" w:name="_Toc22089"/>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vanish w:val="0"/>
          <w:color w:val="auto"/>
          <w:sz w:val="24"/>
          <w:szCs w:val="24"/>
          <w:highlight w:val="none"/>
          <w:lang w:val="en-US" w:eastAsia="zh-CN"/>
        </w:rPr>
        <w:t xml:space="preserve">  应建立健全的车辆运输管理工作规程和岗位责任制度。</w:t>
      </w:r>
      <w:bookmarkEnd w:id="475"/>
      <w:bookmarkEnd w:id="476"/>
    </w:p>
    <w:p w14:paraId="52EA68B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车辆调度实行24小时值班制度，接收到客户车辆服务需求，应及时安排所需车辆和驾驶员，做到不漏调、错调或车型不符等情况。</w:t>
      </w:r>
    </w:p>
    <w:p w14:paraId="5415DBD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3 </w:t>
      </w:r>
      <w:r>
        <w:rPr>
          <w:rFonts w:hint="eastAsia" w:ascii="宋体" w:hAnsi="宋体" w:eastAsia="宋体" w:cs="宋体"/>
          <w:vanish w:val="0"/>
          <w:color w:val="auto"/>
          <w:sz w:val="24"/>
          <w:szCs w:val="24"/>
          <w:highlight w:val="none"/>
          <w:lang w:val="en-US" w:eastAsia="zh-CN"/>
        </w:rPr>
        <w:t xml:space="preserve"> 按客户需求选择适当驾驶路线，驾驶员应严格遵守交通法规，驾驶过程中应注意力集中，按规定车速行驶，文明驾驶，做到安全、准时、车行舒适、热情周到。</w:t>
      </w:r>
    </w:p>
    <w:p w14:paraId="216A5BE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 xml:space="preserve"> 遇到大雨、大雾、台风天气要低速慢行，打开安全警示灯，能见度极低或风力、雨水过大时要把车辆停至安全地带，待危险降低后再出车。</w:t>
      </w:r>
    </w:p>
    <w:p w14:paraId="56E142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车辆内外应保持干净整洁并定期清洗，车内无异味。</w:t>
      </w:r>
    </w:p>
    <w:p w14:paraId="118A61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 xml:space="preserve"> 车辆应按停车约定标准进行规范停放。</w:t>
      </w:r>
    </w:p>
    <w:p w14:paraId="2E38568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宋体" w:hAnsi="宋体" w:eastAsia="宋体" w:cs="宋体"/>
          <w:vanish w:val="0"/>
          <w:color w:val="auto"/>
          <w:sz w:val="24"/>
          <w:szCs w:val="24"/>
          <w:highlight w:val="none"/>
          <w:lang w:val="en-US" w:eastAsia="zh-CN"/>
        </w:rPr>
        <w:t xml:space="preserve">  应定期（≥1次/月）对驾驶员的驾驶行为进行观察、开展交通安全教育和驾驶技能培训并做好记录；相关资料如培训方案，培训相片，考核记录，培训签到表等归档备查。</w:t>
      </w:r>
    </w:p>
    <w:p w14:paraId="57C4872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8  </w:t>
      </w:r>
      <w:r>
        <w:rPr>
          <w:rFonts w:hint="eastAsia" w:ascii="宋体" w:hAnsi="宋体" w:eastAsia="宋体" w:cs="宋体"/>
          <w:vanish w:val="0"/>
          <w:color w:val="auto"/>
          <w:sz w:val="24"/>
          <w:szCs w:val="24"/>
          <w:highlight w:val="none"/>
          <w:lang w:val="en-US" w:eastAsia="zh-CN"/>
        </w:rPr>
        <w:t>应根据车辆保养手册要求，定期对车辆进行维护保养；每次出车前应对车辆车况进行检查并做好相应记录；如发现故障或隐患应马上安排维修工作。</w:t>
      </w:r>
    </w:p>
    <w:p w14:paraId="40C3395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9 </w:t>
      </w:r>
      <w:r>
        <w:rPr>
          <w:rFonts w:hint="eastAsia" w:ascii="宋体" w:hAnsi="宋体" w:eastAsia="宋体" w:cs="宋体"/>
          <w:vanish w:val="0"/>
          <w:color w:val="auto"/>
          <w:sz w:val="24"/>
          <w:szCs w:val="24"/>
          <w:highlight w:val="none"/>
          <w:lang w:val="en-US" w:eastAsia="zh-CN"/>
        </w:rPr>
        <w:t xml:space="preserve"> 每年</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1次对经常行驶区域的道路开展全面、具体的风险评估，形成指导性的评估报告。</w:t>
      </w:r>
    </w:p>
    <w:p w14:paraId="5E03CCEC">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477" w:name="_Toc16188"/>
      <w:bookmarkStart w:id="478" w:name="_Toc30554"/>
      <w:r>
        <w:rPr>
          <w:rFonts w:hint="eastAsia" w:ascii="Times New Roman" w:hAnsi="Times New Roman" w:eastAsia="宋体" w:cs="Times New Roman"/>
          <w:sz w:val="30"/>
          <w:highlight w:val="none"/>
          <w:lang w:val="en-US" w:eastAsia="zh-CN"/>
        </w:rPr>
        <w:t xml:space="preserve">13  </w:t>
      </w:r>
      <w:r>
        <w:rPr>
          <w:rFonts w:hint="eastAsia" w:ascii="Times New Roman" w:hAnsi="Times New Roman" w:eastAsia="宋体" w:cs="Times New Roman"/>
          <w:b w:val="0"/>
          <w:bCs w:val="0"/>
          <w:sz w:val="30"/>
          <w:highlight w:val="none"/>
          <w:lang w:val="en-US" w:eastAsia="zh-CN"/>
        </w:rPr>
        <w:t>环</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境</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管</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理</w:t>
      </w:r>
      <w:bookmarkEnd w:id="477"/>
      <w:bookmarkEnd w:id="478"/>
    </w:p>
    <w:p w14:paraId="0D44475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79" w:name="_Toc7508"/>
      <w:bookmarkStart w:id="480" w:name="_Toc30760"/>
      <w:r>
        <w:rPr>
          <w:rFonts w:hint="eastAsia" w:ascii="宋体" w:hAnsi="宋体" w:eastAsia="宋体" w:cs="宋体"/>
          <w:b/>
          <w:bCs/>
          <w:color w:val="auto"/>
          <w:sz w:val="24"/>
          <w:szCs w:val="24"/>
          <w:highlight w:val="none"/>
          <w:lang w:val="en-US" w:eastAsia="zh-CN"/>
        </w:rPr>
        <w:t>13.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  保洁服务</w:t>
      </w:r>
      <w:bookmarkEnd w:id="479"/>
      <w:bookmarkEnd w:id="480"/>
    </w:p>
    <w:p w14:paraId="2C3DAAF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1" w:name="_Toc15534"/>
      <w:bookmarkStart w:id="482" w:name="_Toc21273"/>
      <w:r>
        <w:rPr>
          <w:rFonts w:hint="eastAsia" w:ascii="宋体" w:hAnsi="宋体" w:eastAsia="宋体" w:cs="宋体"/>
          <w:b/>
          <w:bCs/>
          <w:color w:val="auto"/>
          <w:sz w:val="24"/>
          <w:szCs w:val="24"/>
          <w:highlight w:val="none"/>
          <w:lang w:val="en-US" w:eastAsia="zh-CN"/>
        </w:rPr>
        <w:t>Ⅰ  建筑物内外保洁</w:t>
      </w:r>
      <w:bookmarkEnd w:id="481"/>
      <w:bookmarkEnd w:id="482"/>
    </w:p>
    <w:p w14:paraId="623EEB1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 xml:space="preserve"> 应建立健全的保洁服务管理制度、保洁员岗位责任制度和制定年度保洁计划。</w:t>
      </w:r>
    </w:p>
    <w:p w14:paraId="054927F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公共区域应保持环境整洁、无异味。</w:t>
      </w:r>
    </w:p>
    <w:p w14:paraId="0EE366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.3 </w:t>
      </w:r>
      <w:r>
        <w:rPr>
          <w:rFonts w:hint="eastAsia" w:ascii="宋体" w:hAnsi="宋体" w:eastAsia="宋体" w:cs="宋体"/>
          <w:vanish w:val="0"/>
          <w:color w:val="auto"/>
          <w:sz w:val="24"/>
          <w:szCs w:val="24"/>
          <w:highlight w:val="none"/>
          <w:lang w:val="en-US" w:eastAsia="zh-CN"/>
        </w:rPr>
        <w:t xml:space="preserve"> 保洁工具和清洁剂应分类摆放到工具房，整齐有序。</w:t>
      </w:r>
    </w:p>
    <w:p w14:paraId="128A585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定期进行保洁专业技能、知识培训考核。</w:t>
      </w:r>
    </w:p>
    <w:p w14:paraId="7A163CB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高空作业现场应至少有2人以上，应实施成品保护措施，并确保至少有2人以上工作人员在场，所有作业人员都应持有符合国家法规要求的资格证书，并采取必要的个人安全防护措施。</w:t>
      </w:r>
    </w:p>
    <w:p w14:paraId="708FE77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.6</w:t>
      </w:r>
      <w:r>
        <w:rPr>
          <w:rFonts w:hint="eastAsia" w:ascii="宋体" w:hAnsi="宋体" w:eastAsia="宋体" w:cs="宋体"/>
          <w:vanish w:val="0"/>
          <w:color w:val="auto"/>
          <w:sz w:val="24"/>
          <w:szCs w:val="24"/>
          <w:highlight w:val="none"/>
          <w:lang w:val="en-US" w:eastAsia="zh-CN"/>
        </w:rPr>
        <w:t xml:space="preserve">  水工区域作业按工作计划实施执行，对交通洞口、配电房及保安室周边范围≥1次/日的清扫，交通洞路面</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1次/季的清扫，岩措梁、拱顶</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1次/半年的清扫，目视无垃圾、无杂物、无污垢。</w:t>
      </w:r>
    </w:p>
    <w:p w14:paraId="4A92201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.7 </w:t>
      </w:r>
      <w:r>
        <w:rPr>
          <w:rFonts w:hint="eastAsia" w:ascii="宋体" w:hAnsi="宋体" w:eastAsia="宋体" w:cs="宋体"/>
          <w:vanish w:val="0"/>
          <w:color w:val="auto"/>
          <w:sz w:val="24"/>
          <w:szCs w:val="24"/>
          <w:highlight w:val="none"/>
          <w:lang w:val="en-US" w:eastAsia="zh-CN"/>
        </w:rPr>
        <w:t xml:space="preserve"> 定期清理水工建筑物周边垃圾，石渣，枯枝烂叶等，保证水流通畅；保持水库清洁、美观。</w:t>
      </w:r>
    </w:p>
    <w:p w14:paraId="2984163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13.2.8</w:t>
      </w:r>
      <w:r>
        <w:rPr>
          <w:rFonts w:hint="eastAsia" w:ascii="宋体" w:hAnsi="宋体" w:eastAsia="宋体" w:cs="宋体"/>
          <w:vanish w:val="0"/>
          <w:color w:val="auto"/>
          <w:sz w:val="24"/>
          <w:szCs w:val="24"/>
          <w:highlight w:val="none"/>
          <w:lang w:val="en-US" w:eastAsia="zh-CN"/>
        </w:rPr>
        <w:t xml:space="preserve">  台风、暴雨等特殊天气来临前，提前做好加固大型绿植和修剪枯枝以及清理沟渠工作。</w:t>
      </w:r>
    </w:p>
    <w:p w14:paraId="6A1CE41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.9 </w:t>
      </w:r>
      <w:r>
        <w:rPr>
          <w:rFonts w:hint="eastAsia" w:ascii="宋体" w:hAnsi="宋体" w:eastAsia="宋体" w:cs="宋体"/>
          <w:vanish w:val="0"/>
          <w:color w:val="auto"/>
          <w:sz w:val="24"/>
          <w:szCs w:val="24"/>
          <w:highlight w:val="none"/>
          <w:lang w:val="en-US" w:eastAsia="zh-CN"/>
        </w:rPr>
        <w:t xml:space="preserve"> 建筑物内公共区域保洁：项目主要分类的建筑物内公共区域保洁服务标准见附录F</w:t>
      </w:r>
    </w:p>
    <w:p w14:paraId="263CD47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.10 </w:t>
      </w:r>
      <w:r>
        <w:rPr>
          <w:rFonts w:hint="eastAsia" w:ascii="宋体" w:hAnsi="宋体" w:eastAsia="宋体" w:cs="宋体"/>
          <w:vanish w:val="0"/>
          <w:color w:val="auto"/>
          <w:sz w:val="24"/>
          <w:szCs w:val="24"/>
          <w:highlight w:val="none"/>
          <w:lang w:val="en-US" w:eastAsia="zh-CN"/>
        </w:rPr>
        <w:t xml:space="preserve"> 建筑物外公共区域保洁：项目主要分类的建筑物外公共区域保洁服务标准见附录G</w:t>
      </w:r>
    </w:p>
    <w:p w14:paraId="7F94548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3" w:name="_Toc380"/>
      <w:bookmarkStart w:id="484" w:name="_Toc17051"/>
      <w:r>
        <w:rPr>
          <w:rFonts w:hint="eastAsia" w:ascii="宋体" w:hAnsi="宋体" w:eastAsia="宋体" w:cs="宋体"/>
          <w:b/>
          <w:bCs/>
          <w:color w:val="auto"/>
          <w:sz w:val="24"/>
          <w:szCs w:val="24"/>
          <w:highlight w:val="none"/>
          <w:lang w:val="en-US" w:eastAsia="zh-CN"/>
        </w:rPr>
        <w:t>Ⅱ  垃圾清运</w:t>
      </w:r>
      <w:bookmarkEnd w:id="483"/>
      <w:bookmarkEnd w:id="484"/>
    </w:p>
    <w:p w14:paraId="3BED42A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vanish w:val="0"/>
          <w:color w:val="auto"/>
          <w:sz w:val="24"/>
          <w:szCs w:val="24"/>
          <w:highlight w:val="none"/>
          <w:lang w:val="en-US" w:eastAsia="zh-CN"/>
        </w:rPr>
        <w:t xml:space="preserve">  根据物业实际情况设置生活垃圾分类集中投放点、生活垃圾分类收集容器，按可回收垃圾、厨余垃圾、有害垃圾、其他垃圾应按属性进行分类处置。</w:t>
      </w:r>
    </w:p>
    <w:p w14:paraId="186CE5E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 xml:space="preserve"> 垃圾桶内垃圾应做到日产日清，桶外周边无垃圾，保持清洁无异味。</w:t>
      </w:r>
    </w:p>
    <w:p w14:paraId="6180252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定时对垃圾分类收集容器、收集点、中转站进行清运、消杀、灭鼠、保洁；垃圾桶外观目视干净整洁、无破损。</w:t>
      </w:r>
    </w:p>
    <w:p w14:paraId="40BC62D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垃圾清运作业应做好有效遮挡及防护，防止二次污染，尽量避免客户出行高峰时段进行。</w:t>
      </w:r>
    </w:p>
    <w:p w14:paraId="6693A74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应指定危险废弃物投放点，设置标识标牌，由专人负责清运，应选择具有资质证书的第三方机构进行处理。垃圾清运服务要求见表13.</w:t>
      </w:r>
      <w:r>
        <w:rPr>
          <w:rFonts w:hint="eastAsia" w:ascii="宋体" w:hAnsi="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w:t>
      </w:r>
      <w:r>
        <w:rPr>
          <w:rFonts w:hint="eastAsia" w:ascii="宋体" w:hAnsi="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5。</w:t>
      </w:r>
    </w:p>
    <w:p w14:paraId="4A675F1F">
      <w:pPr>
        <w:pStyle w:val="8"/>
        <w:tabs>
          <w:tab w:val="left" w:pos="420"/>
        </w:tabs>
        <w:spacing w:before="312" w:beforeLines="100" w:after="0" w:line="240" w:lineRule="auto"/>
        <w:jc w:val="center"/>
        <w:rPr>
          <w:rFonts w:hint="eastAsia" w:ascii="Times New Roman" w:hAnsi="Times New Roman" w:eastAsia="黑体" w:cs="Times New Roman"/>
          <w:bCs w:val="0"/>
          <w:sz w:val="21"/>
          <w:szCs w:val="24"/>
          <w:highlight w:val="none"/>
          <w:lang w:val="en-US" w:eastAsia="zh-CN"/>
        </w:rPr>
      </w:pPr>
      <w:r>
        <w:rPr>
          <w:rFonts w:hint="eastAsia" w:ascii="Times New Roman" w:hAnsi="Times New Roman" w:eastAsia="黑体" w:cs="Times New Roman"/>
          <w:bCs w:val="0"/>
          <w:sz w:val="21"/>
          <w:szCs w:val="24"/>
          <w:highlight w:val="none"/>
          <w:lang w:val="en-US" w:eastAsia="zh-CN"/>
        </w:rPr>
        <w:t>表13.</w:t>
      </w:r>
      <w:r>
        <w:rPr>
          <w:rFonts w:hint="eastAsia" w:eastAsia="黑体" w:cs="Times New Roman"/>
          <w:bCs w:val="0"/>
          <w:sz w:val="21"/>
          <w:szCs w:val="24"/>
          <w:highlight w:val="none"/>
          <w:lang w:val="en-US" w:eastAsia="zh-CN"/>
        </w:rPr>
        <w:t>1</w:t>
      </w:r>
      <w:r>
        <w:rPr>
          <w:rFonts w:hint="eastAsia" w:ascii="Times New Roman" w:hAnsi="Times New Roman" w:eastAsia="黑体" w:cs="Times New Roman"/>
          <w:bCs w:val="0"/>
          <w:sz w:val="21"/>
          <w:szCs w:val="24"/>
          <w:highlight w:val="none"/>
          <w:lang w:val="en-US" w:eastAsia="zh-CN"/>
        </w:rPr>
        <w:t>.</w:t>
      </w:r>
      <w:r>
        <w:rPr>
          <w:rFonts w:hint="eastAsia" w:eastAsia="黑体" w:cs="Times New Roman"/>
          <w:bCs w:val="0"/>
          <w:sz w:val="21"/>
          <w:szCs w:val="24"/>
          <w:highlight w:val="none"/>
          <w:lang w:val="en-US" w:eastAsia="zh-CN"/>
        </w:rPr>
        <w:t>1</w:t>
      </w:r>
      <w:r>
        <w:rPr>
          <w:rFonts w:hint="eastAsia" w:ascii="Times New Roman" w:hAnsi="Times New Roman" w:eastAsia="黑体" w:cs="Times New Roman"/>
          <w:bCs w:val="0"/>
          <w:sz w:val="21"/>
          <w:szCs w:val="24"/>
          <w:highlight w:val="none"/>
          <w:lang w:val="en-US" w:eastAsia="zh-CN"/>
        </w:rPr>
        <w:t>5  项目主要分类服务标准—垃圾清运</w:t>
      </w:r>
    </w:p>
    <w:tbl>
      <w:tblPr>
        <w:tblStyle w:val="38"/>
        <w:tblW w:w="476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45"/>
        <w:gridCol w:w="974"/>
        <w:gridCol w:w="1538"/>
        <w:gridCol w:w="993"/>
        <w:gridCol w:w="1628"/>
        <w:gridCol w:w="1177"/>
      </w:tblGrid>
      <w:tr w14:paraId="3D363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60" w:type="dxa"/>
            <w:vMerge w:val="restart"/>
            <w:noWrap/>
            <w:vAlign w:val="center"/>
          </w:tcPr>
          <w:p w14:paraId="2920D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509" w:type="dxa"/>
            <w:gridSpan w:val="2"/>
            <w:noWrap/>
            <w:vAlign w:val="center"/>
          </w:tcPr>
          <w:p w14:paraId="69BF27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53" w:type="dxa"/>
            <w:gridSpan w:val="2"/>
            <w:noWrap/>
            <w:vAlign w:val="center"/>
          </w:tcPr>
          <w:p w14:paraId="4F890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496" w:type="dxa"/>
            <w:gridSpan w:val="2"/>
            <w:noWrap/>
            <w:vAlign w:val="center"/>
          </w:tcPr>
          <w:p w14:paraId="53835C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变电站/换流站</w:t>
            </w:r>
          </w:p>
        </w:tc>
      </w:tr>
      <w:tr w14:paraId="357F5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0" w:type="dxa"/>
            <w:vMerge w:val="continue"/>
            <w:tcBorders>
              <w:bottom w:val="single" w:color="000000" w:sz="12" w:space="0"/>
            </w:tcBorders>
            <w:noWrap/>
            <w:vAlign w:val="center"/>
          </w:tcPr>
          <w:p w14:paraId="79D1647C">
            <w:pPr>
              <w:jc w:val="center"/>
              <w:rPr>
                <w:rFonts w:hint="eastAsia" w:ascii="宋体" w:hAnsi="宋体" w:eastAsia="宋体" w:cs="宋体"/>
                <w:i w:val="0"/>
                <w:iCs w:val="0"/>
                <w:color w:val="auto"/>
                <w:sz w:val="18"/>
                <w:szCs w:val="18"/>
                <w:highlight w:val="none"/>
                <w:u w:val="none"/>
              </w:rPr>
            </w:pPr>
          </w:p>
        </w:tc>
        <w:tc>
          <w:tcPr>
            <w:tcW w:w="1642" w:type="dxa"/>
            <w:tcBorders>
              <w:bottom w:val="single" w:color="000000" w:sz="12" w:space="0"/>
            </w:tcBorders>
            <w:noWrap/>
            <w:vAlign w:val="center"/>
          </w:tcPr>
          <w:p w14:paraId="04F611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867" w:type="dxa"/>
            <w:tcBorders>
              <w:bottom w:val="single" w:color="000000" w:sz="12" w:space="0"/>
            </w:tcBorders>
            <w:noWrap/>
            <w:vAlign w:val="center"/>
          </w:tcPr>
          <w:p w14:paraId="1321C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369" w:type="dxa"/>
            <w:tcBorders>
              <w:bottom w:val="single" w:color="000000" w:sz="12" w:space="0"/>
            </w:tcBorders>
            <w:noWrap/>
            <w:vAlign w:val="center"/>
          </w:tcPr>
          <w:p w14:paraId="61D79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884" w:type="dxa"/>
            <w:tcBorders>
              <w:bottom w:val="single" w:color="000000" w:sz="12" w:space="0"/>
            </w:tcBorders>
            <w:noWrap/>
            <w:vAlign w:val="center"/>
          </w:tcPr>
          <w:p w14:paraId="747E6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49" w:type="dxa"/>
            <w:tcBorders>
              <w:bottom w:val="single" w:color="000000" w:sz="12" w:space="0"/>
            </w:tcBorders>
            <w:noWrap/>
            <w:vAlign w:val="center"/>
          </w:tcPr>
          <w:p w14:paraId="34135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047" w:type="dxa"/>
            <w:tcBorders>
              <w:bottom w:val="single" w:color="000000" w:sz="12" w:space="0"/>
            </w:tcBorders>
            <w:noWrap/>
            <w:vAlign w:val="center"/>
          </w:tcPr>
          <w:p w14:paraId="1E5A8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22920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60" w:type="dxa"/>
            <w:tcBorders>
              <w:top w:val="single" w:color="000000" w:sz="12" w:space="0"/>
              <w:tl2br w:val="nil"/>
              <w:tr2bl w:val="nil"/>
            </w:tcBorders>
            <w:noWrap w:val="0"/>
            <w:vAlign w:val="center"/>
          </w:tcPr>
          <w:p w14:paraId="1B8D9C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垃圾容器清洗、消毒</w:t>
            </w:r>
          </w:p>
        </w:tc>
        <w:tc>
          <w:tcPr>
            <w:tcW w:w="1642" w:type="dxa"/>
            <w:tcBorders>
              <w:top w:val="single" w:color="000000" w:sz="12" w:space="0"/>
              <w:tl2br w:val="nil"/>
              <w:tr2bl w:val="nil"/>
            </w:tcBorders>
            <w:noWrap w:val="0"/>
            <w:vAlign w:val="center"/>
          </w:tcPr>
          <w:p w14:paraId="6DDC4D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日</w:t>
            </w:r>
            <w:r>
              <w:rPr>
                <w:rFonts w:hint="eastAsia" w:ascii="宋体" w:hAnsi="宋体" w:eastAsia="宋体" w:cs="宋体"/>
                <w:i w:val="0"/>
                <w:iCs w:val="0"/>
                <w:color w:val="auto"/>
                <w:kern w:val="0"/>
                <w:sz w:val="18"/>
                <w:szCs w:val="18"/>
                <w:highlight w:val="none"/>
                <w:u w:val="none"/>
                <w:lang w:val="en-US" w:eastAsia="zh-CN" w:bidi="ar"/>
              </w:rPr>
              <w:t>，消毒</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次/月，夏季消毒</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次/周</w:t>
            </w:r>
          </w:p>
        </w:tc>
        <w:tc>
          <w:tcPr>
            <w:tcW w:w="867" w:type="dxa"/>
            <w:tcBorders>
              <w:top w:val="single" w:color="000000" w:sz="12" w:space="0"/>
              <w:tl2br w:val="nil"/>
              <w:tr2bl w:val="nil"/>
            </w:tcBorders>
            <w:noWrap w:val="0"/>
            <w:vAlign w:val="center"/>
          </w:tcPr>
          <w:p w14:paraId="7201FF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c>
          <w:tcPr>
            <w:tcW w:w="1369" w:type="dxa"/>
            <w:tcBorders>
              <w:top w:val="single" w:color="000000" w:sz="12" w:space="0"/>
              <w:tl2br w:val="nil"/>
              <w:tr2bl w:val="nil"/>
            </w:tcBorders>
            <w:noWrap w:val="0"/>
            <w:vAlign w:val="center"/>
          </w:tcPr>
          <w:p w14:paraId="43D402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次/周、夏季清洗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1次/日，消毒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2次/月，夏季消毒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1次/周</w:t>
            </w:r>
          </w:p>
        </w:tc>
        <w:tc>
          <w:tcPr>
            <w:tcW w:w="884" w:type="dxa"/>
            <w:tcBorders>
              <w:top w:val="single" w:color="000000" w:sz="12" w:space="0"/>
              <w:tl2br w:val="nil"/>
              <w:tr2bl w:val="nil"/>
            </w:tcBorders>
            <w:noWrap w:val="0"/>
            <w:vAlign w:val="center"/>
          </w:tcPr>
          <w:p w14:paraId="142C94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c>
          <w:tcPr>
            <w:tcW w:w="1449" w:type="dxa"/>
            <w:tcBorders>
              <w:top w:val="single" w:color="000000" w:sz="12" w:space="0"/>
              <w:tl2br w:val="nil"/>
              <w:tr2bl w:val="nil"/>
            </w:tcBorders>
            <w:noWrap w:val="0"/>
            <w:vAlign w:val="center"/>
          </w:tcPr>
          <w:p w14:paraId="3F08A1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次/周、夏季清洗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1次/日，消毒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2次/月，夏季消毒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1次/周</w:t>
            </w:r>
          </w:p>
        </w:tc>
        <w:tc>
          <w:tcPr>
            <w:tcW w:w="1047" w:type="dxa"/>
            <w:tcBorders>
              <w:top w:val="single" w:color="000000" w:sz="12" w:space="0"/>
              <w:tl2br w:val="nil"/>
              <w:tr2bl w:val="nil"/>
            </w:tcBorders>
            <w:noWrap w:val="0"/>
            <w:vAlign w:val="center"/>
          </w:tcPr>
          <w:p w14:paraId="254786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r>
    </w:tbl>
    <w:p w14:paraId="07873EA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5" w:name="_Toc13138"/>
      <w:bookmarkStart w:id="486" w:name="_Toc1635"/>
      <w:r>
        <w:rPr>
          <w:rFonts w:hint="eastAsia" w:ascii="宋体" w:hAnsi="宋体" w:eastAsia="宋体" w:cs="宋体"/>
          <w:b/>
          <w:bCs/>
          <w:color w:val="auto"/>
          <w:sz w:val="24"/>
          <w:szCs w:val="24"/>
          <w:highlight w:val="none"/>
          <w:lang w:val="en-US" w:eastAsia="zh-CN"/>
        </w:rPr>
        <w:t>Ⅲ  有害生物</w:t>
      </w:r>
      <w:bookmarkEnd w:id="485"/>
      <w:r>
        <w:rPr>
          <w:rFonts w:hint="eastAsia" w:ascii="宋体" w:hAnsi="宋体" w:eastAsia="宋体" w:cs="宋体"/>
          <w:b/>
          <w:bCs/>
          <w:color w:val="auto"/>
          <w:sz w:val="24"/>
          <w:szCs w:val="24"/>
          <w:highlight w:val="none"/>
          <w:lang w:val="en-US" w:eastAsia="zh-CN"/>
        </w:rPr>
        <w:t>防制</w:t>
      </w:r>
      <w:bookmarkEnd w:id="486"/>
    </w:p>
    <w:p w14:paraId="04F7674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16</w:t>
      </w:r>
      <w:r>
        <w:rPr>
          <w:rFonts w:hint="eastAsia" w:ascii="宋体" w:hAnsi="宋体" w:eastAsia="宋体" w:cs="宋体"/>
          <w:vanish w:val="0"/>
          <w:color w:val="auto"/>
          <w:sz w:val="24"/>
          <w:szCs w:val="24"/>
          <w:highlight w:val="none"/>
          <w:lang w:val="en-US" w:eastAsia="zh-CN"/>
        </w:rPr>
        <w:t xml:space="preserve">  应制定有害生物防制计划，定期对有害生物巡检（如白蚁、红火蚁、马蜂、蛇、薇甘菊、凤眼莲等），做到早发现早处理。</w:t>
      </w:r>
    </w:p>
    <w:p w14:paraId="5BC1BCC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17</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应与具有专业白蚁、红火蚁防治资质公司签订规范的服务合同，明确双方的权利、义务和责任。</w:t>
      </w:r>
    </w:p>
    <w:p w14:paraId="1F50C6D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18</w:t>
      </w:r>
      <w:r>
        <w:rPr>
          <w:rFonts w:hint="eastAsia" w:ascii="宋体" w:hAnsi="宋体" w:eastAsia="宋体" w:cs="宋体"/>
          <w:vanish w:val="0"/>
          <w:color w:val="auto"/>
          <w:sz w:val="24"/>
          <w:szCs w:val="24"/>
          <w:highlight w:val="none"/>
          <w:lang w:val="en-US" w:eastAsia="zh-CN"/>
        </w:rPr>
        <w:t xml:space="preserve">  每月应进行</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1次除“四害”和消杀工作。在雨季和传染性疾病高发时期，应有针对性进行消毒工作。</w:t>
      </w:r>
    </w:p>
    <w:p w14:paraId="3F88F2C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发现马蜂窝和蛇应及时报消防人员处理。</w:t>
      </w:r>
    </w:p>
    <w:p w14:paraId="401DDB6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20</w:t>
      </w:r>
      <w:r>
        <w:rPr>
          <w:rFonts w:hint="eastAsia" w:ascii="宋体" w:hAnsi="宋体" w:eastAsia="宋体" w:cs="宋体"/>
          <w:vanish w:val="0"/>
          <w:color w:val="auto"/>
          <w:sz w:val="24"/>
          <w:szCs w:val="24"/>
          <w:highlight w:val="none"/>
          <w:lang w:val="en-US" w:eastAsia="zh-CN"/>
        </w:rPr>
        <w:t xml:space="preserve">  应建立有害生物专项档案，对有害生物防制过程资料存档，包括计划、公告、操作记录、药品清单及工作照片。有害生物防制服务要求见表13.</w:t>
      </w:r>
      <w:r>
        <w:rPr>
          <w:rFonts w:hint="eastAsia" w:ascii="宋体" w:hAnsi="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w:t>
      </w:r>
      <w:r>
        <w:rPr>
          <w:rFonts w:hint="eastAsia" w:ascii="宋体" w:hAnsi="宋体" w:cs="宋体"/>
          <w:vanish w:val="0"/>
          <w:color w:val="auto"/>
          <w:sz w:val="24"/>
          <w:szCs w:val="24"/>
          <w:highlight w:val="none"/>
          <w:lang w:val="en-US" w:eastAsia="zh-CN"/>
        </w:rPr>
        <w:t>20</w:t>
      </w:r>
      <w:r>
        <w:rPr>
          <w:rFonts w:hint="eastAsia" w:ascii="宋体" w:hAnsi="宋体" w:eastAsia="宋体" w:cs="宋体"/>
          <w:vanish w:val="0"/>
          <w:color w:val="auto"/>
          <w:sz w:val="24"/>
          <w:szCs w:val="24"/>
          <w:highlight w:val="none"/>
          <w:lang w:val="en-US" w:eastAsia="zh-CN"/>
        </w:rPr>
        <w:t>。</w:t>
      </w:r>
    </w:p>
    <w:p w14:paraId="7465172A">
      <w:pPr>
        <w:pStyle w:val="8"/>
        <w:tabs>
          <w:tab w:val="left" w:pos="420"/>
        </w:tabs>
        <w:spacing w:before="312" w:beforeLines="100" w:after="0" w:line="240" w:lineRule="auto"/>
        <w:jc w:val="center"/>
        <w:rPr>
          <w:rFonts w:hint="eastAsia" w:ascii="Times New Roman" w:hAnsi="Times New Roman" w:eastAsia="黑体" w:cs="Times New Roman"/>
          <w:bCs w:val="0"/>
          <w:sz w:val="21"/>
          <w:szCs w:val="24"/>
          <w:highlight w:val="none"/>
          <w:lang w:val="en-US" w:eastAsia="zh-CN"/>
        </w:rPr>
      </w:pPr>
      <w:r>
        <w:rPr>
          <w:rFonts w:hint="eastAsia" w:ascii="Times New Roman" w:hAnsi="Times New Roman" w:eastAsia="黑体" w:cs="Times New Roman"/>
          <w:bCs w:val="0"/>
          <w:sz w:val="21"/>
          <w:szCs w:val="24"/>
          <w:highlight w:val="none"/>
          <w:lang w:val="en-US" w:eastAsia="zh-CN"/>
        </w:rPr>
        <w:t>表13.</w:t>
      </w:r>
      <w:r>
        <w:rPr>
          <w:rFonts w:hint="eastAsia" w:eastAsia="黑体" w:cs="Times New Roman"/>
          <w:bCs w:val="0"/>
          <w:sz w:val="21"/>
          <w:szCs w:val="24"/>
          <w:highlight w:val="none"/>
          <w:lang w:val="en-US" w:eastAsia="zh-CN"/>
        </w:rPr>
        <w:t>1</w:t>
      </w:r>
      <w:r>
        <w:rPr>
          <w:rFonts w:hint="eastAsia" w:ascii="Times New Roman" w:hAnsi="Times New Roman" w:eastAsia="黑体" w:cs="Times New Roman"/>
          <w:bCs w:val="0"/>
          <w:sz w:val="21"/>
          <w:szCs w:val="24"/>
          <w:highlight w:val="none"/>
          <w:lang w:val="en-US" w:eastAsia="zh-CN"/>
        </w:rPr>
        <w:t>.</w:t>
      </w:r>
      <w:r>
        <w:rPr>
          <w:rFonts w:hint="eastAsia" w:eastAsia="黑体" w:cs="Times New Roman"/>
          <w:bCs w:val="0"/>
          <w:sz w:val="21"/>
          <w:szCs w:val="24"/>
          <w:highlight w:val="none"/>
          <w:lang w:val="en-US" w:eastAsia="zh-CN"/>
        </w:rPr>
        <w:t>20</w:t>
      </w:r>
      <w:r>
        <w:rPr>
          <w:rFonts w:hint="eastAsia" w:ascii="Times New Roman" w:hAnsi="Times New Roman" w:eastAsia="黑体" w:cs="Times New Roman"/>
          <w:bCs w:val="0"/>
          <w:sz w:val="21"/>
          <w:szCs w:val="24"/>
          <w:highlight w:val="none"/>
          <w:lang w:val="en-US" w:eastAsia="zh-CN"/>
        </w:rPr>
        <w:t xml:space="preserve">  项目主要分类服务标准—有害生物防制</w:t>
      </w:r>
    </w:p>
    <w:tbl>
      <w:tblPr>
        <w:tblStyle w:val="38"/>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53"/>
        <w:gridCol w:w="1332"/>
        <w:gridCol w:w="1470"/>
        <w:gridCol w:w="1292"/>
        <w:gridCol w:w="1460"/>
        <w:gridCol w:w="1430"/>
      </w:tblGrid>
      <w:tr w14:paraId="04D2A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8" w:type="dxa"/>
            <w:vMerge w:val="restart"/>
            <w:noWrap/>
            <w:vAlign w:val="center"/>
          </w:tcPr>
          <w:p w14:paraId="1440F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685" w:type="dxa"/>
            <w:gridSpan w:val="2"/>
            <w:noWrap/>
            <w:vAlign w:val="center"/>
          </w:tcPr>
          <w:p w14:paraId="7C4DB8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762" w:type="dxa"/>
            <w:gridSpan w:val="2"/>
            <w:noWrap/>
            <w:vAlign w:val="center"/>
          </w:tcPr>
          <w:p w14:paraId="62B0F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890" w:type="dxa"/>
            <w:gridSpan w:val="2"/>
            <w:noWrap/>
            <w:vAlign w:val="center"/>
          </w:tcPr>
          <w:p w14:paraId="664FB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变电站/换流站</w:t>
            </w:r>
          </w:p>
        </w:tc>
      </w:tr>
      <w:tr w14:paraId="69BFA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8" w:type="dxa"/>
            <w:vMerge w:val="continue"/>
            <w:tcBorders>
              <w:bottom w:val="single" w:color="000000" w:sz="12" w:space="0"/>
            </w:tcBorders>
            <w:noWrap/>
            <w:vAlign w:val="center"/>
          </w:tcPr>
          <w:p w14:paraId="1083C57C">
            <w:pPr>
              <w:jc w:val="center"/>
              <w:rPr>
                <w:rFonts w:hint="eastAsia" w:ascii="宋体" w:hAnsi="宋体" w:eastAsia="宋体" w:cs="宋体"/>
                <w:i w:val="0"/>
                <w:iCs w:val="0"/>
                <w:color w:val="auto"/>
                <w:sz w:val="18"/>
                <w:szCs w:val="18"/>
                <w:highlight w:val="none"/>
                <w:u w:val="none"/>
              </w:rPr>
            </w:pPr>
          </w:p>
        </w:tc>
        <w:tc>
          <w:tcPr>
            <w:tcW w:w="1353" w:type="dxa"/>
            <w:tcBorders>
              <w:bottom w:val="single" w:color="000000" w:sz="12" w:space="0"/>
            </w:tcBorders>
            <w:noWrap/>
            <w:vAlign w:val="center"/>
          </w:tcPr>
          <w:p w14:paraId="4E174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332" w:type="dxa"/>
            <w:tcBorders>
              <w:bottom w:val="single" w:color="000000" w:sz="12" w:space="0"/>
            </w:tcBorders>
            <w:noWrap/>
            <w:vAlign w:val="center"/>
          </w:tcPr>
          <w:p w14:paraId="36992F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70" w:type="dxa"/>
            <w:tcBorders>
              <w:bottom w:val="single" w:color="000000" w:sz="12" w:space="0"/>
            </w:tcBorders>
            <w:noWrap/>
            <w:vAlign w:val="center"/>
          </w:tcPr>
          <w:p w14:paraId="19474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292" w:type="dxa"/>
            <w:tcBorders>
              <w:bottom w:val="single" w:color="000000" w:sz="12" w:space="0"/>
            </w:tcBorders>
            <w:noWrap/>
            <w:vAlign w:val="center"/>
          </w:tcPr>
          <w:p w14:paraId="49369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60" w:type="dxa"/>
            <w:tcBorders>
              <w:bottom w:val="single" w:color="000000" w:sz="12" w:space="0"/>
            </w:tcBorders>
            <w:noWrap/>
            <w:vAlign w:val="center"/>
          </w:tcPr>
          <w:p w14:paraId="03E1B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30" w:type="dxa"/>
            <w:tcBorders>
              <w:bottom w:val="single" w:color="000000" w:sz="12" w:space="0"/>
            </w:tcBorders>
            <w:noWrap/>
            <w:vAlign w:val="center"/>
          </w:tcPr>
          <w:p w14:paraId="369AE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06818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228" w:type="dxa"/>
            <w:tcBorders>
              <w:top w:val="single" w:color="000000" w:sz="12" w:space="0"/>
              <w:tl2br w:val="nil"/>
              <w:tr2bl w:val="nil"/>
            </w:tcBorders>
            <w:noWrap w:val="0"/>
            <w:vAlign w:val="center"/>
          </w:tcPr>
          <w:p w14:paraId="14231B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有害生物防制</w:t>
            </w:r>
          </w:p>
        </w:tc>
        <w:tc>
          <w:tcPr>
            <w:tcW w:w="1353" w:type="dxa"/>
            <w:tcBorders>
              <w:top w:val="single" w:color="000000" w:sz="12" w:space="0"/>
              <w:tl2br w:val="nil"/>
              <w:tr2bl w:val="nil"/>
            </w:tcBorders>
            <w:noWrap w:val="0"/>
            <w:vAlign w:val="center"/>
          </w:tcPr>
          <w:p w14:paraId="743DC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332" w:type="dxa"/>
            <w:tcBorders>
              <w:top w:val="single" w:color="000000" w:sz="12" w:space="0"/>
              <w:tl2br w:val="nil"/>
              <w:tr2bl w:val="nil"/>
            </w:tcBorders>
            <w:noWrap w:val="0"/>
            <w:vAlign w:val="center"/>
          </w:tcPr>
          <w:p w14:paraId="5247A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c>
          <w:tcPr>
            <w:tcW w:w="1470" w:type="dxa"/>
            <w:tcBorders>
              <w:top w:val="single" w:color="000000" w:sz="12" w:space="0"/>
              <w:tl2br w:val="nil"/>
              <w:tr2bl w:val="nil"/>
            </w:tcBorders>
            <w:noWrap w:val="0"/>
            <w:vAlign w:val="center"/>
          </w:tcPr>
          <w:p w14:paraId="27D27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292" w:type="dxa"/>
            <w:tcBorders>
              <w:top w:val="single" w:color="000000" w:sz="12" w:space="0"/>
              <w:tl2br w:val="nil"/>
              <w:tr2bl w:val="nil"/>
            </w:tcBorders>
            <w:noWrap w:val="0"/>
            <w:vAlign w:val="center"/>
          </w:tcPr>
          <w:p w14:paraId="767EA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c>
          <w:tcPr>
            <w:tcW w:w="1460" w:type="dxa"/>
            <w:tcBorders>
              <w:top w:val="single" w:color="000000" w:sz="12" w:space="0"/>
              <w:tl2br w:val="nil"/>
              <w:tr2bl w:val="nil"/>
            </w:tcBorders>
            <w:noWrap w:val="0"/>
            <w:vAlign w:val="center"/>
          </w:tcPr>
          <w:p w14:paraId="3612D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430" w:type="dxa"/>
            <w:tcBorders>
              <w:top w:val="single" w:color="000000" w:sz="12" w:space="0"/>
              <w:tl2br w:val="nil"/>
              <w:tr2bl w:val="nil"/>
            </w:tcBorders>
            <w:noWrap w:val="0"/>
            <w:vAlign w:val="center"/>
          </w:tcPr>
          <w:p w14:paraId="43D87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r>
    </w:tbl>
    <w:p w14:paraId="3E3D2DE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7" w:name="_Toc7789"/>
      <w:bookmarkStart w:id="488" w:name="_Toc3684"/>
    </w:p>
    <w:p w14:paraId="195F1AE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p>
    <w:p w14:paraId="7F346E4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Ⅳ  环境健康管控（含控烟管理）</w:t>
      </w:r>
      <w:bookmarkEnd w:id="487"/>
      <w:bookmarkEnd w:id="488"/>
    </w:p>
    <w:p w14:paraId="1CD417C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 xml:space="preserve"> 室内公共区域应在显眼位置设置禁止吸烟标识标牌，室外吸烟点应</w:t>
      </w:r>
      <w:r>
        <w:rPr>
          <w:rFonts w:hint="eastAsia" w:ascii="宋体" w:hAnsi="宋体" w:cs="宋体"/>
          <w:vanish w:val="0"/>
          <w:color w:val="auto"/>
          <w:sz w:val="24"/>
          <w:szCs w:val="24"/>
          <w:highlight w:val="none"/>
          <w:lang w:val="en-US" w:eastAsia="zh-CN"/>
        </w:rPr>
        <w:t>按</w:t>
      </w:r>
      <w:r>
        <w:rPr>
          <w:rFonts w:hint="eastAsia" w:ascii="宋体" w:hAnsi="宋体" w:eastAsia="宋体" w:cs="宋体"/>
          <w:vanish w:val="0"/>
          <w:color w:val="auto"/>
          <w:sz w:val="24"/>
          <w:szCs w:val="24"/>
          <w:highlight w:val="none"/>
          <w:lang w:val="en-US" w:eastAsia="zh-CN"/>
        </w:rPr>
        <w:t>相关法规要求设置管理，定期做好禁止吸烟的教育宣传工作。</w:t>
      </w:r>
    </w:p>
    <w:p w14:paraId="2905E0E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宜建立噪声管理制度，</w:t>
      </w:r>
      <w:r>
        <w:rPr>
          <w:rFonts w:hint="eastAsia" w:ascii="宋体" w:hAnsi="宋体" w:cs="宋体"/>
          <w:vanish w:val="0"/>
          <w:color w:val="auto"/>
          <w:sz w:val="24"/>
          <w:szCs w:val="24"/>
          <w:highlight w:val="none"/>
          <w:lang w:val="en-US" w:eastAsia="zh-CN"/>
        </w:rPr>
        <w:t>应符合</w:t>
      </w:r>
      <w:r>
        <w:rPr>
          <w:rFonts w:hint="eastAsia" w:ascii="宋体" w:hAnsi="宋体" w:eastAsia="宋体" w:cs="宋体"/>
          <w:vanish w:val="0"/>
          <w:color w:val="auto"/>
          <w:sz w:val="24"/>
          <w:szCs w:val="24"/>
          <w:highlight w:val="none"/>
          <w:lang w:val="en-US" w:eastAsia="zh-CN"/>
        </w:rPr>
        <w:t>现</w:t>
      </w:r>
      <w:r>
        <w:rPr>
          <w:rFonts w:hint="eastAsia" w:ascii="宋体" w:hAnsi="宋体" w:cs="宋体"/>
          <w:vanish w:val="0"/>
          <w:color w:val="auto"/>
          <w:sz w:val="24"/>
          <w:szCs w:val="24"/>
          <w:highlight w:val="none"/>
          <w:lang w:val="en-US" w:eastAsia="zh-CN"/>
        </w:rPr>
        <w:t>行</w:t>
      </w:r>
      <w:r>
        <w:rPr>
          <w:rFonts w:hint="eastAsia" w:ascii="宋体" w:hAnsi="宋体" w:eastAsia="宋体" w:cs="宋体"/>
          <w:vanish w:val="0"/>
          <w:color w:val="auto"/>
          <w:sz w:val="24"/>
          <w:szCs w:val="24"/>
          <w:highlight w:val="none"/>
          <w:lang w:val="en-US" w:eastAsia="zh-CN"/>
        </w:rPr>
        <w:t>国家标准《声环境质量标准》GB 3096的</w:t>
      </w:r>
      <w:r>
        <w:rPr>
          <w:rFonts w:hint="eastAsia" w:ascii="宋体" w:hAnsi="宋体" w:cs="宋体"/>
          <w:vanish w:val="0"/>
          <w:color w:val="auto"/>
          <w:sz w:val="24"/>
          <w:szCs w:val="24"/>
          <w:highlight w:val="none"/>
          <w:lang w:val="en-US" w:eastAsia="zh-CN"/>
        </w:rPr>
        <w:t>相关</w:t>
      </w:r>
      <w:r>
        <w:rPr>
          <w:rFonts w:hint="eastAsia" w:ascii="宋体" w:hAnsi="宋体" w:eastAsia="宋体" w:cs="宋体"/>
          <w:vanish w:val="0"/>
          <w:color w:val="auto"/>
          <w:sz w:val="24"/>
          <w:szCs w:val="24"/>
          <w:highlight w:val="none"/>
          <w:lang w:val="en-US" w:eastAsia="zh-CN"/>
        </w:rPr>
        <w:t>规定，采取有效降噪措施。</w:t>
      </w:r>
    </w:p>
    <w:p w14:paraId="4F3EB89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为防止对行人产生影响，空调排热与排风应取高位排措施；并对废气进行定期检测，发现问题就及时处理。</w:t>
      </w:r>
      <w:bookmarkStart w:id="489" w:name="_Toc12781"/>
    </w:p>
    <w:p w14:paraId="72028B5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90" w:name="_Toc16386"/>
      <w:bookmarkStart w:id="491" w:name="_Toc29885"/>
      <w:r>
        <w:rPr>
          <w:rFonts w:hint="eastAsia" w:ascii="宋体" w:hAnsi="宋体" w:eastAsia="宋体" w:cs="宋体"/>
          <w:b/>
          <w:bCs/>
          <w:color w:val="auto"/>
          <w:sz w:val="24"/>
          <w:szCs w:val="24"/>
          <w:highlight w:val="none"/>
          <w:lang w:val="en-US" w:eastAsia="zh-CN"/>
        </w:rPr>
        <w:t>13.</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绿化养护</w:t>
      </w:r>
      <w:bookmarkEnd w:id="489"/>
      <w:bookmarkEnd w:id="490"/>
      <w:bookmarkEnd w:id="491"/>
    </w:p>
    <w:p w14:paraId="2ED1EED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vanish w:val="0"/>
          <w:color w:val="auto"/>
          <w:sz w:val="24"/>
          <w:szCs w:val="24"/>
          <w:highlight w:val="none"/>
          <w:lang w:val="en-US" w:eastAsia="zh-CN"/>
        </w:rPr>
        <w:t xml:space="preserve">  建立健全绿化服务管理制度、绿化管养方案和安全操作规范。建立绿植台帐，做好日常管理工作记录并存档。</w:t>
      </w:r>
    </w:p>
    <w:p w14:paraId="0E019BA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绿化养护应结合物业实际需要，根据植物类别及生长特点制定养护计划，配备专业绿化养护人员进行分类养护。</w:t>
      </w:r>
    </w:p>
    <w:p w14:paraId="5060D08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根据季节要求，对乔木、灌木、花卉、草坪、地被植物等进行定期养护、修剪、及时补种，防治病虫害。确保绿植美观整齐，生长良好，无折损现象，无斑秃，无虫害症状，无灼伤等现象。</w:t>
      </w:r>
    </w:p>
    <w:p w14:paraId="6AC48C89">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 xml:space="preserve"> 应制定绿化养护肥料、农药等储存管理规范、安全管理规范和养护设备使用、操作规范；使用肥料、农药的产品应符合环保要求。</w:t>
      </w:r>
    </w:p>
    <w:p w14:paraId="59A889A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.5</w:t>
      </w:r>
      <w:r>
        <w:rPr>
          <w:rFonts w:hint="eastAsia" w:ascii="宋体" w:hAnsi="宋体" w:eastAsia="宋体" w:cs="宋体"/>
          <w:vanish w:val="0"/>
          <w:color w:val="auto"/>
          <w:sz w:val="24"/>
          <w:szCs w:val="24"/>
          <w:highlight w:val="none"/>
          <w:lang w:val="en-US" w:eastAsia="zh-CN"/>
        </w:rPr>
        <w:t xml:space="preserve">  绿植租摆应根据绿植租摆工作计划进行养护，应包含但不限于以下内容：</w:t>
      </w:r>
    </w:p>
    <w:p w14:paraId="4AE1B04C">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vanish w:val="0"/>
          <w:color w:val="auto"/>
          <w:sz w:val="24"/>
          <w:szCs w:val="24"/>
          <w:highlight w:val="none"/>
          <w:lang w:val="en-US" w:eastAsia="zh-CN"/>
        </w:rPr>
      </w:pPr>
      <w:bookmarkStart w:id="492" w:name="_Toc31882"/>
      <w:bookmarkStart w:id="493" w:name="_Toc6444"/>
      <w:bookmarkStart w:id="494" w:name="_Toc14285"/>
      <w:r>
        <w:rPr>
          <w:rFonts w:hint="eastAsia" w:ascii="宋体" w:hAnsi="宋体" w:cs="宋体"/>
          <w:vanish w:val="0"/>
          <w:color w:val="auto"/>
          <w:sz w:val="24"/>
          <w:szCs w:val="24"/>
          <w:highlight w:val="none"/>
          <w:lang w:val="en-US" w:eastAsia="zh-CN"/>
        </w:rPr>
        <w:t xml:space="preserve">1  </w:t>
      </w:r>
      <w:r>
        <w:rPr>
          <w:rFonts w:hint="eastAsia" w:ascii="宋体" w:hAnsi="宋体" w:eastAsia="宋体" w:cs="宋体"/>
          <w:vanish w:val="0"/>
          <w:color w:val="auto"/>
          <w:sz w:val="24"/>
          <w:szCs w:val="24"/>
          <w:highlight w:val="none"/>
          <w:lang w:val="en-US" w:eastAsia="zh-CN"/>
        </w:rPr>
        <w:t>应根据现场定位选择合适的盆景植物、花艺进行摆放</w:t>
      </w:r>
      <w:bookmarkEnd w:id="492"/>
      <w:bookmarkEnd w:id="493"/>
      <w:bookmarkEnd w:id="494"/>
      <w:r>
        <w:rPr>
          <w:rFonts w:hint="eastAsia" w:ascii="宋体" w:hAnsi="宋体" w:eastAsia="宋体" w:cs="宋体"/>
          <w:vanish w:val="0"/>
          <w:color w:val="auto"/>
          <w:sz w:val="24"/>
          <w:szCs w:val="24"/>
          <w:highlight w:val="none"/>
          <w:lang w:val="en-US" w:eastAsia="zh-CN"/>
        </w:rPr>
        <w:t>；</w:t>
      </w:r>
    </w:p>
    <w:p w14:paraId="51A10FEA">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495" w:name="_Toc2726"/>
      <w:bookmarkStart w:id="496" w:name="_Toc2121"/>
      <w:bookmarkStart w:id="497" w:name="_Toc26684"/>
      <w:r>
        <w:rPr>
          <w:rFonts w:hint="eastAsia" w:ascii="宋体" w:hAnsi="宋体" w:cs="宋体"/>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绿植应保持造型优美，长势良好</w:t>
      </w:r>
      <w:bookmarkEnd w:id="495"/>
      <w:bookmarkEnd w:id="496"/>
      <w:bookmarkEnd w:id="497"/>
      <w:bookmarkStart w:id="498" w:name="_Toc30004"/>
      <w:bookmarkStart w:id="499" w:name="_Toc13971"/>
      <w:bookmarkStart w:id="500" w:name="_Toc2807"/>
      <w:r>
        <w:rPr>
          <w:rFonts w:hint="eastAsia" w:ascii="宋体" w:hAnsi="宋体" w:eastAsia="宋体" w:cs="宋体"/>
          <w:vanish w:val="0"/>
          <w:color w:val="auto"/>
          <w:sz w:val="24"/>
          <w:szCs w:val="24"/>
          <w:highlight w:val="none"/>
          <w:lang w:val="en-US" w:eastAsia="zh-CN"/>
        </w:rPr>
        <w:t>；</w:t>
      </w:r>
    </w:p>
    <w:p w14:paraId="28CB0B3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vanish w:val="0"/>
          <w:color w:val="auto"/>
          <w:sz w:val="24"/>
          <w:szCs w:val="24"/>
          <w:highlight w:val="none"/>
          <w:lang w:val="en-US" w:eastAsia="zh-CN"/>
        </w:rPr>
      </w:pPr>
      <w:r>
        <w:rPr>
          <w:rFonts w:hint="eastAsia" w:ascii="宋体" w:hAnsi="宋体" w:cs="宋体"/>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植物铭牌、花盆、支架等绿化设施应定期维护保洁，确保整洁完好。</w:t>
      </w:r>
      <w:bookmarkEnd w:id="498"/>
      <w:bookmarkEnd w:id="499"/>
      <w:bookmarkEnd w:id="500"/>
    </w:p>
    <w:p w14:paraId="081784E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.6</w:t>
      </w:r>
      <w:r>
        <w:rPr>
          <w:rFonts w:hint="eastAsia" w:ascii="宋体" w:hAnsi="宋体" w:eastAsia="宋体" w:cs="宋体"/>
          <w:vanish w:val="0"/>
          <w:color w:val="auto"/>
          <w:sz w:val="24"/>
          <w:szCs w:val="24"/>
          <w:highlight w:val="none"/>
          <w:lang w:val="en-US" w:eastAsia="zh-CN"/>
        </w:rPr>
        <w:t xml:space="preserve">  绿化管养作业会产生较大噪声时应错开办公区内物业使用人工作时间和作息时间。</w:t>
      </w:r>
    </w:p>
    <w:p w14:paraId="6DF85FEA">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501" w:name="_Toc17496"/>
      <w:bookmarkStart w:id="502" w:name="_Toc7543"/>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宋体" w:hAnsi="宋体" w:eastAsia="宋体" w:cs="宋体"/>
          <w:vanish w:val="0"/>
          <w:color w:val="auto"/>
          <w:sz w:val="24"/>
          <w:szCs w:val="24"/>
          <w:highlight w:val="none"/>
          <w:lang w:val="en-US" w:eastAsia="zh-CN"/>
        </w:rPr>
        <w:t>　绿植养护服务要求见表13.</w:t>
      </w:r>
      <w:r>
        <w:rPr>
          <w:rFonts w:hint="eastAsia" w:ascii="宋体" w:hAnsi="宋体" w:cs="宋体"/>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val="en-US" w:eastAsia="zh-CN"/>
        </w:rPr>
        <w:t>.7。</w:t>
      </w:r>
      <w:bookmarkEnd w:id="501"/>
      <w:bookmarkEnd w:id="502"/>
      <w:r>
        <w:rPr>
          <w:rFonts w:hint="eastAsia" w:ascii="宋体" w:hAnsi="宋体" w:eastAsia="宋体" w:cs="宋体"/>
          <w:vanish w:val="0"/>
          <w:color w:val="auto"/>
          <w:sz w:val="24"/>
          <w:szCs w:val="24"/>
          <w:highlight w:val="none"/>
          <w:lang w:val="en-US" w:eastAsia="zh-CN"/>
        </w:rPr>
        <w:t xml:space="preserve"> </w:t>
      </w:r>
    </w:p>
    <w:p w14:paraId="33E8B16E">
      <w:pPr>
        <w:pStyle w:val="8"/>
        <w:tabs>
          <w:tab w:val="left" w:pos="420"/>
        </w:tabs>
        <w:spacing w:before="312" w:beforeLines="100" w:after="0" w:line="240" w:lineRule="auto"/>
        <w:jc w:val="center"/>
        <w:outlineLvl w:val="0"/>
        <w:rPr>
          <w:rFonts w:hint="eastAsia" w:ascii="Times New Roman" w:hAnsi="Times New Roman" w:eastAsia="黑体" w:cs="Times New Roman"/>
          <w:bCs w:val="0"/>
          <w:sz w:val="21"/>
          <w:szCs w:val="24"/>
          <w:highlight w:val="none"/>
          <w:lang w:val="en-US" w:eastAsia="zh-CN"/>
        </w:rPr>
      </w:pPr>
      <w:bookmarkStart w:id="503" w:name="_Toc2214"/>
      <w:bookmarkStart w:id="504" w:name="_Toc18822"/>
      <w:r>
        <w:rPr>
          <w:rFonts w:hint="eastAsia" w:ascii="Times New Roman" w:hAnsi="Times New Roman" w:eastAsia="黑体" w:cs="Times New Roman"/>
          <w:bCs w:val="0"/>
          <w:sz w:val="21"/>
          <w:szCs w:val="24"/>
          <w:highlight w:val="none"/>
          <w:lang w:val="en-US" w:eastAsia="zh-CN"/>
        </w:rPr>
        <w:t>表13.</w:t>
      </w:r>
      <w:r>
        <w:rPr>
          <w:rFonts w:hint="eastAsia" w:eastAsia="黑体" w:cs="Times New Roman"/>
          <w:bCs w:val="0"/>
          <w:sz w:val="21"/>
          <w:szCs w:val="24"/>
          <w:highlight w:val="none"/>
          <w:lang w:val="en-US" w:eastAsia="zh-CN"/>
        </w:rPr>
        <w:t>2</w:t>
      </w:r>
      <w:r>
        <w:rPr>
          <w:rFonts w:hint="eastAsia" w:ascii="Times New Roman" w:hAnsi="Times New Roman" w:eastAsia="黑体" w:cs="Times New Roman"/>
          <w:bCs w:val="0"/>
          <w:sz w:val="21"/>
          <w:szCs w:val="24"/>
          <w:highlight w:val="none"/>
          <w:lang w:val="en-US" w:eastAsia="zh-CN"/>
        </w:rPr>
        <w:t>.7  项目主要分类服务标准-绿植养护</w:t>
      </w:r>
      <w:bookmarkEnd w:id="503"/>
      <w:bookmarkEnd w:id="504"/>
    </w:p>
    <w:tbl>
      <w:tblPr>
        <w:tblStyle w:val="3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07"/>
        <w:gridCol w:w="1307"/>
        <w:gridCol w:w="1464"/>
        <w:gridCol w:w="1070"/>
        <w:gridCol w:w="1407"/>
        <w:gridCol w:w="991"/>
        <w:gridCol w:w="1385"/>
      </w:tblGrid>
      <w:tr w14:paraId="6ECF3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43" w:type="dxa"/>
            <w:gridSpan w:val="2"/>
            <w:vMerge w:val="restart"/>
            <w:noWrap/>
            <w:vAlign w:val="center"/>
          </w:tcPr>
          <w:p w14:paraId="74D16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771" w:type="dxa"/>
            <w:gridSpan w:val="2"/>
            <w:noWrap/>
            <w:vAlign w:val="center"/>
          </w:tcPr>
          <w:p w14:paraId="642C19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477" w:type="dxa"/>
            <w:gridSpan w:val="2"/>
            <w:noWrap/>
            <w:vAlign w:val="center"/>
          </w:tcPr>
          <w:p w14:paraId="7846D8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376" w:type="dxa"/>
            <w:gridSpan w:val="2"/>
            <w:noWrap/>
            <w:vAlign w:val="center"/>
          </w:tcPr>
          <w:p w14:paraId="597743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14:paraId="3C5E9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43" w:type="dxa"/>
            <w:gridSpan w:val="2"/>
            <w:vMerge w:val="continue"/>
            <w:tcBorders>
              <w:bottom w:val="single" w:color="000000" w:sz="12" w:space="0"/>
            </w:tcBorders>
            <w:noWrap/>
            <w:vAlign w:val="center"/>
          </w:tcPr>
          <w:p w14:paraId="20F1CAE2">
            <w:pPr>
              <w:jc w:val="center"/>
              <w:rPr>
                <w:rFonts w:hint="eastAsia" w:ascii="宋体" w:hAnsi="宋体" w:eastAsia="宋体" w:cs="宋体"/>
                <w:i w:val="0"/>
                <w:iCs w:val="0"/>
                <w:color w:val="auto"/>
                <w:sz w:val="18"/>
                <w:szCs w:val="18"/>
                <w:highlight w:val="none"/>
                <w:u w:val="none"/>
              </w:rPr>
            </w:pPr>
          </w:p>
        </w:tc>
        <w:tc>
          <w:tcPr>
            <w:tcW w:w="1307" w:type="dxa"/>
            <w:tcBorders>
              <w:bottom w:val="single" w:color="000000" w:sz="12" w:space="0"/>
            </w:tcBorders>
            <w:noWrap/>
            <w:vAlign w:val="center"/>
          </w:tcPr>
          <w:p w14:paraId="006DE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64" w:type="dxa"/>
            <w:tcBorders>
              <w:bottom w:val="single" w:color="000000" w:sz="12" w:space="0"/>
            </w:tcBorders>
            <w:noWrap/>
            <w:vAlign w:val="center"/>
          </w:tcPr>
          <w:p w14:paraId="6B8523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070" w:type="dxa"/>
            <w:tcBorders>
              <w:bottom w:val="single" w:color="000000" w:sz="12" w:space="0"/>
            </w:tcBorders>
            <w:noWrap/>
            <w:vAlign w:val="center"/>
          </w:tcPr>
          <w:p w14:paraId="73353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07" w:type="dxa"/>
            <w:tcBorders>
              <w:bottom w:val="single" w:color="000000" w:sz="12" w:space="0"/>
            </w:tcBorders>
            <w:noWrap/>
            <w:vAlign w:val="center"/>
          </w:tcPr>
          <w:p w14:paraId="6E2C10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991" w:type="dxa"/>
            <w:tcBorders>
              <w:bottom w:val="single" w:color="000000" w:sz="12" w:space="0"/>
            </w:tcBorders>
            <w:noWrap/>
            <w:vAlign w:val="center"/>
          </w:tcPr>
          <w:p w14:paraId="5FB60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385" w:type="dxa"/>
            <w:tcBorders>
              <w:bottom w:val="single" w:color="000000" w:sz="12" w:space="0"/>
            </w:tcBorders>
            <w:noWrap/>
            <w:vAlign w:val="center"/>
          </w:tcPr>
          <w:p w14:paraId="3FBF1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180F0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restart"/>
            <w:tcBorders>
              <w:top w:val="single" w:color="000000" w:sz="12" w:space="0"/>
              <w:tl2br w:val="nil"/>
              <w:tr2bl w:val="nil"/>
            </w:tcBorders>
            <w:noWrap/>
            <w:vAlign w:val="center"/>
          </w:tcPr>
          <w:p w14:paraId="38CEE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w:t>
            </w:r>
          </w:p>
        </w:tc>
        <w:tc>
          <w:tcPr>
            <w:tcW w:w="1007" w:type="dxa"/>
            <w:tcBorders>
              <w:top w:val="single" w:color="000000" w:sz="12" w:space="0"/>
              <w:tl2br w:val="nil"/>
              <w:tr2bl w:val="nil"/>
            </w:tcBorders>
            <w:noWrap/>
            <w:vAlign w:val="center"/>
          </w:tcPr>
          <w:p w14:paraId="5FE39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w:t>
            </w:r>
          </w:p>
        </w:tc>
        <w:tc>
          <w:tcPr>
            <w:tcW w:w="1307" w:type="dxa"/>
            <w:tcBorders>
              <w:top w:val="single" w:color="000000" w:sz="12" w:space="0"/>
              <w:tl2br w:val="nil"/>
              <w:tr2bl w:val="nil"/>
            </w:tcBorders>
            <w:noWrap/>
            <w:vAlign w:val="center"/>
          </w:tcPr>
          <w:p w14:paraId="10E994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464" w:type="dxa"/>
            <w:vMerge w:val="restart"/>
            <w:tcBorders>
              <w:top w:val="single" w:color="000000" w:sz="12" w:space="0"/>
              <w:tl2br w:val="nil"/>
              <w:tr2bl w:val="nil"/>
            </w:tcBorders>
            <w:noWrap w:val="0"/>
            <w:vAlign w:val="center"/>
          </w:tcPr>
          <w:p w14:paraId="0A0B1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c>
          <w:tcPr>
            <w:tcW w:w="1070" w:type="dxa"/>
            <w:tcBorders>
              <w:top w:val="single" w:color="000000" w:sz="12" w:space="0"/>
              <w:tl2br w:val="nil"/>
              <w:tr2bl w:val="nil"/>
            </w:tcBorders>
            <w:noWrap/>
            <w:vAlign w:val="center"/>
          </w:tcPr>
          <w:p w14:paraId="1E7D7C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407" w:type="dxa"/>
            <w:vMerge w:val="restart"/>
            <w:tcBorders>
              <w:top w:val="single" w:color="000000" w:sz="12" w:space="0"/>
              <w:tl2br w:val="nil"/>
              <w:tr2bl w:val="nil"/>
            </w:tcBorders>
            <w:noWrap w:val="0"/>
            <w:vAlign w:val="center"/>
          </w:tcPr>
          <w:p w14:paraId="2E39EA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c>
          <w:tcPr>
            <w:tcW w:w="991" w:type="dxa"/>
            <w:tcBorders>
              <w:top w:val="single" w:color="000000" w:sz="12" w:space="0"/>
              <w:tl2br w:val="nil"/>
              <w:tr2bl w:val="nil"/>
            </w:tcBorders>
            <w:noWrap/>
            <w:vAlign w:val="center"/>
          </w:tcPr>
          <w:p w14:paraId="3C487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385" w:type="dxa"/>
            <w:vMerge w:val="restart"/>
            <w:tcBorders>
              <w:top w:val="single" w:color="000000" w:sz="12" w:space="0"/>
              <w:tl2br w:val="nil"/>
              <w:tr2bl w:val="nil"/>
            </w:tcBorders>
            <w:noWrap w:val="0"/>
            <w:vAlign w:val="center"/>
          </w:tcPr>
          <w:p w14:paraId="7476D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r>
      <w:tr w14:paraId="66E78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14:paraId="215D3FB0">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14:paraId="4CE795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14:paraId="0C3AA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1</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14:paraId="7E09934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14:paraId="0E76B7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14:paraId="13FFC51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14:paraId="1BE330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14:paraId="0E6BB07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r>
      <w:tr w14:paraId="1A8F3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14:paraId="0FCA8EEF">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14:paraId="66B3B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除杂草</w:t>
            </w:r>
          </w:p>
        </w:tc>
        <w:tc>
          <w:tcPr>
            <w:tcW w:w="1307" w:type="dxa"/>
            <w:tcBorders>
              <w:tl2br w:val="nil"/>
              <w:tr2bl w:val="nil"/>
            </w:tcBorders>
            <w:noWrap/>
            <w:vAlign w:val="center"/>
          </w:tcPr>
          <w:p w14:paraId="02EAC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1</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14:paraId="6016302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14:paraId="162CF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14:paraId="53C0C7A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14:paraId="0E5730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14:paraId="5E76DB4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r>
    </w:tbl>
    <w:p w14:paraId="46CB7A80">
      <w:pPr>
        <w:rPr>
          <w:rFonts w:hint="eastAsia"/>
          <w:highlight w:val="none"/>
          <w:lang w:val="en-US" w:eastAsia="zh-CN"/>
        </w:rPr>
      </w:pPr>
    </w:p>
    <w:p w14:paraId="60D7940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续表13.2.7</w:t>
      </w:r>
    </w:p>
    <w:tbl>
      <w:tblPr>
        <w:tblStyle w:val="3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07"/>
        <w:gridCol w:w="1307"/>
        <w:gridCol w:w="1464"/>
        <w:gridCol w:w="1070"/>
        <w:gridCol w:w="1407"/>
        <w:gridCol w:w="991"/>
        <w:gridCol w:w="1385"/>
      </w:tblGrid>
      <w:tr w14:paraId="7A413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43" w:type="dxa"/>
            <w:gridSpan w:val="2"/>
            <w:vMerge w:val="restart"/>
            <w:tcBorders>
              <w:tl2br w:val="nil"/>
              <w:tr2bl w:val="nil"/>
            </w:tcBorders>
            <w:noWrap/>
            <w:vAlign w:val="center"/>
          </w:tcPr>
          <w:p w14:paraId="1701261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771" w:type="dxa"/>
            <w:gridSpan w:val="2"/>
            <w:tcBorders>
              <w:tl2br w:val="nil"/>
              <w:tr2bl w:val="nil"/>
            </w:tcBorders>
            <w:noWrap/>
            <w:vAlign w:val="center"/>
          </w:tcPr>
          <w:p w14:paraId="4B3AAF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477" w:type="dxa"/>
            <w:gridSpan w:val="2"/>
            <w:tcBorders>
              <w:tl2br w:val="nil"/>
              <w:tr2bl w:val="nil"/>
            </w:tcBorders>
            <w:noWrap/>
            <w:vAlign w:val="center"/>
          </w:tcPr>
          <w:p w14:paraId="4E7D4D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376" w:type="dxa"/>
            <w:gridSpan w:val="2"/>
            <w:tcBorders>
              <w:tl2br w:val="nil"/>
              <w:tr2bl w:val="nil"/>
            </w:tcBorders>
            <w:noWrap/>
            <w:vAlign w:val="center"/>
          </w:tcPr>
          <w:p w14:paraId="4998E6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14:paraId="784E3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43" w:type="dxa"/>
            <w:gridSpan w:val="2"/>
            <w:vMerge w:val="continue"/>
            <w:tcBorders>
              <w:tl2br w:val="nil"/>
              <w:tr2bl w:val="nil"/>
            </w:tcBorders>
            <w:noWrap/>
            <w:vAlign w:val="center"/>
          </w:tcPr>
          <w:p w14:paraId="2C3CC6D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307" w:type="dxa"/>
            <w:tcBorders>
              <w:tl2br w:val="nil"/>
              <w:tr2bl w:val="nil"/>
            </w:tcBorders>
            <w:noWrap/>
            <w:vAlign w:val="center"/>
          </w:tcPr>
          <w:p w14:paraId="1CD35A2C">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频次</w:t>
            </w:r>
          </w:p>
        </w:tc>
        <w:tc>
          <w:tcPr>
            <w:tcW w:w="1464" w:type="dxa"/>
            <w:tcBorders>
              <w:tl2br w:val="nil"/>
              <w:tr2bl w:val="nil"/>
            </w:tcBorders>
            <w:noWrap w:val="0"/>
            <w:vAlign w:val="center"/>
          </w:tcPr>
          <w:p w14:paraId="02DE747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070" w:type="dxa"/>
            <w:tcBorders>
              <w:tl2br w:val="nil"/>
              <w:tr2bl w:val="nil"/>
            </w:tcBorders>
            <w:noWrap/>
            <w:vAlign w:val="center"/>
          </w:tcPr>
          <w:p w14:paraId="092ABA85">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频次</w:t>
            </w:r>
          </w:p>
        </w:tc>
        <w:tc>
          <w:tcPr>
            <w:tcW w:w="1407" w:type="dxa"/>
            <w:tcBorders>
              <w:tl2br w:val="nil"/>
              <w:tr2bl w:val="nil"/>
            </w:tcBorders>
            <w:noWrap w:val="0"/>
            <w:vAlign w:val="center"/>
          </w:tcPr>
          <w:p w14:paraId="53CE2A8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991" w:type="dxa"/>
            <w:tcBorders>
              <w:tl2br w:val="nil"/>
              <w:tr2bl w:val="nil"/>
            </w:tcBorders>
            <w:noWrap/>
            <w:vAlign w:val="center"/>
          </w:tcPr>
          <w:p w14:paraId="2C94AAB7">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频次</w:t>
            </w:r>
          </w:p>
        </w:tc>
        <w:tc>
          <w:tcPr>
            <w:tcW w:w="1385" w:type="dxa"/>
            <w:tcBorders>
              <w:tl2br w:val="nil"/>
              <w:tr2bl w:val="nil"/>
            </w:tcBorders>
            <w:noWrap w:val="0"/>
            <w:vAlign w:val="center"/>
          </w:tcPr>
          <w:p w14:paraId="2C20E07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1900D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restart"/>
            <w:tcBorders>
              <w:tl2br w:val="nil"/>
              <w:tr2bl w:val="nil"/>
            </w:tcBorders>
            <w:noWrap/>
            <w:vAlign w:val="center"/>
          </w:tcPr>
          <w:p w14:paraId="04DA0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地被</w:t>
            </w:r>
          </w:p>
        </w:tc>
        <w:tc>
          <w:tcPr>
            <w:tcW w:w="1007" w:type="dxa"/>
            <w:tcBorders>
              <w:tl2br w:val="nil"/>
              <w:tr2bl w:val="nil"/>
            </w:tcBorders>
            <w:noWrap/>
            <w:vAlign w:val="center"/>
          </w:tcPr>
          <w:p w14:paraId="651EB3D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保洁</w:t>
            </w:r>
          </w:p>
        </w:tc>
        <w:tc>
          <w:tcPr>
            <w:tcW w:w="1307" w:type="dxa"/>
            <w:tcBorders>
              <w:tl2br w:val="nil"/>
              <w:tr2bl w:val="nil"/>
            </w:tcBorders>
            <w:noWrap/>
            <w:vAlign w:val="center"/>
          </w:tcPr>
          <w:p w14:paraId="7C1EDF9A">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restart"/>
            <w:tcBorders>
              <w:tl2br w:val="nil"/>
              <w:tr2bl w:val="nil"/>
            </w:tcBorders>
            <w:noWrap w:val="0"/>
            <w:vAlign w:val="center"/>
          </w:tcPr>
          <w:p w14:paraId="2A61C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c>
          <w:tcPr>
            <w:tcW w:w="1070" w:type="dxa"/>
            <w:tcBorders>
              <w:tl2br w:val="nil"/>
              <w:tr2bl w:val="nil"/>
            </w:tcBorders>
            <w:noWrap/>
            <w:vAlign w:val="center"/>
          </w:tcPr>
          <w:p w14:paraId="34DB72D5">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407" w:type="dxa"/>
            <w:vMerge w:val="restart"/>
            <w:tcBorders>
              <w:tl2br w:val="nil"/>
              <w:tr2bl w:val="nil"/>
            </w:tcBorders>
            <w:noWrap w:val="0"/>
            <w:vAlign w:val="center"/>
          </w:tcPr>
          <w:p w14:paraId="4FDDB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c>
          <w:tcPr>
            <w:tcW w:w="991" w:type="dxa"/>
            <w:tcBorders>
              <w:tl2br w:val="nil"/>
              <w:tr2bl w:val="nil"/>
            </w:tcBorders>
            <w:noWrap/>
            <w:vAlign w:val="center"/>
          </w:tcPr>
          <w:p w14:paraId="0E6479CD">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restart"/>
            <w:tcBorders>
              <w:tl2br w:val="nil"/>
              <w:tr2bl w:val="nil"/>
            </w:tcBorders>
            <w:noWrap w:val="0"/>
            <w:vAlign w:val="center"/>
          </w:tcPr>
          <w:p w14:paraId="4FD9B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r>
      <w:tr w14:paraId="69C07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14:paraId="419F5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14:paraId="21B3191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养护</w:t>
            </w:r>
          </w:p>
        </w:tc>
        <w:tc>
          <w:tcPr>
            <w:tcW w:w="1307" w:type="dxa"/>
            <w:tcBorders>
              <w:tl2br w:val="nil"/>
              <w:tr2bl w:val="nil"/>
            </w:tcBorders>
            <w:noWrap/>
            <w:vAlign w:val="center"/>
          </w:tcPr>
          <w:p w14:paraId="2A86859B">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14:paraId="08D4C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14:paraId="7515A816">
            <w:pPr>
              <w:keepNext w:val="0"/>
              <w:keepLines w:val="0"/>
              <w:widowControl/>
              <w:suppressLineNumbers w:val="0"/>
              <w:jc w:val="both"/>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2月</w:t>
            </w:r>
          </w:p>
        </w:tc>
        <w:tc>
          <w:tcPr>
            <w:tcW w:w="1407" w:type="dxa"/>
            <w:vMerge w:val="continue"/>
            <w:tcBorders>
              <w:tl2br w:val="nil"/>
              <w:tr2bl w:val="nil"/>
            </w:tcBorders>
            <w:noWrap w:val="0"/>
            <w:vAlign w:val="center"/>
          </w:tcPr>
          <w:p w14:paraId="7FEE9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14:paraId="5F4E4AC3">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2月</w:t>
            </w:r>
          </w:p>
        </w:tc>
        <w:tc>
          <w:tcPr>
            <w:tcW w:w="1385" w:type="dxa"/>
            <w:vMerge w:val="continue"/>
            <w:tcBorders>
              <w:tl2br w:val="nil"/>
              <w:tr2bl w:val="nil"/>
            </w:tcBorders>
            <w:noWrap w:val="0"/>
            <w:vAlign w:val="center"/>
          </w:tcPr>
          <w:p w14:paraId="16A824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r>
      <w:tr w14:paraId="70594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36" w:type="dxa"/>
            <w:tcBorders>
              <w:tl2br w:val="nil"/>
              <w:tr2bl w:val="nil"/>
            </w:tcBorders>
            <w:noWrap/>
            <w:vAlign w:val="center"/>
          </w:tcPr>
          <w:p w14:paraId="49633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w:t>
            </w:r>
          </w:p>
        </w:tc>
        <w:tc>
          <w:tcPr>
            <w:tcW w:w="1007" w:type="dxa"/>
            <w:tcBorders>
              <w:tl2br w:val="nil"/>
              <w:tr2bl w:val="nil"/>
            </w:tcBorders>
            <w:noWrap/>
            <w:vAlign w:val="center"/>
          </w:tcPr>
          <w:p w14:paraId="776C26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14:paraId="28A9D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tcBorders>
              <w:tl2br w:val="nil"/>
              <w:tr2bl w:val="nil"/>
            </w:tcBorders>
            <w:noWrap/>
            <w:vAlign w:val="center"/>
          </w:tcPr>
          <w:p w14:paraId="45F7A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c>
          <w:tcPr>
            <w:tcW w:w="1070" w:type="dxa"/>
            <w:tcBorders>
              <w:tl2br w:val="nil"/>
              <w:tr2bl w:val="nil"/>
            </w:tcBorders>
            <w:noWrap/>
            <w:vAlign w:val="center"/>
          </w:tcPr>
          <w:p w14:paraId="04CF84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tcBorders>
              <w:tl2br w:val="nil"/>
              <w:tr2bl w:val="nil"/>
            </w:tcBorders>
            <w:noWrap/>
            <w:vAlign w:val="center"/>
          </w:tcPr>
          <w:p w14:paraId="0B50D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c>
          <w:tcPr>
            <w:tcW w:w="991" w:type="dxa"/>
            <w:tcBorders>
              <w:tl2br w:val="nil"/>
              <w:tr2bl w:val="nil"/>
            </w:tcBorders>
            <w:noWrap/>
            <w:vAlign w:val="center"/>
          </w:tcPr>
          <w:p w14:paraId="329215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tcBorders>
              <w:tl2br w:val="nil"/>
              <w:tr2bl w:val="nil"/>
            </w:tcBorders>
            <w:noWrap/>
            <w:vAlign w:val="center"/>
          </w:tcPr>
          <w:p w14:paraId="45C59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r>
      <w:tr w14:paraId="688BE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tcBorders>
              <w:tl2br w:val="nil"/>
              <w:tr2bl w:val="nil"/>
            </w:tcBorders>
            <w:noWrap/>
            <w:vAlign w:val="center"/>
          </w:tcPr>
          <w:p w14:paraId="4371B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w:t>
            </w:r>
          </w:p>
        </w:tc>
        <w:tc>
          <w:tcPr>
            <w:tcW w:w="1007" w:type="dxa"/>
            <w:tcBorders>
              <w:tl2br w:val="nil"/>
              <w:tr2bl w:val="nil"/>
            </w:tcBorders>
            <w:noWrap/>
            <w:vAlign w:val="center"/>
          </w:tcPr>
          <w:p w14:paraId="123D3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14:paraId="396C8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64" w:type="dxa"/>
            <w:tcBorders>
              <w:tl2br w:val="nil"/>
              <w:tr2bl w:val="nil"/>
            </w:tcBorders>
            <w:noWrap/>
            <w:vAlign w:val="center"/>
          </w:tcPr>
          <w:p w14:paraId="0FADB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c>
          <w:tcPr>
            <w:tcW w:w="1070" w:type="dxa"/>
            <w:tcBorders>
              <w:tl2br w:val="nil"/>
              <w:tr2bl w:val="nil"/>
            </w:tcBorders>
            <w:noWrap/>
            <w:vAlign w:val="center"/>
          </w:tcPr>
          <w:p w14:paraId="7B7BC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07" w:type="dxa"/>
            <w:tcBorders>
              <w:tl2br w:val="nil"/>
              <w:tr2bl w:val="nil"/>
            </w:tcBorders>
            <w:noWrap/>
            <w:vAlign w:val="center"/>
          </w:tcPr>
          <w:p w14:paraId="6DE94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c>
          <w:tcPr>
            <w:tcW w:w="991" w:type="dxa"/>
            <w:tcBorders>
              <w:tl2br w:val="nil"/>
              <w:tr2bl w:val="nil"/>
            </w:tcBorders>
            <w:noWrap/>
            <w:vAlign w:val="center"/>
          </w:tcPr>
          <w:p w14:paraId="1A964D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385" w:type="dxa"/>
            <w:tcBorders>
              <w:tl2br w:val="nil"/>
              <w:tr2bl w:val="nil"/>
            </w:tcBorders>
            <w:noWrap/>
            <w:vAlign w:val="center"/>
          </w:tcPr>
          <w:p w14:paraId="7E69E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r>
      <w:tr w14:paraId="6C5E2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6" w:type="dxa"/>
            <w:vMerge w:val="restart"/>
            <w:tcBorders>
              <w:tl2br w:val="nil"/>
              <w:tr2bl w:val="nil"/>
            </w:tcBorders>
            <w:noWrap/>
            <w:vAlign w:val="center"/>
          </w:tcPr>
          <w:p w14:paraId="62EE4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绿化租摆</w:t>
            </w:r>
          </w:p>
        </w:tc>
        <w:tc>
          <w:tcPr>
            <w:tcW w:w="1007" w:type="dxa"/>
            <w:tcBorders>
              <w:tl2br w:val="nil"/>
              <w:tr2bl w:val="nil"/>
            </w:tcBorders>
            <w:noWrap/>
            <w:vAlign w:val="center"/>
          </w:tcPr>
          <w:p w14:paraId="3F2FFE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w:t>
            </w:r>
          </w:p>
        </w:tc>
        <w:tc>
          <w:tcPr>
            <w:tcW w:w="1307" w:type="dxa"/>
            <w:tcBorders>
              <w:tl2br w:val="nil"/>
              <w:tr2bl w:val="nil"/>
            </w:tcBorders>
            <w:noWrap/>
            <w:vAlign w:val="center"/>
          </w:tcPr>
          <w:p w14:paraId="75A53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464" w:type="dxa"/>
            <w:vMerge w:val="restart"/>
            <w:tcBorders>
              <w:tl2br w:val="nil"/>
              <w:tr2bl w:val="nil"/>
            </w:tcBorders>
            <w:noWrap w:val="0"/>
            <w:vAlign w:val="center"/>
          </w:tcPr>
          <w:p w14:paraId="11DC4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c>
          <w:tcPr>
            <w:tcW w:w="1070" w:type="dxa"/>
            <w:tcBorders>
              <w:tl2br w:val="nil"/>
              <w:tr2bl w:val="nil"/>
            </w:tcBorders>
            <w:noWrap/>
            <w:vAlign w:val="center"/>
          </w:tcPr>
          <w:p w14:paraId="7C495F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407" w:type="dxa"/>
            <w:vMerge w:val="restart"/>
            <w:tcBorders>
              <w:tl2br w:val="nil"/>
              <w:tr2bl w:val="nil"/>
            </w:tcBorders>
            <w:noWrap w:val="0"/>
            <w:vAlign w:val="center"/>
          </w:tcPr>
          <w:p w14:paraId="23351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c>
          <w:tcPr>
            <w:tcW w:w="991" w:type="dxa"/>
            <w:tcBorders>
              <w:tl2br w:val="nil"/>
              <w:tr2bl w:val="nil"/>
            </w:tcBorders>
            <w:noWrap/>
            <w:vAlign w:val="center"/>
          </w:tcPr>
          <w:p w14:paraId="575A79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月</w:t>
            </w:r>
          </w:p>
        </w:tc>
        <w:tc>
          <w:tcPr>
            <w:tcW w:w="1385" w:type="dxa"/>
            <w:vMerge w:val="restart"/>
            <w:tcBorders>
              <w:tl2br w:val="nil"/>
              <w:tr2bl w:val="nil"/>
            </w:tcBorders>
            <w:noWrap w:val="0"/>
            <w:vAlign w:val="center"/>
          </w:tcPr>
          <w:p w14:paraId="3AAA9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r>
      <w:tr w14:paraId="61E1F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Merge w:val="continue"/>
            <w:tcBorders>
              <w:tl2br w:val="nil"/>
              <w:tr2bl w:val="nil"/>
            </w:tcBorders>
            <w:noWrap/>
            <w:vAlign w:val="center"/>
          </w:tcPr>
          <w:p w14:paraId="3C70C11B">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14:paraId="4F6B8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更换频次</w:t>
            </w:r>
          </w:p>
        </w:tc>
        <w:tc>
          <w:tcPr>
            <w:tcW w:w="1307" w:type="dxa"/>
            <w:tcBorders>
              <w:tl2br w:val="nil"/>
              <w:tr2bl w:val="nil"/>
            </w:tcBorders>
            <w:noWrap/>
            <w:vAlign w:val="center"/>
          </w:tcPr>
          <w:p w14:paraId="6A9B84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w:t>
            </w:r>
            <w:r>
              <w:rPr>
                <w:rFonts w:hint="eastAsia" w:ascii="宋体" w:hAnsi="宋体" w:cs="宋体"/>
                <w:i w:val="0"/>
                <w:iCs w:val="0"/>
                <w:color w:val="auto"/>
                <w:kern w:val="0"/>
                <w:sz w:val="18"/>
                <w:szCs w:val="18"/>
                <w:highlight w:val="none"/>
                <w:u w:val="none"/>
                <w:lang w:val="en-US" w:eastAsia="zh-CN" w:bidi="ar"/>
              </w:rPr>
              <w:t>半</w:t>
            </w:r>
            <w:r>
              <w:rPr>
                <w:rFonts w:hint="eastAsia" w:ascii="宋体" w:hAnsi="宋体" w:eastAsia="宋体" w:cs="宋体"/>
                <w:i w:val="0"/>
                <w:iCs w:val="0"/>
                <w:color w:val="auto"/>
                <w:kern w:val="0"/>
                <w:sz w:val="18"/>
                <w:szCs w:val="18"/>
                <w:highlight w:val="none"/>
                <w:u w:val="none"/>
                <w:lang w:val="en-US" w:eastAsia="zh-CN" w:bidi="ar"/>
              </w:rPr>
              <w:t>年</w:t>
            </w:r>
          </w:p>
        </w:tc>
        <w:tc>
          <w:tcPr>
            <w:tcW w:w="1464" w:type="dxa"/>
            <w:vMerge w:val="continue"/>
            <w:tcBorders>
              <w:tl2br w:val="nil"/>
              <w:tr2bl w:val="nil"/>
            </w:tcBorders>
            <w:noWrap w:val="0"/>
            <w:vAlign w:val="center"/>
          </w:tcPr>
          <w:p w14:paraId="00AFD9A5">
            <w:pPr>
              <w:jc w:val="center"/>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14:paraId="400481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14:paraId="0E1F7AB8">
            <w:pPr>
              <w:jc w:val="center"/>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14:paraId="4AE26D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14:paraId="6D4AA6C5">
            <w:pPr>
              <w:jc w:val="center"/>
              <w:rPr>
                <w:rFonts w:hint="eastAsia" w:ascii="宋体" w:hAnsi="宋体" w:eastAsia="宋体" w:cs="宋体"/>
                <w:i w:val="0"/>
                <w:iCs w:val="0"/>
                <w:color w:val="auto"/>
                <w:sz w:val="18"/>
                <w:szCs w:val="18"/>
                <w:highlight w:val="none"/>
                <w:u w:val="none"/>
              </w:rPr>
            </w:pPr>
          </w:p>
        </w:tc>
      </w:tr>
    </w:tbl>
    <w:p w14:paraId="61362504">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05" w:name="_Toc17707"/>
      <w:bookmarkStart w:id="506" w:name="_Toc23318"/>
      <w:bookmarkStart w:id="507" w:name="_Toc27890"/>
      <w:r>
        <w:rPr>
          <w:rFonts w:hint="eastAsia" w:ascii="Times New Roman" w:hAnsi="Times New Roman" w:eastAsia="宋体" w:cs="Times New Roman"/>
          <w:sz w:val="30"/>
          <w:highlight w:val="none"/>
          <w:lang w:val="en-US" w:eastAsia="zh-CN"/>
        </w:rPr>
        <w:t xml:space="preserve">14  </w:t>
      </w:r>
      <w:r>
        <w:rPr>
          <w:rFonts w:hint="eastAsia" w:ascii="Times New Roman" w:hAnsi="Times New Roman" w:eastAsia="宋体" w:cs="Times New Roman"/>
          <w:b w:val="0"/>
          <w:bCs w:val="0"/>
          <w:sz w:val="30"/>
          <w:highlight w:val="none"/>
          <w:lang w:val="en-US" w:eastAsia="zh-CN"/>
        </w:rPr>
        <w:t>食</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堂</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管</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理</w:t>
      </w:r>
      <w:bookmarkEnd w:id="505"/>
      <w:bookmarkEnd w:id="506"/>
      <w:bookmarkEnd w:id="507"/>
    </w:p>
    <w:p w14:paraId="46E44F8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xml:space="preserve">  </w:t>
      </w:r>
      <w:r>
        <w:rPr>
          <w:rFonts w:hint="eastAsia" w:ascii="宋体" w:hAnsi="宋体" w:cs="宋体"/>
          <w:vanish w:val="0"/>
          <w:color w:val="auto"/>
          <w:sz w:val="24"/>
          <w:szCs w:val="24"/>
          <w:highlight w:val="none"/>
          <w:lang w:val="en-US" w:eastAsia="zh-CN"/>
        </w:rPr>
        <w:t>应符合现行国家标准</w:t>
      </w:r>
      <w:r>
        <w:rPr>
          <w:rFonts w:hint="eastAsia" w:ascii="宋体" w:hAnsi="宋体" w:eastAsia="宋体" w:cs="宋体"/>
          <w:vanish w:val="0"/>
          <w:color w:val="auto"/>
          <w:sz w:val="24"/>
          <w:szCs w:val="24"/>
          <w:highlight w:val="none"/>
          <w:lang w:val="en-US" w:eastAsia="zh-CN"/>
        </w:rPr>
        <w:t>《食品安全国家标准  餐饮服务通用卫生规范》GB 31654</w:t>
      </w:r>
      <w:r>
        <w:rPr>
          <w:rFonts w:hint="eastAsia" w:ascii="宋体" w:hAnsi="宋体" w:cs="宋体"/>
          <w:vanish w:val="0"/>
          <w:color w:val="auto"/>
          <w:sz w:val="24"/>
          <w:szCs w:val="24"/>
          <w:highlight w:val="none"/>
          <w:lang w:val="en-US" w:eastAsia="zh-CN"/>
        </w:rPr>
        <w:t>的相关规定</w:t>
      </w:r>
      <w:r>
        <w:rPr>
          <w:rFonts w:hint="eastAsia" w:ascii="宋体" w:hAnsi="宋体" w:eastAsia="宋体" w:cs="宋体"/>
          <w:vanish w:val="0"/>
          <w:color w:val="auto"/>
          <w:sz w:val="24"/>
          <w:szCs w:val="24"/>
          <w:highlight w:val="none"/>
          <w:lang w:val="en-US" w:eastAsia="zh-CN"/>
        </w:rPr>
        <w:t>建立厨房、食堂食品安全管理制度，采取有效管理措施，保证食品安全。</w:t>
      </w:r>
    </w:p>
    <w:p w14:paraId="585BD02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val="en-US" w:eastAsia="zh-CN"/>
        </w:rPr>
        <w:t>　食堂应持有《食品安全许可证》、食堂从业人员应持有食品从业人员健康证并在显眼地方上墙，每天上岗前应进行健康状况检查，如发现异常情况应暂停上岗。</w:t>
      </w:r>
    </w:p>
    <w:p w14:paraId="6101C8E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en-US" w:eastAsia="zh-CN"/>
        </w:rPr>
        <w:t>　应当及时对厨房灶具和排油烟罩设施进行清洗，每日应对洗碗机和消毒柜进行检查，排油烟管道每季度至少进行一次检查、清洗。</w:t>
      </w:r>
    </w:p>
    <w:p w14:paraId="7B6F3AB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　</w:t>
      </w:r>
      <w:r>
        <w:rPr>
          <w:rFonts w:hint="eastAsia" w:ascii="宋体" w:hAnsi="宋体" w:eastAsia="宋体" w:cs="宋体"/>
          <w:vanish w:val="0"/>
          <w:color w:val="auto"/>
          <w:sz w:val="24"/>
          <w:szCs w:val="24"/>
          <w:highlight w:val="none"/>
          <w:lang w:val="en-US" w:eastAsia="zh-CN"/>
        </w:rPr>
        <w:t>应制定完善的食品、食材供应商管理制度并严格落实监管，做好相关可追溯的记录存档备查。</w:t>
      </w:r>
    </w:p>
    <w:p w14:paraId="56A4E62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5</w:t>
      </w:r>
      <w:r>
        <w:rPr>
          <w:rFonts w:hint="eastAsia" w:ascii="宋体" w:hAnsi="宋体" w:eastAsia="宋体" w:cs="宋体"/>
          <w:vanish w:val="0"/>
          <w:color w:val="auto"/>
          <w:sz w:val="24"/>
          <w:szCs w:val="24"/>
          <w:highlight w:val="none"/>
          <w:lang w:val="en-US" w:eastAsia="zh-CN"/>
        </w:rPr>
        <w:t>　应制定完善的厨房、食堂食品安全卫生监督机制。按制度落实主要监督工作包括但不限于以下内容：</w:t>
      </w:r>
    </w:p>
    <w:p w14:paraId="274A658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508" w:name="_Toc18486"/>
      <w:bookmarkStart w:id="509" w:name="_Toc31632"/>
      <w:bookmarkStart w:id="510" w:name="_Toc29172"/>
      <w:r>
        <w:rPr>
          <w:rFonts w:hint="eastAsia" w:ascii="宋体" w:hAnsi="宋体" w:eastAsia="宋体" w:cs="宋体"/>
          <w:vanish w:val="0"/>
          <w:color w:val="auto"/>
          <w:sz w:val="24"/>
          <w:szCs w:val="24"/>
          <w:highlight w:val="none"/>
          <w:lang w:val="en-US" w:eastAsia="zh-CN"/>
        </w:rPr>
        <w:t>1  每班次对食堂环境清洁质量、厨房及食品安全卫生、生熟冷冻食品储存与管理、留样食品的管理、食品添加剂使用与管理、食堂紫外线消毒、食品采购与食品进出库的登记等做好监督检查和管理工作，宜进行相关记录存档</w:t>
      </w:r>
      <w:bookmarkEnd w:id="508"/>
      <w:bookmarkEnd w:id="509"/>
      <w:bookmarkEnd w:id="510"/>
      <w:r>
        <w:rPr>
          <w:rFonts w:hint="eastAsia" w:ascii="宋体" w:hAnsi="宋体" w:cs="宋体"/>
          <w:vanish w:val="0"/>
          <w:color w:val="auto"/>
          <w:sz w:val="24"/>
          <w:szCs w:val="24"/>
          <w:highlight w:val="none"/>
          <w:lang w:val="en-US" w:eastAsia="zh-CN"/>
        </w:rPr>
        <w:t>；</w:t>
      </w:r>
    </w:p>
    <w:p w14:paraId="55C3B32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511" w:name="_Toc10582"/>
      <w:bookmarkStart w:id="512" w:name="_Toc26166"/>
      <w:bookmarkStart w:id="513" w:name="_Toc27403"/>
      <w:r>
        <w:rPr>
          <w:rFonts w:hint="eastAsia" w:ascii="宋体" w:hAnsi="宋体" w:eastAsia="宋体" w:cs="宋体"/>
          <w:vanish w:val="0"/>
          <w:color w:val="auto"/>
          <w:sz w:val="24"/>
          <w:szCs w:val="24"/>
          <w:highlight w:val="none"/>
          <w:lang w:val="en-US" w:eastAsia="zh-CN"/>
        </w:rPr>
        <w:t>2  对各类食堂、食厅制定餐前、餐中、餐后的相关服务流程宜有效进行实施，保障用餐服务的顺利进行。</w:t>
      </w:r>
      <w:bookmarkEnd w:id="511"/>
      <w:bookmarkEnd w:id="512"/>
      <w:bookmarkEnd w:id="513"/>
    </w:p>
    <w:p w14:paraId="7F59C2A5">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14" w:name="_Toc3248"/>
      <w:bookmarkStart w:id="515" w:name="_Toc15025"/>
      <w:bookmarkStart w:id="516" w:name="_Toc31756"/>
      <w:r>
        <w:rPr>
          <w:rFonts w:hint="eastAsia" w:ascii="Times New Roman" w:hAnsi="Times New Roman" w:eastAsia="宋体" w:cs="Times New Roman"/>
          <w:sz w:val="30"/>
          <w:highlight w:val="none"/>
          <w:lang w:val="en-US" w:eastAsia="zh-CN"/>
        </w:rPr>
        <w:t xml:space="preserve">15  </w:t>
      </w:r>
      <w:r>
        <w:rPr>
          <w:rFonts w:hint="eastAsia" w:ascii="Times New Roman" w:hAnsi="Times New Roman" w:eastAsia="宋体" w:cs="Times New Roman"/>
          <w:b w:val="0"/>
          <w:bCs w:val="0"/>
          <w:sz w:val="30"/>
          <w:highlight w:val="none"/>
          <w:lang w:val="en-US" w:eastAsia="zh-CN"/>
        </w:rPr>
        <w:t>公寓服务</w:t>
      </w:r>
      <w:bookmarkEnd w:id="514"/>
      <w:bookmarkEnd w:id="515"/>
      <w:bookmarkEnd w:id="516"/>
    </w:p>
    <w:p w14:paraId="3344395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1 </w:t>
      </w:r>
      <w:r>
        <w:rPr>
          <w:rFonts w:hint="eastAsia" w:ascii="宋体" w:hAnsi="宋体" w:eastAsia="宋体" w:cs="宋体"/>
          <w:vanish w:val="0"/>
          <w:color w:val="auto"/>
          <w:sz w:val="24"/>
          <w:szCs w:val="24"/>
          <w:highlight w:val="none"/>
          <w:lang w:val="en-US" w:eastAsia="zh-CN"/>
        </w:rPr>
        <w:t xml:space="preserve"> 应建立公寓管理服务工作规程以及入住及退房流程，使客户安心入住、舒</w:t>
      </w:r>
      <w:r>
        <w:rPr>
          <w:rFonts w:hint="eastAsia" w:ascii="宋体" w:hAnsi="宋体" w:cs="宋体"/>
          <w:vanish w:val="0"/>
          <w:color w:val="auto"/>
          <w:sz w:val="24"/>
          <w:szCs w:val="24"/>
          <w:highlight w:val="none"/>
          <w:lang w:val="en-US" w:eastAsia="zh-CN"/>
        </w:rPr>
        <w:t>适</w:t>
      </w:r>
      <w:r>
        <w:rPr>
          <w:rFonts w:hint="eastAsia" w:ascii="宋体" w:hAnsi="宋体" w:eastAsia="宋体" w:cs="宋体"/>
          <w:vanish w:val="0"/>
          <w:color w:val="auto"/>
          <w:sz w:val="24"/>
          <w:szCs w:val="24"/>
          <w:highlight w:val="none"/>
          <w:lang w:val="en-US" w:eastAsia="zh-CN"/>
        </w:rPr>
        <w:t>住房和快速退房，做到流程简便、顺畅、无错漏；房态信息更新无误、及时。</w:t>
      </w:r>
    </w:p>
    <w:p w14:paraId="53D0D18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 xml:space="preserve"> 应设置24小时前台服务人员，接待客户做到端庄友爱，文明用语，应答尽答，耐心细致；应统一公示收费标准及注意事项并提醒客户。</w:t>
      </w:r>
    </w:p>
    <w:p w14:paraId="409BA09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 xml:space="preserve"> 房间内设备、器具、家具应确保完好，能正常使用；做到整洁齐备，无异味，无积水、无污渍、无灰尘、无蜘蛛网。</w:t>
      </w:r>
    </w:p>
    <w:p w14:paraId="6C021E1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xml:space="preserve">  应定期更换布草，做到干净整洁，无破损，无异味，无污渍、张铺规范。一次性消耗品做到及时更换、补充；摆放整洁得体。</w:t>
      </w:r>
    </w:p>
    <w:p w14:paraId="1102A0C8">
      <w:pPr>
        <w:pStyle w:val="4"/>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17" w:name="_Toc19711"/>
      <w:bookmarkStart w:id="518" w:name="_Toc1581"/>
      <w:bookmarkStart w:id="519" w:name="_Toc11630"/>
      <w:r>
        <w:rPr>
          <w:rFonts w:hint="eastAsia" w:ascii="Times New Roman" w:hAnsi="Times New Roman" w:eastAsia="宋体" w:cs="Times New Roman"/>
          <w:sz w:val="30"/>
          <w:highlight w:val="none"/>
          <w:lang w:val="en-US" w:eastAsia="zh-CN"/>
        </w:rPr>
        <w:t xml:space="preserve">16  </w:t>
      </w:r>
      <w:r>
        <w:rPr>
          <w:rFonts w:hint="eastAsia" w:ascii="Times New Roman" w:hAnsi="Times New Roman" w:eastAsia="宋体" w:cs="Times New Roman"/>
          <w:b w:val="0"/>
          <w:bCs w:val="0"/>
          <w:sz w:val="30"/>
          <w:highlight w:val="none"/>
          <w:lang w:val="en-US" w:eastAsia="zh-CN"/>
        </w:rPr>
        <w:t>绿色物业管理</w:t>
      </w:r>
      <w:bookmarkEnd w:id="517"/>
      <w:bookmarkEnd w:id="518"/>
      <w:bookmarkEnd w:id="519"/>
    </w:p>
    <w:p w14:paraId="1238B67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xml:space="preserve">  积极开展节约能源资源、保护生态环境的实践活动，</w:t>
      </w:r>
      <w:r>
        <w:rPr>
          <w:rFonts w:hint="default" w:ascii="宋体" w:hAnsi="宋体" w:eastAsia="宋体" w:cs="宋体"/>
          <w:vanish w:val="0"/>
          <w:color w:val="auto"/>
          <w:sz w:val="24"/>
          <w:szCs w:val="24"/>
          <w:highlight w:val="none"/>
          <w:lang w:val="en-US" w:eastAsia="zh-CN"/>
        </w:rPr>
        <w:t>建设低碳科普教育基地</w:t>
      </w:r>
      <w:r>
        <w:rPr>
          <w:rFonts w:hint="eastAsia" w:ascii="宋体" w:hAnsi="宋体" w:eastAsia="宋体" w:cs="宋体"/>
          <w:vanish w:val="0"/>
          <w:color w:val="auto"/>
          <w:sz w:val="24"/>
          <w:szCs w:val="24"/>
          <w:highlight w:val="none"/>
          <w:lang w:val="en-US" w:eastAsia="zh-CN"/>
        </w:rPr>
        <w:t>,做好绿色物业管理的教育宣传。</w:t>
      </w:r>
    </w:p>
    <w:p w14:paraId="06F7001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 xml:space="preserve"> 科学实施节约用电、节约用水、垃圾分类管理、</w:t>
      </w:r>
      <w:r>
        <w:rPr>
          <w:rFonts w:hint="default" w:ascii="宋体" w:hAnsi="宋体" w:eastAsia="宋体" w:cs="宋体"/>
          <w:vanish w:val="0"/>
          <w:color w:val="auto"/>
          <w:sz w:val="24"/>
          <w:szCs w:val="24"/>
          <w:highlight w:val="none"/>
          <w:lang w:val="en-US" w:eastAsia="zh-CN"/>
        </w:rPr>
        <w:t>资源回收</w:t>
      </w:r>
      <w:r>
        <w:rPr>
          <w:rFonts w:hint="eastAsia" w:ascii="宋体" w:hAnsi="宋体" w:eastAsia="宋体" w:cs="宋体"/>
          <w:vanish w:val="0"/>
          <w:color w:val="auto"/>
          <w:sz w:val="24"/>
          <w:szCs w:val="24"/>
          <w:highlight w:val="none"/>
          <w:lang w:val="en-US" w:eastAsia="zh-CN"/>
        </w:rPr>
        <w:t>、污染防治、降低碳排放等措施,做好项目</w:t>
      </w:r>
      <w:r>
        <w:rPr>
          <w:rFonts w:hint="default" w:ascii="宋体" w:hAnsi="宋体" w:eastAsia="宋体" w:cs="宋体"/>
          <w:vanish w:val="0"/>
          <w:color w:val="auto"/>
          <w:sz w:val="24"/>
          <w:szCs w:val="24"/>
          <w:highlight w:val="none"/>
          <w:lang w:val="en-US" w:eastAsia="zh-CN"/>
        </w:rPr>
        <w:t>绿化碳汇建设</w:t>
      </w:r>
      <w:r>
        <w:rPr>
          <w:rFonts w:hint="eastAsia" w:ascii="宋体" w:hAnsi="宋体" w:eastAsia="宋体" w:cs="宋体"/>
          <w:vanish w:val="0"/>
          <w:color w:val="auto"/>
          <w:sz w:val="24"/>
          <w:szCs w:val="24"/>
          <w:highlight w:val="none"/>
          <w:lang w:val="en-US" w:eastAsia="zh-CN"/>
        </w:rPr>
        <w:t>。</w:t>
      </w:r>
    </w:p>
    <w:p w14:paraId="6360D51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 xml:space="preserve"> 不使用国家《高能耗落后机电设备（产品）淘汰目录》中列出的设备（产品）。</w:t>
      </w:r>
    </w:p>
    <w:p w14:paraId="3CB42F0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4 </w:t>
      </w:r>
      <w:r>
        <w:rPr>
          <w:rFonts w:hint="eastAsia" w:ascii="宋体" w:hAnsi="宋体" w:eastAsia="宋体" w:cs="宋体"/>
          <w:vanish w:val="0"/>
          <w:color w:val="auto"/>
          <w:sz w:val="24"/>
          <w:szCs w:val="24"/>
          <w:highlight w:val="none"/>
          <w:lang w:val="en-US" w:eastAsia="zh-CN"/>
        </w:rPr>
        <w:t xml:space="preserve"> 根据技术的进步，及时淘汰老旧用电、用水等设施，更新节能新产品。</w:t>
      </w:r>
    </w:p>
    <w:p w14:paraId="10CF66F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0.5</w:t>
      </w:r>
      <w:r>
        <w:rPr>
          <w:rFonts w:hint="eastAsia" w:ascii="Times New Roman" w:hAnsi="Times New Roman" w:eastAsia="宋体"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采用高效节能照明装置。照度及照明功率密度值应符合现行国家标准GB50034的要求。</w:t>
      </w:r>
    </w:p>
    <w:p w14:paraId="0614CC6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0.6</w:t>
      </w:r>
      <w:r>
        <w:rPr>
          <w:rFonts w:hint="eastAsia" w:ascii="Times New Roman" w:hAnsi="Times New Roman" w:eastAsia="宋体"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照明宜采用集中、分区、分组控制相结合，并合理采用自动控制措施；如采用声控、光控、人体感应或自动降低照度控制措施。根据季节天气变化，适时调整室外公共照明的开启和关闭时间。</w:t>
      </w:r>
    </w:p>
    <w:p w14:paraId="095F3944">
      <w:pPr>
        <w:pStyle w:val="4"/>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520" w:name="_Toc23852"/>
      <w:bookmarkStart w:id="521" w:name="_Toc30306"/>
      <w:bookmarkStart w:id="522" w:name="_Toc23782"/>
      <w:r>
        <w:rPr>
          <w:rFonts w:hint="eastAsia" w:ascii="Times New Roman" w:hAnsi="Times New Roman" w:eastAsia="宋体" w:cs="Times New Roman"/>
          <w:sz w:val="30"/>
          <w:highlight w:val="none"/>
          <w:lang w:val="en-US" w:eastAsia="zh-CN"/>
        </w:rPr>
        <w:t xml:space="preserve">17  </w:t>
      </w:r>
      <w:r>
        <w:rPr>
          <w:rFonts w:hint="eastAsia" w:ascii="Times New Roman" w:hAnsi="Times New Roman" w:eastAsia="宋体" w:cs="Times New Roman"/>
          <w:b w:val="0"/>
          <w:bCs w:val="0"/>
          <w:sz w:val="30"/>
          <w:highlight w:val="none"/>
          <w:lang w:val="en-US" w:eastAsia="zh-CN"/>
        </w:rPr>
        <w:t>智</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慧</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物</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业</w:t>
      </w:r>
      <w:bookmarkEnd w:id="520"/>
      <w:bookmarkEnd w:id="521"/>
      <w:bookmarkEnd w:id="522"/>
    </w:p>
    <w:p w14:paraId="451F27B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善用物联网、大数据和人工智能技术建立智能化物业管理服务平台。</w:t>
      </w:r>
    </w:p>
    <w:p w14:paraId="76561B56">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vanish w:val="0"/>
          <w:color w:val="auto"/>
          <w:sz w:val="24"/>
          <w:szCs w:val="24"/>
          <w:highlight w:val="none"/>
          <w:lang w:val="en-US" w:eastAsia="zh-CN"/>
        </w:rPr>
      </w:pPr>
      <w:bookmarkStart w:id="523" w:name="_Toc27213"/>
      <w:bookmarkStart w:id="524" w:name="_Toc16975"/>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val="en-US" w:eastAsia="zh-CN"/>
        </w:rPr>
        <w:t>　建立智能化办公系统，实现无纸化办公。</w:t>
      </w:r>
      <w:bookmarkEnd w:id="523"/>
      <w:bookmarkEnd w:id="524"/>
    </w:p>
    <w:p w14:paraId="7BC3A5F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en-US" w:eastAsia="zh-CN"/>
        </w:rPr>
        <w:t>　建立客户管理系统，记录客户信息，维护客户关系，了解客户需求，跟进客户投诉。</w:t>
      </w:r>
    </w:p>
    <w:p w14:paraId="1909EC1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建立信息化系统平台，实现远程处理访客进出管理，停车缴费，快递配送通知，收费管理等。</w:t>
      </w:r>
    </w:p>
    <w:p w14:paraId="1482181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5</w:t>
      </w:r>
      <w:r>
        <w:rPr>
          <w:rFonts w:hint="eastAsia" w:ascii="宋体" w:hAnsi="宋体" w:eastAsia="宋体" w:cs="宋体"/>
          <w:vanish w:val="0"/>
          <w:color w:val="auto"/>
          <w:sz w:val="24"/>
          <w:szCs w:val="24"/>
          <w:highlight w:val="none"/>
          <w:lang w:val="en-US" w:eastAsia="zh-CN"/>
        </w:rPr>
        <w:t>　具备停车场智能系统，有自动识别车牌、智能动态监控、停车引导、定位寻车，移动支付缴费等功能。</w:t>
      </w:r>
    </w:p>
    <w:p w14:paraId="3591EF5B">
      <w:pPr>
        <w:pStyle w:val="4"/>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525" w:name="_Toc14996"/>
      <w:bookmarkStart w:id="526" w:name="_Toc14109"/>
      <w:r>
        <w:rPr>
          <w:rFonts w:hint="eastAsia" w:ascii="Times New Roman" w:hAnsi="Times New Roman" w:eastAsia="宋体" w:cs="Times New Roman"/>
          <w:sz w:val="30"/>
          <w:highlight w:val="none"/>
          <w:lang w:val="en-US" w:eastAsia="zh-CN"/>
        </w:rPr>
        <w:t xml:space="preserve">18  </w:t>
      </w:r>
      <w:r>
        <w:rPr>
          <w:rFonts w:hint="eastAsia" w:ascii="Times New Roman" w:hAnsi="Times New Roman" w:eastAsia="宋体" w:cs="Times New Roman"/>
          <w:b w:val="0"/>
          <w:bCs w:val="0"/>
          <w:sz w:val="30"/>
          <w:highlight w:val="none"/>
          <w:lang w:val="en-US" w:eastAsia="zh-CN"/>
        </w:rPr>
        <w:t>评</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价</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要</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求</w:t>
      </w:r>
      <w:bookmarkEnd w:id="525"/>
      <w:bookmarkEnd w:id="526"/>
    </w:p>
    <w:p w14:paraId="219EE76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27" w:name="_Toc11397"/>
      <w:bookmarkStart w:id="528" w:name="_Toc3190"/>
      <w:r>
        <w:rPr>
          <w:rFonts w:hint="eastAsia" w:ascii="宋体" w:hAnsi="宋体" w:eastAsia="宋体" w:cs="宋体"/>
          <w:b/>
          <w:bCs/>
          <w:color w:val="auto"/>
          <w:sz w:val="24"/>
          <w:szCs w:val="24"/>
          <w:highlight w:val="none"/>
          <w:lang w:val="en-US" w:eastAsia="zh-CN"/>
        </w:rPr>
        <w:t>18.1　评价原则</w:t>
      </w:r>
      <w:bookmarkEnd w:id="527"/>
      <w:bookmarkEnd w:id="528"/>
    </w:p>
    <w:p w14:paraId="70CA90E8">
      <w:pPr>
        <w:pStyle w:val="2"/>
        <w:rPr>
          <w:rFonts w:hint="default" w:ascii="宋体" w:hAnsi="宋体" w:eastAsia="宋体" w:cs="宋体"/>
          <w:vanish w:val="0"/>
          <w:color w:val="auto"/>
          <w:kern w:val="2"/>
          <w:sz w:val="24"/>
          <w:szCs w:val="24"/>
          <w:highlight w:val="none"/>
          <w:lang w:val="en-US" w:eastAsia="zh-CN" w:bidi="ar-SA"/>
        </w:rPr>
      </w:pPr>
      <w:r>
        <w:rPr>
          <w:rFonts w:hint="default" w:ascii="Times New Roman" w:hAnsi="Times New Roman" w:eastAsia="宋体" w:cs="Times New Roman"/>
          <w:b/>
          <w:bCs/>
          <w:vanish w:val="0"/>
          <w:color w:val="auto"/>
          <w:sz w:val="24"/>
          <w:szCs w:val="24"/>
          <w:highlight w:val="none"/>
          <w:lang w:val="en-US" w:eastAsia="zh-CN"/>
        </w:rPr>
        <w:t>18.</w:t>
      </w:r>
      <w:r>
        <w:rPr>
          <w:rFonts w:hint="eastAsia" w:cs="Times New Roman"/>
          <w:b/>
          <w:bCs/>
          <w:vanish w:val="0"/>
          <w:color w:val="auto"/>
          <w:sz w:val="24"/>
          <w:szCs w:val="24"/>
          <w:highlight w:val="none"/>
          <w:lang w:val="en-US" w:eastAsia="zh-CN"/>
        </w:rPr>
        <w:t>1</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w:t>
      </w:r>
      <w:r>
        <w:rPr>
          <w:rFonts w:hint="eastAsia" w:ascii="宋体" w:hAnsi="宋体" w:eastAsia="宋体" w:cs="宋体"/>
          <w:vanish w:val="0"/>
          <w:color w:val="auto"/>
          <w:kern w:val="2"/>
          <w:sz w:val="24"/>
          <w:szCs w:val="24"/>
          <w:highlight w:val="none"/>
          <w:lang w:val="en-US" w:eastAsia="zh-CN" w:bidi="ar-SA"/>
        </w:rPr>
        <w:t>评价工作应当遵循公平、公正、公开的原则。</w:t>
      </w:r>
    </w:p>
    <w:p w14:paraId="073B90B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29" w:name="_Toc20347"/>
      <w:bookmarkStart w:id="530" w:name="_Toc2602"/>
      <w:r>
        <w:rPr>
          <w:rFonts w:hint="eastAsia" w:ascii="宋体" w:hAnsi="宋体" w:eastAsia="宋体" w:cs="宋体"/>
          <w:b/>
          <w:bCs/>
          <w:color w:val="auto"/>
          <w:sz w:val="24"/>
          <w:szCs w:val="24"/>
          <w:highlight w:val="none"/>
          <w:lang w:val="en-US" w:eastAsia="zh-CN"/>
        </w:rPr>
        <w:t>18.2　评价主体及对象</w:t>
      </w:r>
      <w:bookmarkEnd w:id="529"/>
      <w:bookmarkEnd w:id="530"/>
    </w:p>
    <w:p w14:paraId="17C623B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18.2.1</w:t>
      </w:r>
      <w:r>
        <w:rPr>
          <w:rFonts w:hint="eastAsia" w:ascii="宋体" w:hAnsi="宋体" w:eastAsia="宋体" w:cs="宋体"/>
          <w:vanish w:val="0"/>
          <w:color w:val="auto"/>
          <w:sz w:val="24"/>
          <w:szCs w:val="24"/>
          <w:highlight w:val="none"/>
          <w:lang w:val="en-US" w:eastAsia="zh-CN"/>
        </w:rPr>
        <w:t>　评价的主体为行业主管部门、行业协会、物业服务企业的上级单位、物业服务企业。</w:t>
      </w:r>
    </w:p>
    <w:p w14:paraId="653BCDC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18.2.2</w:t>
      </w:r>
      <w:r>
        <w:rPr>
          <w:rFonts w:hint="eastAsia" w:ascii="宋体" w:hAnsi="宋体" w:eastAsia="宋体" w:cs="宋体"/>
          <w:vanish w:val="0"/>
          <w:color w:val="auto"/>
          <w:sz w:val="24"/>
          <w:szCs w:val="24"/>
          <w:highlight w:val="none"/>
          <w:lang w:val="en-US" w:eastAsia="zh-CN"/>
        </w:rPr>
        <w:t>　评价的对象为物业企业提供服务的电力工业物业服务项目。</w:t>
      </w:r>
    </w:p>
    <w:p w14:paraId="66CB960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31" w:name="_Toc3249"/>
      <w:bookmarkStart w:id="532" w:name="_Toc22782"/>
      <w:r>
        <w:rPr>
          <w:rFonts w:hint="eastAsia" w:ascii="宋体" w:hAnsi="宋体" w:eastAsia="宋体" w:cs="宋体"/>
          <w:b/>
          <w:bCs/>
          <w:color w:val="auto"/>
          <w:sz w:val="24"/>
          <w:szCs w:val="24"/>
          <w:highlight w:val="none"/>
          <w:lang w:val="en-US" w:eastAsia="zh-CN"/>
        </w:rPr>
        <w:t>18.3　评价方式</w:t>
      </w:r>
      <w:bookmarkEnd w:id="531"/>
      <w:bookmarkEnd w:id="532"/>
    </w:p>
    <w:p w14:paraId="651FC9D3">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w:t>
      </w:r>
      <w:r>
        <w:rPr>
          <w:rFonts w:hint="eastAsia" w:ascii="Times New Roman" w:hAnsi="Times New Roman" w:eastAsia="宋体"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评价分为定期现场检查、不定期现场检查两种方式。定期现场检查每个自然年度至少一次，检查范围覆盖本文所有服务内容。</w:t>
      </w:r>
    </w:p>
    <w:p w14:paraId="7AC8AF3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33" w:name="_Toc12659"/>
      <w:bookmarkStart w:id="534" w:name="_Toc20773"/>
      <w:r>
        <w:rPr>
          <w:rFonts w:hint="eastAsia" w:ascii="宋体" w:hAnsi="宋体" w:eastAsia="宋体" w:cs="宋体"/>
          <w:b/>
          <w:bCs/>
          <w:color w:val="auto"/>
          <w:sz w:val="24"/>
          <w:szCs w:val="24"/>
          <w:highlight w:val="none"/>
          <w:lang w:val="en-US" w:eastAsia="zh-CN"/>
        </w:rPr>
        <w:t>18.4　评价结果</w:t>
      </w:r>
      <w:bookmarkEnd w:id="533"/>
      <w:bookmarkEnd w:id="534"/>
    </w:p>
    <w:p w14:paraId="332BCCB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w:t>
      </w:r>
      <w:r>
        <w:rPr>
          <w:rFonts w:hint="eastAsia" w:ascii="Times New Roman" w:hAnsi="Times New Roman" w:eastAsia="宋体" w:cs="Times New Roman"/>
          <w:b/>
          <w:bCs/>
          <w:vanish w:val="0"/>
          <w:color w:val="auto"/>
          <w:sz w:val="24"/>
          <w:szCs w:val="24"/>
          <w:highlight w:val="none"/>
          <w:lang w:val="en-US" w:eastAsia="zh-CN"/>
        </w:rPr>
        <w:t>4</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行业协会通过定期、不定期现场检查，按照本文件确定电力工业物业服务等级并进行公示。</w:t>
      </w:r>
    </w:p>
    <w:p w14:paraId="7BE3B9B0">
      <w:pPr>
        <w:pStyle w:val="2"/>
        <w:rPr>
          <w:rFonts w:hint="eastAsia" w:ascii="宋体" w:hAnsi="宋体" w:eastAsia="宋体" w:cs="宋体"/>
          <w:color w:val="auto"/>
          <w:sz w:val="21"/>
          <w:szCs w:val="21"/>
          <w:highlight w:val="none"/>
          <w:lang w:val="en-US" w:eastAsia="zh-CN"/>
        </w:rPr>
      </w:pPr>
    </w:p>
    <w:p w14:paraId="56C6B5F2">
      <w:pPr>
        <w:pStyle w:val="2"/>
        <w:rPr>
          <w:rFonts w:hint="eastAsia" w:ascii="宋体" w:hAnsi="宋体" w:eastAsia="宋体" w:cs="宋体"/>
          <w:color w:val="auto"/>
          <w:sz w:val="21"/>
          <w:szCs w:val="21"/>
          <w:highlight w:val="none"/>
          <w:lang w:val="en-US" w:eastAsia="zh-CN"/>
        </w:rPr>
      </w:pPr>
    </w:p>
    <w:p w14:paraId="12F39E84">
      <w:pPr>
        <w:pStyle w:val="2"/>
        <w:rPr>
          <w:rFonts w:hint="eastAsia" w:ascii="宋体" w:hAnsi="宋体" w:eastAsia="宋体" w:cs="宋体"/>
          <w:color w:val="auto"/>
          <w:sz w:val="21"/>
          <w:szCs w:val="21"/>
          <w:highlight w:val="none"/>
          <w:lang w:val="en-US" w:eastAsia="zh-CN"/>
        </w:rPr>
      </w:pPr>
    </w:p>
    <w:p w14:paraId="5C047D80">
      <w:pPr>
        <w:pStyle w:val="2"/>
        <w:rPr>
          <w:rFonts w:hint="eastAsia" w:ascii="宋体" w:hAnsi="宋体" w:eastAsia="宋体" w:cs="宋体"/>
          <w:color w:val="auto"/>
          <w:sz w:val="21"/>
          <w:szCs w:val="21"/>
          <w:highlight w:val="none"/>
          <w:lang w:val="en-US" w:eastAsia="zh-CN"/>
        </w:rPr>
      </w:pPr>
    </w:p>
    <w:p w14:paraId="241DA3E7">
      <w:pPr>
        <w:pStyle w:val="2"/>
        <w:rPr>
          <w:rFonts w:hint="eastAsia" w:ascii="宋体" w:hAnsi="宋体" w:eastAsia="宋体" w:cs="宋体"/>
          <w:color w:val="auto"/>
          <w:sz w:val="21"/>
          <w:szCs w:val="21"/>
          <w:highlight w:val="none"/>
          <w:lang w:val="en-US" w:eastAsia="zh-CN"/>
        </w:rPr>
      </w:pPr>
    </w:p>
    <w:p w14:paraId="4C393541">
      <w:pPr>
        <w:pStyle w:val="2"/>
        <w:rPr>
          <w:rFonts w:hint="eastAsia" w:ascii="宋体" w:hAnsi="宋体" w:eastAsia="宋体" w:cs="宋体"/>
          <w:color w:val="auto"/>
          <w:sz w:val="21"/>
          <w:szCs w:val="21"/>
          <w:highlight w:val="none"/>
          <w:lang w:val="en-US" w:eastAsia="zh-CN"/>
        </w:rPr>
      </w:pPr>
    </w:p>
    <w:p w14:paraId="07ECF6B7">
      <w:pPr>
        <w:pStyle w:val="2"/>
        <w:rPr>
          <w:rFonts w:hint="eastAsia" w:ascii="宋体" w:hAnsi="宋体" w:eastAsia="宋体" w:cs="宋体"/>
          <w:color w:val="auto"/>
          <w:sz w:val="21"/>
          <w:szCs w:val="21"/>
          <w:highlight w:val="none"/>
          <w:lang w:val="en-US" w:eastAsia="zh-CN"/>
        </w:rPr>
      </w:pPr>
    </w:p>
    <w:p w14:paraId="6B95E3EC">
      <w:pPr>
        <w:pStyle w:val="2"/>
        <w:rPr>
          <w:rFonts w:hint="eastAsia" w:ascii="宋体" w:hAnsi="宋体" w:eastAsia="宋体" w:cs="宋体"/>
          <w:color w:val="auto"/>
          <w:sz w:val="21"/>
          <w:szCs w:val="21"/>
          <w:highlight w:val="none"/>
          <w:lang w:val="en-US" w:eastAsia="zh-CN"/>
        </w:rPr>
      </w:pPr>
    </w:p>
    <w:p w14:paraId="2DFDB324">
      <w:pPr>
        <w:pStyle w:val="2"/>
        <w:rPr>
          <w:rFonts w:hint="eastAsia" w:ascii="宋体" w:hAnsi="宋体" w:eastAsia="宋体" w:cs="宋体"/>
          <w:color w:val="auto"/>
          <w:sz w:val="21"/>
          <w:szCs w:val="21"/>
          <w:highlight w:val="none"/>
          <w:lang w:val="en-US" w:eastAsia="zh-CN"/>
        </w:rPr>
      </w:pPr>
    </w:p>
    <w:p w14:paraId="5A1A47C8">
      <w:pPr>
        <w:pStyle w:val="2"/>
        <w:rPr>
          <w:rFonts w:hint="eastAsia" w:ascii="宋体" w:hAnsi="宋体" w:eastAsia="宋体" w:cs="宋体"/>
          <w:color w:val="auto"/>
          <w:sz w:val="21"/>
          <w:szCs w:val="21"/>
          <w:highlight w:val="none"/>
          <w:lang w:val="en-US" w:eastAsia="zh-CN"/>
        </w:rPr>
      </w:pPr>
    </w:p>
    <w:p w14:paraId="4F2127C4">
      <w:pPr>
        <w:pStyle w:val="2"/>
        <w:rPr>
          <w:rFonts w:hint="eastAsia" w:ascii="宋体" w:hAnsi="宋体" w:eastAsia="宋体" w:cs="宋体"/>
          <w:color w:val="auto"/>
          <w:sz w:val="21"/>
          <w:szCs w:val="21"/>
          <w:highlight w:val="none"/>
          <w:lang w:val="en-US" w:eastAsia="zh-CN"/>
        </w:rPr>
      </w:pPr>
    </w:p>
    <w:p w14:paraId="455491D9">
      <w:pPr>
        <w:pStyle w:val="2"/>
        <w:rPr>
          <w:rFonts w:hint="eastAsia" w:ascii="宋体" w:hAnsi="宋体" w:eastAsia="宋体" w:cs="宋体"/>
          <w:color w:val="auto"/>
          <w:sz w:val="21"/>
          <w:szCs w:val="21"/>
          <w:highlight w:val="none"/>
          <w:lang w:val="en-US" w:eastAsia="zh-CN"/>
        </w:rPr>
      </w:pPr>
    </w:p>
    <w:p w14:paraId="35476428">
      <w:pPr>
        <w:pStyle w:val="2"/>
        <w:rPr>
          <w:rFonts w:hint="eastAsia" w:ascii="宋体" w:hAnsi="宋体" w:eastAsia="宋体" w:cs="宋体"/>
          <w:color w:val="auto"/>
          <w:sz w:val="21"/>
          <w:szCs w:val="21"/>
          <w:highlight w:val="none"/>
          <w:lang w:val="en-US" w:eastAsia="zh-CN"/>
        </w:rPr>
      </w:pPr>
    </w:p>
    <w:p w14:paraId="6C781A3E">
      <w:pPr>
        <w:pStyle w:val="2"/>
        <w:rPr>
          <w:rFonts w:hint="eastAsia" w:ascii="宋体" w:hAnsi="宋体" w:eastAsia="宋体" w:cs="宋体"/>
          <w:color w:val="auto"/>
          <w:sz w:val="21"/>
          <w:szCs w:val="21"/>
          <w:highlight w:val="none"/>
          <w:lang w:val="en-US" w:eastAsia="zh-CN"/>
        </w:rPr>
      </w:pPr>
    </w:p>
    <w:p w14:paraId="278E05FB">
      <w:pPr>
        <w:pStyle w:val="2"/>
        <w:rPr>
          <w:rFonts w:hint="eastAsia" w:ascii="宋体" w:hAnsi="宋体" w:eastAsia="宋体" w:cs="宋体"/>
          <w:color w:val="auto"/>
          <w:sz w:val="21"/>
          <w:szCs w:val="21"/>
          <w:highlight w:val="none"/>
          <w:lang w:val="en-US" w:eastAsia="zh-CN"/>
        </w:rPr>
      </w:pPr>
    </w:p>
    <w:p w14:paraId="392A305A">
      <w:pPr>
        <w:pStyle w:val="2"/>
        <w:rPr>
          <w:rFonts w:hint="eastAsia" w:ascii="宋体" w:hAnsi="宋体" w:eastAsia="宋体" w:cs="宋体"/>
          <w:color w:val="auto"/>
          <w:sz w:val="21"/>
          <w:szCs w:val="21"/>
          <w:highlight w:val="none"/>
          <w:lang w:val="en-US" w:eastAsia="zh-CN"/>
        </w:rPr>
      </w:pPr>
    </w:p>
    <w:p w14:paraId="646689C6">
      <w:pPr>
        <w:pStyle w:val="2"/>
        <w:rPr>
          <w:rFonts w:hint="eastAsia" w:ascii="宋体" w:hAnsi="宋体" w:eastAsia="宋体" w:cs="宋体"/>
          <w:color w:val="auto"/>
          <w:sz w:val="21"/>
          <w:szCs w:val="21"/>
          <w:highlight w:val="none"/>
          <w:lang w:val="en-US" w:eastAsia="zh-CN"/>
        </w:rPr>
      </w:pPr>
    </w:p>
    <w:p w14:paraId="03C070B8">
      <w:pPr>
        <w:pStyle w:val="4"/>
        <w:numPr>
          <w:ilvl w:val="0"/>
          <w:numId w:val="0"/>
        </w:numPr>
        <w:jc w:val="center"/>
        <w:rPr>
          <w:sz w:val="30"/>
          <w:szCs w:val="30"/>
          <w:highlight w:val="none"/>
        </w:rPr>
      </w:pPr>
      <w:bookmarkStart w:id="535" w:name="_Toc9348"/>
      <w:bookmarkStart w:id="536" w:name="_Toc122709341"/>
      <w:bookmarkStart w:id="537" w:name="_Toc122709418"/>
      <w:bookmarkStart w:id="538" w:name="_Toc8932"/>
      <w:bookmarkStart w:id="539" w:name="_Toc122709929"/>
      <w:r>
        <w:rPr>
          <w:rFonts w:hint="eastAsia"/>
          <w:sz w:val="30"/>
          <w:szCs w:val="30"/>
          <w:highlight w:val="none"/>
        </w:rPr>
        <w:t>本</w:t>
      </w:r>
      <w:r>
        <w:rPr>
          <w:rFonts w:hint="eastAsia"/>
          <w:sz w:val="30"/>
          <w:szCs w:val="30"/>
          <w:highlight w:val="none"/>
          <w:lang w:val="en-US" w:eastAsia="zh-CN"/>
        </w:rPr>
        <w:t>标准</w:t>
      </w:r>
      <w:r>
        <w:rPr>
          <w:rFonts w:hint="eastAsia"/>
          <w:sz w:val="30"/>
          <w:szCs w:val="30"/>
          <w:highlight w:val="none"/>
        </w:rPr>
        <w:t>用词说明</w:t>
      </w:r>
      <w:bookmarkEnd w:id="535"/>
      <w:bookmarkEnd w:id="536"/>
      <w:bookmarkEnd w:id="537"/>
      <w:bookmarkEnd w:id="538"/>
      <w:bookmarkEnd w:id="539"/>
    </w:p>
    <w:p w14:paraId="53580307">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bookmarkStart w:id="540" w:name="_Toc120863439"/>
      <w:bookmarkStart w:id="541" w:name="_Toc103239332"/>
      <w:r>
        <w:rPr>
          <w:rFonts w:hint="default" w:ascii="Times New Roman" w:hAnsi="Times New Roman" w:eastAsia="宋体" w:cs="Times New Roman"/>
          <w:b/>
          <w:bCs/>
          <w:highlight w:val="none"/>
        </w:rPr>
        <w:t xml:space="preserve">1 </w:t>
      </w:r>
      <w:r>
        <w:rPr>
          <w:rFonts w:hint="eastAsia" w:ascii="宋体" w:hAnsi="宋体" w:eastAsia="宋体" w:cs="宋体"/>
          <w:highlight w:val="none"/>
        </w:rPr>
        <w:t>为便于在执行本规程条文时区别对待，对要求严格程度不同的用词说明如下：</w:t>
      </w:r>
    </w:p>
    <w:p w14:paraId="54F28055">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1）</w:t>
      </w:r>
      <w:r>
        <w:rPr>
          <w:rFonts w:hint="eastAsia" w:ascii="宋体" w:hAnsi="宋体" w:eastAsia="宋体" w:cs="宋体"/>
          <w:highlight w:val="none"/>
        </w:rPr>
        <w:t>表示很严格，非这样做不可的：</w:t>
      </w:r>
    </w:p>
    <w:p w14:paraId="52F99F9A">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正面词采用“必须”，反面词采用“严禁”；</w:t>
      </w:r>
    </w:p>
    <w:p w14:paraId="34904022">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2）</w:t>
      </w:r>
      <w:r>
        <w:rPr>
          <w:rFonts w:hint="eastAsia" w:ascii="宋体" w:hAnsi="宋体" w:eastAsia="宋体" w:cs="宋体"/>
          <w:highlight w:val="none"/>
        </w:rPr>
        <w:t>表示严格，在正常情况下均应这样做的：</w:t>
      </w:r>
    </w:p>
    <w:p w14:paraId="4A77E93A">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正面词采用“应”，反面词采用“不应”或“不得”；</w:t>
      </w:r>
    </w:p>
    <w:p w14:paraId="129543DE">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3）</w:t>
      </w:r>
      <w:r>
        <w:rPr>
          <w:rFonts w:hint="eastAsia" w:ascii="宋体" w:hAnsi="宋体" w:eastAsia="宋体" w:cs="宋体"/>
          <w:highlight w:val="none"/>
        </w:rPr>
        <w:t>表示允许稍有选择，在条件许可时首先应这样做的：</w:t>
      </w:r>
    </w:p>
    <w:p w14:paraId="431CEB50">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正面词采用“宜”，反面词采用“不宜”；</w:t>
      </w:r>
    </w:p>
    <w:p w14:paraId="73B93FD1">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4）</w:t>
      </w:r>
      <w:r>
        <w:rPr>
          <w:rFonts w:hint="eastAsia" w:ascii="宋体" w:hAnsi="宋体" w:eastAsia="宋体" w:cs="宋体"/>
          <w:highlight w:val="none"/>
        </w:rPr>
        <w:t>表示有选择，在一定条件下可以这样做的，采用“可”。</w:t>
      </w:r>
    </w:p>
    <w:p w14:paraId="21924081">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 xml:space="preserve">2 </w:t>
      </w:r>
      <w:r>
        <w:rPr>
          <w:rFonts w:hint="eastAsia" w:ascii="宋体" w:hAnsi="宋体" w:eastAsia="宋体" w:cs="宋体"/>
          <w:highlight w:val="none"/>
        </w:rPr>
        <w:t>条文中指明应按其他有关标准执行的写法为：“应符合……的规定”或“应按……执行”。</w:t>
      </w:r>
    </w:p>
    <w:p w14:paraId="0E2D0219">
      <w:pPr>
        <w:pStyle w:val="130"/>
        <w:ind w:firstLine="480"/>
        <w:rPr>
          <w:rFonts w:hint="eastAsia" w:ascii="宋体" w:hAnsi="宋体" w:eastAsia="宋体" w:cs="宋体"/>
          <w:highlight w:val="none"/>
        </w:rPr>
      </w:pPr>
    </w:p>
    <w:p w14:paraId="2F1F57BC">
      <w:pPr>
        <w:pStyle w:val="130"/>
        <w:ind w:firstLine="480"/>
        <w:rPr>
          <w:rFonts w:hint="eastAsia" w:ascii="宋体" w:hAnsi="宋体" w:eastAsia="宋体" w:cs="宋体"/>
          <w:highlight w:val="none"/>
        </w:rPr>
      </w:pPr>
    </w:p>
    <w:p w14:paraId="1F52329E">
      <w:pPr>
        <w:pStyle w:val="130"/>
        <w:ind w:firstLine="480"/>
        <w:rPr>
          <w:rFonts w:hint="eastAsia" w:ascii="宋体" w:hAnsi="宋体" w:eastAsia="宋体" w:cs="宋体"/>
          <w:highlight w:val="none"/>
        </w:rPr>
      </w:pPr>
    </w:p>
    <w:p w14:paraId="5455FD8E">
      <w:pPr>
        <w:pStyle w:val="130"/>
        <w:ind w:firstLine="480"/>
        <w:rPr>
          <w:rFonts w:hint="eastAsia" w:ascii="宋体" w:hAnsi="宋体" w:eastAsia="宋体" w:cs="宋体"/>
          <w:highlight w:val="none"/>
        </w:rPr>
      </w:pPr>
    </w:p>
    <w:p w14:paraId="504A6DB9">
      <w:pPr>
        <w:pStyle w:val="130"/>
        <w:ind w:firstLine="480"/>
        <w:rPr>
          <w:rFonts w:hint="eastAsia" w:ascii="宋体" w:hAnsi="宋体" w:eastAsia="宋体" w:cs="宋体"/>
          <w:highlight w:val="none"/>
        </w:rPr>
      </w:pPr>
    </w:p>
    <w:p w14:paraId="604B8FBC">
      <w:pPr>
        <w:pStyle w:val="130"/>
        <w:ind w:firstLine="480"/>
        <w:rPr>
          <w:rFonts w:hint="eastAsia" w:ascii="宋体" w:hAnsi="宋体" w:eastAsia="宋体" w:cs="宋体"/>
          <w:highlight w:val="none"/>
        </w:rPr>
      </w:pPr>
    </w:p>
    <w:p w14:paraId="0AE5F04E">
      <w:pPr>
        <w:pStyle w:val="130"/>
        <w:ind w:firstLine="480"/>
        <w:rPr>
          <w:rFonts w:hint="eastAsia" w:ascii="宋体" w:hAnsi="宋体" w:eastAsia="宋体" w:cs="宋体"/>
          <w:highlight w:val="none"/>
        </w:rPr>
      </w:pPr>
    </w:p>
    <w:p w14:paraId="620C2609">
      <w:pPr>
        <w:pStyle w:val="130"/>
        <w:ind w:firstLine="480"/>
        <w:rPr>
          <w:rFonts w:hint="eastAsia" w:ascii="宋体" w:hAnsi="宋体" w:eastAsia="宋体" w:cs="宋体"/>
          <w:highlight w:val="none"/>
        </w:rPr>
      </w:pPr>
    </w:p>
    <w:p w14:paraId="64F5D271">
      <w:pPr>
        <w:pStyle w:val="130"/>
        <w:ind w:firstLine="480"/>
        <w:rPr>
          <w:rFonts w:hint="eastAsia" w:ascii="宋体" w:hAnsi="宋体" w:eastAsia="宋体" w:cs="宋体"/>
          <w:highlight w:val="none"/>
        </w:rPr>
      </w:pPr>
    </w:p>
    <w:p w14:paraId="5D243446">
      <w:pPr>
        <w:pStyle w:val="130"/>
        <w:ind w:firstLine="480"/>
        <w:rPr>
          <w:rFonts w:hint="eastAsia" w:ascii="宋体" w:hAnsi="宋体" w:eastAsia="宋体" w:cs="宋体"/>
          <w:highlight w:val="none"/>
        </w:rPr>
      </w:pPr>
    </w:p>
    <w:p w14:paraId="401705A5">
      <w:pPr>
        <w:pStyle w:val="130"/>
        <w:ind w:firstLine="480"/>
        <w:rPr>
          <w:rFonts w:hint="eastAsia" w:ascii="宋体" w:hAnsi="宋体" w:eastAsia="宋体" w:cs="宋体"/>
          <w:highlight w:val="none"/>
        </w:rPr>
      </w:pPr>
    </w:p>
    <w:p w14:paraId="3B03F965">
      <w:pPr>
        <w:pStyle w:val="130"/>
        <w:ind w:firstLine="480"/>
        <w:rPr>
          <w:rFonts w:hint="eastAsia" w:ascii="宋体" w:hAnsi="宋体" w:eastAsia="宋体" w:cs="宋体"/>
          <w:highlight w:val="none"/>
        </w:rPr>
      </w:pPr>
    </w:p>
    <w:p w14:paraId="54655C78">
      <w:pPr>
        <w:pStyle w:val="130"/>
        <w:ind w:firstLine="480"/>
        <w:rPr>
          <w:rFonts w:hint="eastAsia" w:ascii="宋体" w:hAnsi="宋体" w:eastAsia="宋体" w:cs="宋体"/>
          <w:highlight w:val="none"/>
        </w:rPr>
      </w:pPr>
    </w:p>
    <w:p w14:paraId="6303CAFB">
      <w:pPr>
        <w:pStyle w:val="130"/>
        <w:ind w:firstLine="480"/>
        <w:rPr>
          <w:rFonts w:hint="eastAsia" w:ascii="宋体" w:hAnsi="宋体" w:eastAsia="宋体" w:cs="宋体"/>
          <w:highlight w:val="none"/>
        </w:rPr>
      </w:pPr>
    </w:p>
    <w:p w14:paraId="6C23BA66">
      <w:pPr>
        <w:pStyle w:val="4"/>
        <w:numPr>
          <w:ilvl w:val="0"/>
          <w:numId w:val="0"/>
        </w:numPr>
        <w:jc w:val="center"/>
        <w:rPr>
          <w:rFonts w:hint="eastAsia" w:ascii="Times New Roman" w:hAnsi="Times New Roman" w:eastAsia="宋体" w:cs="Times New Roman"/>
          <w:sz w:val="30"/>
          <w:szCs w:val="30"/>
          <w:highlight w:val="none"/>
        </w:rPr>
      </w:pPr>
      <w:bookmarkStart w:id="542" w:name="_Toc122709342"/>
      <w:bookmarkStart w:id="543" w:name="_Toc122709930"/>
      <w:bookmarkStart w:id="544" w:name="_Toc948"/>
      <w:bookmarkStart w:id="545" w:name="_Toc122709419"/>
      <w:bookmarkStart w:id="546" w:name="_Toc1734"/>
      <w:r>
        <w:rPr>
          <w:rFonts w:hint="eastAsia" w:ascii="Times New Roman" w:hAnsi="Times New Roman" w:eastAsia="宋体" w:cs="Times New Roman"/>
          <w:sz w:val="30"/>
          <w:szCs w:val="30"/>
          <w:highlight w:val="none"/>
        </w:rPr>
        <w:t>引用标准名录</w:t>
      </w:r>
      <w:bookmarkEnd w:id="540"/>
      <w:bookmarkEnd w:id="541"/>
      <w:bookmarkEnd w:id="542"/>
      <w:bookmarkEnd w:id="543"/>
      <w:bookmarkEnd w:id="544"/>
      <w:bookmarkEnd w:id="545"/>
      <w:bookmarkEnd w:id="546"/>
    </w:p>
    <w:p w14:paraId="08C8722D">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D1079C5">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安全标志及其使用导则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2894</w:t>
      </w:r>
    </w:p>
    <w:p w14:paraId="0E467D0C">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声环境质量标准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3096</w:t>
      </w:r>
    </w:p>
    <w:p w14:paraId="3F432C8B">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生活饮用水卫生标准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5749  </w:t>
      </w:r>
    </w:p>
    <w:p w14:paraId="66259CFD">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消防安全标志  第1部分：标志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13495.1  </w:t>
      </w:r>
    </w:p>
    <w:p w14:paraId="2E42317A">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消防安全标志设置要求</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15630 </w:t>
      </w:r>
    </w:p>
    <w:p w14:paraId="063ABD12">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防护服装  化学防护服</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24539  </w:t>
      </w:r>
    </w:p>
    <w:p w14:paraId="519710D6">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建筑消防设施的维护管理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25201</w:t>
      </w:r>
    </w:p>
    <w:p w14:paraId="72C4A18C">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电力安全工作规程  发电厂和变电站电气部分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26860</w:t>
      </w:r>
    </w:p>
    <w:p w14:paraId="16A7E9DB">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食品安全国家标准  餐饮服务通用卫生规范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31654 </w:t>
      </w:r>
    </w:p>
    <w:p w14:paraId="400481FA">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建筑照明设计标准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50034 </w:t>
      </w:r>
    </w:p>
    <w:p w14:paraId="50631660">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空调通风系统运行管理标准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50365  </w:t>
      </w:r>
    </w:p>
    <w:p w14:paraId="10DE71E0">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道路交通标志和标线  第2部分：道路交通标志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5768.2</w:t>
      </w:r>
    </w:p>
    <w:p w14:paraId="024EDAAF">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400MH</w:t>
      </w:r>
      <w:r>
        <w:rPr>
          <w:rFonts w:hint="eastAsia" w:ascii="宋体" w:hAnsi="宋体" w:cs="Times New Roman"/>
          <w:color w:val="auto"/>
          <w:kern w:val="2"/>
          <w:sz w:val="24"/>
          <w:szCs w:val="24"/>
          <w:highlight w:val="none"/>
          <w:lang w:val="en-US" w:eastAsia="zh-CN" w:bidi="ar-SA"/>
        </w:rPr>
        <w:t>z</w:t>
      </w:r>
      <w:r>
        <w:rPr>
          <w:rFonts w:hint="eastAsia" w:ascii="宋体" w:hAnsi="宋体" w:eastAsia="宋体" w:cs="Times New Roman"/>
          <w:color w:val="auto"/>
          <w:kern w:val="2"/>
          <w:sz w:val="24"/>
          <w:szCs w:val="24"/>
          <w:highlight w:val="none"/>
          <w:lang w:val="en-US" w:eastAsia="zh-CN" w:bidi="ar-SA"/>
        </w:rPr>
        <w:t>频段模拟公众无线对讲机技术规范和测量方法</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GB/T 21646</w:t>
      </w:r>
    </w:p>
    <w:p w14:paraId="3A572803">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电力设备预防性试验规程</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DL/T 596</w:t>
      </w:r>
    </w:p>
    <w:p w14:paraId="5AFAC74A">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车辆出入口电动栏杆机技术要求</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GA/T 1132 </w:t>
      </w:r>
    </w:p>
    <w:p w14:paraId="1BC3CAE0">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警用防刺服</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68 </w:t>
      </w:r>
    </w:p>
    <w:p w14:paraId="711BE32A">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防爆毯</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69</w:t>
      </w:r>
    </w:p>
    <w:p w14:paraId="66CD20B6">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防暴头盔</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294 </w:t>
      </w:r>
    </w:p>
    <w:p w14:paraId="45432435">
      <w:pPr>
        <w:ind w:firstLine="420" w:firstLineChars="175"/>
        <w:rPr>
          <w:rFonts w:hint="eastAsia" w:ascii="宋体" w:hAnsi="宋体" w:cs="Times New Roman"/>
          <w:color w:val="auto"/>
          <w:sz w:val="24"/>
          <w:szCs w:val="24"/>
          <w:highlight w:val="none"/>
          <w:lang w:val="en-US" w:eastAsia="zh-CN"/>
        </w:rPr>
      </w:pPr>
      <w:r>
        <w:rPr>
          <w:rFonts w:hint="eastAsia" w:ascii="宋体" w:hAnsi="宋体" w:eastAsia="宋体" w:cs="Times New Roman"/>
          <w:vanish w:val="0"/>
          <w:color w:val="auto"/>
          <w:sz w:val="24"/>
          <w:szCs w:val="24"/>
          <w:highlight w:val="none"/>
          <w:lang w:val="en-US" w:eastAsia="zh-CN"/>
        </w:rPr>
        <w:t>《警用防暴盾牌》GA 422规定</w:t>
      </w:r>
    </w:p>
    <w:p w14:paraId="384672DE">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防尾随联动互锁安全门通用技术条件</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576 </w:t>
      </w:r>
    </w:p>
    <w:p w14:paraId="75BBE2F5">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防割手套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614</w:t>
      </w:r>
    </w:p>
    <w:p w14:paraId="41CA6A83">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公安单警装备  强光手电</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883</w:t>
      </w:r>
    </w:p>
    <w:p w14:paraId="40A7E74B">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电力系统治安反恐防范要求  第1部分：电网企业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1800.1</w:t>
      </w:r>
    </w:p>
    <w:p w14:paraId="29112417">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约束叉</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GA/T 1145</w:t>
      </w:r>
    </w:p>
    <w:p w14:paraId="19E66A67">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防暴升降式阻车路障</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GA/T 1343 </w:t>
      </w:r>
    </w:p>
    <w:p w14:paraId="75E2A90C">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锅炉安全技术监察规程 释义</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TSG G0001</w:t>
      </w:r>
    </w:p>
    <w:p w14:paraId="33B41C3C">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电梯维修保养规则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TSG T5002 </w:t>
      </w:r>
    </w:p>
    <w:p w14:paraId="7759EAE5">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公共场所集中式空调通风系统清洗消毒规范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WS/T 396 </w:t>
      </w:r>
    </w:p>
    <w:p w14:paraId="4364A5BF">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物业服务 档案管理规范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DB44/T 1315 </w:t>
      </w:r>
    </w:p>
    <w:p w14:paraId="349A8C8A">
      <w:pPr>
        <w:ind w:left="0" w:leftChars="0" w:firstLine="420" w:firstLineChars="175"/>
        <w:rPr>
          <w:rFonts w:hint="eastAsia"/>
          <w:highlight w:val="none"/>
          <w:lang w:val="en-US" w:eastAsia="zh-CN"/>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电动汽车充电基础设施建设技术规程</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DBJ/T 15—150 </w:t>
      </w:r>
    </w:p>
    <w:p w14:paraId="7D40A71E">
      <w:pPr>
        <w:rPr>
          <w:rFonts w:hint="default"/>
          <w:highlight w:val="none"/>
          <w:lang w:val="en-US" w:eastAsia="zh-CN"/>
        </w:rPr>
      </w:pPr>
    </w:p>
    <w:p w14:paraId="17ED1A64">
      <w:pPr>
        <w:pStyle w:val="2"/>
        <w:rPr>
          <w:rFonts w:hint="eastAsia" w:ascii="宋体" w:hAnsi="宋体" w:eastAsia="宋体" w:cs="宋体"/>
          <w:color w:val="auto"/>
          <w:sz w:val="21"/>
          <w:szCs w:val="21"/>
          <w:highlight w:val="none"/>
          <w:lang w:val="en-US" w:eastAsia="zh-CN"/>
        </w:rPr>
      </w:pPr>
    </w:p>
    <w:p w14:paraId="03D5C46C">
      <w:pPr>
        <w:rPr>
          <w:rFonts w:hint="eastAsia" w:ascii="宋体" w:hAnsi="宋体" w:eastAsia="宋体" w:cs="宋体"/>
          <w:color w:val="auto"/>
          <w:sz w:val="21"/>
          <w:szCs w:val="21"/>
          <w:highlight w:val="none"/>
          <w:lang w:val="en-US" w:eastAsia="zh-CN"/>
        </w:rPr>
      </w:pPr>
    </w:p>
    <w:p w14:paraId="6B726F8F">
      <w:pPr>
        <w:pStyle w:val="2"/>
        <w:rPr>
          <w:rFonts w:hint="eastAsia" w:ascii="宋体" w:hAnsi="宋体" w:eastAsia="宋体" w:cs="宋体"/>
          <w:color w:val="auto"/>
          <w:sz w:val="21"/>
          <w:szCs w:val="21"/>
          <w:highlight w:val="none"/>
          <w:lang w:val="en-US" w:eastAsia="zh-CN"/>
        </w:rPr>
      </w:pPr>
    </w:p>
    <w:p w14:paraId="73D5B61B">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654DF62C">
      <w:pPr>
        <w:pStyle w:val="2"/>
        <w:rPr>
          <w:rFonts w:hint="eastAsia" w:ascii="黑体" w:hAnsi="黑体" w:eastAsia="黑体" w:cs="黑体"/>
          <w:color w:val="auto"/>
          <w:highlight w:val="none"/>
        </w:rPr>
      </w:pPr>
    </w:p>
    <w:p w14:paraId="33907143">
      <w:pPr>
        <w:rPr>
          <w:rFonts w:hint="eastAsia" w:ascii="黑体" w:hAnsi="黑体" w:eastAsia="黑体" w:cs="黑体"/>
          <w:color w:val="auto"/>
          <w:highlight w:val="none"/>
        </w:rPr>
      </w:pPr>
    </w:p>
    <w:p w14:paraId="2D7FFC52">
      <w:pPr>
        <w:pStyle w:val="2"/>
        <w:rPr>
          <w:rFonts w:hint="eastAsia" w:ascii="黑体" w:hAnsi="黑体" w:eastAsia="黑体" w:cs="黑体"/>
          <w:color w:val="auto"/>
          <w:highlight w:val="none"/>
        </w:rPr>
      </w:pPr>
    </w:p>
    <w:p w14:paraId="0F43364D">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highlight w:val="none"/>
        </w:rPr>
      </w:pPr>
    </w:p>
    <w:p w14:paraId="30595F92">
      <w:pPr>
        <w:spacing w:after="312" w:afterLines="100"/>
        <w:jc w:val="center"/>
        <w:outlineLvl w:val="1"/>
        <w:rPr>
          <w:rFonts w:hint="eastAsia" w:ascii="Times New Roman" w:hAnsi="Times New Roman" w:eastAsia="宋体"/>
          <w:sz w:val="36"/>
          <w:szCs w:val="36"/>
          <w:highlight w:val="none"/>
          <w:lang w:eastAsia="zh-CN"/>
        </w:rPr>
      </w:pPr>
      <w:bookmarkStart w:id="547" w:name="_Toc5379"/>
      <w:bookmarkStart w:id="548" w:name="_Toc27761"/>
      <w:r>
        <w:rPr>
          <w:rFonts w:hint="eastAsia" w:ascii="Times New Roman" w:hAnsi="Times New Roman" w:eastAsia="宋体"/>
          <w:sz w:val="36"/>
          <w:szCs w:val="36"/>
          <w:highlight w:val="none"/>
        </w:rPr>
        <w:t>附录</w:t>
      </w:r>
      <w:r>
        <w:rPr>
          <w:rFonts w:hint="eastAsia" w:ascii="Times New Roman" w:hAnsi="Times New Roman" w:eastAsia="宋体"/>
          <w:sz w:val="36"/>
          <w:szCs w:val="36"/>
          <w:highlight w:val="none"/>
          <w:lang w:val="en-US" w:eastAsia="zh-CN"/>
        </w:rPr>
        <w:t xml:space="preserve">A  </w:t>
      </w:r>
      <w:r>
        <w:rPr>
          <w:rFonts w:hint="eastAsia" w:ascii="Times New Roman" w:hAnsi="Times New Roman" w:eastAsia="宋体"/>
          <w:sz w:val="36"/>
          <w:szCs w:val="36"/>
          <w:highlight w:val="none"/>
          <w:lang w:eastAsia="zh-CN"/>
        </w:rPr>
        <w:t>中央空调系统维护保养</w:t>
      </w:r>
      <w:bookmarkEnd w:id="547"/>
      <w:bookmarkEnd w:id="548"/>
    </w:p>
    <w:p w14:paraId="77EEFF69">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p>
    <w:p w14:paraId="3E06EEF3">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中央空调系统维护保养内容见表A.1。</w:t>
      </w:r>
    </w:p>
    <w:p w14:paraId="75F92F54">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表A.1  中央空调系统维护保养内容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96"/>
        <w:gridCol w:w="576"/>
        <w:gridCol w:w="5076"/>
      </w:tblGrid>
      <w:tr w14:paraId="53522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6" w:type="dxa"/>
            <w:tcBorders>
              <w:bottom w:val="single" w:color="000000" w:sz="12" w:space="0"/>
            </w:tcBorders>
            <w:shd w:val="clear" w:color="auto" w:fill="FFFFFF"/>
            <w:noWrap w:val="0"/>
            <w:vAlign w:val="center"/>
          </w:tcPr>
          <w:p w14:paraId="700105E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项目</w:t>
            </w:r>
          </w:p>
        </w:tc>
        <w:tc>
          <w:tcPr>
            <w:tcW w:w="2196" w:type="dxa"/>
            <w:tcBorders>
              <w:bottom w:val="single" w:color="000000" w:sz="12" w:space="0"/>
            </w:tcBorders>
            <w:shd w:val="clear" w:color="auto" w:fill="FFFFFF"/>
            <w:noWrap w:val="0"/>
            <w:vAlign w:val="center"/>
          </w:tcPr>
          <w:p w14:paraId="581488D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时间</w:t>
            </w:r>
          </w:p>
        </w:tc>
        <w:tc>
          <w:tcPr>
            <w:tcW w:w="576" w:type="dxa"/>
            <w:tcBorders>
              <w:bottom w:val="single" w:color="000000" w:sz="12" w:space="0"/>
            </w:tcBorders>
            <w:shd w:val="clear" w:color="auto" w:fill="FFFFFF"/>
            <w:noWrap w:val="0"/>
            <w:vAlign w:val="center"/>
          </w:tcPr>
          <w:p w14:paraId="764F3A0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次数</w:t>
            </w:r>
          </w:p>
        </w:tc>
        <w:tc>
          <w:tcPr>
            <w:tcW w:w="5076" w:type="dxa"/>
            <w:tcBorders>
              <w:bottom w:val="single" w:color="000000" w:sz="12" w:space="0"/>
            </w:tcBorders>
            <w:shd w:val="clear" w:color="auto" w:fill="FFFFFF"/>
            <w:noWrap w:val="0"/>
            <w:vAlign w:val="center"/>
          </w:tcPr>
          <w:p w14:paraId="47EE17A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维修养护内容</w:t>
            </w:r>
          </w:p>
        </w:tc>
      </w:tr>
      <w:tr w14:paraId="406CB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tcBorders>
              <w:top w:val="single" w:color="000000" w:sz="12" w:space="0"/>
              <w:tl2br w:val="nil"/>
              <w:tr2bl w:val="nil"/>
            </w:tcBorders>
            <w:shd w:val="clear" w:color="auto" w:fill="FFFFFF"/>
            <w:noWrap w:val="0"/>
            <w:vAlign w:val="center"/>
          </w:tcPr>
          <w:p w14:paraId="706DA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w:t>
            </w:r>
          </w:p>
          <w:p w14:paraId="7C72A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w:t>
            </w:r>
          </w:p>
          <w:p w14:paraId="6E2C4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w:t>
            </w:r>
          </w:p>
          <w:p w14:paraId="15821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w:t>
            </w:r>
          </w:p>
        </w:tc>
        <w:tc>
          <w:tcPr>
            <w:tcW w:w="2196" w:type="dxa"/>
            <w:tcBorders>
              <w:top w:val="single" w:color="000000" w:sz="12" w:space="0"/>
              <w:tl2br w:val="nil"/>
              <w:tr2bl w:val="nil"/>
            </w:tcBorders>
            <w:shd w:val="clear" w:color="auto" w:fill="FFFFFF"/>
            <w:noWrap w:val="0"/>
            <w:vAlign w:val="center"/>
          </w:tcPr>
          <w:p w14:paraId="01029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每年供冷季节机组启动前</w:t>
            </w:r>
          </w:p>
        </w:tc>
        <w:tc>
          <w:tcPr>
            <w:tcW w:w="576" w:type="dxa"/>
            <w:tcBorders>
              <w:top w:val="single" w:color="000000" w:sz="12" w:space="0"/>
              <w:tl2br w:val="nil"/>
              <w:tr2bl w:val="nil"/>
            </w:tcBorders>
            <w:shd w:val="clear" w:color="auto" w:fill="FFFFFF"/>
            <w:noWrap w:val="0"/>
            <w:vAlign w:val="center"/>
          </w:tcPr>
          <w:p w14:paraId="119AF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op w:val="single" w:color="000000" w:sz="12" w:space="0"/>
              <w:tl2br w:val="nil"/>
              <w:tr2bl w:val="nil"/>
            </w:tcBorders>
            <w:shd w:val="clear" w:color="auto" w:fill="FFFFFF"/>
            <w:noWrap w:val="0"/>
            <w:vAlign w:val="top"/>
          </w:tcPr>
          <w:p w14:paraId="67C3B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1、检查制冷剂液位和油面。</w:t>
            </w:r>
          </w:p>
          <w:p w14:paraId="07229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2、检查加热器和变频压缩机。</w:t>
            </w:r>
          </w:p>
          <w:p w14:paraId="6A803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3、检查和测试所有运行控制和安全控制功能。</w:t>
            </w:r>
          </w:p>
          <w:p w14:paraId="770B3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4、检查调整微电脑控制中心的设定值。</w:t>
            </w:r>
          </w:p>
          <w:p w14:paraId="1B4A8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5、启动机组，检查整个运行状况，记录、机组运行参数。</w:t>
            </w:r>
          </w:p>
          <w:p w14:paraId="68ADE4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6、根据运行记录，分析处理机组问题。</w:t>
            </w:r>
          </w:p>
        </w:tc>
      </w:tr>
      <w:tr w14:paraId="280D2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14:paraId="7DA71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14:paraId="3282F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运行</w:t>
            </w:r>
          </w:p>
          <w:p w14:paraId="21ECB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期间</w:t>
            </w:r>
          </w:p>
        </w:tc>
        <w:tc>
          <w:tcPr>
            <w:tcW w:w="576" w:type="dxa"/>
            <w:tcBorders>
              <w:tl2br w:val="nil"/>
              <w:tr2bl w:val="nil"/>
            </w:tcBorders>
            <w:shd w:val="clear" w:color="auto" w:fill="FFFFFF"/>
            <w:noWrap w:val="0"/>
            <w:vAlign w:val="center"/>
          </w:tcPr>
          <w:p w14:paraId="6950F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14:paraId="53B3F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1、检查机组各项运行参数的工况，调整安全控制装置。</w:t>
            </w:r>
          </w:p>
          <w:p w14:paraId="0E187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2、检查控制装置的运行。</w:t>
            </w:r>
          </w:p>
          <w:p w14:paraId="3B6D1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3、检查制冷剂液位和油位。</w:t>
            </w:r>
          </w:p>
          <w:p w14:paraId="6EBB0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4、检查润滑系统的运行。</w:t>
            </w:r>
          </w:p>
          <w:p w14:paraId="534EF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5、检查回油系统。</w:t>
            </w:r>
          </w:p>
          <w:p w14:paraId="112A8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6、检查电机和启动器的运行。</w:t>
            </w:r>
          </w:p>
          <w:p w14:paraId="2225A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7、记录运行状态参数，分析确认机组运行是否正常，必要时</w:t>
            </w:r>
          </w:p>
          <w:p w14:paraId="5FD95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进行机组检修。</w:t>
            </w:r>
          </w:p>
          <w:p w14:paraId="7D3E3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8、每月进行一次泄漏检查。</w:t>
            </w:r>
          </w:p>
          <w:p w14:paraId="367A8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9、记录和报告有需要更换的零配件。</w:t>
            </w:r>
          </w:p>
          <w:p w14:paraId="21103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10、冷却电机轴承打油/更换轴承。</w:t>
            </w:r>
          </w:p>
          <w:p w14:paraId="4A05B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11、高/低压控制检测/修理/更换。</w:t>
            </w:r>
          </w:p>
          <w:p w14:paraId="655BD8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12、空调机组检测/修理/更换零配件。</w:t>
            </w:r>
          </w:p>
          <w:p w14:paraId="7C939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13、冷凝器清理沉积物质。</w:t>
            </w:r>
          </w:p>
          <w:p w14:paraId="738D7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14、电器装置有否接驳松脱/触点氧化/外来物质/修理/更换。</w:t>
            </w:r>
          </w:p>
          <w:p w14:paraId="03568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15、控制和保护装置调整设定值检测/修理/更换。</w:t>
            </w:r>
          </w:p>
        </w:tc>
      </w:tr>
      <w:tr w14:paraId="2B364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14:paraId="20178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14:paraId="37C06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每年制冷期结束</w:t>
            </w:r>
          </w:p>
          <w:p w14:paraId="515FA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停机期间</w:t>
            </w:r>
          </w:p>
        </w:tc>
        <w:tc>
          <w:tcPr>
            <w:tcW w:w="576" w:type="dxa"/>
            <w:tcBorders>
              <w:tl2br w:val="nil"/>
              <w:tr2bl w:val="nil"/>
            </w:tcBorders>
            <w:shd w:val="clear" w:color="auto" w:fill="FFFFFF"/>
            <w:noWrap w:val="0"/>
            <w:vAlign w:val="center"/>
          </w:tcPr>
          <w:p w14:paraId="7C681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14:paraId="28F54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1、检查压缩电机组件的各项环节。</w:t>
            </w:r>
          </w:p>
          <w:p w14:paraId="28C17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2、检查压缩机润滑油系统。</w:t>
            </w:r>
          </w:p>
          <w:p w14:paraId="727D9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3、执行各项正确操作程序，检查电机启动器。</w:t>
            </w:r>
          </w:p>
          <w:p w14:paraId="0F4D1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4、检查控制面板，确定各操作状态是否正常。</w:t>
            </w:r>
          </w:p>
          <w:p w14:paraId="0CD77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5、检查冷凝器洁净情况是否需要清洗。</w:t>
            </w:r>
          </w:p>
          <w:p w14:paraId="60613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6、检查系统的泄漏、制冷剂并给予正确的处理方法。</w:t>
            </w:r>
          </w:p>
        </w:tc>
      </w:tr>
      <w:tr w14:paraId="78D2D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tcBorders>
              <w:tl2br w:val="nil"/>
              <w:tr2bl w:val="nil"/>
            </w:tcBorders>
            <w:shd w:val="clear" w:color="auto" w:fill="FFFFFF"/>
            <w:noWrap w:val="0"/>
            <w:vAlign w:val="center"/>
          </w:tcPr>
          <w:p w14:paraId="2BBF4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w:t>
            </w:r>
          </w:p>
          <w:p w14:paraId="7A57F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冷冻泵</w:t>
            </w:r>
          </w:p>
        </w:tc>
        <w:tc>
          <w:tcPr>
            <w:tcW w:w="2196" w:type="dxa"/>
            <w:tcBorders>
              <w:tl2br w:val="nil"/>
              <w:tr2bl w:val="nil"/>
            </w:tcBorders>
            <w:shd w:val="clear" w:color="auto" w:fill="FFFFFF"/>
            <w:noWrap w:val="0"/>
            <w:vAlign w:val="center"/>
          </w:tcPr>
          <w:p w14:paraId="68B5C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701CB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576" w:type="dxa"/>
            <w:tcBorders>
              <w:tl2br w:val="nil"/>
              <w:tr2bl w:val="nil"/>
            </w:tcBorders>
            <w:shd w:val="clear" w:color="auto" w:fill="FFFFFF"/>
            <w:noWrap w:val="0"/>
            <w:vAlign w:val="center"/>
          </w:tcPr>
          <w:p w14:paraId="7A535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14:paraId="20ED6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1、检查运行记录；检查联轴器及盘根的使用情况。</w:t>
            </w:r>
          </w:p>
          <w:p w14:paraId="5A1A2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2、转动阀门，检查阀门能否灵活开启、关闭。</w:t>
            </w:r>
          </w:p>
        </w:tc>
      </w:tr>
      <w:tr w14:paraId="0913E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14:paraId="7724D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14:paraId="4D6DC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32F5A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576" w:type="dxa"/>
            <w:tcBorders>
              <w:tl2br w:val="nil"/>
              <w:tr2bl w:val="nil"/>
            </w:tcBorders>
            <w:shd w:val="clear" w:color="auto" w:fill="FFFFFF"/>
            <w:noWrap w:val="0"/>
            <w:vAlign w:val="center"/>
          </w:tcPr>
          <w:p w14:paraId="07930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14:paraId="1F05A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1、清洗水泵及电机轴承并加润滑油。</w:t>
            </w:r>
          </w:p>
          <w:p w14:paraId="686C2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2、检测电机接地电阻并记录。</w:t>
            </w:r>
          </w:p>
          <w:p w14:paraId="63C3D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3、检测冷却、冷冻泵电机绝缘电阻值。</w:t>
            </w:r>
          </w:p>
          <w:p w14:paraId="7DE8D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4、更换水泵轴衬套，重新加装填料。</w:t>
            </w:r>
          </w:p>
          <w:p w14:paraId="3CC50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5、泵壳、泵体清锈刷漆。</w:t>
            </w:r>
          </w:p>
        </w:tc>
      </w:tr>
      <w:tr w14:paraId="5C6E8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l2br w:val="nil"/>
              <w:tr2bl w:val="nil"/>
            </w:tcBorders>
            <w:shd w:val="clear" w:color="auto" w:fill="FFFFFF"/>
            <w:noWrap w:val="0"/>
            <w:vAlign w:val="center"/>
          </w:tcPr>
          <w:p w14:paraId="41402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冷却塔</w:t>
            </w:r>
          </w:p>
        </w:tc>
        <w:tc>
          <w:tcPr>
            <w:tcW w:w="2196" w:type="dxa"/>
            <w:tcBorders>
              <w:tl2br w:val="nil"/>
              <w:tr2bl w:val="nil"/>
            </w:tcBorders>
            <w:shd w:val="clear" w:color="auto" w:fill="FFFFFF"/>
            <w:noWrap w:val="0"/>
            <w:vAlign w:val="center"/>
          </w:tcPr>
          <w:p w14:paraId="0C920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571A0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半年</w:t>
            </w:r>
          </w:p>
        </w:tc>
        <w:tc>
          <w:tcPr>
            <w:tcW w:w="576" w:type="dxa"/>
            <w:tcBorders>
              <w:tl2br w:val="nil"/>
              <w:tr2bl w:val="nil"/>
            </w:tcBorders>
            <w:shd w:val="clear" w:color="auto" w:fill="FFFFFF"/>
            <w:noWrap w:val="0"/>
            <w:vAlign w:val="center"/>
          </w:tcPr>
          <w:p w14:paraId="3ABAC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14:paraId="04CA2A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1、进行水处理。</w:t>
            </w:r>
          </w:p>
          <w:p w14:paraId="4E491A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2、检查电机皮带是否正常。</w:t>
            </w:r>
          </w:p>
          <w:p w14:paraId="664A7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3、清洗冷却塔塔体。</w:t>
            </w:r>
          </w:p>
        </w:tc>
      </w:tr>
    </w:tbl>
    <w:p w14:paraId="63438F6B">
      <w:pPr>
        <w:rPr>
          <w:rFonts w:hint="eastAsia" w:ascii="宋体" w:hAnsi="宋体" w:eastAsia="宋体" w:cs="宋体"/>
          <w:color w:val="auto"/>
          <w:sz w:val="18"/>
          <w:szCs w:val="18"/>
          <w:highlight w:val="none"/>
        </w:rPr>
      </w:pPr>
    </w:p>
    <w:p w14:paraId="60A571C6">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14:paraId="4DC99545">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14:paraId="00736A52">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21"/>
          <w:highlight w:val="none"/>
          <w:lang w:val="en-US" w:eastAsia="zh-CN" w:bidi="ar-SA"/>
        </w:rPr>
        <w:t xml:space="preserve">续表A.1  </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41"/>
        <w:gridCol w:w="614"/>
        <w:gridCol w:w="4997"/>
      </w:tblGrid>
      <w:tr w14:paraId="61559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5" w:type="dxa"/>
            <w:tcBorders>
              <w:bottom w:val="single" w:color="000000" w:sz="12" w:space="0"/>
            </w:tcBorders>
            <w:shd w:val="clear" w:color="auto" w:fill="FFFFFF"/>
            <w:noWrap w:val="0"/>
            <w:vAlign w:val="center"/>
          </w:tcPr>
          <w:p w14:paraId="1985726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项目</w:t>
            </w:r>
          </w:p>
        </w:tc>
        <w:tc>
          <w:tcPr>
            <w:tcW w:w="2141" w:type="dxa"/>
            <w:tcBorders>
              <w:bottom w:val="single" w:color="000000" w:sz="12" w:space="0"/>
            </w:tcBorders>
            <w:shd w:val="clear" w:color="auto" w:fill="FFFFFF"/>
            <w:noWrap w:val="0"/>
            <w:vAlign w:val="center"/>
          </w:tcPr>
          <w:p w14:paraId="52E9B6D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时间</w:t>
            </w:r>
          </w:p>
        </w:tc>
        <w:tc>
          <w:tcPr>
            <w:tcW w:w="614" w:type="dxa"/>
            <w:tcBorders>
              <w:bottom w:val="single" w:color="000000" w:sz="12" w:space="0"/>
            </w:tcBorders>
            <w:shd w:val="clear" w:color="auto" w:fill="FFFFFF"/>
            <w:noWrap w:val="0"/>
            <w:vAlign w:val="center"/>
          </w:tcPr>
          <w:p w14:paraId="5C92EA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次数</w:t>
            </w:r>
          </w:p>
        </w:tc>
        <w:tc>
          <w:tcPr>
            <w:tcW w:w="4997" w:type="dxa"/>
            <w:tcBorders>
              <w:bottom w:val="single" w:color="000000" w:sz="12" w:space="0"/>
            </w:tcBorders>
            <w:shd w:val="clear" w:color="auto" w:fill="FFFFFF"/>
            <w:noWrap w:val="0"/>
            <w:vAlign w:val="center"/>
          </w:tcPr>
          <w:p w14:paraId="0917690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维修养护内容</w:t>
            </w:r>
          </w:p>
        </w:tc>
      </w:tr>
      <w:tr w14:paraId="7E511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top w:val="single" w:color="000000" w:sz="12" w:space="0"/>
              <w:tl2br w:val="nil"/>
              <w:tr2bl w:val="nil"/>
            </w:tcBorders>
            <w:shd w:val="clear" w:color="auto" w:fill="FFFFFF"/>
            <w:noWrap w:val="0"/>
            <w:vAlign w:val="center"/>
          </w:tcPr>
          <w:p w14:paraId="23189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冷却塔</w:t>
            </w:r>
          </w:p>
        </w:tc>
        <w:tc>
          <w:tcPr>
            <w:tcW w:w="2141" w:type="dxa"/>
            <w:tcBorders>
              <w:top w:val="single" w:color="000000" w:sz="12" w:space="0"/>
              <w:tl2br w:val="nil"/>
              <w:tr2bl w:val="nil"/>
            </w:tcBorders>
            <w:shd w:val="clear" w:color="auto" w:fill="FFFFFF"/>
            <w:noWrap w:val="0"/>
            <w:vAlign w:val="center"/>
          </w:tcPr>
          <w:p w14:paraId="34485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1AC33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op w:val="single" w:color="000000" w:sz="12" w:space="0"/>
              <w:tl2br w:val="nil"/>
              <w:tr2bl w:val="nil"/>
            </w:tcBorders>
            <w:shd w:val="clear" w:color="auto" w:fill="FFFFFF"/>
            <w:noWrap w:val="0"/>
            <w:vAlign w:val="center"/>
          </w:tcPr>
          <w:p w14:paraId="5BE42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op w:val="single" w:color="000000" w:sz="12" w:space="0"/>
              <w:tl2br w:val="nil"/>
              <w:tr2bl w:val="nil"/>
            </w:tcBorders>
            <w:shd w:val="clear" w:color="auto" w:fill="FFFFFF"/>
            <w:noWrap w:val="0"/>
            <w:vAlign w:val="top"/>
          </w:tcPr>
          <w:p w14:paraId="47C46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1、清洗填料，更换脱落布水器。</w:t>
            </w:r>
          </w:p>
          <w:p w14:paraId="51B48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2、更换磨损严重的皮带。</w:t>
            </w:r>
          </w:p>
          <w:p w14:paraId="74814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3、检测电机接地电阻、电机绝缘电阻并做好记录。</w:t>
            </w:r>
          </w:p>
          <w:p w14:paraId="3E9EE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4、更换或清洗电机及风叶轴承并加注黄油。</w:t>
            </w:r>
          </w:p>
          <w:p w14:paraId="21DE0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5、更换各类标示。</w:t>
            </w:r>
          </w:p>
        </w:tc>
      </w:tr>
      <w:tr w14:paraId="39A14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tl2br w:val="nil"/>
              <w:tr2bl w:val="nil"/>
            </w:tcBorders>
            <w:shd w:val="clear" w:color="auto" w:fill="FFFFFF"/>
            <w:noWrap w:val="0"/>
            <w:vAlign w:val="center"/>
          </w:tcPr>
          <w:p w14:paraId="2C619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新风机组</w:t>
            </w:r>
          </w:p>
        </w:tc>
        <w:tc>
          <w:tcPr>
            <w:tcW w:w="2141" w:type="dxa"/>
            <w:tcBorders>
              <w:tl2br w:val="nil"/>
              <w:tr2bl w:val="nil"/>
            </w:tcBorders>
            <w:shd w:val="clear" w:color="auto" w:fill="FFFFFF"/>
            <w:noWrap w:val="0"/>
            <w:vAlign w:val="center"/>
          </w:tcPr>
          <w:p w14:paraId="2D69A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491DC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14:paraId="75D35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14B5D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1、清洗风机及管道过滤网，清洗公共场所风机出风口。</w:t>
            </w:r>
          </w:p>
          <w:p w14:paraId="53915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2、更换或清洗电机及风机轴承，并加注黄油。</w:t>
            </w:r>
          </w:p>
          <w:p w14:paraId="35638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3、风机外壳清锈刷漆。</w:t>
            </w:r>
          </w:p>
          <w:p w14:paraId="07CA92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4、测试控制部分工作性能。</w:t>
            </w:r>
          </w:p>
        </w:tc>
      </w:tr>
      <w:tr w14:paraId="7DB7A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restart"/>
            <w:tcBorders>
              <w:tl2br w:val="nil"/>
              <w:tr2bl w:val="nil"/>
            </w:tcBorders>
            <w:shd w:val="clear" w:color="auto" w:fill="FFFFFF"/>
            <w:noWrap w:val="0"/>
            <w:vAlign w:val="center"/>
          </w:tcPr>
          <w:p w14:paraId="632B9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风机</w:t>
            </w:r>
          </w:p>
          <w:p w14:paraId="7D2AD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盘管</w:t>
            </w:r>
          </w:p>
        </w:tc>
        <w:tc>
          <w:tcPr>
            <w:tcW w:w="2141" w:type="dxa"/>
            <w:tcBorders>
              <w:tl2br w:val="nil"/>
              <w:tr2bl w:val="nil"/>
            </w:tcBorders>
            <w:shd w:val="clear" w:color="auto" w:fill="FFFFFF"/>
            <w:noWrap w:val="0"/>
            <w:vAlign w:val="center"/>
          </w:tcPr>
          <w:p w14:paraId="074FF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3EC2E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月</w:t>
            </w:r>
          </w:p>
        </w:tc>
        <w:tc>
          <w:tcPr>
            <w:tcW w:w="614" w:type="dxa"/>
            <w:tcBorders>
              <w:tl2br w:val="nil"/>
              <w:tr2bl w:val="nil"/>
            </w:tcBorders>
            <w:shd w:val="clear" w:color="auto" w:fill="FFFFFF"/>
            <w:noWrap w:val="0"/>
            <w:vAlign w:val="center"/>
          </w:tcPr>
          <w:p w14:paraId="5CAE7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7FB3C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1、观察风机是否正常运行，有无异常声响。</w:t>
            </w:r>
          </w:p>
          <w:p w14:paraId="23337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2、空调开关及电磁阀工作是否正常。</w:t>
            </w:r>
          </w:p>
        </w:tc>
      </w:tr>
      <w:tr w14:paraId="43CD4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continue"/>
            <w:tcBorders>
              <w:tl2br w:val="nil"/>
              <w:tr2bl w:val="nil"/>
            </w:tcBorders>
            <w:shd w:val="clear" w:color="auto" w:fill="FFFFFF"/>
            <w:noWrap w:val="0"/>
            <w:vAlign w:val="center"/>
          </w:tcPr>
          <w:p w14:paraId="50978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p>
          <w:p w14:paraId="51D41FDF">
            <w:pPr>
              <w:pStyle w:val="2"/>
              <w:rPr>
                <w:rFonts w:hint="eastAsia" w:ascii="宋体" w:hAnsi="宋体" w:eastAsia="宋体" w:cs="宋体"/>
                <w:color w:val="auto"/>
                <w:sz w:val="18"/>
                <w:szCs w:val="18"/>
                <w:highlight w:val="none"/>
                <w:lang w:val="en-US" w:eastAsia="zh-CN"/>
              </w:rPr>
            </w:pPr>
          </w:p>
        </w:tc>
        <w:tc>
          <w:tcPr>
            <w:tcW w:w="2141" w:type="dxa"/>
            <w:tcBorders>
              <w:tl2br w:val="nil"/>
              <w:tr2bl w:val="nil"/>
            </w:tcBorders>
            <w:shd w:val="clear" w:color="auto" w:fill="FFFFFF"/>
            <w:noWrap w:val="0"/>
            <w:vAlign w:val="center"/>
          </w:tcPr>
          <w:p w14:paraId="004EE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7FC04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季</w:t>
            </w:r>
          </w:p>
        </w:tc>
        <w:tc>
          <w:tcPr>
            <w:tcW w:w="614" w:type="dxa"/>
            <w:tcBorders>
              <w:tl2br w:val="nil"/>
              <w:tr2bl w:val="nil"/>
            </w:tcBorders>
            <w:shd w:val="clear" w:color="auto" w:fill="FFFFFF"/>
            <w:noWrap w:val="0"/>
            <w:vAlign w:val="center"/>
          </w:tcPr>
          <w:p w14:paraId="36A29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7F3FAD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1、检查冷凝水接水盘是否畅通排水。</w:t>
            </w:r>
          </w:p>
          <w:p w14:paraId="69483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2、保温要求达到的标准是否良好，自动排气阀工作是否正常。</w:t>
            </w:r>
          </w:p>
        </w:tc>
      </w:tr>
      <w:tr w14:paraId="6D29E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continue"/>
            <w:tcBorders>
              <w:tl2br w:val="nil"/>
              <w:tr2bl w:val="nil"/>
            </w:tcBorders>
            <w:shd w:val="clear" w:color="auto" w:fill="FFFFFF"/>
            <w:noWrap w:val="0"/>
            <w:vAlign w:val="center"/>
          </w:tcPr>
          <w:p w14:paraId="546F0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41" w:type="dxa"/>
            <w:tcBorders>
              <w:tl2br w:val="nil"/>
              <w:tr2bl w:val="nil"/>
            </w:tcBorders>
            <w:shd w:val="clear" w:color="auto" w:fill="FFFFFF"/>
            <w:noWrap w:val="0"/>
            <w:vAlign w:val="center"/>
          </w:tcPr>
          <w:p w14:paraId="42A6A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4F7E1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14:paraId="13072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71F6B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1、检测电机接地电阻及电机绝缘电阻值。</w:t>
            </w:r>
          </w:p>
          <w:p w14:paraId="4D79E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2、清洗接水盘。</w:t>
            </w:r>
          </w:p>
          <w:p w14:paraId="209A17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3、清洗回风口、出风口、过滤网。</w:t>
            </w:r>
          </w:p>
          <w:p w14:paraId="695B9A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4、盘管风机轴承加注黄油。</w:t>
            </w:r>
          </w:p>
        </w:tc>
      </w:tr>
      <w:tr w14:paraId="14B44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tl2br w:val="nil"/>
              <w:tr2bl w:val="nil"/>
            </w:tcBorders>
            <w:shd w:val="clear" w:color="auto" w:fill="FFFFFF"/>
            <w:noWrap w:val="0"/>
            <w:vAlign w:val="center"/>
          </w:tcPr>
          <w:p w14:paraId="31413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专业</w:t>
            </w:r>
          </w:p>
          <w:p w14:paraId="618EA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水处理</w:t>
            </w:r>
          </w:p>
        </w:tc>
        <w:tc>
          <w:tcPr>
            <w:tcW w:w="2141" w:type="dxa"/>
            <w:tcBorders>
              <w:tl2br w:val="nil"/>
              <w:tr2bl w:val="nil"/>
            </w:tcBorders>
            <w:shd w:val="clear" w:color="auto" w:fill="FFFFFF"/>
            <w:noWrap w:val="0"/>
            <w:vAlign w:val="center"/>
          </w:tcPr>
          <w:p w14:paraId="2A279D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42F73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半年</w:t>
            </w:r>
          </w:p>
        </w:tc>
        <w:tc>
          <w:tcPr>
            <w:tcW w:w="614" w:type="dxa"/>
            <w:tcBorders>
              <w:tl2br w:val="nil"/>
              <w:tr2bl w:val="nil"/>
            </w:tcBorders>
            <w:shd w:val="clear" w:color="auto" w:fill="FFFFFF"/>
            <w:noWrap w:val="0"/>
            <w:vAlign w:val="center"/>
          </w:tcPr>
          <w:p w14:paraId="30379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center"/>
          </w:tcPr>
          <w:p w14:paraId="0F12C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检查水质微生物及其他指标是否满足要求。</w:t>
            </w:r>
          </w:p>
        </w:tc>
      </w:tr>
      <w:tr w14:paraId="10CC1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restart"/>
            <w:tcBorders>
              <w:tl2br w:val="nil"/>
              <w:tr2bl w:val="nil"/>
            </w:tcBorders>
            <w:shd w:val="clear" w:color="auto" w:fill="FFFFFF"/>
            <w:noWrap w:val="0"/>
            <w:vAlign w:val="center"/>
          </w:tcPr>
          <w:p w14:paraId="53075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自控箱及</w:t>
            </w:r>
          </w:p>
          <w:p w14:paraId="6F9CF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控制器</w:t>
            </w:r>
          </w:p>
        </w:tc>
        <w:tc>
          <w:tcPr>
            <w:tcW w:w="2141" w:type="dxa"/>
            <w:tcBorders>
              <w:tl2br w:val="nil"/>
              <w:tr2bl w:val="nil"/>
            </w:tcBorders>
            <w:shd w:val="clear" w:color="auto" w:fill="FFFFFF"/>
            <w:noWrap w:val="0"/>
            <w:vAlign w:val="center"/>
          </w:tcPr>
          <w:p w14:paraId="0EF16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556B6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季</w:t>
            </w:r>
          </w:p>
        </w:tc>
        <w:tc>
          <w:tcPr>
            <w:tcW w:w="614" w:type="dxa"/>
            <w:tcBorders>
              <w:tl2br w:val="nil"/>
              <w:tr2bl w:val="nil"/>
            </w:tcBorders>
            <w:shd w:val="clear" w:color="auto" w:fill="FFFFFF"/>
            <w:noWrap w:val="0"/>
            <w:vAlign w:val="center"/>
          </w:tcPr>
          <w:p w14:paraId="2C291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23474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1、检查线路有无过热现象。</w:t>
            </w:r>
          </w:p>
          <w:p w14:paraId="0D86A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2、检查进出线路接线装置是否完好。</w:t>
            </w:r>
          </w:p>
        </w:tc>
      </w:tr>
      <w:tr w14:paraId="3918B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Merge w:val="continue"/>
            <w:tcBorders>
              <w:tl2br w:val="nil"/>
              <w:tr2bl w:val="nil"/>
            </w:tcBorders>
            <w:shd w:val="clear" w:color="auto" w:fill="FFFFFF"/>
            <w:noWrap w:val="0"/>
            <w:vAlign w:val="center"/>
          </w:tcPr>
          <w:p w14:paraId="174D1F77">
            <w:pPr>
              <w:jc w:val="center"/>
              <w:rPr>
                <w:rFonts w:hint="eastAsia" w:ascii="宋体" w:hAnsi="宋体" w:eastAsia="宋体" w:cs="宋体"/>
                <w:color w:val="auto"/>
                <w:sz w:val="18"/>
                <w:szCs w:val="18"/>
                <w:highlight w:val="none"/>
              </w:rPr>
            </w:pPr>
          </w:p>
        </w:tc>
        <w:tc>
          <w:tcPr>
            <w:tcW w:w="2141" w:type="dxa"/>
            <w:tcBorders>
              <w:tl2br w:val="nil"/>
              <w:tr2bl w:val="nil"/>
            </w:tcBorders>
            <w:shd w:val="clear" w:color="auto" w:fill="FFFFFF"/>
            <w:noWrap w:val="0"/>
            <w:vAlign w:val="center"/>
          </w:tcPr>
          <w:p w14:paraId="0F16E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14:paraId="0C1A9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14:paraId="65E04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14:paraId="7CE7D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1、检测箱体的接地电阻。</w:t>
            </w:r>
          </w:p>
          <w:p w14:paraId="0C097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2、更换接触不良的部件。</w:t>
            </w:r>
          </w:p>
        </w:tc>
      </w:tr>
    </w:tbl>
    <w:p w14:paraId="12BB4A0A">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14:paraId="71380B1F">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2C01CFEA">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405A8B9D">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18646EA8">
      <w:pPr>
        <w:pStyle w:val="2"/>
        <w:rPr>
          <w:rFonts w:hint="eastAsia"/>
          <w:highlight w:val="none"/>
        </w:rPr>
      </w:pPr>
    </w:p>
    <w:p w14:paraId="59EE57F7">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14:paraId="35149B8E">
      <w:pPr>
        <w:pStyle w:val="2"/>
        <w:rPr>
          <w:rFonts w:hint="eastAsia"/>
          <w:highlight w:val="none"/>
        </w:rPr>
      </w:pPr>
    </w:p>
    <w:p w14:paraId="340CCBC2">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549" w:name="_Toc29035"/>
      <w:bookmarkStart w:id="550" w:name="_Toc19169"/>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B  </w:t>
      </w:r>
      <w:r>
        <w:rPr>
          <w:rFonts w:hint="eastAsia" w:ascii="Times New Roman" w:hAnsi="Times New Roman" w:eastAsia="宋体" w:cs="Times New Roman"/>
          <w:sz w:val="36"/>
          <w:szCs w:val="36"/>
          <w:highlight w:val="none"/>
          <w:lang w:eastAsia="zh-CN"/>
        </w:rPr>
        <w:t>给排水系统维护保养</w:t>
      </w:r>
      <w:bookmarkEnd w:id="549"/>
      <w:bookmarkEnd w:id="550"/>
    </w:p>
    <w:p w14:paraId="5E4EA4B2">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p>
    <w:p w14:paraId="323F8888">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p>
    <w:p w14:paraId="012BD23D">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给排水系统维护保养内容见表B.1。</w:t>
      </w:r>
    </w:p>
    <w:p w14:paraId="6AD45BC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sz w:val="21"/>
          <w:highlight w:val="none"/>
          <w:lang w:val="en-US" w:eastAsia="zh-CN" w:bidi="ar-SA"/>
        </w:rPr>
        <w:t>表B.1  给排水系统维护保养内容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76"/>
        <w:gridCol w:w="576"/>
        <w:gridCol w:w="6066"/>
      </w:tblGrid>
      <w:tr w14:paraId="562D7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936" w:type="dxa"/>
            <w:tcBorders>
              <w:bottom w:val="single" w:color="000000" w:sz="12" w:space="0"/>
            </w:tcBorders>
            <w:shd w:val="clear" w:color="auto" w:fill="FFFFFF"/>
            <w:noWrap w:val="0"/>
            <w:vAlign w:val="center"/>
          </w:tcPr>
          <w:p w14:paraId="3E11592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w:t>
            </w:r>
          </w:p>
        </w:tc>
        <w:tc>
          <w:tcPr>
            <w:tcW w:w="576" w:type="dxa"/>
            <w:tcBorders>
              <w:bottom w:val="single" w:color="000000" w:sz="12" w:space="0"/>
            </w:tcBorders>
            <w:shd w:val="clear" w:color="auto" w:fill="FFFFFF"/>
            <w:noWrap w:val="0"/>
            <w:vAlign w:val="center"/>
          </w:tcPr>
          <w:p w14:paraId="3B0CE37D">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时间</w:t>
            </w:r>
          </w:p>
        </w:tc>
        <w:tc>
          <w:tcPr>
            <w:tcW w:w="576" w:type="dxa"/>
            <w:tcBorders>
              <w:bottom w:val="single" w:color="000000" w:sz="12" w:space="0"/>
            </w:tcBorders>
            <w:shd w:val="clear" w:color="auto" w:fill="FFFFFF"/>
            <w:noWrap w:val="0"/>
            <w:vAlign w:val="center"/>
          </w:tcPr>
          <w:p w14:paraId="13FBFC1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次数</w:t>
            </w:r>
          </w:p>
        </w:tc>
        <w:tc>
          <w:tcPr>
            <w:tcW w:w="6066" w:type="dxa"/>
            <w:tcBorders>
              <w:bottom w:val="single" w:color="000000" w:sz="12" w:space="0"/>
            </w:tcBorders>
            <w:shd w:val="clear" w:color="auto" w:fill="FFFFFF"/>
            <w:noWrap w:val="0"/>
            <w:vAlign w:val="center"/>
          </w:tcPr>
          <w:p w14:paraId="439F2D46">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维修养护内容</w:t>
            </w:r>
          </w:p>
        </w:tc>
      </w:tr>
      <w:tr w14:paraId="37804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op w:val="single" w:color="000000" w:sz="12" w:space="0"/>
              <w:tl2br w:val="nil"/>
              <w:tr2bl w:val="nil"/>
            </w:tcBorders>
            <w:shd w:val="clear" w:color="auto" w:fill="FFFFFF"/>
            <w:noWrap w:val="0"/>
            <w:vAlign w:val="center"/>
          </w:tcPr>
          <w:p w14:paraId="0F1D9C0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生活泵</w:t>
            </w:r>
          </w:p>
          <w:p w14:paraId="5BB567C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排水</w:t>
            </w:r>
            <w:r>
              <w:rPr>
                <w:rFonts w:hint="eastAsia" w:ascii="宋体" w:hAnsi="宋体" w:eastAsia="宋体" w:cs="宋体"/>
                <w:color w:val="auto"/>
                <w:sz w:val="18"/>
                <w:szCs w:val="18"/>
                <w:highlight w:val="none"/>
              </w:rPr>
              <w:t>泵</w:t>
            </w:r>
          </w:p>
        </w:tc>
        <w:tc>
          <w:tcPr>
            <w:tcW w:w="576" w:type="dxa"/>
            <w:tcBorders>
              <w:top w:val="single" w:color="000000" w:sz="12" w:space="0"/>
              <w:tl2br w:val="nil"/>
              <w:tr2bl w:val="nil"/>
            </w:tcBorders>
            <w:shd w:val="clear" w:color="auto" w:fill="FFFFFF"/>
            <w:noWrap w:val="0"/>
            <w:vAlign w:val="center"/>
          </w:tcPr>
          <w:p w14:paraId="62CFD6C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7A38904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576" w:type="dxa"/>
            <w:tcBorders>
              <w:top w:val="single" w:color="000000" w:sz="12" w:space="0"/>
              <w:tl2br w:val="nil"/>
              <w:tr2bl w:val="nil"/>
            </w:tcBorders>
            <w:shd w:val="clear" w:color="auto" w:fill="FFFFFF"/>
            <w:noWrap w:val="0"/>
            <w:vAlign w:val="center"/>
          </w:tcPr>
          <w:p w14:paraId="5C98C1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op w:val="single" w:color="000000" w:sz="12" w:space="0"/>
              <w:tl2br w:val="nil"/>
              <w:tr2bl w:val="nil"/>
            </w:tcBorders>
            <w:shd w:val="clear" w:color="auto" w:fill="FFFFFF"/>
            <w:noWrap w:val="0"/>
            <w:vAlign w:val="center"/>
          </w:tcPr>
          <w:p w14:paraId="3BD5A46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、生活供水的主、备用泵进行手动切换试验并记录。</w:t>
            </w:r>
          </w:p>
          <w:p w14:paraId="4DA9272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、消防泵、喷淋泵应启动管网末端试水装置或打开水泵出水管放水试验。</w:t>
            </w:r>
          </w:p>
          <w:p w14:paraId="22DA3E9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、注意水压表是否在检验合格后的规定时间内使用。</w:t>
            </w:r>
          </w:p>
        </w:tc>
      </w:tr>
      <w:tr w14:paraId="23AEC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14:paraId="0AD3622F">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14:paraId="1034947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3441A22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14:paraId="00400AD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4D8592B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1、电机、泵体轴承清洗加润滑油；如有异常声响，则更换同</w:t>
            </w:r>
          </w:p>
          <w:p w14:paraId="7F2F36D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型号规格轴承。</w:t>
            </w:r>
          </w:p>
          <w:p w14:paraId="53562246">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2、泵体、水泵叶轮及管道除锈、刷漆。</w:t>
            </w:r>
          </w:p>
          <w:p w14:paraId="516AB1D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3、检测电机接地电阻。</w:t>
            </w:r>
          </w:p>
          <w:p w14:paraId="65A1E43E">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4、检查电机与水泵弹性联轴器有无损坏，如有损坏则更换。</w:t>
            </w:r>
          </w:p>
          <w:p w14:paraId="3830C1F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5、更换磨损的水泵轴衬套。</w:t>
            </w:r>
          </w:p>
          <w:p w14:paraId="46A58A5A">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6、性能测试。</w:t>
            </w:r>
          </w:p>
        </w:tc>
      </w:tr>
      <w:tr w14:paraId="6639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l2br w:val="nil"/>
              <w:tr2bl w:val="nil"/>
            </w:tcBorders>
            <w:shd w:val="clear" w:color="auto" w:fill="FFFFFF"/>
            <w:noWrap w:val="0"/>
            <w:vAlign w:val="center"/>
          </w:tcPr>
          <w:p w14:paraId="3CBD3E2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水箱</w:t>
            </w:r>
          </w:p>
          <w:p w14:paraId="08F26A0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水池</w:t>
            </w:r>
          </w:p>
        </w:tc>
        <w:tc>
          <w:tcPr>
            <w:tcW w:w="576" w:type="dxa"/>
            <w:tcBorders>
              <w:tl2br w:val="nil"/>
              <w:tr2bl w:val="nil"/>
            </w:tcBorders>
            <w:shd w:val="clear" w:color="auto" w:fill="FFFFFF"/>
            <w:noWrap w:val="0"/>
            <w:vAlign w:val="center"/>
          </w:tcPr>
          <w:p w14:paraId="36AD85C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78BC6312">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周</w:t>
            </w:r>
          </w:p>
        </w:tc>
        <w:tc>
          <w:tcPr>
            <w:tcW w:w="576" w:type="dxa"/>
            <w:tcBorders>
              <w:tl2br w:val="nil"/>
              <w:tr2bl w:val="nil"/>
            </w:tcBorders>
            <w:shd w:val="clear" w:color="auto" w:fill="FFFFFF"/>
            <w:noWrap w:val="0"/>
            <w:vAlign w:val="center"/>
          </w:tcPr>
          <w:p w14:paraId="74E62531">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3CF484C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1、检查外观是否完好，有无跑、冒、滴、漏现象，箱口防虫</w:t>
            </w:r>
          </w:p>
          <w:p w14:paraId="2D8330C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纱网是否完好。</w:t>
            </w:r>
          </w:p>
          <w:p w14:paraId="668E097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2、打开排污阀排污。</w:t>
            </w:r>
          </w:p>
          <w:p w14:paraId="68493881">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3、检查进水浮球阀并作手动进水试验。</w:t>
            </w:r>
          </w:p>
          <w:p w14:paraId="78917249">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4、观察水质情况，检测水的</w:t>
            </w:r>
            <w:r>
              <w:rPr>
                <w:rFonts w:hint="eastAsia" w:ascii="宋体" w:hAnsi="宋体" w:cs="宋体"/>
                <w:color w:val="auto"/>
                <w:sz w:val="18"/>
                <w:szCs w:val="18"/>
                <w:highlight w:val="none"/>
                <w:lang w:val="en-US" w:eastAsia="zh-CN"/>
              </w:rPr>
              <w:t>p</w:t>
            </w:r>
            <w:r>
              <w:rPr>
                <w:rFonts w:hint="eastAsia" w:ascii="宋体" w:hAnsi="宋体" w:eastAsia="宋体" w:cs="宋体"/>
                <w:color w:val="auto"/>
                <w:sz w:val="18"/>
                <w:szCs w:val="18"/>
                <w:highlight w:val="none"/>
              </w:rPr>
              <w:t>H值和含氯量。</w:t>
            </w:r>
          </w:p>
          <w:p w14:paraId="70CBBBD5">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5、水箱、水池盖板是否上锁并且完好</w:t>
            </w:r>
            <w:r>
              <w:rPr>
                <w:rFonts w:hint="eastAsia" w:ascii="宋体" w:hAnsi="宋体" w:eastAsia="宋体" w:cs="宋体"/>
                <w:color w:val="auto"/>
                <w:highlight w:val="none"/>
              </w:rPr>
              <w:t>。</w:t>
            </w:r>
          </w:p>
        </w:tc>
      </w:tr>
      <w:tr w14:paraId="2024D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14:paraId="11A3AA1E">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14:paraId="5537C64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2C639F3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w:t>
            </w:r>
          </w:p>
          <w:p w14:paraId="0ED5B1E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14:paraId="0BF01AB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24F5B1B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1、清洗水池，按比例投放漂白粉进行消毒。</w:t>
            </w:r>
          </w:p>
          <w:p w14:paraId="712D5CFD">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2、送水样至市卫生防疫站进行水质化验。</w:t>
            </w:r>
          </w:p>
          <w:p w14:paraId="47CEEEF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3、各类金属构件及管道作防锈处理。</w:t>
            </w:r>
          </w:p>
        </w:tc>
      </w:tr>
      <w:tr w14:paraId="160DD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l2br w:val="nil"/>
              <w:tr2bl w:val="nil"/>
            </w:tcBorders>
            <w:shd w:val="clear" w:color="auto" w:fill="FFFFFF"/>
            <w:noWrap w:val="0"/>
            <w:vAlign w:val="center"/>
          </w:tcPr>
          <w:p w14:paraId="05E0D5D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给水井</w:t>
            </w:r>
          </w:p>
          <w:p w14:paraId="221B896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雨水井</w:t>
            </w:r>
          </w:p>
          <w:p w14:paraId="6FFE08C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污水井</w:t>
            </w:r>
          </w:p>
        </w:tc>
        <w:tc>
          <w:tcPr>
            <w:tcW w:w="576" w:type="dxa"/>
            <w:tcBorders>
              <w:tl2br w:val="nil"/>
              <w:tr2bl w:val="nil"/>
            </w:tcBorders>
            <w:shd w:val="clear" w:color="auto" w:fill="FFFFFF"/>
            <w:noWrap w:val="0"/>
            <w:vAlign w:val="center"/>
          </w:tcPr>
          <w:p w14:paraId="1AFE8AF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w:t>
            </w:r>
          </w:p>
          <w:p w14:paraId="0A061ECC">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14:paraId="1D0B3F75">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139423E2">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、清理污泥，疏通下水管道。</w:t>
            </w:r>
          </w:p>
          <w:p w14:paraId="33563F5A">
            <w:pPr>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、各类井盖及金属构件刷漆。</w:t>
            </w:r>
          </w:p>
        </w:tc>
      </w:tr>
      <w:tr w14:paraId="60421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l2br w:val="nil"/>
              <w:tr2bl w:val="nil"/>
            </w:tcBorders>
            <w:shd w:val="clear" w:color="auto" w:fill="FFFFFF"/>
            <w:noWrap w:val="0"/>
            <w:vAlign w:val="center"/>
          </w:tcPr>
          <w:p w14:paraId="0F74CD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供水</w:t>
            </w:r>
          </w:p>
          <w:p w14:paraId="783CCAB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排污</w:t>
            </w:r>
          </w:p>
          <w:p w14:paraId="611F1CE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管网</w:t>
            </w:r>
          </w:p>
        </w:tc>
        <w:tc>
          <w:tcPr>
            <w:tcW w:w="576" w:type="dxa"/>
            <w:tcBorders>
              <w:tl2br w:val="nil"/>
              <w:tr2bl w:val="nil"/>
            </w:tcBorders>
            <w:shd w:val="clear" w:color="auto" w:fill="FFFFFF"/>
            <w:noWrap w:val="0"/>
            <w:vAlign w:val="center"/>
          </w:tcPr>
          <w:p w14:paraId="707A1D6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7F804116">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季</w:t>
            </w:r>
          </w:p>
        </w:tc>
        <w:tc>
          <w:tcPr>
            <w:tcW w:w="576" w:type="dxa"/>
            <w:tcBorders>
              <w:tl2br w:val="nil"/>
              <w:tr2bl w:val="nil"/>
            </w:tcBorders>
            <w:shd w:val="clear" w:color="auto" w:fill="FFFFFF"/>
            <w:noWrap w:val="0"/>
            <w:vAlign w:val="center"/>
          </w:tcPr>
          <w:p w14:paraId="79C36D98">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00210671">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、清理管道内的杂物，疏通排污管道。</w:t>
            </w:r>
          </w:p>
          <w:p w14:paraId="33749508">
            <w:pPr>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、检查闸阀开启、关闭是否灵活，有无跑、冒、滴、漏现象。</w:t>
            </w:r>
          </w:p>
        </w:tc>
      </w:tr>
      <w:tr w14:paraId="3D3B0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14:paraId="19890446">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14:paraId="0E365CE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14:paraId="182AE65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14:paraId="1BF3EB3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14:paraId="7653930C">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1、重复上述内容。</w:t>
            </w:r>
          </w:p>
          <w:p w14:paraId="384F950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2、检查修整全部管架。</w:t>
            </w:r>
          </w:p>
          <w:p w14:paraId="15692B50">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3、管道及支架除锈刷漆。</w:t>
            </w:r>
          </w:p>
          <w:p w14:paraId="6D0BF3CF">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4、检查止回阀、浮球阀、液位控制器是否正常。</w:t>
            </w:r>
          </w:p>
          <w:p w14:paraId="79508035">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5、管道内部清洗、作防腐处理。</w:t>
            </w:r>
          </w:p>
          <w:p w14:paraId="20AA5426">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、各类阀门丝杆上油作防锈处理。</w:t>
            </w:r>
          </w:p>
        </w:tc>
      </w:tr>
    </w:tbl>
    <w:p w14:paraId="16C2012E">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5BF4FCCA">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551" w:name="_Toc21175"/>
      <w:bookmarkStart w:id="552" w:name="_Toc17084"/>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C  </w:t>
      </w:r>
      <w:r>
        <w:rPr>
          <w:rFonts w:hint="eastAsia" w:ascii="Times New Roman" w:hAnsi="Times New Roman" w:eastAsia="宋体" w:cs="Times New Roman"/>
          <w:sz w:val="36"/>
          <w:szCs w:val="36"/>
          <w:highlight w:val="none"/>
          <w:lang w:eastAsia="zh-CN"/>
        </w:rPr>
        <w:t>安全技术防范与多媒体系统巡查维护</w:t>
      </w:r>
      <w:bookmarkEnd w:id="551"/>
      <w:bookmarkEnd w:id="552"/>
    </w:p>
    <w:p w14:paraId="2CADE8E6">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p>
    <w:p w14:paraId="4831A9A7">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p>
    <w:p w14:paraId="5F06F344">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安全技术防范与多媒体系统巡查维护内容见表</w:t>
      </w:r>
      <w:r>
        <w:rPr>
          <w:rFonts w:hint="eastAsia" w:hAnsi="宋体" w:eastAsia="宋体" w:cs="宋体"/>
          <w:color w:val="auto"/>
          <w:sz w:val="21"/>
          <w:highlight w:val="none"/>
          <w:lang w:val="en-US" w:eastAsia="zh-CN" w:bidi="ar-SA"/>
        </w:rPr>
        <w:t>C</w:t>
      </w:r>
      <w:r>
        <w:rPr>
          <w:rFonts w:hint="eastAsia" w:ascii="宋体" w:hAnsi="宋体" w:eastAsia="宋体" w:cs="宋体"/>
          <w:color w:val="auto"/>
          <w:sz w:val="21"/>
          <w:highlight w:val="none"/>
          <w:lang w:val="en-US" w:eastAsia="zh-CN" w:bidi="ar-SA"/>
        </w:rPr>
        <w:t>.1。</w:t>
      </w:r>
    </w:p>
    <w:p w14:paraId="15A06727">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表C.1  安全技术防范与多媒体系统巡查维护内容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750"/>
        <w:gridCol w:w="613"/>
        <w:gridCol w:w="4541"/>
      </w:tblGrid>
      <w:tr w14:paraId="5F743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2366" w:type="dxa"/>
            <w:tcBorders>
              <w:bottom w:val="single" w:color="000000" w:sz="12" w:space="0"/>
            </w:tcBorders>
            <w:shd w:val="clear" w:color="auto" w:fill="FFFFFF"/>
            <w:noWrap w:val="0"/>
            <w:vAlign w:val="center"/>
          </w:tcPr>
          <w:p w14:paraId="64FC8FE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w:t>
            </w:r>
          </w:p>
        </w:tc>
        <w:tc>
          <w:tcPr>
            <w:tcW w:w="750" w:type="dxa"/>
            <w:tcBorders>
              <w:bottom w:val="single" w:color="000000" w:sz="12" w:space="0"/>
            </w:tcBorders>
            <w:shd w:val="clear" w:color="auto" w:fill="FFFFFF"/>
            <w:noWrap w:val="0"/>
            <w:vAlign w:val="center"/>
          </w:tcPr>
          <w:p w14:paraId="2DFAE5EA">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时间</w:t>
            </w:r>
          </w:p>
        </w:tc>
        <w:tc>
          <w:tcPr>
            <w:tcW w:w="613" w:type="dxa"/>
            <w:tcBorders>
              <w:bottom w:val="single" w:color="000000" w:sz="12" w:space="0"/>
            </w:tcBorders>
            <w:shd w:val="clear" w:color="auto" w:fill="FFFFFF"/>
            <w:noWrap w:val="0"/>
            <w:vAlign w:val="center"/>
          </w:tcPr>
          <w:p w14:paraId="41007D65">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次数</w:t>
            </w:r>
          </w:p>
        </w:tc>
        <w:tc>
          <w:tcPr>
            <w:tcW w:w="4541" w:type="dxa"/>
            <w:tcBorders>
              <w:bottom w:val="single" w:color="000000" w:sz="12" w:space="0"/>
            </w:tcBorders>
            <w:shd w:val="clear" w:color="auto" w:fill="FFFFFF"/>
            <w:noWrap w:val="0"/>
            <w:vAlign w:val="center"/>
          </w:tcPr>
          <w:p w14:paraId="49C47AB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维修养护内容</w:t>
            </w:r>
          </w:p>
        </w:tc>
      </w:tr>
      <w:tr w14:paraId="55100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op w:val="single" w:color="000000" w:sz="12" w:space="0"/>
              <w:tl2br w:val="nil"/>
              <w:tr2bl w:val="nil"/>
            </w:tcBorders>
            <w:shd w:val="clear" w:color="auto" w:fill="FFFFFF"/>
            <w:noWrap w:val="0"/>
            <w:vAlign w:val="center"/>
          </w:tcPr>
          <w:p w14:paraId="3376EC8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闭路监控系统</w:t>
            </w:r>
          </w:p>
        </w:tc>
      </w:tr>
      <w:tr w14:paraId="74703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14:paraId="71B30791">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摄像机</w:t>
            </w:r>
          </w:p>
        </w:tc>
        <w:tc>
          <w:tcPr>
            <w:tcW w:w="750" w:type="dxa"/>
            <w:tcBorders>
              <w:tl2br w:val="nil"/>
              <w:tr2bl w:val="nil"/>
            </w:tcBorders>
            <w:shd w:val="clear" w:color="auto" w:fill="FFFFFF"/>
            <w:noWrap w:val="0"/>
            <w:vAlign w:val="center"/>
          </w:tcPr>
          <w:p w14:paraId="6246CC5B">
            <w:pPr>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3" w:type="dxa"/>
            <w:tcBorders>
              <w:tl2br w:val="nil"/>
              <w:tr2bl w:val="nil"/>
            </w:tcBorders>
            <w:shd w:val="clear" w:color="auto" w:fill="FFFFFF"/>
            <w:noWrap w:val="0"/>
            <w:vAlign w:val="center"/>
          </w:tcPr>
          <w:p w14:paraId="7334479D">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4931DCCF">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1、线路整理。</w:t>
            </w:r>
          </w:p>
          <w:p w14:paraId="79560C05">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2、检查各视频及音频接头。</w:t>
            </w:r>
          </w:p>
        </w:tc>
      </w:tr>
      <w:tr w14:paraId="4D88A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2057FCAF">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6427799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每年</w:t>
            </w:r>
          </w:p>
        </w:tc>
        <w:tc>
          <w:tcPr>
            <w:tcW w:w="613" w:type="dxa"/>
            <w:tcBorders>
              <w:tl2br w:val="nil"/>
              <w:tr2bl w:val="nil"/>
            </w:tcBorders>
            <w:shd w:val="clear" w:color="auto" w:fill="FFFFFF"/>
            <w:noWrap w:val="0"/>
            <w:vAlign w:val="center"/>
          </w:tcPr>
          <w:p w14:paraId="7B05A2EF">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68ADC84F">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1、检查各线路接口是否正常、线路是否侵蚀老化。</w:t>
            </w:r>
          </w:p>
          <w:p w14:paraId="0F2C5B31">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2、线路标号是否清晰可见，合理编排线路并检修调整。</w:t>
            </w:r>
          </w:p>
          <w:p w14:paraId="0F700A93">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3、检查云台机械机构和电动元器件的工作情况。</w:t>
            </w:r>
          </w:p>
        </w:tc>
      </w:tr>
      <w:tr w14:paraId="6CF8F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14:paraId="77CD1FFA">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计算机</w:t>
            </w:r>
          </w:p>
          <w:p w14:paraId="5F12972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监视器</w:t>
            </w:r>
          </w:p>
        </w:tc>
        <w:tc>
          <w:tcPr>
            <w:tcW w:w="750" w:type="dxa"/>
            <w:tcBorders>
              <w:tl2br w:val="nil"/>
              <w:tr2bl w:val="nil"/>
            </w:tcBorders>
            <w:shd w:val="clear" w:color="auto" w:fill="FFFFFF"/>
            <w:noWrap w:val="0"/>
            <w:vAlign w:val="center"/>
          </w:tcPr>
          <w:p w14:paraId="1699CA4B">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3" w:type="dxa"/>
            <w:tcBorders>
              <w:tl2br w:val="nil"/>
              <w:tr2bl w:val="nil"/>
            </w:tcBorders>
            <w:shd w:val="clear" w:color="auto" w:fill="FFFFFF"/>
            <w:noWrap w:val="0"/>
            <w:vAlign w:val="center"/>
          </w:tcPr>
          <w:p w14:paraId="037FDD22">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55C8FEC6">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14:paraId="6E704928">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14:paraId="487D4D1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3、检查各连接线路是否牢固完好，是否有养护腐蚀现象。</w:t>
            </w:r>
          </w:p>
        </w:tc>
      </w:tr>
      <w:tr w14:paraId="433A0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6229CA9B">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6351389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3" w:type="dxa"/>
            <w:tcBorders>
              <w:tl2br w:val="nil"/>
              <w:tr2bl w:val="nil"/>
            </w:tcBorders>
            <w:shd w:val="clear" w:color="auto" w:fill="FFFFFF"/>
            <w:noWrap w:val="0"/>
            <w:vAlign w:val="center"/>
          </w:tcPr>
          <w:p w14:paraId="1A4EE28F">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281FE2A0">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1、清洁主机内部灰尘。</w:t>
            </w:r>
          </w:p>
          <w:p w14:paraId="13F72A9F">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2、数据整理与备份。</w:t>
            </w:r>
          </w:p>
          <w:p w14:paraId="02DF688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3、计算机数据整理、内部测试。</w:t>
            </w:r>
          </w:p>
        </w:tc>
      </w:tr>
      <w:tr w14:paraId="06CD4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14:paraId="5D185E7C">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录像机</w:t>
            </w:r>
          </w:p>
        </w:tc>
        <w:tc>
          <w:tcPr>
            <w:tcW w:w="750" w:type="dxa"/>
            <w:tcBorders>
              <w:tl2br w:val="nil"/>
              <w:tr2bl w:val="nil"/>
            </w:tcBorders>
            <w:shd w:val="clear" w:color="auto" w:fill="FFFFFF"/>
            <w:noWrap w:val="0"/>
            <w:vAlign w:val="center"/>
          </w:tcPr>
          <w:p w14:paraId="0C3C6B50">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3" w:type="dxa"/>
            <w:tcBorders>
              <w:tl2br w:val="nil"/>
              <w:tr2bl w:val="nil"/>
            </w:tcBorders>
            <w:shd w:val="clear" w:color="auto" w:fill="FFFFFF"/>
            <w:noWrap w:val="0"/>
            <w:vAlign w:val="center"/>
          </w:tcPr>
          <w:p w14:paraId="473E915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75037808">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14:paraId="206BD965">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2、检查外观是否完好。</w:t>
            </w:r>
          </w:p>
        </w:tc>
      </w:tr>
      <w:tr w14:paraId="0D559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62CB310D">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16D039D0">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每月</w:t>
            </w:r>
          </w:p>
        </w:tc>
        <w:tc>
          <w:tcPr>
            <w:tcW w:w="613" w:type="dxa"/>
            <w:tcBorders>
              <w:tl2br w:val="nil"/>
              <w:tr2bl w:val="nil"/>
            </w:tcBorders>
            <w:shd w:val="clear" w:color="auto" w:fill="FFFFFF"/>
            <w:noWrap w:val="0"/>
            <w:vAlign w:val="center"/>
          </w:tcPr>
          <w:p w14:paraId="422DEF25">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22795F98">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1、检察录制标准。</w:t>
            </w:r>
          </w:p>
          <w:p w14:paraId="3D0EE6C3">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2、测试各功能键的工作情况。</w:t>
            </w:r>
          </w:p>
        </w:tc>
      </w:tr>
      <w:tr w14:paraId="5C312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3179E2E9">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3CEC0742">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3" w:type="dxa"/>
            <w:tcBorders>
              <w:tl2br w:val="nil"/>
              <w:tr2bl w:val="nil"/>
            </w:tcBorders>
            <w:shd w:val="clear" w:color="auto" w:fill="FFFFFF"/>
            <w:noWrap w:val="0"/>
            <w:vAlign w:val="center"/>
          </w:tcPr>
          <w:p w14:paraId="152DA20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14:paraId="06AF371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检测音频和视频接口，测试各项性能指标。</w:t>
            </w:r>
          </w:p>
        </w:tc>
      </w:tr>
      <w:tr w14:paraId="65EAD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14:paraId="446A2FC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画面分割器</w:t>
            </w:r>
          </w:p>
          <w:p w14:paraId="0B2B688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AD主机</w:t>
            </w:r>
          </w:p>
        </w:tc>
        <w:tc>
          <w:tcPr>
            <w:tcW w:w="750" w:type="dxa"/>
            <w:tcBorders>
              <w:tl2br w:val="nil"/>
              <w:tr2bl w:val="nil"/>
            </w:tcBorders>
            <w:shd w:val="clear" w:color="auto" w:fill="FFFFFF"/>
            <w:noWrap w:val="0"/>
            <w:vAlign w:val="center"/>
          </w:tcPr>
          <w:p w14:paraId="4A44B863">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3" w:type="dxa"/>
            <w:tcBorders>
              <w:tl2br w:val="nil"/>
              <w:tr2bl w:val="nil"/>
            </w:tcBorders>
            <w:shd w:val="clear" w:color="auto" w:fill="FFFFFF"/>
            <w:noWrap w:val="0"/>
            <w:vAlign w:val="center"/>
          </w:tcPr>
          <w:p w14:paraId="7037BFAB">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14:paraId="7D4BEC7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14:paraId="17D8267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2、检查外观是否完好。</w:t>
            </w:r>
          </w:p>
          <w:p w14:paraId="0332820F">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3、检查连接线的牢固程度。</w:t>
            </w:r>
          </w:p>
        </w:tc>
      </w:tr>
      <w:tr w14:paraId="76966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44F46EA2">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1C5922D8">
            <w:pPr>
              <w:jc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3" w:type="dxa"/>
            <w:tcBorders>
              <w:tl2br w:val="nil"/>
              <w:tr2bl w:val="nil"/>
            </w:tcBorders>
            <w:shd w:val="clear" w:color="auto" w:fill="FFFFFF"/>
            <w:noWrap w:val="0"/>
            <w:vAlign w:val="center"/>
          </w:tcPr>
          <w:p w14:paraId="355653E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14:paraId="3EF5F48B">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测试各功能键的工作情况。</w:t>
            </w:r>
          </w:p>
        </w:tc>
      </w:tr>
      <w:tr w14:paraId="11392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14:paraId="2B9357DE">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14:paraId="5CD2D4A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每年</w:t>
            </w:r>
          </w:p>
        </w:tc>
        <w:tc>
          <w:tcPr>
            <w:tcW w:w="613" w:type="dxa"/>
            <w:tcBorders>
              <w:tl2br w:val="nil"/>
              <w:tr2bl w:val="nil"/>
            </w:tcBorders>
            <w:shd w:val="clear" w:color="auto" w:fill="FFFFFF"/>
            <w:noWrap w:val="0"/>
            <w:vAlign w:val="center"/>
          </w:tcPr>
          <w:p w14:paraId="4F580FD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14:paraId="1F078834">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线路整理，功能测试。</w:t>
            </w:r>
          </w:p>
        </w:tc>
      </w:tr>
    </w:tbl>
    <w:p w14:paraId="6562DFF4">
      <w:pPr>
        <w:rPr>
          <w:color w:val="auto"/>
          <w:highlight w:val="none"/>
        </w:rPr>
      </w:pPr>
    </w:p>
    <w:p w14:paraId="3CE9E5AD">
      <w:pPr>
        <w:pStyle w:val="2"/>
        <w:rPr>
          <w:color w:val="auto"/>
          <w:highlight w:val="none"/>
        </w:rPr>
      </w:pPr>
    </w:p>
    <w:p w14:paraId="26506A0B">
      <w:pPr>
        <w:rPr>
          <w:color w:val="auto"/>
          <w:highlight w:val="none"/>
        </w:rPr>
      </w:pPr>
    </w:p>
    <w:p w14:paraId="560BED21">
      <w:pPr>
        <w:rPr>
          <w:color w:val="auto"/>
          <w:highlight w:val="none"/>
        </w:rPr>
      </w:pPr>
    </w:p>
    <w:p w14:paraId="018218D5">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14:paraId="1C1D741D">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14:paraId="34A44357">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14:paraId="1125B354">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续表C.1</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56"/>
        <w:gridCol w:w="611"/>
        <w:gridCol w:w="4527"/>
      </w:tblGrid>
      <w:tr w14:paraId="0D57F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bottom w:val="single" w:color="000000" w:sz="12" w:space="0"/>
            </w:tcBorders>
            <w:shd w:val="clear" w:color="auto" w:fill="FFFFFF"/>
            <w:noWrap w:val="0"/>
            <w:vAlign w:val="center"/>
          </w:tcPr>
          <w:p w14:paraId="398EE487">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项目</w:t>
            </w:r>
          </w:p>
        </w:tc>
        <w:tc>
          <w:tcPr>
            <w:tcW w:w="756" w:type="dxa"/>
            <w:tcBorders>
              <w:bottom w:val="single" w:color="000000" w:sz="12" w:space="0"/>
            </w:tcBorders>
            <w:shd w:val="clear" w:color="auto" w:fill="FFFFFF"/>
            <w:noWrap w:val="0"/>
            <w:vAlign w:val="center"/>
          </w:tcPr>
          <w:p w14:paraId="1E61A447">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时间</w:t>
            </w:r>
          </w:p>
        </w:tc>
        <w:tc>
          <w:tcPr>
            <w:tcW w:w="611" w:type="dxa"/>
            <w:tcBorders>
              <w:bottom w:val="single" w:color="000000" w:sz="12" w:space="0"/>
            </w:tcBorders>
            <w:shd w:val="clear" w:color="auto" w:fill="FFFFFF"/>
            <w:noWrap w:val="0"/>
            <w:vAlign w:val="center"/>
          </w:tcPr>
          <w:p w14:paraId="2AE33DBF">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次数</w:t>
            </w:r>
          </w:p>
        </w:tc>
        <w:tc>
          <w:tcPr>
            <w:tcW w:w="4527" w:type="dxa"/>
            <w:tcBorders>
              <w:bottom w:val="single" w:color="000000" w:sz="12" w:space="0"/>
            </w:tcBorders>
            <w:shd w:val="clear" w:color="auto" w:fill="FFFFFF"/>
            <w:noWrap w:val="0"/>
            <w:vAlign w:val="center"/>
          </w:tcPr>
          <w:p w14:paraId="7FD26B8F">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维修养护内容</w:t>
            </w:r>
          </w:p>
        </w:tc>
      </w:tr>
      <w:tr w14:paraId="06757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op w:val="single" w:color="000000" w:sz="12" w:space="0"/>
              <w:tl2br w:val="nil"/>
              <w:tr2bl w:val="nil"/>
            </w:tcBorders>
            <w:shd w:val="clear" w:color="auto" w:fill="FFFFFF"/>
            <w:noWrap w:val="0"/>
            <w:vAlign w:val="center"/>
          </w:tcPr>
          <w:p w14:paraId="37497C1A">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停车场管理系统</w:t>
            </w:r>
          </w:p>
        </w:tc>
      </w:tr>
      <w:tr w14:paraId="1C0C0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6A8F78C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停车场</w:t>
            </w:r>
          </w:p>
          <w:p w14:paraId="639B4903">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管理系统用</w:t>
            </w:r>
          </w:p>
          <w:p w14:paraId="5DC1CC3F">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计算机</w:t>
            </w:r>
          </w:p>
        </w:tc>
        <w:tc>
          <w:tcPr>
            <w:tcW w:w="756" w:type="dxa"/>
            <w:tcBorders>
              <w:tl2br w:val="nil"/>
              <w:tr2bl w:val="nil"/>
            </w:tcBorders>
            <w:shd w:val="clear" w:color="auto" w:fill="FFFFFF"/>
            <w:noWrap w:val="0"/>
            <w:vAlign w:val="center"/>
          </w:tcPr>
          <w:p w14:paraId="36B5A6F0">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7C6C770C">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40B74702">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14:paraId="0F003A31">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14:paraId="52DDA34F">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14:paraId="19E32C93">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14:paraId="1AF38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Merge w:val="restart"/>
            <w:tcBorders>
              <w:tl2br w:val="nil"/>
              <w:tr2bl w:val="nil"/>
            </w:tcBorders>
            <w:shd w:val="clear" w:color="auto" w:fill="FFFFFF"/>
            <w:noWrap w:val="0"/>
            <w:vAlign w:val="center"/>
          </w:tcPr>
          <w:p w14:paraId="272D09B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读卡器</w:t>
            </w:r>
          </w:p>
          <w:p w14:paraId="41A34DE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控制器</w:t>
            </w:r>
          </w:p>
        </w:tc>
        <w:tc>
          <w:tcPr>
            <w:tcW w:w="756" w:type="dxa"/>
            <w:tcBorders>
              <w:tl2br w:val="nil"/>
              <w:tr2bl w:val="nil"/>
            </w:tcBorders>
            <w:shd w:val="clear" w:color="auto" w:fill="FFFFFF"/>
            <w:noWrap w:val="0"/>
            <w:vAlign w:val="center"/>
          </w:tcPr>
          <w:p w14:paraId="029A48C1">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460465B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13DC9870">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14:paraId="38A20517">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2、读卡器固定螺丝牢固状况。</w:t>
            </w:r>
          </w:p>
        </w:tc>
      </w:tr>
      <w:tr w14:paraId="0C172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Merge w:val="continue"/>
            <w:tcBorders>
              <w:tl2br w:val="nil"/>
              <w:tr2bl w:val="nil"/>
            </w:tcBorders>
            <w:shd w:val="clear" w:color="auto" w:fill="FFFFFF"/>
            <w:noWrap w:val="0"/>
            <w:vAlign w:val="center"/>
          </w:tcPr>
          <w:p w14:paraId="1748D602">
            <w:pPr>
              <w:jc w:val="center"/>
              <w:rPr>
                <w:rFonts w:hint="eastAsia" w:ascii="宋体" w:hAnsi="宋体" w:eastAsia="宋体" w:cs="宋体"/>
                <w:b w:val="0"/>
                <w:bCs w:val="0"/>
                <w:color w:val="auto"/>
                <w:sz w:val="18"/>
                <w:szCs w:val="18"/>
                <w:highlight w:val="none"/>
              </w:rPr>
            </w:pPr>
          </w:p>
        </w:tc>
        <w:tc>
          <w:tcPr>
            <w:tcW w:w="756" w:type="dxa"/>
            <w:tcBorders>
              <w:tl2br w:val="nil"/>
              <w:tr2bl w:val="nil"/>
            </w:tcBorders>
            <w:shd w:val="clear" w:color="auto" w:fill="FFFFFF"/>
            <w:noWrap w:val="0"/>
            <w:vAlign w:val="center"/>
          </w:tcPr>
          <w:p w14:paraId="7370200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1" w:type="dxa"/>
            <w:tcBorders>
              <w:tl2br w:val="nil"/>
              <w:tr2bl w:val="nil"/>
            </w:tcBorders>
            <w:shd w:val="clear" w:color="auto" w:fill="FFFFFF"/>
            <w:noWrap w:val="0"/>
            <w:vAlign w:val="center"/>
          </w:tcPr>
          <w:p w14:paraId="386E09E6">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372C059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1、检测系统接口性能。</w:t>
            </w:r>
          </w:p>
          <w:p w14:paraId="4817EBA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2、检查电器元件工作情况。</w:t>
            </w:r>
          </w:p>
        </w:tc>
      </w:tr>
      <w:tr w14:paraId="10EED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040CD958">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地感装置</w:t>
            </w:r>
          </w:p>
        </w:tc>
        <w:tc>
          <w:tcPr>
            <w:tcW w:w="756" w:type="dxa"/>
            <w:tcBorders>
              <w:tl2br w:val="nil"/>
              <w:tr2bl w:val="nil"/>
            </w:tcBorders>
            <w:shd w:val="clear" w:color="auto" w:fill="FFFFFF"/>
            <w:noWrap w:val="0"/>
            <w:vAlign w:val="center"/>
          </w:tcPr>
          <w:p w14:paraId="4EBCCBF1">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74937197">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center"/>
          </w:tcPr>
          <w:p w14:paraId="30CF5C59">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测试地感装置的灵敏程度，根据测试结果调解灵活度。</w:t>
            </w:r>
          </w:p>
        </w:tc>
      </w:tr>
      <w:tr w14:paraId="79F2D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l2br w:val="nil"/>
              <w:tr2bl w:val="nil"/>
            </w:tcBorders>
            <w:shd w:val="clear" w:color="auto" w:fill="FFFFFF"/>
            <w:noWrap w:val="0"/>
            <w:vAlign w:val="center"/>
          </w:tcPr>
          <w:p w14:paraId="50A63D76">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门禁管理系统</w:t>
            </w:r>
          </w:p>
        </w:tc>
      </w:tr>
      <w:tr w14:paraId="01862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0F3BA820">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门禁管理系统用计算机</w:t>
            </w:r>
          </w:p>
        </w:tc>
        <w:tc>
          <w:tcPr>
            <w:tcW w:w="756" w:type="dxa"/>
            <w:tcBorders>
              <w:tl2br w:val="nil"/>
              <w:tr2bl w:val="nil"/>
            </w:tcBorders>
            <w:shd w:val="clear" w:color="auto" w:fill="FFFFFF"/>
            <w:noWrap w:val="0"/>
            <w:vAlign w:val="center"/>
          </w:tcPr>
          <w:p w14:paraId="7D34F26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00014BAC">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06B1D9E8">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14:paraId="7035CC54">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14:paraId="091668DD">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14:paraId="10C4930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14:paraId="7176C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158A16D2">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读卡器</w:t>
            </w:r>
          </w:p>
          <w:p w14:paraId="703E116D">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控制器</w:t>
            </w:r>
          </w:p>
        </w:tc>
        <w:tc>
          <w:tcPr>
            <w:tcW w:w="756" w:type="dxa"/>
            <w:tcBorders>
              <w:tl2br w:val="nil"/>
              <w:tr2bl w:val="nil"/>
            </w:tcBorders>
            <w:shd w:val="clear" w:color="auto" w:fill="FFFFFF"/>
            <w:noWrap w:val="0"/>
            <w:vAlign w:val="center"/>
          </w:tcPr>
          <w:p w14:paraId="2F83513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030CA7D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2195DD78">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14:paraId="2DD3EB9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2、读卡器固定螺丝牢固状况。</w:t>
            </w:r>
          </w:p>
        </w:tc>
      </w:tr>
      <w:tr w14:paraId="1A978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l2br w:val="nil"/>
              <w:tr2bl w:val="nil"/>
            </w:tcBorders>
            <w:shd w:val="clear" w:color="auto" w:fill="FFFFFF"/>
            <w:noWrap w:val="0"/>
            <w:vAlign w:val="center"/>
          </w:tcPr>
          <w:p w14:paraId="0F34828D">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多媒体会议系统及其它系统</w:t>
            </w:r>
          </w:p>
        </w:tc>
      </w:tr>
      <w:tr w14:paraId="394E6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5CCCD311">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控制主机</w:t>
            </w:r>
          </w:p>
        </w:tc>
        <w:tc>
          <w:tcPr>
            <w:tcW w:w="756" w:type="dxa"/>
            <w:tcBorders>
              <w:tl2br w:val="nil"/>
              <w:tr2bl w:val="nil"/>
            </w:tcBorders>
            <w:shd w:val="clear" w:color="auto" w:fill="FFFFFF"/>
            <w:noWrap w:val="0"/>
            <w:vAlign w:val="center"/>
          </w:tcPr>
          <w:p w14:paraId="5E60BC49">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每月</w:t>
            </w:r>
          </w:p>
        </w:tc>
        <w:tc>
          <w:tcPr>
            <w:tcW w:w="611" w:type="dxa"/>
            <w:tcBorders>
              <w:tl2br w:val="nil"/>
              <w:tr2bl w:val="nil"/>
            </w:tcBorders>
            <w:shd w:val="clear" w:color="auto" w:fill="FFFFFF"/>
            <w:noWrap w:val="0"/>
            <w:vAlign w:val="center"/>
          </w:tcPr>
          <w:p w14:paraId="24E48A5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4EA1513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14:paraId="5D7EEDAA">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14:paraId="62736AE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14:paraId="20E6FFA9">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14:paraId="79308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3E5D2FBE">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音箱、投影、报警前端设备</w:t>
            </w:r>
          </w:p>
        </w:tc>
        <w:tc>
          <w:tcPr>
            <w:tcW w:w="756" w:type="dxa"/>
            <w:tcBorders>
              <w:tl2br w:val="nil"/>
              <w:tr2bl w:val="nil"/>
            </w:tcBorders>
            <w:shd w:val="clear" w:color="auto" w:fill="FFFFFF"/>
            <w:noWrap w:val="0"/>
            <w:vAlign w:val="center"/>
          </w:tcPr>
          <w:p w14:paraId="33CD056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1" w:type="dxa"/>
            <w:tcBorders>
              <w:tl2br w:val="nil"/>
              <w:tr2bl w:val="nil"/>
            </w:tcBorders>
            <w:shd w:val="clear" w:color="auto" w:fill="FFFFFF"/>
            <w:noWrap w:val="0"/>
            <w:vAlign w:val="center"/>
          </w:tcPr>
          <w:p w14:paraId="417526F2">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75CE8D07">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14:paraId="5006FA74">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2、音箱、投影、报警前端设备固定螺丝牢固状况。</w:t>
            </w:r>
          </w:p>
          <w:p w14:paraId="6E79A787">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3、音箱、投影、报警前端设备测试和运行。</w:t>
            </w:r>
          </w:p>
        </w:tc>
      </w:tr>
      <w:tr w14:paraId="25EA2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14:paraId="66DEFC14">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终端设备</w:t>
            </w:r>
          </w:p>
        </w:tc>
        <w:tc>
          <w:tcPr>
            <w:tcW w:w="756" w:type="dxa"/>
            <w:tcBorders>
              <w:tl2br w:val="nil"/>
              <w:tr2bl w:val="nil"/>
            </w:tcBorders>
            <w:shd w:val="clear" w:color="auto" w:fill="FFFFFF"/>
            <w:noWrap w:val="0"/>
            <w:vAlign w:val="center"/>
          </w:tcPr>
          <w:p w14:paraId="22DF68C4">
            <w:pP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14:paraId="61BA96B2">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14:paraId="6331F70C">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1、检测系统接口性能。</w:t>
            </w:r>
          </w:p>
          <w:p w14:paraId="3C53EBDE">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2、检查电器元件工作情况。</w:t>
            </w:r>
          </w:p>
        </w:tc>
      </w:tr>
    </w:tbl>
    <w:p w14:paraId="4751762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color w:val="auto"/>
          <w:highlight w:val="none"/>
        </w:rPr>
      </w:pPr>
    </w:p>
    <w:p w14:paraId="52C55A7C">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33DC2637">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14:paraId="3C24CB6E">
      <w:pPr>
        <w:spacing w:after="312" w:afterLines="100"/>
        <w:jc w:val="center"/>
        <w:outlineLvl w:val="0"/>
        <w:rPr>
          <w:rFonts w:hint="default" w:ascii="Times New Roman" w:hAnsi="Times New Roman" w:eastAsia="宋体" w:cs="Times New Roman"/>
          <w:sz w:val="36"/>
          <w:szCs w:val="36"/>
          <w:highlight w:val="none"/>
          <w:lang w:val="en-US" w:eastAsia="zh-CN"/>
        </w:rPr>
      </w:pPr>
      <w:bookmarkStart w:id="553" w:name="_Toc8405"/>
      <w:bookmarkStart w:id="554" w:name="_Toc26492"/>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D  </w:t>
      </w:r>
      <w:r>
        <w:rPr>
          <w:rFonts w:hint="eastAsia" w:ascii="Times New Roman" w:hAnsi="Times New Roman" w:eastAsia="宋体" w:cs="Times New Roman"/>
          <w:sz w:val="36"/>
          <w:szCs w:val="36"/>
          <w:highlight w:val="none"/>
          <w:lang w:val="zh-CN" w:eastAsia="zh-CN"/>
        </w:rPr>
        <w:t>重要部位（区域）</w:t>
      </w:r>
      <w:r>
        <w:rPr>
          <w:rFonts w:hint="eastAsia" w:ascii="Times New Roman" w:hAnsi="Times New Roman" w:eastAsia="宋体" w:cs="Times New Roman"/>
          <w:sz w:val="36"/>
          <w:szCs w:val="36"/>
          <w:highlight w:val="none"/>
          <w:lang w:val="en-US" w:eastAsia="zh-CN"/>
        </w:rPr>
        <w:t>人防配置表</w:t>
      </w:r>
      <w:bookmarkEnd w:id="553"/>
      <w:bookmarkEnd w:id="554"/>
    </w:p>
    <w:p w14:paraId="21B51762">
      <w:pPr>
        <w:pStyle w:val="59"/>
        <w:tabs>
          <w:tab w:val="center" w:pos="4201"/>
          <w:tab w:val="right" w:leader="dot" w:pos="9298"/>
        </w:tabs>
        <w:ind w:left="0" w:leftChars="0" w:firstLine="0" w:firstLineChars="0"/>
        <w:jc w:val="both"/>
        <w:rPr>
          <w:rFonts w:hint="eastAsia" w:ascii="宋体" w:hAnsi="宋体" w:eastAsia="宋体" w:cs="宋体"/>
          <w:color w:val="auto"/>
          <w:sz w:val="21"/>
          <w:highlight w:val="none"/>
          <w:lang w:val="zh-CN" w:eastAsia="zh-CN" w:bidi="ar-SA"/>
        </w:rPr>
      </w:pPr>
    </w:p>
    <w:p w14:paraId="48851687">
      <w:pPr>
        <w:pStyle w:val="59"/>
        <w:tabs>
          <w:tab w:val="center" w:pos="4201"/>
          <w:tab w:val="right" w:leader="dot" w:pos="9298"/>
        </w:tabs>
        <w:ind w:left="0" w:leftChars="0" w:firstLine="0" w:firstLineChars="0"/>
        <w:jc w:val="both"/>
        <w:rPr>
          <w:rFonts w:hint="eastAsia" w:ascii="宋体" w:hAnsi="宋体" w:eastAsia="宋体" w:cs="宋体"/>
          <w:color w:val="auto"/>
          <w:sz w:val="21"/>
          <w:highlight w:val="none"/>
          <w:lang w:val="zh-CN" w:eastAsia="zh-CN" w:bidi="ar-SA"/>
        </w:rPr>
      </w:pPr>
    </w:p>
    <w:p w14:paraId="11C97117">
      <w:pPr>
        <w:pStyle w:val="59"/>
        <w:tabs>
          <w:tab w:val="center" w:pos="4201"/>
          <w:tab w:val="right" w:leader="dot" w:pos="9298"/>
        </w:tabs>
        <w:ind w:left="0" w:leftChars="0" w:firstLine="0" w:firstLineChars="0"/>
        <w:jc w:val="both"/>
        <w:rPr>
          <w:rFonts w:hint="eastAsia" w:hAnsi="宋体" w:eastAsia="宋体" w:cs="宋体"/>
          <w:color w:val="auto"/>
          <w:sz w:val="21"/>
          <w:highlight w:val="none"/>
          <w:lang w:val="en-US" w:eastAsia="zh-CN" w:bidi="ar-SA"/>
        </w:rPr>
      </w:pPr>
      <w:r>
        <w:rPr>
          <w:rFonts w:hint="eastAsia" w:ascii="宋体" w:hAnsi="宋体" w:eastAsia="宋体" w:cs="宋体"/>
          <w:color w:val="auto"/>
          <w:sz w:val="21"/>
          <w:highlight w:val="none"/>
          <w:lang w:val="zh-CN" w:eastAsia="zh-CN" w:bidi="ar-SA"/>
        </w:rPr>
        <w:t>重要部位（区域）</w:t>
      </w:r>
      <w:r>
        <w:rPr>
          <w:rFonts w:hint="eastAsia" w:ascii="宋体" w:hAnsi="宋体" w:eastAsia="宋体" w:cs="宋体"/>
          <w:color w:val="auto"/>
          <w:sz w:val="21"/>
          <w:highlight w:val="none"/>
          <w:lang w:val="en-US" w:eastAsia="zh-CN" w:bidi="ar-SA"/>
        </w:rPr>
        <w:t>人防配置</w:t>
      </w:r>
      <w:r>
        <w:rPr>
          <w:rFonts w:hint="eastAsia" w:hAnsi="宋体" w:eastAsia="宋体" w:cs="宋体"/>
          <w:color w:val="auto"/>
          <w:sz w:val="21"/>
          <w:highlight w:val="none"/>
          <w:lang w:val="en-US" w:eastAsia="zh-CN" w:bidi="ar-SA"/>
        </w:rPr>
        <w:t>见表D.1。</w:t>
      </w:r>
    </w:p>
    <w:p w14:paraId="04C92FD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hAnsi="宋体" w:eastAsia="宋体" w:cs="宋体"/>
          <w:color w:val="auto"/>
          <w:sz w:val="21"/>
          <w:highlight w:val="none"/>
          <w:lang w:val="en-US" w:eastAsia="zh-CN" w:bidi="ar-SA"/>
        </w:rPr>
      </w:pPr>
      <w:r>
        <w:rPr>
          <w:rFonts w:hint="eastAsia" w:ascii="黑体" w:hAnsi="黑体" w:eastAsia="黑体" w:cs="黑体"/>
          <w:color w:val="auto"/>
          <w:sz w:val="21"/>
          <w:highlight w:val="none"/>
          <w:lang w:val="en-US" w:eastAsia="zh-CN" w:bidi="ar-SA"/>
        </w:rPr>
        <w:t>表D.1</w:t>
      </w:r>
      <w:r>
        <w:rPr>
          <w:rFonts w:hint="eastAsia" w:hAnsi="宋体" w:eastAsia="宋体" w:cs="宋体"/>
          <w:color w:val="auto"/>
          <w:sz w:val="21"/>
          <w:highlight w:val="none"/>
          <w:lang w:val="en-US" w:eastAsia="zh-CN" w:bidi="ar-SA"/>
        </w:rPr>
        <w:t xml:space="preserve">  </w:t>
      </w:r>
      <w:r>
        <w:rPr>
          <w:rFonts w:hint="eastAsia" w:ascii="黑体" w:hAnsi="黑体" w:eastAsia="黑体" w:cs="黑体"/>
          <w:color w:val="auto"/>
          <w:sz w:val="21"/>
          <w:highlight w:val="none"/>
          <w:lang w:val="zh-CN" w:eastAsia="zh-CN" w:bidi="ar-SA"/>
        </w:rPr>
        <w:t>重要部位（区域）</w:t>
      </w:r>
      <w:r>
        <w:rPr>
          <w:rFonts w:hint="eastAsia" w:ascii="黑体" w:hAnsi="黑体" w:eastAsia="黑体" w:cs="黑体"/>
          <w:color w:val="auto"/>
          <w:sz w:val="21"/>
          <w:highlight w:val="none"/>
          <w:lang w:val="en-US" w:eastAsia="zh-CN" w:bidi="ar-SA"/>
        </w:rPr>
        <w:t>人防配置表</w:t>
      </w:r>
    </w:p>
    <w:tbl>
      <w:tblPr>
        <w:tblStyle w:val="38"/>
        <w:tblW w:w="430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395"/>
        <w:gridCol w:w="1296"/>
        <w:gridCol w:w="2045"/>
        <w:gridCol w:w="1869"/>
      </w:tblGrid>
      <w:tr w14:paraId="4792C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8" w:type="dxa"/>
            <w:tcBorders>
              <w:bottom w:val="single" w:color="000000" w:sz="12" w:space="0"/>
            </w:tcBorders>
            <w:noWrap/>
            <w:vAlign w:val="center"/>
          </w:tcPr>
          <w:p w14:paraId="75FDB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395" w:type="dxa"/>
            <w:tcBorders>
              <w:bottom w:val="single" w:color="000000" w:sz="12" w:space="0"/>
            </w:tcBorders>
            <w:noWrap/>
            <w:vAlign w:val="center"/>
          </w:tcPr>
          <w:p w14:paraId="78966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服务区域（岗位）</w:t>
            </w:r>
          </w:p>
        </w:tc>
        <w:tc>
          <w:tcPr>
            <w:tcW w:w="1296" w:type="dxa"/>
            <w:tcBorders>
              <w:bottom w:val="single" w:color="000000" w:sz="12" w:space="0"/>
            </w:tcBorders>
            <w:noWrap/>
            <w:vAlign w:val="center"/>
          </w:tcPr>
          <w:p w14:paraId="53DA5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配置要求</w:t>
            </w:r>
          </w:p>
        </w:tc>
        <w:tc>
          <w:tcPr>
            <w:tcW w:w="2045" w:type="dxa"/>
            <w:tcBorders>
              <w:bottom w:val="single" w:color="000000" w:sz="12" w:space="0"/>
            </w:tcBorders>
            <w:noWrap/>
            <w:vAlign w:val="center"/>
          </w:tcPr>
          <w:p w14:paraId="580FE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重点目标安保力量配置标准</w:t>
            </w:r>
          </w:p>
        </w:tc>
        <w:tc>
          <w:tcPr>
            <w:tcW w:w="1869" w:type="dxa"/>
            <w:tcBorders>
              <w:bottom w:val="single" w:color="000000" w:sz="12" w:space="0"/>
            </w:tcBorders>
            <w:noWrap w:val="0"/>
            <w:vAlign w:val="center"/>
          </w:tcPr>
          <w:p w14:paraId="0CEF7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非重点目标安保力量配置标准</w:t>
            </w:r>
          </w:p>
        </w:tc>
      </w:tr>
      <w:tr w14:paraId="16FA0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38" w:type="dxa"/>
            <w:tcBorders>
              <w:top w:val="single" w:color="000000" w:sz="12" w:space="0"/>
            </w:tcBorders>
            <w:noWrap/>
            <w:vAlign w:val="center"/>
          </w:tcPr>
          <w:p w14:paraId="63868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95" w:type="dxa"/>
            <w:tcBorders>
              <w:top w:val="single" w:color="000000" w:sz="12" w:space="0"/>
            </w:tcBorders>
            <w:noWrap/>
            <w:vAlign w:val="center"/>
          </w:tcPr>
          <w:p w14:paraId="387EF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门岗（执勤哨位）</w:t>
            </w:r>
          </w:p>
        </w:tc>
        <w:tc>
          <w:tcPr>
            <w:tcW w:w="1296" w:type="dxa"/>
            <w:tcBorders>
              <w:top w:val="single" w:color="000000" w:sz="12" w:space="0"/>
            </w:tcBorders>
            <w:noWrap/>
            <w:vAlign w:val="center"/>
          </w:tcPr>
          <w:p w14:paraId="620E4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24小时执勤</w:t>
            </w:r>
          </w:p>
        </w:tc>
        <w:tc>
          <w:tcPr>
            <w:tcW w:w="2045" w:type="dxa"/>
            <w:tcBorders>
              <w:top w:val="single" w:color="000000" w:sz="12" w:space="0"/>
            </w:tcBorders>
            <w:noWrap/>
            <w:vAlign w:val="center"/>
          </w:tcPr>
          <w:p w14:paraId="2C3C0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每岗≥2人</w:t>
            </w:r>
          </w:p>
        </w:tc>
        <w:tc>
          <w:tcPr>
            <w:tcW w:w="1869" w:type="dxa"/>
            <w:tcBorders>
              <w:top w:val="single" w:color="000000" w:sz="12" w:space="0"/>
            </w:tcBorders>
            <w:noWrap/>
            <w:vAlign w:val="center"/>
          </w:tcPr>
          <w:p w14:paraId="10681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人</w:t>
            </w:r>
          </w:p>
        </w:tc>
      </w:tr>
      <w:tr w14:paraId="722DE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noWrap/>
            <w:vAlign w:val="center"/>
          </w:tcPr>
          <w:p w14:paraId="65453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95" w:type="dxa"/>
            <w:noWrap w:val="0"/>
            <w:vAlign w:val="center"/>
          </w:tcPr>
          <w:p w14:paraId="0B39E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安防（含消防）监控中心（室）</w:t>
            </w:r>
          </w:p>
        </w:tc>
        <w:tc>
          <w:tcPr>
            <w:tcW w:w="1296" w:type="dxa"/>
            <w:noWrap/>
            <w:vAlign w:val="center"/>
          </w:tcPr>
          <w:p w14:paraId="0DE26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24小时监控</w:t>
            </w:r>
          </w:p>
        </w:tc>
        <w:tc>
          <w:tcPr>
            <w:tcW w:w="2045" w:type="dxa"/>
            <w:noWrap w:val="0"/>
            <w:vAlign w:val="center"/>
          </w:tcPr>
          <w:p w14:paraId="6DA6F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每班次≥2人；消防监控中心持证上岗≥1人/班</w:t>
            </w:r>
          </w:p>
        </w:tc>
        <w:tc>
          <w:tcPr>
            <w:tcW w:w="1869" w:type="dxa"/>
            <w:noWrap/>
            <w:vAlign w:val="center"/>
          </w:tcPr>
          <w:p w14:paraId="02FEC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人</w:t>
            </w:r>
          </w:p>
        </w:tc>
      </w:tr>
      <w:tr w14:paraId="7ADA3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38" w:type="dxa"/>
            <w:noWrap/>
            <w:vAlign w:val="center"/>
          </w:tcPr>
          <w:p w14:paraId="5FE03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95" w:type="dxa"/>
            <w:noWrap w:val="0"/>
            <w:vAlign w:val="center"/>
          </w:tcPr>
          <w:p w14:paraId="2CBE4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行政办公区域出入口，财务室、档案室、保密室；各类控制室、机房</w:t>
            </w:r>
          </w:p>
        </w:tc>
        <w:tc>
          <w:tcPr>
            <w:tcW w:w="1296" w:type="dxa"/>
            <w:noWrap/>
            <w:vAlign w:val="center"/>
          </w:tcPr>
          <w:p w14:paraId="627F7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noWrap w:val="0"/>
            <w:vAlign w:val="center"/>
          </w:tcPr>
          <w:p w14:paraId="4F8E6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次/天</w:t>
            </w:r>
          </w:p>
        </w:tc>
        <w:tc>
          <w:tcPr>
            <w:tcW w:w="1869" w:type="dxa"/>
            <w:noWrap w:val="0"/>
            <w:vAlign w:val="center"/>
          </w:tcPr>
          <w:p w14:paraId="5DDFA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≥1次/天</w:t>
            </w:r>
          </w:p>
        </w:tc>
      </w:tr>
      <w:tr w14:paraId="2E879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8" w:type="dxa"/>
            <w:noWrap/>
            <w:vAlign w:val="center"/>
          </w:tcPr>
          <w:p w14:paraId="5389E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95" w:type="dxa"/>
            <w:noWrap w:val="0"/>
            <w:vAlign w:val="center"/>
          </w:tcPr>
          <w:p w14:paraId="36C96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项目所在周界、出入口、危险化学品存放处、重要物品存放处及重要部位巡逻</w:t>
            </w:r>
          </w:p>
        </w:tc>
        <w:tc>
          <w:tcPr>
            <w:tcW w:w="1296" w:type="dxa"/>
            <w:noWrap/>
            <w:vAlign w:val="center"/>
          </w:tcPr>
          <w:p w14:paraId="5E91F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noWrap w:val="0"/>
            <w:vAlign w:val="center"/>
          </w:tcPr>
          <w:p w14:paraId="4AED5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≥2人/班，≥</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小时/班</w:t>
            </w:r>
          </w:p>
        </w:tc>
        <w:tc>
          <w:tcPr>
            <w:tcW w:w="1869" w:type="dxa"/>
            <w:noWrap/>
            <w:vAlign w:val="center"/>
          </w:tcPr>
          <w:p w14:paraId="1963E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每班次≥1人</w:t>
            </w:r>
          </w:p>
        </w:tc>
      </w:tr>
      <w:tr w14:paraId="2EA8F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8" w:type="dxa"/>
            <w:tcBorders>
              <w:bottom w:val="single" w:color="000000" w:sz="12" w:space="0"/>
            </w:tcBorders>
            <w:noWrap/>
            <w:vAlign w:val="center"/>
          </w:tcPr>
          <w:p w14:paraId="2DAD6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95" w:type="dxa"/>
            <w:tcBorders>
              <w:bottom w:val="single" w:color="000000" w:sz="12" w:space="0"/>
            </w:tcBorders>
            <w:noWrap w:val="0"/>
            <w:vAlign w:val="center"/>
          </w:tcPr>
          <w:p w14:paraId="5933A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其他自行确定的重要部位（区域)</w:t>
            </w:r>
          </w:p>
        </w:tc>
        <w:tc>
          <w:tcPr>
            <w:tcW w:w="1296" w:type="dxa"/>
            <w:tcBorders>
              <w:bottom w:val="single" w:color="000000" w:sz="12" w:space="0"/>
            </w:tcBorders>
            <w:noWrap/>
            <w:vAlign w:val="center"/>
          </w:tcPr>
          <w:p w14:paraId="325B5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tcBorders>
              <w:bottom w:val="single" w:color="000000" w:sz="12" w:space="0"/>
            </w:tcBorders>
            <w:noWrap w:val="0"/>
            <w:vAlign w:val="center"/>
          </w:tcPr>
          <w:p w14:paraId="1DD87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次/天</w:t>
            </w:r>
          </w:p>
        </w:tc>
        <w:tc>
          <w:tcPr>
            <w:tcW w:w="1869" w:type="dxa"/>
            <w:tcBorders>
              <w:bottom w:val="single" w:color="000000" w:sz="12" w:space="0"/>
            </w:tcBorders>
            <w:noWrap w:val="0"/>
            <w:vAlign w:val="center"/>
          </w:tcPr>
          <w:p w14:paraId="3CB03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≥1次/天</w:t>
            </w:r>
          </w:p>
        </w:tc>
      </w:tr>
      <w:tr w14:paraId="7B91C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3" w:type="dxa"/>
            <w:gridSpan w:val="5"/>
            <w:tcBorders>
              <w:top w:val="single" w:color="000000" w:sz="12" w:space="0"/>
              <w:tl2br w:val="nil"/>
              <w:tr2bl w:val="nil"/>
            </w:tcBorders>
            <w:noWrap/>
            <w:vAlign w:val="center"/>
          </w:tcPr>
          <w:p w14:paraId="69091C69">
            <w:pPr>
              <w:keepNext w:val="0"/>
              <w:keepLines w:val="0"/>
              <w:widowControl/>
              <w:suppressLineNumbers w:val="0"/>
              <w:ind w:firstLine="360" w:firstLineChars="200"/>
              <w:jc w:val="left"/>
              <w:textAlignment w:val="center"/>
              <w:rPr>
                <w:rFonts w:hint="eastAsia" w:ascii="宋体" w:hAnsi="宋体" w:eastAsia="宋体" w:cs="宋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t>合署的场所人防按照“就高不就低”原则配置。</w:t>
            </w:r>
          </w:p>
        </w:tc>
      </w:tr>
    </w:tbl>
    <w:p w14:paraId="53D59A1B">
      <w:pPr>
        <w:rPr>
          <w:rFonts w:hint="eastAsia" w:ascii="黑体" w:hAnsi="黑体" w:eastAsia="黑体" w:cs="黑体"/>
          <w:color w:val="auto"/>
          <w:highlight w:val="none"/>
          <w:lang w:val="en-US" w:eastAsia="zh-CN"/>
        </w:rPr>
      </w:pPr>
    </w:p>
    <w:p w14:paraId="5D5093AB">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2B0CE4DC">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2433F1F6">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6BE476D3">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646AF4B4">
      <w:pPr>
        <w:spacing w:after="312" w:afterLines="100"/>
        <w:jc w:val="center"/>
        <w:outlineLvl w:val="0"/>
        <w:rPr>
          <w:rFonts w:hint="default" w:ascii="Times New Roman" w:hAnsi="Times New Roman" w:eastAsia="宋体" w:cs="Times New Roman"/>
          <w:sz w:val="36"/>
          <w:szCs w:val="36"/>
          <w:highlight w:val="none"/>
          <w:lang w:val="en-US" w:eastAsia="zh-CN"/>
        </w:rPr>
      </w:pPr>
      <w:bookmarkStart w:id="555" w:name="_Toc8138"/>
      <w:bookmarkStart w:id="556" w:name="_Toc17111"/>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E  </w:t>
      </w:r>
      <w:r>
        <w:rPr>
          <w:rFonts w:hint="eastAsia" w:ascii="Times New Roman" w:hAnsi="Times New Roman" w:eastAsia="宋体" w:cs="Times New Roman"/>
          <w:sz w:val="36"/>
          <w:szCs w:val="36"/>
          <w:highlight w:val="none"/>
          <w:lang w:val="zh-CN" w:eastAsia="zh-CN"/>
        </w:rPr>
        <w:t>重要部位</w:t>
      </w:r>
      <w:r>
        <w:rPr>
          <w:rFonts w:hint="default" w:ascii="Times New Roman" w:hAnsi="Times New Roman" w:eastAsia="宋体" w:cs="Times New Roman"/>
          <w:sz w:val="36"/>
          <w:szCs w:val="36"/>
          <w:highlight w:val="none"/>
          <w:lang w:val="zh-CN" w:eastAsia="zh-CN"/>
        </w:rPr>
        <w:t>分类</w:t>
      </w:r>
      <w:r>
        <w:rPr>
          <w:rFonts w:hint="eastAsia" w:ascii="Times New Roman" w:hAnsi="Times New Roman" w:eastAsia="宋体" w:cs="Times New Roman"/>
          <w:sz w:val="36"/>
          <w:szCs w:val="36"/>
          <w:highlight w:val="none"/>
          <w:lang w:val="en-US" w:eastAsia="zh-CN"/>
        </w:rPr>
        <w:t>表</w:t>
      </w:r>
      <w:bookmarkEnd w:id="555"/>
      <w:bookmarkEnd w:id="556"/>
    </w:p>
    <w:p w14:paraId="24FE250D">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ascii="宋体" w:hAnsi="宋体" w:eastAsia="宋体" w:cs="宋体"/>
          <w:color w:val="auto"/>
          <w:sz w:val="21"/>
          <w:highlight w:val="none"/>
          <w:lang w:val="zh-CN" w:eastAsia="zh-CN" w:bidi="ar-SA"/>
        </w:rPr>
      </w:pPr>
    </w:p>
    <w:p w14:paraId="12AF2E86">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ascii="宋体" w:hAnsi="宋体" w:eastAsia="宋体" w:cs="宋体"/>
          <w:color w:val="auto"/>
          <w:sz w:val="21"/>
          <w:highlight w:val="none"/>
          <w:lang w:val="zh-CN" w:eastAsia="zh-CN" w:bidi="ar-SA"/>
        </w:rPr>
      </w:pPr>
    </w:p>
    <w:p w14:paraId="7A1A8BAE">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hAnsi="宋体" w:eastAsia="宋体" w:cs="宋体"/>
          <w:color w:val="auto"/>
          <w:sz w:val="21"/>
          <w:highlight w:val="none"/>
          <w:lang w:val="en-US" w:eastAsia="zh-CN" w:bidi="ar-SA"/>
        </w:rPr>
      </w:pPr>
      <w:r>
        <w:rPr>
          <w:rFonts w:hint="eastAsia" w:ascii="宋体" w:hAnsi="宋体" w:eastAsia="宋体" w:cs="宋体"/>
          <w:color w:val="auto"/>
          <w:sz w:val="21"/>
          <w:highlight w:val="none"/>
          <w:lang w:val="zh-CN" w:eastAsia="zh-CN" w:bidi="ar-SA"/>
        </w:rPr>
        <w:t>重要部位分类</w:t>
      </w:r>
      <w:r>
        <w:rPr>
          <w:rFonts w:hint="eastAsia" w:hAnsi="宋体" w:eastAsia="宋体" w:cs="宋体"/>
          <w:color w:val="auto"/>
          <w:sz w:val="21"/>
          <w:highlight w:val="none"/>
          <w:lang w:val="en-US" w:eastAsia="zh-CN" w:bidi="ar-SA"/>
        </w:rPr>
        <w:t>表见表E.1。</w:t>
      </w:r>
    </w:p>
    <w:p w14:paraId="6B2BFCE8">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 xml:space="preserve">表E.1  </w:t>
      </w:r>
      <w:r>
        <w:rPr>
          <w:rFonts w:hint="eastAsia" w:ascii="黑体" w:hAnsi="黑体" w:eastAsia="黑体" w:cs="黑体"/>
          <w:color w:val="auto"/>
          <w:sz w:val="21"/>
          <w:highlight w:val="none"/>
          <w:lang w:val="zh-CN" w:eastAsia="zh-CN" w:bidi="ar-SA"/>
        </w:rPr>
        <w:t>重要部位分类</w:t>
      </w:r>
      <w:r>
        <w:rPr>
          <w:rFonts w:hint="eastAsia" w:ascii="黑体" w:hAnsi="黑体" w:eastAsia="黑体" w:cs="黑体"/>
          <w:color w:val="auto"/>
          <w:sz w:val="21"/>
          <w:highlight w:val="none"/>
          <w:lang w:val="en-US" w:eastAsia="zh-CN" w:bidi="ar-SA"/>
        </w:rPr>
        <w:t>表</w:t>
      </w:r>
    </w:p>
    <w:tbl>
      <w:tblPr>
        <w:tblStyle w:val="38"/>
        <w:tblW w:w="8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80"/>
        <w:gridCol w:w="6850"/>
      </w:tblGrid>
      <w:tr w14:paraId="3EE82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80" w:type="dxa"/>
            <w:tcBorders>
              <w:bottom w:val="single" w:color="auto" w:sz="12" w:space="0"/>
            </w:tcBorders>
            <w:shd w:val="clear" w:color="auto" w:fill="FFFFFF"/>
            <w:noWrap w:val="0"/>
            <w:vAlign w:val="bottom"/>
          </w:tcPr>
          <w:p w14:paraId="440944FC">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重点目标</w:t>
            </w:r>
          </w:p>
        </w:tc>
        <w:tc>
          <w:tcPr>
            <w:tcW w:w="6850" w:type="dxa"/>
            <w:tcBorders>
              <w:bottom w:val="single" w:color="auto" w:sz="12" w:space="0"/>
            </w:tcBorders>
            <w:shd w:val="clear" w:color="auto" w:fill="FFFFFF"/>
            <w:noWrap w:val="0"/>
            <w:vAlign w:val="bottom"/>
          </w:tcPr>
          <w:p w14:paraId="0F7A0796">
            <w:pPr>
              <w:spacing w:beforeLines="0" w:afterLines="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zh-CN" w:eastAsia="zh-CN"/>
              </w:rPr>
              <w:t>治安</w:t>
            </w:r>
            <w:r>
              <w:rPr>
                <w:rFonts w:hint="eastAsia" w:ascii="宋体" w:hAnsi="宋体" w:eastAsia="宋体" w:cs="宋体"/>
                <w:color w:val="auto"/>
                <w:sz w:val="18"/>
                <w:szCs w:val="18"/>
                <w:highlight w:val="none"/>
                <w:lang w:val="en-US" w:eastAsia="zh-CN"/>
              </w:rPr>
              <w:t>反恐防范重点部位</w:t>
            </w:r>
          </w:p>
        </w:tc>
      </w:tr>
      <w:tr w14:paraId="716C9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12" w:hRule="atLeast"/>
          <w:jc w:val="center"/>
        </w:trPr>
        <w:tc>
          <w:tcPr>
            <w:tcW w:w="1380" w:type="dxa"/>
            <w:tcBorders>
              <w:top w:val="single" w:color="auto" w:sz="12" w:space="0"/>
              <w:tl2br w:val="nil"/>
              <w:tr2bl w:val="nil"/>
            </w:tcBorders>
            <w:shd w:val="clear" w:color="auto" w:fill="FFFFFF"/>
            <w:noWrap w:val="0"/>
            <w:vAlign w:val="center"/>
          </w:tcPr>
          <w:p w14:paraId="0510A50D">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电力调度机构</w:t>
            </w:r>
          </w:p>
        </w:tc>
        <w:tc>
          <w:tcPr>
            <w:tcW w:w="6850" w:type="dxa"/>
            <w:tcBorders>
              <w:top w:val="single" w:color="auto" w:sz="12" w:space="0"/>
              <w:tl2br w:val="nil"/>
              <w:tr2bl w:val="nil"/>
            </w:tcBorders>
            <w:shd w:val="clear" w:color="auto" w:fill="FFFFFF"/>
            <w:noWrap w:val="0"/>
            <w:vAlign w:val="top"/>
          </w:tcPr>
          <w:p w14:paraId="24FE9276">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14:paraId="1860EB41">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14:paraId="1AE25F11">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调度楼出入口；</w:t>
            </w:r>
          </w:p>
          <w:p w14:paraId="7A954A65">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通往调度控制中心（室）、信息通信机房、通信调度中心（室）的电 梯、电梯厅及通道；</w:t>
            </w:r>
          </w:p>
          <w:p w14:paraId="02DC6F9E">
            <w:pPr>
              <w:tabs>
                <w:tab w:val="left" w:pos="458"/>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调度控制中心（室）、信息通信机房、通信调度中心（室）、自动化 机房、档案室出入口及与其联通的通道；</w:t>
            </w:r>
          </w:p>
          <w:p w14:paraId="06DB21FF">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调度控制中心（室）与信息通信机房以及配电室相连的强弱电设备 间，供电电缆、通讯电缆、光缆等线缆通道；</w:t>
            </w:r>
          </w:p>
          <w:p w14:paraId="1F8BFF8E">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（7）</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与外界相通的窗口、通风口、管道口（沟、渠等）；</w:t>
            </w:r>
          </w:p>
          <w:p w14:paraId="122BFDD7">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（8）</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w:t>
            </w:r>
          </w:p>
          <w:p w14:paraId="0BE757DB">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（9）</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其他经评估应列为的重点部位。</w:t>
            </w:r>
          </w:p>
        </w:tc>
      </w:tr>
      <w:tr w14:paraId="19155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1380" w:type="dxa"/>
            <w:tcBorders>
              <w:tl2br w:val="nil"/>
              <w:tr2bl w:val="nil"/>
            </w:tcBorders>
            <w:shd w:val="clear" w:color="auto" w:fill="FFFFFF"/>
            <w:noWrap w:val="0"/>
            <w:vAlign w:val="center"/>
          </w:tcPr>
          <w:p w14:paraId="38D50D97">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变电站、换流站（含接地极址）</w:t>
            </w:r>
          </w:p>
        </w:tc>
        <w:tc>
          <w:tcPr>
            <w:tcW w:w="6850" w:type="dxa"/>
            <w:tcBorders>
              <w:tl2br w:val="nil"/>
              <w:tr2bl w:val="nil"/>
            </w:tcBorders>
            <w:shd w:val="clear" w:color="auto" w:fill="FFFFFF"/>
            <w:noWrap w:val="0"/>
            <w:vAlign w:val="top"/>
          </w:tcPr>
          <w:p w14:paraId="12CE526A">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14:paraId="55523A7A">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14:paraId="74154556">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与站外相通的窗口、通风口、管道口（沟、渠等）；</w:t>
            </w:r>
          </w:p>
          <w:p w14:paraId="4C7F26AF">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安防监控中心（室）/安防设备间；</w:t>
            </w:r>
          </w:p>
          <w:p w14:paraId="30EA9CC3">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主控楼出入口；</w:t>
            </w:r>
          </w:p>
          <w:p w14:paraId="383179DA">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主控室、二次设备机房出入口。</w:t>
            </w:r>
          </w:p>
        </w:tc>
      </w:tr>
      <w:tr w14:paraId="7F5C1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380" w:type="dxa"/>
            <w:tcBorders>
              <w:tl2br w:val="nil"/>
              <w:tr2bl w:val="nil"/>
            </w:tcBorders>
            <w:shd w:val="clear" w:color="auto" w:fill="FFFFFF"/>
            <w:noWrap w:val="0"/>
            <w:vAlign w:val="center"/>
          </w:tcPr>
          <w:p w14:paraId="06D7F1E8">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直接为重要用户供电的变电站、开关站</w:t>
            </w:r>
          </w:p>
        </w:tc>
        <w:tc>
          <w:tcPr>
            <w:tcW w:w="6850" w:type="dxa"/>
            <w:tcBorders>
              <w:tl2br w:val="nil"/>
              <w:tr2bl w:val="nil"/>
            </w:tcBorders>
            <w:shd w:val="clear" w:color="auto" w:fill="FFFFFF"/>
            <w:noWrap w:val="0"/>
            <w:vAlign w:val="top"/>
          </w:tcPr>
          <w:p w14:paraId="46CB4983">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14:paraId="0E59A9DF">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周界出入口（开关站与站外相通的门）；</w:t>
            </w:r>
          </w:p>
          <w:p w14:paraId="5C049EA0">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与外界相通的窗口、通风口、管道口（沟、渠等）；</w:t>
            </w:r>
          </w:p>
          <w:p w14:paraId="7A431BD0">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与开关站相通的门。</w:t>
            </w:r>
          </w:p>
        </w:tc>
      </w:tr>
      <w:tr w14:paraId="217D8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1380" w:type="dxa"/>
            <w:tcBorders>
              <w:tl2br w:val="nil"/>
              <w:tr2bl w:val="nil"/>
            </w:tcBorders>
            <w:shd w:val="clear" w:color="auto" w:fill="FFFFFF"/>
            <w:noWrap w:val="0"/>
            <w:vAlign w:val="center"/>
          </w:tcPr>
          <w:p w14:paraId="2E26695D">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非生产场所</w:t>
            </w:r>
          </w:p>
        </w:tc>
        <w:tc>
          <w:tcPr>
            <w:tcW w:w="6850" w:type="dxa"/>
            <w:tcBorders>
              <w:tl2br w:val="nil"/>
              <w:tr2bl w:val="nil"/>
            </w:tcBorders>
            <w:shd w:val="clear" w:color="auto" w:fill="FFFFFF"/>
            <w:noWrap w:val="0"/>
            <w:vAlign w:val="top"/>
          </w:tcPr>
          <w:p w14:paraId="2BE394A4">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14:paraId="3A8760CC">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14:paraId="16750627">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财务室、机要室、档案室、通信机房、自动化机房、信息机房、配 电房、电池室等主要出入口及与其联通的走廊；</w:t>
            </w:r>
          </w:p>
          <w:p w14:paraId="11419322">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与外界相通的窗口、通风口、管道口（沟、渠等）；</w:t>
            </w:r>
          </w:p>
          <w:p w14:paraId="723652C5">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w:t>
            </w:r>
          </w:p>
          <w:p w14:paraId="2FB56A37">
            <w:pPr>
              <w:tabs>
                <w:tab w:val="left" w:pos="527"/>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其他经评估应列为的重点部位。</w:t>
            </w:r>
          </w:p>
        </w:tc>
      </w:tr>
      <w:tr w14:paraId="5D979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380" w:type="dxa"/>
            <w:tcBorders>
              <w:tl2br w:val="nil"/>
              <w:tr2bl w:val="nil"/>
            </w:tcBorders>
            <w:shd w:val="clear" w:color="auto" w:fill="FFFFFF"/>
            <w:noWrap w:val="0"/>
            <w:vAlign w:val="center"/>
          </w:tcPr>
          <w:p w14:paraId="510A9218">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其他</w:t>
            </w:r>
          </w:p>
        </w:tc>
        <w:tc>
          <w:tcPr>
            <w:tcW w:w="6850" w:type="dxa"/>
            <w:tcBorders>
              <w:tl2br w:val="nil"/>
              <w:tr2bl w:val="nil"/>
            </w:tcBorders>
            <w:shd w:val="clear" w:color="auto" w:fill="FFFFFF"/>
            <w:noWrap w:val="0"/>
            <w:vAlign w:val="top"/>
          </w:tcPr>
          <w:p w14:paraId="10718F0A">
            <w:pPr>
              <w:spacing w:beforeLines="0" w:afterLine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根据属地实际，由政府、公安机关会同有关部门、相关企业依据国家有关 规定共同确定的其他设施、部位。</w:t>
            </w:r>
          </w:p>
        </w:tc>
      </w:tr>
    </w:tbl>
    <w:p w14:paraId="67791277">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color w:val="auto"/>
          <w:highlight w:val="none"/>
        </w:rPr>
      </w:pPr>
    </w:p>
    <w:p w14:paraId="170BAE42">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14:paraId="1B958DF5">
      <w:pPr>
        <w:spacing w:after="312" w:afterLines="100"/>
        <w:jc w:val="center"/>
        <w:outlineLvl w:val="0"/>
        <w:rPr>
          <w:rFonts w:hint="eastAsia" w:ascii="Times New Roman" w:hAnsi="Times New Roman" w:eastAsia="宋体" w:cs="Times New Roman"/>
          <w:sz w:val="36"/>
          <w:szCs w:val="36"/>
          <w:highlight w:val="none"/>
          <w:lang w:val="zh-CN" w:eastAsia="zh-CN"/>
        </w:rPr>
      </w:pPr>
      <w:bookmarkStart w:id="557" w:name="_Toc22641"/>
      <w:bookmarkStart w:id="558" w:name="_Toc22752"/>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F  </w:t>
      </w:r>
      <w:r>
        <w:rPr>
          <w:rFonts w:hint="eastAsia" w:ascii="Times New Roman" w:hAnsi="Times New Roman" w:eastAsia="宋体" w:cs="Times New Roman"/>
          <w:sz w:val="36"/>
          <w:szCs w:val="36"/>
          <w:highlight w:val="none"/>
          <w:lang w:val="zh-CN" w:eastAsia="zh-CN"/>
        </w:rPr>
        <w:t>建筑物内公共区域保洁服务标准</w:t>
      </w:r>
      <w:bookmarkEnd w:id="557"/>
      <w:bookmarkEnd w:id="558"/>
    </w:p>
    <w:p w14:paraId="6B464853">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14:paraId="5476CE98">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14:paraId="743969A9">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项目主要分类的建筑物内公共区域保洁服务标准见表</w:t>
      </w:r>
      <w:r>
        <w:rPr>
          <w:rFonts w:hint="eastAsia" w:hAnsi="宋体" w:eastAsia="宋体" w:cs="宋体"/>
          <w:color w:val="auto"/>
          <w:sz w:val="21"/>
          <w:highlight w:val="none"/>
          <w:lang w:val="en-US" w:eastAsia="zh-CN" w:bidi="ar-SA"/>
        </w:rPr>
        <w:t>F</w:t>
      </w:r>
      <w:r>
        <w:rPr>
          <w:rFonts w:hint="eastAsia" w:ascii="宋体" w:hAnsi="宋体" w:eastAsia="宋体" w:cs="宋体"/>
          <w:color w:val="auto"/>
          <w:sz w:val="21"/>
          <w:highlight w:val="none"/>
          <w:lang w:val="en-US" w:eastAsia="zh-CN" w:bidi="ar-SA"/>
        </w:rPr>
        <w:t>.1。</w:t>
      </w:r>
    </w:p>
    <w:p w14:paraId="49E64F31">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宋体" w:hAnsi="宋体" w:eastAsia="宋体" w:cs="宋体"/>
          <w:color w:val="auto"/>
          <w:sz w:val="21"/>
          <w:highlight w:val="none"/>
          <w:lang w:val="en-US" w:eastAsia="zh-CN" w:bidi="ar-SA"/>
        </w:rPr>
      </w:pPr>
      <w:r>
        <w:rPr>
          <w:rFonts w:hint="eastAsia" w:ascii="黑体" w:hAnsi="黑体" w:eastAsia="黑体" w:cs="黑体"/>
          <w:color w:val="auto"/>
          <w:sz w:val="21"/>
          <w:highlight w:val="none"/>
          <w:lang w:val="en-US" w:eastAsia="zh-CN" w:bidi="ar-SA"/>
        </w:rPr>
        <w:t>表F.1  建筑物内公共区域保洁服务标准</w:t>
      </w:r>
    </w:p>
    <w:tbl>
      <w:tblPr>
        <w:tblStyle w:val="38"/>
        <w:tblW w:w="48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42"/>
        <w:gridCol w:w="1633"/>
        <w:gridCol w:w="871"/>
        <w:gridCol w:w="1707"/>
        <w:gridCol w:w="825"/>
        <w:gridCol w:w="1754"/>
      </w:tblGrid>
      <w:tr w14:paraId="62F81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27" w:type="dxa"/>
            <w:vMerge w:val="restart"/>
            <w:noWrap/>
            <w:vAlign w:val="center"/>
          </w:tcPr>
          <w:p w14:paraId="71513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202" w:type="dxa"/>
            <w:gridSpan w:val="2"/>
            <w:noWrap/>
            <w:vAlign w:val="center"/>
          </w:tcPr>
          <w:p w14:paraId="6A303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94" w:type="dxa"/>
            <w:gridSpan w:val="2"/>
            <w:noWrap/>
            <w:vAlign w:val="center"/>
          </w:tcPr>
          <w:p w14:paraId="332BE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295" w:type="dxa"/>
            <w:gridSpan w:val="2"/>
            <w:noWrap/>
            <w:vAlign w:val="center"/>
          </w:tcPr>
          <w:p w14:paraId="5E260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变电站/换流站</w:t>
            </w:r>
          </w:p>
        </w:tc>
      </w:tr>
      <w:tr w14:paraId="734F8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27" w:type="dxa"/>
            <w:vMerge w:val="continue"/>
            <w:tcBorders>
              <w:bottom w:val="single" w:color="000000" w:sz="12" w:space="0"/>
            </w:tcBorders>
            <w:noWrap/>
            <w:vAlign w:val="center"/>
          </w:tcPr>
          <w:p w14:paraId="328300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49" w:type="dxa"/>
            <w:tcBorders>
              <w:bottom w:val="single" w:color="000000" w:sz="12" w:space="0"/>
            </w:tcBorders>
            <w:noWrap/>
            <w:vAlign w:val="center"/>
          </w:tcPr>
          <w:p w14:paraId="5BA3A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53" w:type="dxa"/>
            <w:tcBorders>
              <w:bottom w:val="single" w:color="000000" w:sz="12" w:space="0"/>
            </w:tcBorders>
            <w:noWrap/>
            <w:vAlign w:val="center"/>
          </w:tcPr>
          <w:p w14:paraId="1C05F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75" w:type="dxa"/>
            <w:tcBorders>
              <w:bottom w:val="single" w:color="000000" w:sz="12" w:space="0"/>
            </w:tcBorders>
            <w:noWrap/>
            <w:vAlign w:val="center"/>
          </w:tcPr>
          <w:p w14:paraId="12CAE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19" w:type="dxa"/>
            <w:tcBorders>
              <w:bottom w:val="single" w:color="000000" w:sz="12" w:space="0"/>
            </w:tcBorders>
            <w:noWrap/>
            <w:vAlign w:val="center"/>
          </w:tcPr>
          <w:p w14:paraId="60397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34" w:type="dxa"/>
            <w:tcBorders>
              <w:bottom w:val="single" w:color="000000" w:sz="12" w:space="0"/>
            </w:tcBorders>
            <w:noWrap/>
            <w:vAlign w:val="center"/>
          </w:tcPr>
          <w:p w14:paraId="68DB2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61" w:type="dxa"/>
            <w:tcBorders>
              <w:bottom w:val="single" w:color="000000" w:sz="12" w:space="0"/>
            </w:tcBorders>
            <w:noWrap/>
            <w:vAlign w:val="center"/>
          </w:tcPr>
          <w:p w14:paraId="3232A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1C6A6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27" w:type="dxa"/>
            <w:tcBorders>
              <w:top w:val="single" w:color="000000" w:sz="12" w:space="0"/>
              <w:tl2br w:val="nil"/>
              <w:tr2bl w:val="nil"/>
            </w:tcBorders>
            <w:noWrap w:val="0"/>
            <w:vAlign w:val="center"/>
          </w:tcPr>
          <w:p w14:paraId="6CCB9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地面、墙面、天花、楼道</w:t>
            </w:r>
          </w:p>
        </w:tc>
        <w:tc>
          <w:tcPr>
            <w:tcW w:w="749" w:type="dxa"/>
            <w:tcBorders>
              <w:top w:val="single" w:color="000000" w:sz="12" w:space="0"/>
              <w:tl2br w:val="nil"/>
              <w:tr2bl w:val="nil"/>
            </w:tcBorders>
            <w:noWrap w:val="0"/>
            <w:vAlign w:val="center"/>
          </w:tcPr>
          <w:p w14:paraId="58FFB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453" w:type="dxa"/>
            <w:tcBorders>
              <w:top w:val="single" w:color="000000" w:sz="12" w:space="0"/>
              <w:tl2br w:val="nil"/>
              <w:tr2bl w:val="nil"/>
            </w:tcBorders>
            <w:noWrap w:val="0"/>
            <w:vAlign w:val="center"/>
          </w:tcPr>
          <w:p w14:paraId="5AEE7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75" w:type="dxa"/>
            <w:tcBorders>
              <w:top w:val="single" w:color="000000" w:sz="12" w:space="0"/>
              <w:tl2br w:val="nil"/>
              <w:tr2bl w:val="nil"/>
            </w:tcBorders>
            <w:noWrap w:val="0"/>
            <w:vAlign w:val="center"/>
          </w:tcPr>
          <w:p w14:paraId="51E6E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519" w:type="dxa"/>
            <w:tcBorders>
              <w:top w:val="single" w:color="000000" w:sz="12" w:space="0"/>
              <w:tl2br w:val="nil"/>
              <w:tr2bl w:val="nil"/>
            </w:tcBorders>
            <w:noWrap w:val="0"/>
            <w:vAlign w:val="center"/>
          </w:tcPr>
          <w:p w14:paraId="34BEB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34" w:type="dxa"/>
            <w:tcBorders>
              <w:top w:val="single" w:color="000000" w:sz="12" w:space="0"/>
              <w:tl2br w:val="nil"/>
              <w:tr2bl w:val="nil"/>
            </w:tcBorders>
            <w:noWrap w:val="0"/>
            <w:vAlign w:val="center"/>
          </w:tcPr>
          <w:p w14:paraId="63968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561" w:type="dxa"/>
            <w:tcBorders>
              <w:top w:val="single" w:color="000000" w:sz="12" w:space="0"/>
              <w:tl2br w:val="nil"/>
              <w:tr2bl w:val="nil"/>
            </w:tcBorders>
            <w:noWrap w:val="0"/>
            <w:vAlign w:val="center"/>
          </w:tcPr>
          <w:p w14:paraId="4D42D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r>
      <w:tr w14:paraId="7122C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27" w:type="dxa"/>
            <w:tcBorders>
              <w:tl2br w:val="nil"/>
              <w:tr2bl w:val="nil"/>
            </w:tcBorders>
            <w:noWrap w:val="0"/>
            <w:vAlign w:val="center"/>
          </w:tcPr>
          <w:p w14:paraId="666DB3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楼梯扶手、栏杆</w:t>
            </w:r>
          </w:p>
        </w:tc>
        <w:tc>
          <w:tcPr>
            <w:tcW w:w="749" w:type="dxa"/>
            <w:tcBorders>
              <w:tl2br w:val="nil"/>
              <w:tr2bl w:val="nil"/>
            </w:tcBorders>
            <w:noWrap w:val="0"/>
            <w:vAlign w:val="center"/>
          </w:tcPr>
          <w:p w14:paraId="7577B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53" w:type="dxa"/>
            <w:tcBorders>
              <w:tl2br w:val="nil"/>
              <w:tr2bl w:val="nil"/>
            </w:tcBorders>
            <w:noWrap w:val="0"/>
            <w:vAlign w:val="center"/>
          </w:tcPr>
          <w:p w14:paraId="5B098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c>
          <w:tcPr>
            <w:tcW w:w="775" w:type="dxa"/>
            <w:tcBorders>
              <w:tl2br w:val="nil"/>
              <w:tr2bl w:val="nil"/>
            </w:tcBorders>
            <w:noWrap w:val="0"/>
            <w:vAlign w:val="center"/>
          </w:tcPr>
          <w:p w14:paraId="28E38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≥2次/</w:t>
            </w:r>
            <w:r>
              <w:rPr>
                <w:rFonts w:hint="eastAsia" w:ascii="宋体" w:hAnsi="宋体" w:cs="宋体"/>
                <w:i w:val="0"/>
                <w:iCs w:val="0"/>
                <w:color w:val="auto"/>
                <w:kern w:val="0"/>
                <w:sz w:val="18"/>
                <w:szCs w:val="18"/>
                <w:highlight w:val="none"/>
                <w:u w:val="none"/>
                <w:lang w:val="en-US" w:eastAsia="zh-CN" w:bidi="ar"/>
              </w:rPr>
              <w:t>月</w:t>
            </w:r>
          </w:p>
        </w:tc>
        <w:tc>
          <w:tcPr>
            <w:tcW w:w="1519" w:type="dxa"/>
            <w:tcBorders>
              <w:tl2br w:val="nil"/>
              <w:tr2bl w:val="nil"/>
            </w:tcBorders>
            <w:noWrap w:val="0"/>
            <w:vAlign w:val="center"/>
          </w:tcPr>
          <w:p w14:paraId="667E0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c>
          <w:tcPr>
            <w:tcW w:w="734" w:type="dxa"/>
            <w:tcBorders>
              <w:tl2br w:val="nil"/>
              <w:tr2bl w:val="nil"/>
            </w:tcBorders>
            <w:noWrap w:val="0"/>
            <w:vAlign w:val="center"/>
          </w:tcPr>
          <w:p w14:paraId="5F064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561" w:type="dxa"/>
            <w:tcBorders>
              <w:tl2br w:val="nil"/>
              <w:tr2bl w:val="nil"/>
            </w:tcBorders>
            <w:noWrap w:val="0"/>
            <w:vAlign w:val="center"/>
          </w:tcPr>
          <w:p w14:paraId="34D03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r>
      <w:tr w14:paraId="51678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tcBorders>
              <w:tl2br w:val="nil"/>
              <w:tr2bl w:val="nil"/>
            </w:tcBorders>
            <w:noWrap w:val="0"/>
            <w:vAlign w:val="center"/>
          </w:tcPr>
          <w:p w14:paraId="16949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开关、桌椅、文件柜及办公电子设备。</w:t>
            </w:r>
          </w:p>
        </w:tc>
        <w:tc>
          <w:tcPr>
            <w:tcW w:w="749" w:type="dxa"/>
            <w:tcBorders>
              <w:tl2br w:val="nil"/>
              <w:tr2bl w:val="nil"/>
            </w:tcBorders>
            <w:noWrap w:val="0"/>
            <w:vAlign w:val="center"/>
          </w:tcPr>
          <w:p w14:paraId="379D9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≥1次/日</w:t>
            </w:r>
          </w:p>
        </w:tc>
        <w:tc>
          <w:tcPr>
            <w:tcW w:w="1453" w:type="dxa"/>
            <w:tcBorders>
              <w:tl2br w:val="nil"/>
              <w:tr2bl w:val="nil"/>
            </w:tcBorders>
            <w:noWrap w:val="0"/>
            <w:vAlign w:val="center"/>
          </w:tcPr>
          <w:p w14:paraId="16357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75" w:type="dxa"/>
            <w:tcBorders>
              <w:tl2br w:val="nil"/>
              <w:tr2bl w:val="nil"/>
            </w:tcBorders>
            <w:noWrap w:val="0"/>
            <w:vAlign w:val="center"/>
          </w:tcPr>
          <w:p w14:paraId="35A30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≥2次/日</w:t>
            </w:r>
          </w:p>
        </w:tc>
        <w:tc>
          <w:tcPr>
            <w:tcW w:w="1519" w:type="dxa"/>
            <w:tcBorders>
              <w:tl2br w:val="nil"/>
              <w:tr2bl w:val="nil"/>
            </w:tcBorders>
            <w:noWrap w:val="0"/>
            <w:vAlign w:val="center"/>
          </w:tcPr>
          <w:p w14:paraId="147D4F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34" w:type="dxa"/>
            <w:tcBorders>
              <w:tl2br w:val="nil"/>
              <w:tr2bl w:val="nil"/>
            </w:tcBorders>
            <w:noWrap w:val="0"/>
            <w:vAlign w:val="center"/>
          </w:tcPr>
          <w:p w14:paraId="5484B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≥1次/日</w:t>
            </w:r>
          </w:p>
        </w:tc>
        <w:tc>
          <w:tcPr>
            <w:tcW w:w="1561" w:type="dxa"/>
            <w:tcBorders>
              <w:tl2br w:val="nil"/>
              <w:tr2bl w:val="nil"/>
            </w:tcBorders>
            <w:noWrap w:val="0"/>
            <w:vAlign w:val="center"/>
          </w:tcPr>
          <w:p w14:paraId="668A1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r>
      <w:tr w14:paraId="2F7A1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noWrap w:val="0"/>
            <w:vAlign w:val="center"/>
          </w:tcPr>
          <w:p w14:paraId="514F4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749" w:type="dxa"/>
            <w:tcBorders>
              <w:tl2br w:val="nil"/>
              <w:tr2bl w:val="nil"/>
            </w:tcBorders>
            <w:noWrap w:val="0"/>
            <w:vAlign w:val="center"/>
          </w:tcPr>
          <w:p w14:paraId="7A3C9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453" w:type="dxa"/>
            <w:tcBorders>
              <w:tl2br w:val="nil"/>
              <w:tr2bl w:val="nil"/>
            </w:tcBorders>
            <w:noWrap w:val="0"/>
            <w:vAlign w:val="center"/>
          </w:tcPr>
          <w:p w14:paraId="5F80A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c>
          <w:tcPr>
            <w:tcW w:w="775" w:type="dxa"/>
            <w:tcBorders>
              <w:tl2br w:val="nil"/>
              <w:tr2bl w:val="nil"/>
            </w:tcBorders>
            <w:noWrap/>
            <w:vAlign w:val="center"/>
          </w:tcPr>
          <w:p w14:paraId="1E882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19" w:type="dxa"/>
            <w:tcBorders>
              <w:tl2br w:val="nil"/>
              <w:tr2bl w:val="nil"/>
            </w:tcBorders>
            <w:noWrap w:val="0"/>
            <w:vAlign w:val="center"/>
          </w:tcPr>
          <w:p w14:paraId="6D094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c>
          <w:tcPr>
            <w:tcW w:w="734" w:type="dxa"/>
            <w:tcBorders>
              <w:tl2br w:val="nil"/>
              <w:tr2bl w:val="nil"/>
            </w:tcBorders>
            <w:noWrap w:val="0"/>
            <w:vAlign w:val="center"/>
          </w:tcPr>
          <w:p w14:paraId="7A27B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61" w:type="dxa"/>
            <w:tcBorders>
              <w:tl2br w:val="nil"/>
              <w:tr2bl w:val="nil"/>
            </w:tcBorders>
            <w:noWrap w:val="0"/>
            <w:vAlign w:val="center"/>
          </w:tcPr>
          <w:p w14:paraId="0DCF7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r>
      <w:tr w14:paraId="25069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27" w:type="dxa"/>
            <w:tcBorders>
              <w:tl2br w:val="nil"/>
              <w:tr2bl w:val="nil"/>
            </w:tcBorders>
            <w:noWrap/>
            <w:vAlign w:val="center"/>
          </w:tcPr>
          <w:p w14:paraId="49F09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w:t>
            </w:r>
          </w:p>
        </w:tc>
        <w:tc>
          <w:tcPr>
            <w:tcW w:w="749" w:type="dxa"/>
            <w:tcBorders>
              <w:tl2br w:val="nil"/>
              <w:tr2bl w:val="nil"/>
            </w:tcBorders>
            <w:noWrap w:val="0"/>
            <w:vAlign w:val="center"/>
          </w:tcPr>
          <w:p w14:paraId="6A5F37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3" w:type="dxa"/>
            <w:tcBorders>
              <w:tl2br w:val="nil"/>
              <w:tr2bl w:val="nil"/>
            </w:tcBorders>
            <w:noWrap w:val="0"/>
            <w:vAlign w:val="center"/>
          </w:tcPr>
          <w:p w14:paraId="6F03E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c>
          <w:tcPr>
            <w:tcW w:w="775" w:type="dxa"/>
            <w:tcBorders>
              <w:tl2br w:val="nil"/>
              <w:tr2bl w:val="nil"/>
            </w:tcBorders>
            <w:noWrap w:val="0"/>
            <w:vAlign w:val="center"/>
          </w:tcPr>
          <w:p w14:paraId="77644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9" w:type="dxa"/>
            <w:tcBorders>
              <w:tl2br w:val="nil"/>
              <w:tr2bl w:val="nil"/>
            </w:tcBorders>
            <w:noWrap w:val="0"/>
            <w:vAlign w:val="center"/>
          </w:tcPr>
          <w:p w14:paraId="29F8B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c>
          <w:tcPr>
            <w:tcW w:w="734" w:type="dxa"/>
            <w:tcBorders>
              <w:tl2br w:val="nil"/>
              <w:tr2bl w:val="nil"/>
            </w:tcBorders>
            <w:noWrap w:val="0"/>
            <w:vAlign w:val="center"/>
          </w:tcPr>
          <w:p w14:paraId="4663A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561" w:type="dxa"/>
            <w:tcBorders>
              <w:tl2br w:val="nil"/>
              <w:tr2bl w:val="nil"/>
            </w:tcBorders>
            <w:noWrap w:val="0"/>
            <w:vAlign w:val="center"/>
          </w:tcPr>
          <w:p w14:paraId="447F0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r>
      <w:tr w14:paraId="1AE6D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27" w:type="dxa"/>
            <w:tcBorders>
              <w:tl2br w:val="nil"/>
              <w:tr2bl w:val="nil"/>
            </w:tcBorders>
            <w:noWrap/>
            <w:vAlign w:val="center"/>
          </w:tcPr>
          <w:p w14:paraId="5DF62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w:t>
            </w:r>
          </w:p>
        </w:tc>
        <w:tc>
          <w:tcPr>
            <w:tcW w:w="749" w:type="dxa"/>
            <w:tcBorders>
              <w:tl2br w:val="nil"/>
              <w:tr2bl w:val="nil"/>
            </w:tcBorders>
            <w:noWrap w:val="0"/>
            <w:vAlign w:val="center"/>
          </w:tcPr>
          <w:p w14:paraId="17FDF1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2米以下：≥1次/月</w:t>
            </w:r>
          </w:p>
        </w:tc>
        <w:tc>
          <w:tcPr>
            <w:tcW w:w="1453" w:type="dxa"/>
            <w:vMerge w:val="restart"/>
            <w:tcBorders>
              <w:tl2br w:val="nil"/>
              <w:tr2bl w:val="nil"/>
            </w:tcBorders>
            <w:noWrap w:val="0"/>
            <w:vAlign w:val="center"/>
          </w:tcPr>
          <w:p w14:paraId="7A185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c>
          <w:tcPr>
            <w:tcW w:w="775" w:type="dxa"/>
            <w:tcBorders>
              <w:tl2br w:val="nil"/>
              <w:tr2bl w:val="nil"/>
            </w:tcBorders>
            <w:noWrap w:val="0"/>
            <w:vAlign w:val="center"/>
          </w:tcPr>
          <w:p w14:paraId="7C843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2米以下：≥1次/半年</w:t>
            </w:r>
          </w:p>
        </w:tc>
        <w:tc>
          <w:tcPr>
            <w:tcW w:w="1519" w:type="dxa"/>
            <w:vMerge w:val="restart"/>
            <w:tcBorders>
              <w:tl2br w:val="nil"/>
              <w:tr2bl w:val="nil"/>
            </w:tcBorders>
            <w:noWrap w:val="0"/>
            <w:vAlign w:val="center"/>
          </w:tcPr>
          <w:p w14:paraId="12612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c>
          <w:tcPr>
            <w:tcW w:w="734" w:type="dxa"/>
            <w:tcBorders>
              <w:tl2br w:val="nil"/>
              <w:tr2bl w:val="nil"/>
            </w:tcBorders>
            <w:noWrap w:val="0"/>
            <w:vAlign w:val="center"/>
          </w:tcPr>
          <w:p w14:paraId="5348F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2米以下：≥1次/半年</w:t>
            </w:r>
          </w:p>
        </w:tc>
        <w:tc>
          <w:tcPr>
            <w:tcW w:w="1561" w:type="dxa"/>
            <w:vMerge w:val="restart"/>
            <w:tcBorders>
              <w:tl2br w:val="nil"/>
              <w:tr2bl w:val="nil"/>
            </w:tcBorders>
            <w:noWrap w:val="0"/>
            <w:vAlign w:val="center"/>
          </w:tcPr>
          <w:p w14:paraId="65A3D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r>
      <w:tr w14:paraId="0D02D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27" w:type="dxa"/>
            <w:tcBorders>
              <w:tl2br w:val="nil"/>
              <w:tr2bl w:val="nil"/>
            </w:tcBorders>
            <w:noWrap/>
            <w:vAlign w:val="center"/>
          </w:tcPr>
          <w:p w14:paraId="36884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w:t>
            </w:r>
          </w:p>
        </w:tc>
        <w:tc>
          <w:tcPr>
            <w:tcW w:w="749" w:type="dxa"/>
            <w:tcBorders>
              <w:tl2br w:val="nil"/>
              <w:tr2bl w:val="nil"/>
            </w:tcBorders>
            <w:noWrap/>
            <w:vAlign w:val="center"/>
          </w:tcPr>
          <w:p w14:paraId="389948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2米以上：≥1次/年</w:t>
            </w:r>
          </w:p>
        </w:tc>
        <w:tc>
          <w:tcPr>
            <w:tcW w:w="1453" w:type="dxa"/>
            <w:vMerge w:val="continue"/>
            <w:tcBorders>
              <w:tl2br w:val="nil"/>
              <w:tr2bl w:val="nil"/>
            </w:tcBorders>
            <w:noWrap w:val="0"/>
            <w:vAlign w:val="center"/>
          </w:tcPr>
          <w:p w14:paraId="3776D4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75" w:type="dxa"/>
            <w:tcBorders>
              <w:tl2br w:val="nil"/>
              <w:tr2bl w:val="nil"/>
            </w:tcBorders>
            <w:noWrap/>
            <w:vAlign w:val="center"/>
          </w:tcPr>
          <w:p w14:paraId="5E46A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2米以上：≥1次/2年</w:t>
            </w:r>
          </w:p>
        </w:tc>
        <w:tc>
          <w:tcPr>
            <w:tcW w:w="1519" w:type="dxa"/>
            <w:vMerge w:val="continue"/>
            <w:tcBorders>
              <w:tl2br w:val="nil"/>
              <w:tr2bl w:val="nil"/>
            </w:tcBorders>
            <w:noWrap w:val="0"/>
            <w:vAlign w:val="center"/>
          </w:tcPr>
          <w:p w14:paraId="5F941A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34" w:type="dxa"/>
            <w:tcBorders>
              <w:tl2br w:val="nil"/>
              <w:tr2bl w:val="nil"/>
            </w:tcBorders>
            <w:noWrap/>
            <w:vAlign w:val="center"/>
          </w:tcPr>
          <w:p w14:paraId="386D8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2米以上：≥1次/2年</w:t>
            </w:r>
          </w:p>
        </w:tc>
        <w:tc>
          <w:tcPr>
            <w:tcW w:w="1561" w:type="dxa"/>
            <w:vMerge w:val="continue"/>
            <w:tcBorders>
              <w:tl2br w:val="nil"/>
              <w:tr2bl w:val="nil"/>
            </w:tcBorders>
            <w:noWrap w:val="0"/>
            <w:vAlign w:val="center"/>
          </w:tcPr>
          <w:p w14:paraId="2B8A26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r>
      <w:tr w14:paraId="35FCC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27" w:type="dxa"/>
            <w:tcBorders>
              <w:tl2br w:val="nil"/>
              <w:tr2bl w:val="nil"/>
            </w:tcBorders>
            <w:noWrap w:val="0"/>
            <w:vAlign w:val="center"/>
          </w:tcPr>
          <w:p w14:paraId="2F307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电梯轿厢地面、轿厢门、面板</w:t>
            </w:r>
          </w:p>
        </w:tc>
        <w:tc>
          <w:tcPr>
            <w:tcW w:w="749" w:type="dxa"/>
            <w:tcBorders>
              <w:tl2br w:val="nil"/>
              <w:tr2bl w:val="nil"/>
            </w:tcBorders>
            <w:noWrap/>
            <w:vAlign w:val="center"/>
          </w:tcPr>
          <w:p w14:paraId="23381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453" w:type="dxa"/>
            <w:tcBorders>
              <w:tl2br w:val="nil"/>
              <w:tr2bl w:val="nil"/>
            </w:tcBorders>
            <w:noWrap w:val="0"/>
            <w:vAlign w:val="center"/>
          </w:tcPr>
          <w:p w14:paraId="0B81A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c>
          <w:tcPr>
            <w:tcW w:w="775" w:type="dxa"/>
            <w:tcBorders>
              <w:tl2br w:val="nil"/>
              <w:tr2bl w:val="nil"/>
            </w:tcBorders>
            <w:noWrap/>
            <w:vAlign w:val="center"/>
          </w:tcPr>
          <w:p w14:paraId="0BA46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519" w:type="dxa"/>
            <w:tcBorders>
              <w:tl2br w:val="nil"/>
              <w:tr2bl w:val="nil"/>
            </w:tcBorders>
            <w:noWrap w:val="0"/>
            <w:vAlign w:val="center"/>
          </w:tcPr>
          <w:p w14:paraId="2A11C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c>
          <w:tcPr>
            <w:tcW w:w="734" w:type="dxa"/>
            <w:tcBorders>
              <w:tl2br w:val="nil"/>
              <w:tr2bl w:val="nil"/>
            </w:tcBorders>
            <w:noWrap/>
            <w:vAlign w:val="center"/>
          </w:tcPr>
          <w:p w14:paraId="14A75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561" w:type="dxa"/>
            <w:tcBorders>
              <w:tl2br w:val="nil"/>
              <w:tr2bl w:val="nil"/>
            </w:tcBorders>
            <w:noWrap w:val="0"/>
            <w:vAlign w:val="center"/>
          </w:tcPr>
          <w:p w14:paraId="46B9C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r>
      <w:tr w14:paraId="1D73E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tcBorders>
              <w:tl2br w:val="nil"/>
              <w:tr2bl w:val="nil"/>
            </w:tcBorders>
            <w:noWrap w:val="0"/>
            <w:vAlign w:val="center"/>
          </w:tcPr>
          <w:p w14:paraId="48891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电梯轿厢天花、出风口、照明设施和门轨</w:t>
            </w:r>
          </w:p>
        </w:tc>
        <w:tc>
          <w:tcPr>
            <w:tcW w:w="749" w:type="dxa"/>
            <w:tcBorders>
              <w:tl2br w:val="nil"/>
              <w:tr2bl w:val="nil"/>
            </w:tcBorders>
            <w:noWrap/>
            <w:vAlign w:val="center"/>
          </w:tcPr>
          <w:p w14:paraId="66CD3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w:t>
            </w:r>
          </w:p>
        </w:tc>
        <w:tc>
          <w:tcPr>
            <w:tcW w:w="1453" w:type="dxa"/>
            <w:tcBorders>
              <w:tl2br w:val="nil"/>
              <w:tr2bl w:val="nil"/>
            </w:tcBorders>
            <w:noWrap w:val="0"/>
            <w:vAlign w:val="center"/>
          </w:tcPr>
          <w:p w14:paraId="1BE9F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c>
          <w:tcPr>
            <w:tcW w:w="775" w:type="dxa"/>
            <w:tcBorders>
              <w:tl2br w:val="nil"/>
              <w:tr2bl w:val="nil"/>
            </w:tcBorders>
            <w:noWrap/>
            <w:vAlign w:val="center"/>
          </w:tcPr>
          <w:p w14:paraId="3E221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w:t>
            </w:r>
          </w:p>
        </w:tc>
        <w:tc>
          <w:tcPr>
            <w:tcW w:w="1519" w:type="dxa"/>
            <w:tcBorders>
              <w:tl2br w:val="nil"/>
              <w:tr2bl w:val="nil"/>
            </w:tcBorders>
            <w:noWrap w:val="0"/>
            <w:vAlign w:val="center"/>
          </w:tcPr>
          <w:p w14:paraId="2C5A9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c>
          <w:tcPr>
            <w:tcW w:w="734" w:type="dxa"/>
            <w:tcBorders>
              <w:tl2br w:val="nil"/>
              <w:tr2bl w:val="nil"/>
            </w:tcBorders>
            <w:noWrap/>
            <w:vAlign w:val="center"/>
          </w:tcPr>
          <w:p w14:paraId="1E8B7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61" w:type="dxa"/>
            <w:tcBorders>
              <w:tl2br w:val="nil"/>
              <w:tr2bl w:val="nil"/>
            </w:tcBorders>
            <w:noWrap w:val="0"/>
            <w:vAlign w:val="center"/>
          </w:tcPr>
          <w:p w14:paraId="76F5D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r>
      <w:tr w14:paraId="4EE00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27" w:type="dxa"/>
            <w:tcBorders>
              <w:tl2br w:val="nil"/>
              <w:tr2bl w:val="nil"/>
            </w:tcBorders>
            <w:noWrap w:val="0"/>
            <w:vAlign w:val="center"/>
          </w:tcPr>
          <w:p w14:paraId="31E43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公共卫生间的地面、镜面、洗手台、便池</w:t>
            </w:r>
          </w:p>
        </w:tc>
        <w:tc>
          <w:tcPr>
            <w:tcW w:w="749" w:type="dxa"/>
            <w:tcBorders>
              <w:tl2br w:val="nil"/>
              <w:tr2bl w:val="nil"/>
            </w:tcBorders>
            <w:noWrap/>
            <w:vAlign w:val="center"/>
          </w:tcPr>
          <w:p w14:paraId="17C51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次/日</w:t>
            </w:r>
          </w:p>
        </w:tc>
        <w:tc>
          <w:tcPr>
            <w:tcW w:w="1453" w:type="dxa"/>
            <w:tcBorders>
              <w:tl2br w:val="nil"/>
              <w:tr2bl w:val="nil"/>
            </w:tcBorders>
            <w:noWrap w:val="0"/>
            <w:vAlign w:val="center"/>
          </w:tcPr>
          <w:p w14:paraId="0BAAE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c>
          <w:tcPr>
            <w:tcW w:w="775" w:type="dxa"/>
            <w:tcBorders>
              <w:tl2br w:val="nil"/>
              <w:tr2bl w:val="nil"/>
            </w:tcBorders>
            <w:noWrap/>
            <w:vAlign w:val="center"/>
          </w:tcPr>
          <w:p w14:paraId="126035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次/日</w:t>
            </w:r>
          </w:p>
        </w:tc>
        <w:tc>
          <w:tcPr>
            <w:tcW w:w="1519" w:type="dxa"/>
            <w:tcBorders>
              <w:tl2br w:val="nil"/>
              <w:tr2bl w:val="nil"/>
            </w:tcBorders>
            <w:noWrap w:val="0"/>
            <w:vAlign w:val="center"/>
          </w:tcPr>
          <w:p w14:paraId="76C50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c>
          <w:tcPr>
            <w:tcW w:w="734" w:type="dxa"/>
            <w:tcBorders>
              <w:tl2br w:val="nil"/>
              <w:tr2bl w:val="nil"/>
            </w:tcBorders>
            <w:noWrap/>
            <w:vAlign w:val="center"/>
          </w:tcPr>
          <w:p w14:paraId="291CE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≥1次/日</w:t>
            </w:r>
          </w:p>
        </w:tc>
        <w:tc>
          <w:tcPr>
            <w:tcW w:w="1561" w:type="dxa"/>
            <w:tcBorders>
              <w:tl2br w:val="nil"/>
              <w:tr2bl w:val="nil"/>
            </w:tcBorders>
            <w:noWrap w:val="0"/>
            <w:vAlign w:val="center"/>
          </w:tcPr>
          <w:p w14:paraId="55F31B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r>
      <w:tr w14:paraId="2FCF1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27" w:type="dxa"/>
            <w:tcBorders>
              <w:tl2br w:val="nil"/>
              <w:tr2bl w:val="nil"/>
            </w:tcBorders>
            <w:noWrap w:val="0"/>
            <w:vAlign w:val="center"/>
          </w:tcPr>
          <w:p w14:paraId="0FB8C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地下停车场的地面、沟渠、各类管道、管线和风管等</w:t>
            </w:r>
          </w:p>
        </w:tc>
        <w:tc>
          <w:tcPr>
            <w:tcW w:w="749" w:type="dxa"/>
            <w:tcBorders>
              <w:tl2br w:val="nil"/>
              <w:tr2bl w:val="nil"/>
            </w:tcBorders>
            <w:noWrap/>
            <w:vAlign w:val="center"/>
          </w:tcPr>
          <w:p w14:paraId="5ED63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453" w:type="dxa"/>
            <w:tcBorders>
              <w:tl2br w:val="nil"/>
              <w:tr2bl w:val="nil"/>
            </w:tcBorders>
            <w:noWrap w:val="0"/>
            <w:vAlign w:val="center"/>
          </w:tcPr>
          <w:p w14:paraId="6FAFE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75" w:type="dxa"/>
            <w:tcBorders>
              <w:tl2br w:val="nil"/>
              <w:tr2bl w:val="nil"/>
            </w:tcBorders>
            <w:noWrap/>
            <w:vAlign w:val="center"/>
          </w:tcPr>
          <w:p w14:paraId="31FE7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519" w:type="dxa"/>
            <w:tcBorders>
              <w:tl2br w:val="nil"/>
              <w:tr2bl w:val="nil"/>
            </w:tcBorders>
            <w:noWrap w:val="0"/>
            <w:vAlign w:val="center"/>
          </w:tcPr>
          <w:p w14:paraId="05007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34" w:type="dxa"/>
            <w:tcBorders>
              <w:tl2br w:val="nil"/>
              <w:tr2bl w:val="nil"/>
            </w:tcBorders>
            <w:noWrap/>
            <w:vAlign w:val="center"/>
          </w:tcPr>
          <w:p w14:paraId="67C99B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561" w:type="dxa"/>
            <w:tcBorders>
              <w:tl2br w:val="nil"/>
              <w:tr2bl w:val="nil"/>
            </w:tcBorders>
            <w:noWrap w:val="0"/>
            <w:vAlign w:val="center"/>
          </w:tcPr>
          <w:p w14:paraId="014869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r>
    </w:tbl>
    <w:p w14:paraId="29713099">
      <w:pPr>
        <w:rPr>
          <w:color w:val="auto"/>
          <w:highlight w:val="none"/>
        </w:rPr>
      </w:pPr>
    </w:p>
    <w:p w14:paraId="620A3DD2">
      <w:pPr>
        <w:rPr>
          <w:color w:val="auto"/>
          <w:highlight w:val="none"/>
        </w:rPr>
      </w:pPr>
    </w:p>
    <w:p w14:paraId="7BB4C659">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14:paraId="3C66EC8D">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default"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续表F.1</w:t>
      </w:r>
    </w:p>
    <w:tbl>
      <w:tblPr>
        <w:tblStyle w:val="38"/>
        <w:tblW w:w="487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40"/>
        <w:gridCol w:w="1630"/>
        <w:gridCol w:w="869"/>
        <w:gridCol w:w="1703"/>
        <w:gridCol w:w="823"/>
        <w:gridCol w:w="1751"/>
      </w:tblGrid>
      <w:tr w14:paraId="26AC0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3" w:type="dxa"/>
            <w:vMerge w:val="restart"/>
            <w:noWrap w:val="0"/>
            <w:vAlign w:val="center"/>
          </w:tcPr>
          <w:p w14:paraId="20B10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197" w:type="dxa"/>
            <w:gridSpan w:val="2"/>
            <w:noWrap/>
            <w:vAlign w:val="center"/>
          </w:tcPr>
          <w:p w14:paraId="50B67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88" w:type="dxa"/>
            <w:gridSpan w:val="2"/>
            <w:noWrap/>
            <w:vAlign w:val="center"/>
          </w:tcPr>
          <w:p w14:paraId="4BFE0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290" w:type="dxa"/>
            <w:gridSpan w:val="2"/>
            <w:noWrap/>
            <w:vAlign w:val="center"/>
          </w:tcPr>
          <w:p w14:paraId="000C0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变电站/换流站</w:t>
            </w:r>
          </w:p>
        </w:tc>
      </w:tr>
      <w:tr w14:paraId="52C78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23" w:type="dxa"/>
            <w:vMerge w:val="continue"/>
            <w:tcBorders>
              <w:bottom w:val="single" w:color="000000" w:sz="12" w:space="0"/>
            </w:tcBorders>
            <w:noWrap w:val="0"/>
            <w:vAlign w:val="center"/>
          </w:tcPr>
          <w:p w14:paraId="6C499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47" w:type="dxa"/>
            <w:tcBorders>
              <w:bottom w:val="single" w:color="000000" w:sz="12" w:space="0"/>
            </w:tcBorders>
            <w:noWrap/>
            <w:vAlign w:val="center"/>
          </w:tcPr>
          <w:p w14:paraId="79026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450" w:type="dxa"/>
            <w:tcBorders>
              <w:bottom w:val="single" w:color="000000" w:sz="12" w:space="0"/>
            </w:tcBorders>
            <w:noWrap w:val="0"/>
            <w:vAlign w:val="center"/>
          </w:tcPr>
          <w:p w14:paraId="513B3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73" w:type="dxa"/>
            <w:tcBorders>
              <w:bottom w:val="single" w:color="000000" w:sz="12" w:space="0"/>
            </w:tcBorders>
            <w:noWrap/>
            <w:vAlign w:val="center"/>
          </w:tcPr>
          <w:p w14:paraId="074AB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515" w:type="dxa"/>
            <w:tcBorders>
              <w:bottom w:val="single" w:color="000000" w:sz="12" w:space="0"/>
            </w:tcBorders>
            <w:noWrap w:val="0"/>
            <w:vAlign w:val="center"/>
          </w:tcPr>
          <w:p w14:paraId="700AB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32" w:type="dxa"/>
            <w:tcBorders>
              <w:bottom w:val="single" w:color="000000" w:sz="12" w:space="0"/>
            </w:tcBorders>
            <w:noWrap/>
            <w:vAlign w:val="center"/>
          </w:tcPr>
          <w:p w14:paraId="16C52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558" w:type="dxa"/>
            <w:tcBorders>
              <w:bottom w:val="single" w:color="000000" w:sz="12" w:space="0"/>
            </w:tcBorders>
            <w:noWrap w:val="0"/>
            <w:vAlign w:val="center"/>
          </w:tcPr>
          <w:p w14:paraId="0B742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58436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3" w:type="dxa"/>
            <w:tcBorders>
              <w:top w:val="single" w:color="000000" w:sz="12" w:space="0"/>
              <w:tl2br w:val="nil"/>
              <w:tr2bl w:val="nil"/>
            </w:tcBorders>
            <w:noWrap w:val="0"/>
            <w:vAlign w:val="center"/>
          </w:tcPr>
          <w:p w14:paraId="76813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地下停车场的标识标牌、道闸</w:t>
            </w:r>
          </w:p>
        </w:tc>
        <w:tc>
          <w:tcPr>
            <w:tcW w:w="747" w:type="dxa"/>
            <w:tcBorders>
              <w:top w:val="single" w:color="000000" w:sz="12" w:space="0"/>
              <w:tl2br w:val="nil"/>
              <w:tr2bl w:val="nil"/>
            </w:tcBorders>
            <w:noWrap/>
            <w:vAlign w:val="center"/>
          </w:tcPr>
          <w:p w14:paraId="66F75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周</w:t>
            </w:r>
          </w:p>
        </w:tc>
        <w:tc>
          <w:tcPr>
            <w:tcW w:w="1450" w:type="dxa"/>
            <w:tcBorders>
              <w:top w:val="single" w:color="000000" w:sz="12" w:space="0"/>
              <w:tl2br w:val="nil"/>
              <w:tr2bl w:val="nil"/>
            </w:tcBorders>
            <w:noWrap w:val="0"/>
            <w:vAlign w:val="center"/>
          </w:tcPr>
          <w:p w14:paraId="45DC7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73" w:type="dxa"/>
            <w:tcBorders>
              <w:top w:val="single" w:color="000000" w:sz="12" w:space="0"/>
              <w:tl2br w:val="nil"/>
              <w:tr2bl w:val="nil"/>
            </w:tcBorders>
            <w:noWrap/>
            <w:vAlign w:val="center"/>
          </w:tcPr>
          <w:p w14:paraId="6F8FE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≥1次/2</w:t>
            </w:r>
            <w:r>
              <w:rPr>
                <w:rFonts w:hint="eastAsia" w:ascii="宋体" w:hAnsi="宋体" w:cs="宋体"/>
                <w:i w:val="0"/>
                <w:iCs w:val="0"/>
                <w:color w:val="auto"/>
                <w:kern w:val="0"/>
                <w:sz w:val="18"/>
                <w:szCs w:val="18"/>
                <w:highlight w:val="none"/>
                <w:u w:val="none"/>
                <w:lang w:val="en-US" w:eastAsia="zh-CN" w:bidi="ar"/>
              </w:rPr>
              <w:t>周</w:t>
            </w:r>
          </w:p>
        </w:tc>
        <w:tc>
          <w:tcPr>
            <w:tcW w:w="1515" w:type="dxa"/>
            <w:tcBorders>
              <w:top w:val="single" w:color="000000" w:sz="12" w:space="0"/>
              <w:tl2br w:val="nil"/>
              <w:tr2bl w:val="nil"/>
            </w:tcBorders>
            <w:noWrap w:val="0"/>
            <w:vAlign w:val="center"/>
          </w:tcPr>
          <w:p w14:paraId="0B0C6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32" w:type="dxa"/>
            <w:tcBorders>
              <w:top w:val="single" w:color="000000" w:sz="12" w:space="0"/>
              <w:tl2br w:val="nil"/>
              <w:tr2bl w:val="nil"/>
            </w:tcBorders>
            <w:noWrap/>
            <w:vAlign w:val="center"/>
          </w:tcPr>
          <w:p w14:paraId="2F744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58" w:type="dxa"/>
            <w:tcBorders>
              <w:top w:val="single" w:color="000000" w:sz="12" w:space="0"/>
              <w:tl2br w:val="nil"/>
              <w:tr2bl w:val="nil"/>
            </w:tcBorders>
            <w:noWrap w:val="0"/>
            <w:vAlign w:val="center"/>
          </w:tcPr>
          <w:p w14:paraId="7B95A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r>
      <w:tr w14:paraId="722DA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23" w:type="dxa"/>
            <w:tcBorders>
              <w:tl2br w:val="nil"/>
              <w:tr2bl w:val="nil"/>
            </w:tcBorders>
            <w:noWrap/>
            <w:vAlign w:val="center"/>
          </w:tcPr>
          <w:p w14:paraId="63F90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建筑物外墙</w:t>
            </w:r>
          </w:p>
        </w:tc>
        <w:tc>
          <w:tcPr>
            <w:tcW w:w="747" w:type="dxa"/>
            <w:tcBorders>
              <w:tl2br w:val="nil"/>
              <w:tr2bl w:val="nil"/>
            </w:tcBorders>
            <w:noWrap/>
            <w:vAlign w:val="center"/>
          </w:tcPr>
          <w:p w14:paraId="254D0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450" w:type="dxa"/>
            <w:tcBorders>
              <w:tl2br w:val="nil"/>
              <w:tr2bl w:val="nil"/>
            </w:tcBorders>
            <w:noWrap/>
            <w:vAlign w:val="center"/>
          </w:tcPr>
          <w:p w14:paraId="335E62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c>
          <w:tcPr>
            <w:tcW w:w="773" w:type="dxa"/>
            <w:tcBorders>
              <w:tl2br w:val="nil"/>
              <w:tr2bl w:val="nil"/>
            </w:tcBorders>
            <w:noWrap/>
            <w:vAlign w:val="center"/>
          </w:tcPr>
          <w:p w14:paraId="5D75E6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515" w:type="dxa"/>
            <w:tcBorders>
              <w:tl2br w:val="nil"/>
              <w:tr2bl w:val="nil"/>
            </w:tcBorders>
            <w:noWrap/>
            <w:vAlign w:val="center"/>
          </w:tcPr>
          <w:p w14:paraId="7E983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c>
          <w:tcPr>
            <w:tcW w:w="732" w:type="dxa"/>
            <w:tcBorders>
              <w:tl2br w:val="nil"/>
              <w:tr2bl w:val="nil"/>
            </w:tcBorders>
            <w:noWrap/>
            <w:vAlign w:val="center"/>
          </w:tcPr>
          <w:p w14:paraId="45BD0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558" w:type="dxa"/>
            <w:tcBorders>
              <w:tl2br w:val="nil"/>
              <w:tr2bl w:val="nil"/>
            </w:tcBorders>
            <w:noWrap/>
            <w:vAlign w:val="center"/>
          </w:tcPr>
          <w:p w14:paraId="72EE1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r>
      <w:tr w14:paraId="73711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23" w:type="dxa"/>
            <w:tcBorders>
              <w:tl2br w:val="nil"/>
              <w:tr2bl w:val="nil"/>
            </w:tcBorders>
            <w:noWrap/>
            <w:vAlign w:val="center"/>
          </w:tcPr>
          <w:p w14:paraId="71A63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大理石（石材晶面处理）</w:t>
            </w:r>
          </w:p>
        </w:tc>
        <w:tc>
          <w:tcPr>
            <w:tcW w:w="747" w:type="dxa"/>
            <w:tcBorders>
              <w:tl2br w:val="nil"/>
              <w:tr2bl w:val="nil"/>
            </w:tcBorders>
            <w:noWrap/>
            <w:vAlign w:val="center"/>
          </w:tcPr>
          <w:p w14:paraId="74538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0" w:type="dxa"/>
            <w:tcBorders>
              <w:tl2br w:val="nil"/>
              <w:tr2bl w:val="nil"/>
            </w:tcBorders>
            <w:noWrap/>
            <w:vAlign w:val="center"/>
          </w:tcPr>
          <w:p w14:paraId="6C7A2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c>
          <w:tcPr>
            <w:tcW w:w="773" w:type="dxa"/>
            <w:tcBorders>
              <w:tl2br w:val="nil"/>
              <w:tr2bl w:val="nil"/>
            </w:tcBorders>
            <w:noWrap/>
            <w:vAlign w:val="center"/>
          </w:tcPr>
          <w:p w14:paraId="144E4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5" w:type="dxa"/>
            <w:tcBorders>
              <w:tl2br w:val="nil"/>
              <w:tr2bl w:val="nil"/>
            </w:tcBorders>
            <w:noWrap/>
            <w:vAlign w:val="center"/>
          </w:tcPr>
          <w:p w14:paraId="7CC0F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c>
          <w:tcPr>
            <w:tcW w:w="732" w:type="dxa"/>
            <w:tcBorders>
              <w:tl2br w:val="nil"/>
              <w:tr2bl w:val="nil"/>
            </w:tcBorders>
            <w:noWrap/>
            <w:vAlign w:val="center"/>
          </w:tcPr>
          <w:p w14:paraId="2BE1F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color w:val="auto"/>
                <w:kern w:val="0"/>
                <w:sz w:val="18"/>
                <w:szCs w:val="18"/>
                <w:highlight w:val="none"/>
                <w:lang w:bidi="ar"/>
              </w:rPr>
              <w:t>按合同约定</w:t>
            </w:r>
          </w:p>
        </w:tc>
        <w:tc>
          <w:tcPr>
            <w:tcW w:w="1558" w:type="dxa"/>
            <w:tcBorders>
              <w:tl2br w:val="nil"/>
              <w:tr2bl w:val="nil"/>
            </w:tcBorders>
            <w:noWrap/>
            <w:vAlign w:val="center"/>
          </w:tcPr>
          <w:p w14:paraId="5B7F6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r>
      <w:tr w14:paraId="4374C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23" w:type="dxa"/>
            <w:tcBorders>
              <w:tl2br w:val="nil"/>
              <w:tr2bl w:val="nil"/>
            </w:tcBorders>
            <w:noWrap/>
            <w:vAlign w:val="center"/>
          </w:tcPr>
          <w:p w14:paraId="690546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地毯</w:t>
            </w:r>
          </w:p>
        </w:tc>
        <w:tc>
          <w:tcPr>
            <w:tcW w:w="747" w:type="dxa"/>
            <w:tcBorders>
              <w:tl2br w:val="nil"/>
              <w:tr2bl w:val="nil"/>
            </w:tcBorders>
            <w:noWrap/>
            <w:vAlign w:val="center"/>
          </w:tcPr>
          <w:p w14:paraId="2FD7D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0" w:type="dxa"/>
            <w:tcBorders>
              <w:tl2br w:val="nil"/>
              <w:tr2bl w:val="nil"/>
            </w:tcBorders>
            <w:noWrap/>
            <w:vAlign w:val="center"/>
          </w:tcPr>
          <w:p w14:paraId="3A9FF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773" w:type="dxa"/>
            <w:tcBorders>
              <w:tl2br w:val="nil"/>
              <w:tr2bl w:val="nil"/>
            </w:tcBorders>
            <w:noWrap/>
            <w:vAlign w:val="center"/>
          </w:tcPr>
          <w:p w14:paraId="1DE54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5" w:type="dxa"/>
            <w:tcBorders>
              <w:tl2br w:val="nil"/>
              <w:tr2bl w:val="nil"/>
            </w:tcBorders>
            <w:noWrap/>
            <w:vAlign w:val="center"/>
          </w:tcPr>
          <w:p w14:paraId="20C89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732" w:type="dxa"/>
            <w:tcBorders>
              <w:tl2br w:val="nil"/>
              <w:tr2bl w:val="nil"/>
            </w:tcBorders>
            <w:noWrap/>
            <w:vAlign w:val="center"/>
          </w:tcPr>
          <w:p w14:paraId="45C003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58" w:type="dxa"/>
            <w:tcBorders>
              <w:tl2br w:val="nil"/>
              <w:tr2bl w:val="nil"/>
            </w:tcBorders>
            <w:noWrap/>
            <w:vAlign w:val="center"/>
          </w:tcPr>
          <w:p w14:paraId="2F112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bl>
    <w:p w14:paraId="7CC850DC">
      <w:pPr>
        <w:pStyle w:val="2"/>
        <w:rPr>
          <w:rFonts w:hint="eastAsia"/>
          <w:color w:val="auto"/>
          <w:highlight w:val="none"/>
          <w:lang w:val="en-US" w:eastAsia="zh-CN"/>
        </w:rPr>
      </w:pPr>
    </w:p>
    <w:p w14:paraId="2A869D5A">
      <w:pPr>
        <w:spacing w:before="0" w:after="283"/>
        <w:jc w:val="center"/>
        <w:rPr>
          <w:rFonts w:hint="eastAsia" w:ascii="黑体" w:hAnsi="黑体" w:eastAsia="黑体" w:cs="黑体"/>
          <w:color w:val="auto"/>
          <w:highlight w:val="none"/>
          <w:lang w:val="en-US" w:eastAsia="zh-CN"/>
        </w:rPr>
      </w:pPr>
    </w:p>
    <w:p w14:paraId="10061AB7">
      <w:pPr>
        <w:spacing w:before="0" w:after="283"/>
        <w:jc w:val="center"/>
        <w:rPr>
          <w:rFonts w:hint="eastAsia" w:ascii="黑体" w:hAnsi="黑体" w:eastAsia="黑体" w:cs="黑体"/>
          <w:color w:val="auto"/>
          <w:highlight w:val="none"/>
          <w:lang w:val="en-US" w:eastAsia="zh-CN"/>
        </w:rPr>
      </w:pPr>
    </w:p>
    <w:p w14:paraId="42E0954A">
      <w:pPr>
        <w:spacing w:before="0" w:after="283"/>
        <w:jc w:val="center"/>
        <w:rPr>
          <w:rFonts w:hint="eastAsia" w:ascii="黑体" w:hAnsi="黑体" w:eastAsia="黑体" w:cs="黑体"/>
          <w:color w:val="auto"/>
          <w:highlight w:val="none"/>
          <w:lang w:val="en-US" w:eastAsia="zh-CN"/>
        </w:rPr>
      </w:pPr>
    </w:p>
    <w:p w14:paraId="56B60E12">
      <w:pPr>
        <w:spacing w:before="0" w:after="283"/>
        <w:jc w:val="center"/>
        <w:rPr>
          <w:rFonts w:hint="eastAsia" w:ascii="黑体" w:hAnsi="黑体" w:eastAsia="黑体" w:cs="黑体"/>
          <w:color w:val="auto"/>
          <w:highlight w:val="none"/>
          <w:lang w:val="en-US" w:eastAsia="zh-CN"/>
        </w:rPr>
      </w:pPr>
    </w:p>
    <w:p w14:paraId="6173F931">
      <w:pPr>
        <w:spacing w:before="0" w:after="283"/>
        <w:jc w:val="center"/>
        <w:rPr>
          <w:rFonts w:hint="eastAsia" w:ascii="黑体" w:hAnsi="黑体" w:eastAsia="黑体" w:cs="黑体"/>
          <w:color w:val="auto"/>
          <w:highlight w:val="none"/>
          <w:lang w:val="en-US" w:eastAsia="zh-CN"/>
        </w:rPr>
      </w:pPr>
    </w:p>
    <w:p w14:paraId="77A9A62A">
      <w:pPr>
        <w:spacing w:before="0" w:after="283"/>
        <w:jc w:val="center"/>
        <w:rPr>
          <w:rFonts w:hint="eastAsia" w:ascii="黑体" w:hAnsi="黑体" w:eastAsia="黑体" w:cs="黑体"/>
          <w:color w:val="auto"/>
          <w:highlight w:val="none"/>
          <w:lang w:val="en-US" w:eastAsia="zh-CN"/>
        </w:rPr>
      </w:pPr>
    </w:p>
    <w:p w14:paraId="142A40DB">
      <w:pPr>
        <w:spacing w:before="0" w:after="283"/>
        <w:jc w:val="center"/>
        <w:rPr>
          <w:rFonts w:hint="eastAsia" w:ascii="黑体" w:hAnsi="黑体" w:eastAsia="黑体" w:cs="黑体"/>
          <w:color w:val="auto"/>
          <w:highlight w:val="none"/>
          <w:lang w:val="en-US" w:eastAsia="zh-CN"/>
        </w:rPr>
      </w:pPr>
    </w:p>
    <w:p w14:paraId="38980DC1">
      <w:pPr>
        <w:spacing w:before="0" w:after="283"/>
        <w:jc w:val="center"/>
        <w:rPr>
          <w:rFonts w:hint="eastAsia" w:ascii="黑体" w:hAnsi="黑体" w:eastAsia="黑体" w:cs="黑体"/>
          <w:color w:val="auto"/>
          <w:highlight w:val="none"/>
          <w:lang w:val="en-US" w:eastAsia="zh-CN"/>
        </w:rPr>
      </w:pPr>
    </w:p>
    <w:p w14:paraId="147E00B7">
      <w:pPr>
        <w:spacing w:before="0" w:after="283"/>
        <w:jc w:val="center"/>
        <w:rPr>
          <w:rFonts w:hint="eastAsia" w:ascii="黑体" w:hAnsi="黑体" w:eastAsia="黑体" w:cs="黑体"/>
          <w:color w:val="auto"/>
          <w:highlight w:val="none"/>
          <w:lang w:val="en-US" w:eastAsia="zh-CN"/>
        </w:rPr>
      </w:pPr>
    </w:p>
    <w:p w14:paraId="43F2E14E">
      <w:pPr>
        <w:spacing w:before="0" w:after="283"/>
        <w:jc w:val="center"/>
        <w:rPr>
          <w:rFonts w:hint="eastAsia" w:ascii="黑体" w:hAnsi="黑体" w:eastAsia="黑体" w:cs="黑体"/>
          <w:color w:val="auto"/>
          <w:highlight w:val="none"/>
          <w:lang w:val="en-US" w:eastAsia="zh-CN"/>
        </w:rPr>
      </w:pPr>
    </w:p>
    <w:p w14:paraId="76F5CF89">
      <w:pPr>
        <w:spacing w:before="0" w:after="283"/>
        <w:jc w:val="center"/>
        <w:rPr>
          <w:rFonts w:hint="eastAsia" w:ascii="黑体" w:hAnsi="黑体" w:eastAsia="黑体" w:cs="黑体"/>
          <w:color w:val="auto"/>
          <w:highlight w:val="none"/>
          <w:lang w:val="en-US" w:eastAsia="zh-CN"/>
        </w:rPr>
      </w:pPr>
    </w:p>
    <w:p w14:paraId="5517D11D">
      <w:pPr>
        <w:spacing w:before="0" w:after="283"/>
        <w:jc w:val="center"/>
        <w:rPr>
          <w:rFonts w:hint="eastAsia" w:ascii="黑体" w:hAnsi="黑体" w:eastAsia="黑体" w:cs="黑体"/>
          <w:color w:val="auto"/>
          <w:highlight w:val="none"/>
          <w:lang w:val="en-US" w:eastAsia="zh-CN"/>
        </w:rPr>
      </w:pPr>
    </w:p>
    <w:p w14:paraId="64F28D77">
      <w:pPr>
        <w:spacing w:before="0" w:after="283"/>
        <w:jc w:val="center"/>
        <w:rPr>
          <w:rFonts w:hint="eastAsia" w:ascii="黑体" w:hAnsi="黑体" w:eastAsia="黑体" w:cs="黑体"/>
          <w:color w:val="auto"/>
          <w:highlight w:val="none"/>
          <w:lang w:val="en-US" w:eastAsia="zh-CN"/>
        </w:rPr>
      </w:pPr>
    </w:p>
    <w:p w14:paraId="445425B1">
      <w:pPr>
        <w:spacing w:before="0" w:after="283"/>
        <w:jc w:val="center"/>
        <w:rPr>
          <w:rFonts w:hint="eastAsia" w:ascii="黑体" w:hAnsi="黑体" w:eastAsia="黑体" w:cs="黑体"/>
          <w:color w:val="auto"/>
          <w:highlight w:val="none"/>
          <w:lang w:val="en-US" w:eastAsia="zh-CN"/>
        </w:rPr>
      </w:pPr>
    </w:p>
    <w:p w14:paraId="2F838BC7">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14:paraId="20917014">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559" w:name="_Toc31127"/>
      <w:bookmarkStart w:id="560" w:name="_Toc20390"/>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G   </w:t>
      </w:r>
      <w:r>
        <w:rPr>
          <w:rFonts w:hint="eastAsia" w:ascii="Times New Roman" w:hAnsi="Times New Roman" w:eastAsia="宋体" w:cs="Times New Roman"/>
          <w:sz w:val="36"/>
          <w:szCs w:val="36"/>
          <w:highlight w:val="none"/>
          <w:lang w:val="zh-CN" w:eastAsia="zh-CN"/>
        </w:rPr>
        <w:t>建筑物</w:t>
      </w:r>
      <w:r>
        <w:rPr>
          <w:rFonts w:hint="eastAsia" w:ascii="Times New Roman" w:hAnsi="Times New Roman" w:eastAsia="宋体" w:cs="Times New Roman"/>
          <w:sz w:val="36"/>
          <w:szCs w:val="36"/>
          <w:highlight w:val="none"/>
          <w:lang w:val="en-US" w:eastAsia="zh-CN"/>
        </w:rPr>
        <w:t>外</w:t>
      </w:r>
      <w:r>
        <w:rPr>
          <w:rFonts w:hint="eastAsia" w:ascii="Times New Roman" w:hAnsi="Times New Roman" w:eastAsia="宋体" w:cs="Times New Roman"/>
          <w:sz w:val="36"/>
          <w:szCs w:val="36"/>
          <w:highlight w:val="none"/>
          <w:lang w:val="zh-CN" w:eastAsia="zh-CN"/>
        </w:rPr>
        <w:t>公共区域保洁服务标准</w:t>
      </w:r>
      <w:bookmarkEnd w:id="559"/>
      <w:bookmarkEnd w:id="560"/>
    </w:p>
    <w:p w14:paraId="2F44A2E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p>
    <w:p w14:paraId="15B1204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p>
    <w:p w14:paraId="64EE752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项目主要分类的建筑物外公共区域保洁服务标准见表G.1。</w:t>
      </w:r>
    </w:p>
    <w:p w14:paraId="1F4E3E83">
      <w:pPr>
        <w:pStyle w:val="2"/>
        <w:keepNext w:val="0"/>
        <w:keepLines w:val="0"/>
        <w:pageBreakBefore w:val="0"/>
        <w:widowControl w:val="0"/>
        <w:kinsoku/>
        <w:wordWrap/>
        <w:overflowPunct/>
        <w:topLinePunct w:val="0"/>
        <w:autoSpaceDE/>
        <w:autoSpaceDN/>
        <w:bidi w:val="0"/>
        <w:adjustRightInd/>
        <w:snapToGrid/>
        <w:spacing w:before="157" w:beforeLines="50" w:after="1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kern w:val="0"/>
          <w:sz w:val="21"/>
          <w:szCs w:val="20"/>
          <w:highlight w:val="none"/>
          <w:lang w:val="en-US" w:eastAsia="zh-CN" w:bidi="ar-SA"/>
        </w:rPr>
        <w:t>表G.1  建筑物外公共区域保洁服务标准</w:t>
      </w:r>
    </w:p>
    <w:tbl>
      <w:tblPr>
        <w:tblStyle w:val="38"/>
        <w:tblW w:w="488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316"/>
        <w:gridCol w:w="1693"/>
        <w:gridCol w:w="1241"/>
        <w:gridCol w:w="1184"/>
        <w:gridCol w:w="1244"/>
        <w:gridCol w:w="1414"/>
      </w:tblGrid>
      <w:tr w14:paraId="5822E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7" w:type="dxa"/>
            <w:vMerge w:val="restart"/>
            <w:noWrap/>
            <w:vAlign w:val="center"/>
          </w:tcPr>
          <w:p w14:paraId="79394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678" w:type="dxa"/>
            <w:gridSpan w:val="2"/>
            <w:noWrap/>
            <w:vAlign w:val="center"/>
          </w:tcPr>
          <w:p w14:paraId="650E5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158" w:type="dxa"/>
            <w:gridSpan w:val="2"/>
            <w:noWrap/>
            <w:vAlign w:val="center"/>
          </w:tcPr>
          <w:p w14:paraId="47D1F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365" w:type="dxa"/>
            <w:gridSpan w:val="2"/>
            <w:noWrap/>
            <w:vAlign w:val="center"/>
          </w:tcPr>
          <w:p w14:paraId="64235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变电站/换流站</w:t>
            </w:r>
          </w:p>
        </w:tc>
      </w:tr>
      <w:tr w14:paraId="118BD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17" w:type="dxa"/>
            <w:vMerge w:val="continue"/>
            <w:tcBorders>
              <w:bottom w:val="single" w:color="000000" w:sz="12" w:space="0"/>
            </w:tcBorders>
            <w:noWrap/>
            <w:vAlign w:val="center"/>
          </w:tcPr>
          <w:p w14:paraId="78183B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171" w:type="dxa"/>
            <w:tcBorders>
              <w:bottom w:val="single" w:color="000000" w:sz="12" w:space="0"/>
            </w:tcBorders>
            <w:noWrap/>
            <w:vAlign w:val="center"/>
          </w:tcPr>
          <w:p w14:paraId="22A53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07" w:type="dxa"/>
            <w:tcBorders>
              <w:bottom w:val="single" w:color="000000" w:sz="12" w:space="0"/>
            </w:tcBorders>
            <w:noWrap/>
            <w:vAlign w:val="center"/>
          </w:tcPr>
          <w:p w14:paraId="6E898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104" w:type="dxa"/>
            <w:tcBorders>
              <w:bottom w:val="single" w:color="000000" w:sz="12" w:space="0"/>
            </w:tcBorders>
            <w:noWrap/>
            <w:vAlign w:val="center"/>
          </w:tcPr>
          <w:p w14:paraId="33943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054" w:type="dxa"/>
            <w:tcBorders>
              <w:bottom w:val="single" w:color="000000" w:sz="12" w:space="0"/>
            </w:tcBorders>
            <w:noWrap/>
            <w:vAlign w:val="center"/>
          </w:tcPr>
          <w:p w14:paraId="10D02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107" w:type="dxa"/>
            <w:tcBorders>
              <w:bottom w:val="single" w:color="000000" w:sz="12" w:space="0"/>
            </w:tcBorders>
            <w:noWrap/>
            <w:vAlign w:val="center"/>
          </w:tcPr>
          <w:p w14:paraId="6B5F9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258" w:type="dxa"/>
            <w:tcBorders>
              <w:bottom w:val="single" w:color="000000" w:sz="12" w:space="0"/>
            </w:tcBorders>
            <w:noWrap/>
            <w:vAlign w:val="center"/>
          </w:tcPr>
          <w:p w14:paraId="15B0C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14:paraId="50F89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17" w:type="dxa"/>
            <w:tcBorders>
              <w:top w:val="single" w:color="000000" w:sz="12" w:space="0"/>
              <w:tl2br w:val="nil"/>
              <w:tr2bl w:val="nil"/>
            </w:tcBorders>
            <w:noWrap w:val="0"/>
            <w:vAlign w:val="center"/>
          </w:tcPr>
          <w:p w14:paraId="16CA7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天面、屋顶</w:t>
            </w:r>
          </w:p>
        </w:tc>
        <w:tc>
          <w:tcPr>
            <w:tcW w:w="1171" w:type="dxa"/>
            <w:tcBorders>
              <w:top w:val="single" w:color="000000" w:sz="12" w:space="0"/>
              <w:tl2br w:val="nil"/>
              <w:tr2bl w:val="nil"/>
            </w:tcBorders>
            <w:noWrap/>
            <w:vAlign w:val="center"/>
          </w:tcPr>
          <w:p w14:paraId="5724F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507" w:type="dxa"/>
            <w:tcBorders>
              <w:top w:val="single" w:color="000000" w:sz="12" w:space="0"/>
              <w:tl2br w:val="nil"/>
              <w:tr2bl w:val="nil"/>
            </w:tcBorders>
            <w:noWrap w:val="0"/>
            <w:vAlign w:val="center"/>
          </w:tcPr>
          <w:p w14:paraId="58C35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c>
          <w:tcPr>
            <w:tcW w:w="1104" w:type="dxa"/>
            <w:tcBorders>
              <w:top w:val="single" w:color="000000" w:sz="12" w:space="0"/>
              <w:tl2br w:val="nil"/>
              <w:tr2bl w:val="nil"/>
            </w:tcBorders>
            <w:noWrap/>
            <w:vAlign w:val="center"/>
          </w:tcPr>
          <w:p w14:paraId="14B07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054" w:type="dxa"/>
            <w:tcBorders>
              <w:top w:val="single" w:color="000000" w:sz="12" w:space="0"/>
              <w:tl2br w:val="nil"/>
              <w:tr2bl w:val="nil"/>
            </w:tcBorders>
            <w:noWrap w:val="0"/>
            <w:vAlign w:val="center"/>
          </w:tcPr>
          <w:p w14:paraId="7BDD6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c>
          <w:tcPr>
            <w:tcW w:w="1107" w:type="dxa"/>
            <w:tcBorders>
              <w:top w:val="single" w:color="000000" w:sz="12" w:space="0"/>
              <w:tl2br w:val="nil"/>
              <w:tr2bl w:val="nil"/>
            </w:tcBorders>
            <w:noWrap/>
            <w:vAlign w:val="center"/>
          </w:tcPr>
          <w:p w14:paraId="2974A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258" w:type="dxa"/>
            <w:tcBorders>
              <w:top w:val="single" w:color="000000" w:sz="12" w:space="0"/>
              <w:tl2br w:val="nil"/>
              <w:tr2bl w:val="nil"/>
            </w:tcBorders>
            <w:noWrap w:val="0"/>
            <w:vAlign w:val="center"/>
          </w:tcPr>
          <w:p w14:paraId="27555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r>
      <w:tr w14:paraId="7E3F1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17" w:type="dxa"/>
            <w:tcBorders>
              <w:tl2br w:val="nil"/>
              <w:tr2bl w:val="nil"/>
            </w:tcBorders>
            <w:noWrap/>
            <w:vAlign w:val="center"/>
          </w:tcPr>
          <w:p w14:paraId="5F376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平台</w:t>
            </w:r>
          </w:p>
        </w:tc>
        <w:tc>
          <w:tcPr>
            <w:tcW w:w="1171" w:type="dxa"/>
            <w:tcBorders>
              <w:tl2br w:val="nil"/>
              <w:tr2bl w:val="nil"/>
            </w:tcBorders>
            <w:noWrap/>
            <w:vAlign w:val="center"/>
          </w:tcPr>
          <w:p w14:paraId="1FA46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07" w:type="dxa"/>
            <w:tcBorders>
              <w:tl2br w:val="nil"/>
              <w:tr2bl w:val="nil"/>
            </w:tcBorders>
            <w:noWrap w:val="0"/>
            <w:vAlign w:val="center"/>
          </w:tcPr>
          <w:p w14:paraId="69BBD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c>
          <w:tcPr>
            <w:tcW w:w="1104" w:type="dxa"/>
            <w:tcBorders>
              <w:tl2br w:val="nil"/>
              <w:tr2bl w:val="nil"/>
            </w:tcBorders>
            <w:noWrap/>
            <w:vAlign w:val="center"/>
          </w:tcPr>
          <w:p w14:paraId="1F979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054" w:type="dxa"/>
            <w:tcBorders>
              <w:tl2br w:val="nil"/>
              <w:tr2bl w:val="nil"/>
            </w:tcBorders>
            <w:noWrap w:val="0"/>
            <w:vAlign w:val="center"/>
          </w:tcPr>
          <w:p w14:paraId="10028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c>
          <w:tcPr>
            <w:tcW w:w="1107" w:type="dxa"/>
            <w:tcBorders>
              <w:tl2br w:val="nil"/>
              <w:tr2bl w:val="nil"/>
            </w:tcBorders>
            <w:noWrap/>
            <w:vAlign w:val="center"/>
          </w:tcPr>
          <w:p w14:paraId="6B9AF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258" w:type="dxa"/>
            <w:tcBorders>
              <w:tl2br w:val="nil"/>
              <w:tr2bl w:val="nil"/>
            </w:tcBorders>
            <w:noWrap w:val="0"/>
            <w:vAlign w:val="center"/>
          </w:tcPr>
          <w:p w14:paraId="53CB3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r>
      <w:tr w14:paraId="321A6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17" w:type="dxa"/>
            <w:tcBorders>
              <w:tl2br w:val="nil"/>
              <w:tr2bl w:val="nil"/>
            </w:tcBorders>
            <w:noWrap w:val="0"/>
            <w:vAlign w:val="center"/>
          </w:tcPr>
          <w:p w14:paraId="485AF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道路、广场</w:t>
            </w:r>
          </w:p>
        </w:tc>
        <w:tc>
          <w:tcPr>
            <w:tcW w:w="1171" w:type="dxa"/>
            <w:tcBorders>
              <w:tl2br w:val="nil"/>
              <w:tr2bl w:val="nil"/>
            </w:tcBorders>
            <w:noWrap/>
            <w:vAlign w:val="center"/>
          </w:tcPr>
          <w:p w14:paraId="6EDDC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2次/日</w:t>
            </w:r>
          </w:p>
        </w:tc>
        <w:tc>
          <w:tcPr>
            <w:tcW w:w="1507" w:type="dxa"/>
            <w:tcBorders>
              <w:tl2br w:val="nil"/>
              <w:tr2bl w:val="nil"/>
            </w:tcBorders>
            <w:noWrap w:val="0"/>
            <w:vAlign w:val="center"/>
          </w:tcPr>
          <w:p w14:paraId="46560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c>
          <w:tcPr>
            <w:tcW w:w="1104" w:type="dxa"/>
            <w:tcBorders>
              <w:tl2br w:val="nil"/>
              <w:tr2bl w:val="nil"/>
            </w:tcBorders>
            <w:noWrap/>
            <w:vAlign w:val="center"/>
          </w:tcPr>
          <w:p w14:paraId="5C5B9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≥1次/日</w:t>
            </w:r>
          </w:p>
        </w:tc>
        <w:tc>
          <w:tcPr>
            <w:tcW w:w="1054" w:type="dxa"/>
            <w:tcBorders>
              <w:tl2br w:val="nil"/>
              <w:tr2bl w:val="nil"/>
            </w:tcBorders>
            <w:noWrap w:val="0"/>
            <w:vAlign w:val="center"/>
          </w:tcPr>
          <w:p w14:paraId="5D7A9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c>
          <w:tcPr>
            <w:tcW w:w="1107" w:type="dxa"/>
            <w:tcBorders>
              <w:tl2br w:val="nil"/>
              <w:tr2bl w:val="nil"/>
            </w:tcBorders>
            <w:noWrap/>
            <w:vAlign w:val="center"/>
          </w:tcPr>
          <w:p w14:paraId="72C3F8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258" w:type="dxa"/>
            <w:tcBorders>
              <w:tl2br w:val="nil"/>
              <w:tr2bl w:val="nil"/>
            </w:tcBorders>
            <w:noWrap w:val="0"/>
            <w:vAlign w:val="center"/>
          </w:tcPr>
          <w:p w14:paraId="3C9149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r>
      <w:tr w14:paraId="19506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7" w:type="dxa"/>
            <w:tcBorders>
              <w:tl2br w:val="nil"/>
              <w:tr2bl w:val="nil"/>
            </w:tcBorders>
            <w:noWrap/>
            <w:vAlign w:val="center"/>
          </w:tcPr>
          <w:p w14:paraId="10326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门头</w:t>
            </w:r>
          </w:p>
        </w:tc>
        <w:tc>
          <w:tcPr>
            <w:tcW w:w="1171" w:type="dxa"/>
            <w:tcBorders>
              <w:tl2br w:val="nil"/>
              <w:tr2bl w:val="nil"/>
            </w:tcBorders>
            <w:noWrap/>
            <w:vAlign w:val="center"/>
          </w:tcPr>
          <w:p w14:paraId="5F255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14:paraId="5646C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c>
          <w:tcPr>
            <w:tcW w:w="1104" w:type="dxa"/>
            <w:tcBorders>
              <w:tl2br w:val="nil"/>
              <w:tr2bl w:val="nil"/>
            </w:tcBorders>
            <w:noWrap/>
            <w:vAlign w:val="center"/>
          </w:tcPr>
          <w:p w14:paraId="71CFBD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054" w:type="dxa"/>
            <w:tcBorders>
              <w:tl2br w:val="nil"/>
              <w:tr2bl w:val="nil"/>
            </w:tcBorders>
            <w:noWrap w:val="0"/>
            <w:vAlign w:val="center"/>
          </w:tcPr>
          <w:p w14:paraId="5F487A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c>
          <w:tcPr>
            <w:tcW w:w="1107" w:type="dxa"/>
            <w:tcBorders>
              <w:tl2br w:val="nil"/>
              <w:tr2bl w:val="nil"/>
            </w:tcBorders>
            <w:noWrap/>
            <w:vAlign w:val="center"/>
          </w:tcPr>
          <w:p w14:paraId="57F0F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258" w:type="dxa"/>
            <w:tcBorders>
              <w:tl2br w:val="nil"/>
              <w:tr2bl w:val="nil"/>
            </w:tcBorders>
            <w:noWrap w:val="0"/>
            <w:vAlign w:val="center"/>
          </w:tcPr>
          <w:p w14:paraId="3E8984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r>
      <w:tr w14:paraId="2955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17" w:type="dxa"/>
            <w:tcBorders>
              <w:tl2br w:val="nil"/>
              <w:tr2bl w:val="nil"/>
            </w:tcBorders>
            <w:noWrap/>
            <w:vAlign w:val="center"/>
          </w:tcPr>
          <w:p w14:paraId="7E2AB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雨棚</w:t>
            </w:r>
          </w:p>
        </w:tc>
        <w:tc>
          <w:tcPr>
            <w:tcW w:w="1171" w:type="dxa"/>
            <w:tcBorders>
              <w:tl2br w:val="nil"/>
              <w:tr2bl w:val="nil"/>
            </w:tcBorders>
            <w:noWrap/>
            <w:vAlign w:val="center"/>
          </w:tcPr>
          <w:p w14:paraId="04043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14:paraId="3DD43C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c>
          <w:tcPr>
            <w:tcW w:w="1104" w:type="dxa"/>
            <w:tcBorders>
              <w:tl2br w:val="nil"/>
              <w:tr2bl w:val="nil"/>
            </w:tcBorders>
            <w:noWrap/>
            <w:vAlign w:val="center"/>
          </w:tcPr>
          <w:p w14:paraId="427000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054" w:type="dxa"/>
            <w:tcBorders>
              <w:tl2br w:val="nil"/>
              <w:tr2bl w:val="nil"/>
            </w:tcBorders>
            <w:noWrap w:val="0"/>
            <w:vAlign w:val="center"/>
          </w:tcPr>
          <w:p w14:paraId="290575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c>
          <w:tcPr>
            <w:tcW w:w="1107" w:type="dxa"/>
            <w:tcBorders>
              <w:tl2br w:val="nil"/>
              <w:tr2bl w:val="nil"/>
            </w:tcBorders>
            <w:noWrap/>
            <w:vAlign w:val="center"/>
          </w:tcPr>
          <w:p w14:paraId="1B5D1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258" w:type="dxa"/>
            <w:tcBorders>
              <w:tl2br w:val="nil"/>
              <w:tr2bl w:val="nil"/>
            </w:tcBorders>
            <w:noWrap w:val="0"/>
            <w:vAlign w:val="center"/>
          </w:tcPr>
          <w:p w14:paraId="347C7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r>
      <w:tr w14:paraId="5EF49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17" w:type="dxa"/>
            <w:tcBorders>
              <w:tl2br w:val="nil"/>
              <w:tr2bl w:val="nil"/>
            </w:tcBorders>
            <w:noWrap w:val="0"/>
            <w:vAlign w:val="center"/>
          </w:tcPr>
          <w:p w14:paraId="245C8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宣传栏、健身设施及其它共用设施</w:t>
            </w:r>
          </w:p>
        </w:tc>
        <w:tc>
          <w:tcPr>
            <w:tcW w:w="1171" w:type="dxa"/>
            <w:tcBorders>
              <w:tl2br w:val="nil"/>
              <w:tr2bl w:val="nil"/>
            </w:tcBorders>
            <w:noWrap w:val="0"/>
            <w:vAlign w:val="center"/>
          </w:tcPr>
          <w:p w14:paraId="363CA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507" w:type="dxa"/>
            <w:tcBorders>
              <w:tl2br w:val="nil"/>
              <w:tr2bl w:val="nil"/>
            </w:tcBorders>
            <w:noWrap w:val="0"/>
            <w:vAlign w:val="center"/>
          </w:tcPr>
          <w:p w14:paraId="2B4F00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4" w:type="dxa"/>
            <w:tcBorders>
              <w:tl2br w:val="nil"/>
              <w:tr2bl w:val="nil"/>
            </w:tcBorders>
            <w:noWrap w:val="0"/>
            <w:vAlign w:val="center"/>
          </w:tcPr>
          <w:p w14:paraId="5B7F8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054" w:type="dxa"/>
            <w:tcBorders>
              <w:tl2br w:val="nil"/>
              <w:tr2bl w:val="nil"/>
            </w:tcBorders>
            <w:noWrap w:val="0"/>
            <w:vAlign w:val="center"/>
          </w:tcPr>
          <w:p w14:paraId="39FEC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7" w:type="dxa"/>
            <w:tcBorders>
              <w:tl2br w:val="nil"/>
              <w:tr2bl w:val="nil"/>
            </w:tcBorders>
            <w:noWrap w:val="0"/>
            <w:vAlign w:val="center"/>
          </w:tcPr>
          <w:p w14:paraId="5DDA6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258" w:type="dxa"/>
            <w:tcBorders>
              <w:tl2br w:val="nil"/>
              <w:tr2bl w:val="nil"/>
            </w:tcBorders>
            <w:noWrap w:val="0"/>
            <w:vAlign w:val="center"/>
          </w:tcPr>
          <w:p w14:paraId="53772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r w14:paraId="54288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17" w:type="dxa"/>
            <w:vMerge w:val="restart"/>
            <w:tcBorders>
              <w:tl2br w:val="nil"/>
              <w:tr2bl w:val="nil"/>
            </w:tcBorders>
            <w:noWrap w:val="0"/>
            <w:vAlign w:val="center"/>
          </w:tcPr>
          <w:p w14:paraId="61DAF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户外公共灯具</w:t>
            </w:r>
          </w:p>
        </w:tc>
        <w:tc>
          <w:tcPr>
            <w:tcW w:w="1171" w:type="dxa"/>
            <w:tcBorders>
              <w:tl2br w:val="nil"/>
              <w:tr2bl w:val="nil"/>
            </w:tcBorders>
            <w:noWrap w:val="0"/>
            <w:vAlign w:val="center"/>
          </w:tcPr>
          <w:p w14:paraId="0FE7B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507" w:type="dxa"/>
            <w:tcBorders>
              <w:tl2br w:val="nil"/>
              <w:tr2bl w:val="nil"/>
            </w:tcBorders>
            <w:noWrap w:val="0"/>
            <w:vAlign w:val="center"/>
          </w:tcPr>
          <w:p w14:paraId="57A7DC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4" w:type="dxa"/>
            <w:tcBorders>
              <w:tl2br w:val="nil"/>
              <w:tr2bl w:val="nil"/>
            </w:tcBorders>
            <w:noWrap w:val="0"/>
            <w:vAlign w:val="center"/>
          </w:tcPr>
          <w:p w14:paraId="4C46F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054" w:type="dxa"/>
            <w:tcBorders>
              <w:tl2br w:val="nil"/>
              <w:tr2bl w:val="nil"/>
            </w:tcBorders>
            <w:noWrap w:val="0"/>
            <w:vAlign w:val="center"/>
          </w:tcPr>
          <w:p w14:paraId="34C16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7" w:type="dxa"/>
            <w:tcBorders>
              <w:tl2br w:val="nil"/>
              <w:tr2bl w:val="nil"/>
            </w:tcBorders>
            <w:noWrap w:val="0"/>
            <w:vAlign w:val="center"/>
          </w:tcPr>
          <w:p w14:paraId="5D617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258" w:type="dxa"/>
            <w:tcBorders>
              <w:tl2br w:val="nil"/>
              <w:tr2bl w:val="nil"/>
            </w:tcBorders>
            <w:noWrap w:val="0"/>
            <w:vAlign w:val="center"/>
          </w:tcPr>
          <w:p w14:paraId="249CF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r>
      <w:tr w14:paraId="39BC6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17" w:type="dxa"/>
            <w:vMerge w:val="continue"/>
            <w:tcBorders>
              <w:tl2br w:val="nil"/>
              <w:tr2bl w:val="nil"/>
            </w:tcBorders>
            <w:noWrap w:val="0"/>
            <w:vAlign w:val="center"/>
          </w:tcPr>
          <w:p w14:paraId="43B44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71" w:type="dxa"/>
            <w:tcBorders>
              <w:tl2br w:val="nil"/>
              <w:tr2bl w:val="nil"/>
            </w:tcBorders>
            <w:noWrap w:val="0"/>
            <w:vAlign w:val="center"/>
          </w:tcPr>
          <w:p w14:paraId="0565A0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507" w:type="dxa"/>
            <w:tcBorders>
              <w:tl2br w:val="nil"/>
              <w:tr2bl w:val="nil"/>
            </w:tcBorders>
            <w:noWrap w:val="0"/>
            <w:vAlign w:val="center"/>
          </w:tcPr>
          <w:p w14:paraId="4C63F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4" w:type="dxa"/>
            <w:tcBorders>
              <w:tl2br w:val="nil"/>
              <w:tr2bl w:val="nil"/>
            </w:tcBorders>
            <w:noWrap w:val="0"/>
            <w:vAlign w:val="center"/>
          </w:tcPr>
          <w:p w14:paraId="0CF96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054" w:type="dxa"/>
            <w:tcBorders>
              <w:tl2br w:val="nil"/>
              <w:tr2bl w:val="nil"/>
            </w:tcBorders>
            <w:noWrap w:val="0"/>
            <w:vAlign w:val="center"/>
          </w:tcPr>
          <w:p w14:paraId="7CE82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7" w:type="dxa"/>
            <w:tcBorders>
              <w:tl2br w:val="nil"/>
              <w:tr2bl w:val="nil"/>
            </w:tcBorders>
            <w:noWrap w:val="0"/>
            <w:vAlign w:val="center"/>
          </w:tcPr>
          <w:p w14:paraId="6085D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258" w:type="dxa"/>
            <w:tcBorders>
              <w:tl2br w:val="nil"/>
              <w:tr2bl w:val="nil"/>
            </w:tcBorders>
            <w:noWrap w:val="0"/>
            <w:vAlign w:val="center"/>
          </w:tcPr>
          <w:p w14:paraId="5E627A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r>
      <w:tr w14:paraId="71114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17" w:type="dxa"/>
            <w:tcBorders>
              <w:tl2br w:val="nil"/>
              <w:tr2bl w:val="nil"/>
            </w:tcBorders>
            <w:noWrap/>
            <w:vAlign w:val="center"/>
          </w:tcPr>
          <w:p w14:paraId="614A4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标识标牌</w:t>
            </w:r>
          </w:p>
        </w:tc>
        <w:tc>
          <w:tcPr>
            <w:tcW w:w="1171" w:type="dxa"/>
            <w:tcBorders>
              <w:tl2br w:val="nil"/>
              <w:tr2bl w:val="nil"/>
            </w:tcBorders>
            <w:noWrap/>
            <w:vAlign w:val="center"/>
          </w:tcPr>
          <w:p w14:paraId="3E039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07" w:type="dxa"/>
            <w:tcBorders>
              <w:tl2br w:val="nil"/>
              <w:tr2bl w:val="nil"/>
            </w:tcBorders>
            <w:noWrap w:val="0"/>
            <w:vAlign w:val="center"/>
          </w:tcPr>
          <w:p w14:paraId="6C1AE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4" w:type="dxa"/>
            <w:tcBorders>
              <w:tl2br w:val="nil"/>
              <w:tr2bl w:val="nil"/>
            </w:tcBorders>
            <w:noWrap/>
            <w:vAlign w:val="center"/>
          </w:tcPr>
          <w:p w14:paraId="17DDB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≥2次/月</w:t>
            </w:r>
          </w:p>
        </w:tc>
        <w:tc>
          <w:tcPr>
            <w:tcW w:w="1054" w:type="dxa"/>
            <w:tcBorders>
              <w:tl2br w:val="nil"/>
              <w:tr2bl w:val="nil"/>
            </w:tcBorders>
            <w:noWrap w:val="0"/>
            <w:vAlign w:val="center"/>
          </w:tcPr>
          <w:p w14:paraId="265B7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7" w:type="dxa"/>
            <w:tcBorders>
              <w:tl2br w:val="nil"/>
              <w:tr2bl w:val="nil"/>
            </w:tcBorders>
            <w:noWrap/>
            <w:vAlign w:val="center"/>
          </w:tcPr>
          <w:p w14:paraId="1D2D5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≥2次/月</w:t>
            </w:r>
          </w:p>
        </w:tc>
        <w:tc>
          <w:tcPr>
            <w:tcW w:w="1258" w:type="dxa"/>
            <w:tcBorders>
              <w:tl2br w:val="nil"/>
              <w:tr2bl w:val="nil"/>
            </w:tcBorders>
            <w:noWrap w:val="0"/>
            <w:vAlign w:val="center"/>
          </w:tcPr>
          <w:p w14:paraId="6F582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r w14:paraId="03028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17" w:type="dxa"/>
            <w:vMerge w:val="restart"/>
            <w:tcBorders>
              <w:tl2br w:val="nil"/>
              <w:tr2bl w:val="nil"/>
            </w:tcBorders>
            <w:noWrap/>
            <w:vAlign w:val="center"/>
          </w:tcPr>
          <w:p w14:paraId="7A08D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水景水体</w:t>
            </w:r>
          </w:p>
        </w:tc>
        <w:tc>
          <w:tcPr>
            <w:tcW w:w="1171" w:type="dxa"/>
            <w:tcBorders>
              <w:tl2br w:val="nil"/>
              <w:tr2bl w:val="nil"/>
            </w:tcBorders>
            <w:noWrap w:val="0"/>
            <w:vAlign w:val="center"/>
          </w:tcPr>
          <w:p w14:paraId="6FEC4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打捞水面垃圾≥1次/周</w:t>
            </w:r>
          </w:p>
        </w:tc>
        <w:tc>
          <w:tcPr>
            <w:tcW w:w="1507" w:type="dxa"/>
            <w:tcBorders>
              <w:tl2br w:val="nil"/>
              <w:tr2bl w:val="nil"/>
            </w:tcBorders>
            <w:noWrap w:val="0"/>
            <w:vAlign w:val="center"/>
          </w:tcPr>
          <w:p w14:paraId="7D80F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4" w:type="dxa"/>
            <w:tcBorders>
              <w:tl2br w:val="nil"/>
              <w:tr2bl w:val="nil"/>
            </w:tcBorders>
            <w:noWrap w:val="0"/>
            <w:vAlign w:val="center"/>
          </w:tcPr>
          <w:p w14:paraId="0E3C5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打捞水面垃圾≥2次/月</w:t>
            </w:r>
          </w:p>
        </w:tc>
        <w:tc>
          <w:tcPr>
            <w:tcW w:w="1054" w:type="dxa"/>
            <w:tcBorders>
              <w:tl2br w:val="nil"/>
              <w:tr2bl w:val="nil"/>
            </w:tcBorders>
            <w:noWrap w:val="0"/>
            <w:vAlign w:val="center"/>
          </w:tcPr>
          <w:p w14:paraId="1E7A1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7" w:type="dxa"/>
            <w:tcBorders>
              <w:tl2br w:val="nil"/>
              <w:tr2bl w:val="nil"/>
            </w:tcBorders>
            <w:noWrap w:val="0"/>
            <w:vAlign w:val="center"/>
          </w:tcPr>
          <w:p w14:paraId="3D715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打捞水面垃圾≥2次/月</w:t>
            </w:r>
          </w:p>
        </w:tc>
        <w:tc>
          <w:tcPr>
            <w:tcW w:w="1258" w:type="dxa"/>
            <w:tcBorders>
              <w:tl2br w:val="nil"/>
              <w:tr2bl w:val="nil"/>
            </w:tcBorders>
            <w:noWrap w:val="0"/>
            <w:vAlign w:val="center"/>
          </w:tcPr>
          <w:p w14:paraId="2C9EC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r>
      <w:tr w14:paraId="47287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17" w:type="dxa"/>
            <w:vMerge w:val="continue"/>
            <w:tcBorders>
              <w:tl2br w:val="nil"/>
              <w:tr2bl w:val="nil"/>
            </w:tcBorders>
            <w:noWrap/>
            <w:vAlign w:val="center"/>
          </w:tcPr>
          <w:p w14:paraId="213C2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71" w:type="dxa"/>
            <w:tcBorders>
              <w:tl2br w:val="nil"/>
              <w:tr2bl w:val="nil"/>
            </w:tcBorders>
            <w:noWrap w:val="0"/>
            <w:vAlign w:val="center"/>
          </w:tcPr>
          <w:p w14:paraId="3242B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507" w:type="dxa"/>
            <w:tcBorders>
              <w:tl2br w:val="nil"/>
              <w:tr2bl w:val="nil"/>
            </w:tcBorders>
            <w:noWrap w:val="0"/>
            <w:vAlign w:val="center"/>
          </w:tcPr>
          <w:p w14:paraId="37AA1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4" w:type="dxa"/>
            <w:tcBorders>
              <w:tl2br w:val="nil"/>
              <w:tr2bl w:val="nil"/>
            </w:tcBorders>
            <w:noWrap w:val="0"/>
            <w:vAlign w:val="center"/>
          </w:tcPr>
          <w:p w14:paraId="163CB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054" w:type="dxa"/>
            <w:tcBorders>
              <w:tl2br w:val="nil"/>
              <w:tr2bl w:val="nil"/>
            </w:tcBorders>
            <w:noWrap w:val="0"/>
            <w:vAlign w:val="center"/>
          </w:tcPr>
          <w:p w14:paraId="4BC96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7" w:type="dxa"/>
            <w:tcBorders>
              <w:tl2br w:val="nil"/>
              <w:tr2bl w:val="nil"/>
            </w:tcBorders>
            <w:noWrap w:val="0"/>
            <w:vAlign w:val="center"/>
          </w:tcPr>
          <w:p w14:paraId="51F3A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258" w:type="dxa"/>
            <w:tcBorders>
              <w:tl2br w:val="nil"/>
              <w:tr2bl w:val="nil"/>
            </w:tcBorders>
            <w:noWrap w:val="0"/>
            <w:vAlign w:val="center"/>
          </w:tcPr>
          <w:p w14:paraId="134D5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r>
      <w:tr w14:paraId="193B8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17" w:type="dxa"/>
            <w:tcBorders>
              <w:tl2br w:val="nil"/>
              <w:tr2bl w:val="nil"/>
            </w:tcBorders>
            <w:noWrap w:val="0"/>
            <w:vAlign w:val="center"/>
          </w:tcPr>
          <w:p w14:paraId="61FD4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化粪池</w:t>
            </w:r>
          </w:p>
        </w:tc>
        <w:tc>
          <w:tcPr>
            <w:tcW w:w="1171" w:type="dxa"/>
            <w:tcBorders>
              <w:tl2br w:val="nil"/>
              <w:tr2bl w:val="nil"/>
            </w:tcBorders>
            <w:noWrap/>
            <w:vAlign w:val="center"/>
          </w:tcPr>
          <w:p w14:paraId="265EEA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14:paraId="60CA3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c>
          <w:tcPr>
            <w:tcW w:w="1104" w:type="dxa"/>
            <w:tcBorders>
              <w:tl2br w:val="nil"/>
              <w:tr2bl w:val="nil"/>
            </w:tcBorders>
            <w:noWrap/>
            <w:vAlign w:val="center"/>
          </w:tcPr>
          <w:p w14:paraId="10E2C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054" w:type="dxa"/>
            <w:tcBorders>
              <w:tl2br w:val="nil"/>
              <w:tr2bl w:val="nil"/>
            </w:tcBorders>
            <w:noWrap w:val="0"/>
            <w:vAlign w:val="center"/>
          </w:tcPr>
          <w:p w14:paraId="7CE1A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c>
          <w:tcPr>
            <w:tcW w:w="1107" w:type="dxa"/>
            <w:tcBorders>
              <w:tl2br w:val="nil"/>
              <w:tr2bl w:val="nil"/>
            </w:tcBorders>
            <w:noWrap/>
            <w:vAlign w:val="center"/>
          </w:tcPr>
          <w:p w14:paraId="612BB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color w:val="auto"/>
                <w:kern w:val="0"/>
                <w:sz w:val="18"/>
                <w:szCs w:val="18"/>
                <w:highlight w:val="none"/>
                <w:lang w:bidi="ar"/>
              </w:rPr>
              <w:t>按合同约定</w:t>
            </w:r>
          </w:p>
        </w:tc>
        <w:tc>
          <w:tcPr>
            <w:tcW w:w="1258" w:type="dxa"/>
            <w:tcBorders>
              <w:tl2br w:val="nil"/>
              <w:tr2bl w:val="nil"/>
            </w:tcBorders>
            <w:noWrap w:val="0"/>
            <w:vAlign w:val="center"/>
          </w:tcPr>
          <w:p w14:paraId="107875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r>
    </w:tbl>
    <w:p w14:paraId="42055C7C">
      <w:pPr>
        <w:bidi w:val="0"/>
        <w:rPr>
          <w:rFonts w:hint="eastAsia"/>
          <w:color w:val="auto"/>
          <w:highlight w:val="none"/>
          <w:lang w:val="en-US" w:eastAsia="zh-CN"/>
        </w:rPr>
      </w:pPr>
    </w:p>
    <w:p w14:paraId="0F46C8F1">
      <w:pPr>
        <w:tabs>
          <w:tab w:val="left" w:pos="1842"/>
        </w:tabs>
        <w:bidi w:val="0"/>
        <w:jc w:val="left"/>
        <w:rPr>
          <w:rFonts w:hint="eastAsia"/>
          <w:color w:val="auto"/>
          <w:highlight w:val="none"/>
          <w:lang w:val="en-US" w:eastAsia="zh-CN"/>
        </w:rPr>
      </w:pPr>
    </w:p>
    <w:p w14:paraId="2A4FA2F6">
      <w:pPr>
        <w:tabs>
          <w:tab w:val="left" w:pos="1842"/>
        </w:tabs>
        <w:bidi w:val="0"/>
        <w:jc w:val="left"/>
        <w:rPr>
          <w:rFonts w:hint="eastAsia"/>
          <w:color w:val="auto"/>
          <w:highlight w:val="none"/>
          <w:lang w:val="en-US" w:eastAsia="zh-CN"/>
        </w:rPr>
      </w:pPr>
    </w:p>
    <w:p w14:paraId="44B7A312">
      <w:pPr>
        <w:tabs>
          <w:tab w:val="left" w:pos="1842"/>
        </w:tabs>
        <w:bidi w:val="0"/>
        <w:jc w:val="left"/>
        <w:rPr>
          <w:rFonts w:hint="eastAsia"/>
          <w:color w:val="auto"/>
          <w:highlight w:val="none"/>
          <w:lang w:val="en-US" w:eastAsia="zh-CN"/>
        </w:rPr>
      </w:pPr>
    </w:p>
    <w:p w14:paraId="56FBD414">
      <w:pPr>
        <w:tabs>
          <w:tab w:val="left" w:pos="1842"/>
        </w:tabs>
        <w:bidi w:val="0"/>
        <w:jc w:val="left"/>
        <w:rPr>
          <w:rFonts w:hint="eastAsia"/>
          <w:color w:val="auto"/>
          <w:highlight w:val="none"/>
          <w:lang w:val="en-US" w:eastAsia="zh-CN"/>
        </w:rPr>
      </w:pPr>
    </w:p>
    <w:p w14:paraId="7760A788">
      <w:pPr>
        <w:rPr>
          <w:rFonts w:hint="eastAsia"/>
          <w:color w:val="auto"/>
          <w:highlight w:val="none"/>
          <w:lang w:val="en-US" w:eastAsia="zh-CN"/>
        </w:rPr>
      </w:pPr>
    </w:p>
    <w:p w14:paraId="3ABC2BB0">
      <w:pPr>
        <w:rPr>
          <w:rFonts w:hint="eastAsia"/>
          <w:color w:val="auto"/>
          <w:highlight w:val="none"/>
          <w:lang w:val="en-US" w:eastAsia="zh-CN"/>
        </w:rPr>
      </w:pPr>
    </w:p>
    <w:p w14:paraId="5FC09FAC">
      <w:pPr>
        <w:rPr>
          <w:rFonts w:hint="eastAsia"/>
          <w:color w:val="auto"/>
          <w:highlight w:val="none"/>
          <w:lang w:val="en-US" w:eastAsia="zh-CN"/>
        </w:rPr>
      </w:pPr>
    </w:p>
    <w:p w14:paraId="569D16BB">
      <w:pPr>
        <w:rPr>
          <w:rFonts w:hint="eastAsia"/>
          <w:color w:val="auto"/>
          <w:highlight w:val="none"/>
          <w:lang w:val="en-US" w:eastAsia="zh-CN"/>
        </w:rPr>
      </w:pPr>
    </w:p>
    <w:p w14:paraId="65513869">
      <w:pPr>
        <w:pStyle w:val="2"/>
        <w:rPr>
          <w:rFonts w:hint="eastAsia"/>
          <w:color w:val="auto"/>
          <w:highlight w:val="none"/>
          <w:lang w:val="en-US" w:eastAsia="zh-CN"/>
        </w:rPr>
      </w:pPr>
    </w:p>
    <w:p w14:paraId="3108664B">
      <w:pPr>
        <w:pStyle w:val="2"/>
        <w:rPr>
          <w:rFonts w:hint="eastAsia"/>
          <w:color w:val="auto"/>
          <w:highlight w:val="none"/>
          <w:lang w:val="en-US" w:eastAsia="zh-CN"/>
        </w:rPr>
      </w:pPr>
    </w:p>
    <w:p w14:paraId="09A82659">
      <w:pPr>
        <w:pStyle w:val="2"/>
        <w:rPr>
          <w:rFonts w:hint="eastAsia"/>
          <w:color w:val="auto"/>
          <w:highlight w:val="none"/>
          <w:lang w:val="en-US" w:eastAsia="zh-CN"/>
        </w:rPr>
      </w:pPr>
    </w:p>
    <w:p w14:paraId="136A4834">
      <w:pPr>
        <w:rPr>
          <w:rFonts w:hint="eastAsia"/>
          <w:highlight w:val="none"/>
          <w:lang w:val="en-US" w:eastAsia="zh-CN"/>
        </w:rPr>
      </w:pPr>
    </w:p>
    <w:p w14:paraId="7F9F66BE">
      <w:pPr>
        <w:pStyle w:val="2"/>
        <w:rPr>
          <w:rFonts w:hint="eastAsia"/>
          <w:color w:val="auto"/>
          <w:highlight w:val="none"/>
          <w:lang w:val="en-US" w:eastAsia="zh-CN"/>
        </w:rPr>
      </w:pPr>
    </w:p>
    <w:p w14:paraId="7A03D7A8">
      <w:pPr>
        <w:tabs>
          <w:tab w:val="left" w:pos="1842"/>
        </w:tabs>
        <w:bidi w:val="0"/>
        <w:jc w:val="left"/>
        <w:rPr>
          <w:rFonts w:hint="eastAsia"/>
          <w:color w:val="auto"/>
          <w:highlight w:val="none"/>
          <w:lang w:val="en-US" w:eastAsia="zh-CN"/>
        </w:rPr>
      </w:pPr>
    </w:p>
    <w:p w14:paraId="2FF8B219">
      <w:pPr>
        <w:tabs>
          <w:tab w:val="left" w:pos="1842"/>
        </w:tabs>
        <w:bidi w:val="0"/>
        <w:jc w:val="left"/>
        <w:rPr>
          <w:rFonts w:hint="eastAsia"/>
          <w:color w:val="auto"/>
          <w:highlight w:val="none"/>
          <w:lang w:val="en-US" w:eastAsia="zh-CN"/>
        </w:rPr>
      </w:pPr>
    </w:p>
    <w:p w14:paraId="5B8E13F7">
      <w:pPr>
        <w:jc w:val="center"/>
        <w:rPr>
          <w:rFonts w:ascii="Times New Roman" w:hAnsi="Times New Roman" w:eastAsia="黑体"/>
          <w:sz w:val="30"/>
          <w:szCs w:val="30"/>
          <w:highlight w:val="none"/>
        </w:rPr>
      </w:pPr>
      <w:r>
        <w:rPr>
          <w:rFonts w:ascii="Times New Roman" w:hAnsi="Times New Roman" w:eastAsia="黑体"/>
          <w:sz w:val="30"/>
          <w:szCs w:val="30"/>
          <w:highlight w:val="none"/>
        </w:rPr>
        <w:t>广东省标准</w:t>
      </w:r>
    </w:p>
    <w:p w14:paraId="3581BAD2">
      <w:pPr>
        <w:jc w:val="center"/>
        <w:rPr>
          <w:rFonts w:ascii="Times New Roman" w:hAnsi="Times New Roman" w:eastAsia="黑体"/>
          <w:highlight w:val="none"/>
        </w:rPr>
      </w:pPr>
    </w:p>
    <w:p w14:paraId="5F5FF60C">
      <w:pPr>
        <w:jc w:val="center"/>
        <w:rPr>
          <w:rFonts w:ascii="Times New Roman" w:hAnsi="Times New Roman" w:eastAsia="黑体"/>
          <w:sz w:val="32"/>
          <w:szCs w:val="84"/>
          <w:highlight w:val="none"/>
        </w:rPr>
      </w:pPr>
      <w:r>
        <w:rPr>
          <w:rFonts w:hint="eastAsia" w:ascii="Times New Roman" w:hAnsi="Times New Roman" w:eastAsia="黑体"/>
          <w:sz w:val="32"/>
          <w:szCs w:val="84"/>
          <w:highlight w:val="none"/>
        </w:rPr>
        <w:t>电力工业物业管理服务标准</w:t>
      </w:r>
    </w:p>
    <w:p w14:paraId="5E5814B9">
      <w:pPr>
        <w:spacing w:line="360" w:lineRule="exact"/>
        <w:jc w:val="center"/>
        <w:rPr>
          <w:rFonts w:ascii="Times New Roman" w:hAnsi="Times New Roman" w:eastAsia="黑体"/>
          <w:kern w:val="0"/>
          <w:szCs w:val="21"/>
          <w:highlight w:val="none"/>
        </w:rPr>
      </w:pPr>
      <w:r>
        <w:rPr>
          <w:rFonts w:hint="eastAsia" w:ascii="Times New Roman" w:hAnsi="Times New Roman" w:eastAsia="黑体"/>
          <w:kern w:val="0"/>
          <w:highlight w:val="none"/>
        </w:rPr>
        <w:t>Service standard for property management in the electric power industry</w:t>
      </w:r>
    </w:p>
    <w:p w14:paraId="52A75840">
      <w:pPr>
        <w:spacing w:line="360" w:lineRule="exact"/>
        <w:jc w:val="center"/>
        <w:rPr>
          <w:rFonts w:ascii="Times New Roman" w:hAnsi="Times New Roman" w:eastAsia="黑体"/>
          <w:kern w:val="0"/>
          <w:szCs w:val="21"/>
          <w:highlight w:val="none"/>
        </w:rPr>
      </w:pPr>
    </w:p>
    <w:p w14:paraId="6C2DCEFD">
      <w:pPr>
        <w:spacing w:line="360" w:lineRule="exact"/>
        <w:jc w:val="center"/>
        <w:rPr>
          <w:rFonts w:ascii="Times New Roman" w:hAnsi="Times New Roman"/>
          <w:highlight w:val="none"/>
        </w:rPr>
      </w:pPr>
    </w:p>
    <w:p w14:paraId="11A1DD18">
      <w:pPr>
        <w:spacing w:line="360" w:lineRule="exact"/>
        <w:jc w:val="center"/>
        <w:rPr>
          <w:rFonts w:ascii="Times New Roman" w:hAnsi="Times New Roman"/>
          <w:highlight w:val="none"/>
        </w:rPr>
      </w:pPr>
      <w:r>
        <w:rPr>
          <w:rFonts w:ascii="Times New Roman" w:hAnsi="Times New Roman"/>
          <w:highlight w:val="none"/>
        </w:rPr>
        <w:t>DBJ XX-XX-2020</w:t>
      </w:r>
    </w:p>
    <w:p w14:paraId="35B62952">
      <w:pPr>
        <w:pStyle w:val="4"/>
        <w:jc w:val="center"/>
        <w:rPr>
          <w:rFonts w:ascii="Times New Roman" w:hAnsi="Times New Roman"/>
          <w:sz w:val="30"/>
          <w:szCs w:val="30"/>
          <w:highlight w:val="none"/>
        </w:rPr>
      </w:pPr>
      <w:bookmarkStart w:id="561" w:name="_Toc12740"/>
      <w:bookmarkStart w:id="562" w:name="_Toc27938"/>
      <w:bookmarkStart w:id="563" w:name="_Toc13005"/>
      <w:r>
        <w:rPr>
          <w:rFonts w:ascii="Times New Roman" w:hAnsi="Times New Roman"/>
          <w:sz w:val="30"/>
          <w:szCs w:val="30"/>
          <w:highlight w:val="none"/>
        </w:rPr>
        <w:t>条 文 说 明</w:t>
      </w:r>
      <w:bookmarkEnd w:id="561"/>
      <w:bookmarkEnd w:id="562"/>
      <w:bookmarkEnd w:id="563"/>
    </w:p>
    <w:p w14:paraId="0B45A721">
      <w:pPr>
        <w:rPr>
          <w:rFonts w:ascii="Times New Roman" w:hAnsi="Times New Roman"/>
          <w:sz w:val="28"/>
          <w:szCs w:val="28"/>
          <w:highlight w:val="none"/>
        </w:rPr>
      </w:pPr>
    </w:p>
    <w:p w14:paraId="55852BBC">
      <w:pPr>
        <w:rPr>
          <w:rFonts w:ascii="Times New Roman" w:hAnsi="Times New Roman"/>
          <w:sz w:val="28"/>
          <w:szCs w:val="28"/>
          <w:highlight w:val="none"/>
        </w:rPr>
      </w:pPr>
    </w:p>
    <w:p w14:paraId="3DF1DC32">
      <w:pPr>
        <w:rPr>
          <w:rFonts w:ascii="Times New Roman" w:hAnsi="Times New Roman"/>
          <w:sz w:val="28"/>
          <w:szCs w:val="28"/>
          <w:highlight w:val="none"/>
        </w:rPr>
      </w:pPr>
    </w:p>
    <w:p w14:paraId="297D2B2A">
      <w:pPr>
        <w:rPr>
          <w:rFonts w:ascii="Times New Roman" w:hAnsi="Times New Roman"/>
          <w:sz w:val="28"/>
          <w:szCs w:val="28"/>
          <w:highlight w:val="none"/>
        </w:rPr>
      </w:pPr>
    </w:p>
    <w:p w14:paraId="103E0A97">
      <w:pPr>
        <w:rPr>
          <w:rFonts w:ascii="Times New Roman" w:hAnsi="Times New Roman"/>
          <w:sz w:val="28"/>
          <w:szCs w:val="28"/>
          <w:highlight w:val="none"/>
        </w:rPr>
      </w:pPr>
    </w:p>
    <w:p w14:paraId="0125456A">
      <w:pPr>
        <w:rPr>
          <w:rFonts w:ascii="Times New Roman" w:hAnsi="Times New Roman"/>
          <w:sz w:val="28"/>
          <w:szCs w:val="28"/>
          <w:highlight w:val="none"/>
        </w:rPr>
      </w:pPr>
    </w:p>
    <w:p w14:paraId="7642E867">
      <w:pPr>
        <w:rPr>
          <w:rFonts w:ascii="Times New Roman" w:hAnsi="Times New Roman"/>
          <w:sz w:val="28"/>
          <w:szCs w:val="28"/>
          <w:highlight w:val="none"/>
        </w:rPr>
      </w:pPr>
    </w:p>
    <w:p w14:paraId="46565963">
      <w:pPr>
        <w:widowControl/>
        <w:jc w:val="left"/>
        <w:rPr>
          <w:rFonts w:ascii="Times New Roman" w:hAnsi="Times New Roman"/>
          <w:sz w:val="28"/>
          <w:szCs w:val="28"/>
          <w:highlight w:val="none"/>
        </w:rPr>
      </w:pPr>
      <w:r>
        <w:rPr>
          <w:rFonts w:ascii="Times New Roman" w:hAnsi="Times New Roman"/>
          <w:sz w:val="28"/>
          <w:szCs w:val="28"/>
          <w:highlight w:val="none"/>
        </w:rPr>
        <w:br w:type="page"/>
      </w:r>
    </w:p>
    <w:p w14:paraId="2DFD6C33">
      <w:pPr>
        <w:pStyle w:val="36"/>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制 定 说 明</w:t>
      </w:r>
    </w:p>
    <w:p w14:paraId="57D16A9D">
      <w:pPr>
        <w:tabs>
          <w:tab w:val="left" w:pos="720"/>
        </w:tabs>
        <w:spacing w:line="360" w:lineRule="auto"/>
        <w:ind w:firstLine="480" w:firstLineChars="200"/>
        <w:rPr>
          <w:rFonts w:hint="eastAsia" w:ascii="宋体" w:hAnsi="宋体" w:eastAsia="宋体" w:cs="宋体"/>
          <w:sz w:val="24"/>
          <w:szCs w:val="24"/>
          <w:highlight w:val="none"/>
        </w:rPr>
      </w:pPr>
      <w:bookmarkStart w:id="564" w:name="_Toc23207"/>
      <w:r>
        <w:rPr>
          <w:rFonts w:hint="eastAsia" w:ascii="宋体" w:hAnsi="宋体" w:eastAsia="宋体" w:cs="宋体"/>
          <w:sz w:val="24"/>
          <w:szCs w:val="24"/>
          <w:highlight w:val="none"/>
        </w:rPr>
        <w:t>《电力工业物业管理服务标准》DBJ/T XXX-XXXX，经广东省住房和城乡建设厅XX年XX月XX日以第XX号公告批准、发布。</w:t>
      </w:r>
    </w:p>
    <w:p w14:paraId="58BC81E6">
      <w:pPr>
        <w:tabs>
          <w:tab w:val="left" w:pos="7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本标准编制过程中，编制组进行了广泛调查研究，认真总结了广东省电力工业物业管理服务的实践经验，广泛征求了有关单位和专家的意见，对主要问题进行了反复讨论与修改。</w:t>
      </w:r>
    </w:p>
    <w:p w14:paraId="52AF2D14">
      <w:pPr>
        <w:tabs>
          <w:tab w:val="left" w:pos="720"/>
        </w:tabs>
        <w:spacing w:line="360" w:lineRule="auto"/>
        <w:ind w:firstLine="480" w:firstLineChars="200"/>
        <w:rPr>
          <w:highlight w:val="none"/>
        </w:rPr>
      </w:pPr>
      <w:r>
        <w:rPr>
          <w:rFonts w:hint="eastAsia" w:ascii="宋体" w:hAnsi="宋体" w:eastAsia="宋体" w:cs="宋体"/>
          <w:sz w:val="24"/>
          <w:szCs w:val="24"/>
          <w:highlight w:val="none"/>
        </w:rPr>
        <w:t>为便于广大设计、科研、学校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物业</w:t>
      </w:r>
      <w:r>
        <w:rPr>
          <w:rFonts w:hint="eastAsia" w:ascii="宋体" w:hAnsi="宋体" w:eastAsia="宋体" w:cs="宋体"/>
          <w:sz w:val="24"/>
          <w:szCs w:val="24"/>
          <w:highlight w:val="none"/>
        </w:rPr>
        <w:t>等单位有关人员在使用本标准时能正确理解和执行条文规定，《电力工业物业管理服务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6E841441">
      <w:pPr>
        <w:pStyle w:val="4"/>
        <w:keepNext w:val="0"/>
        <w:keepLines w:val="0"/>
        <w:pageBreakBefore/>
        <w:spacing w:line="360" w:lineRule="auto"/>
        <w:jc w:val="center"/>
        <w:rPr>
          <w:rFonts w:hint="eastAsia" w:ascii="Times New Roman" w:hAnsi="Times New Roman" w:eastAsia="宋体" w:cs="Times New Roman"/>
          <w:b/>
          <w:bCs/>
          <w:sz w:val="30"/>
          <w:highlight w:val="none"/>
          <w:lang w:val="en-US" w:eastAsia="zh-CN"/>
        </w:rPr>
      </w:pPr>
      <w:bookmarkStart w:id="565" w:name="_Toc18930"/>
      <w:r>
        <w:rPr>
          <w:rFonts w:hint="eastAsia" w:ascii="Times New Roman" w:hAnsi="Times New Roman" w:eastAsia="宋体" w:cs="Times New Roman"/>
          <w:b/>
          <w:bCs/>
          <w:sz w:val="30"/>
          <w:highlight w:val="none"/>
          <w:lang w:val="en-US" w:eastAsia="zh-CN"/>
        </w:rPr>
        <w:t>4 基</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本</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要</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求</w:t>
      </w:r>
      <w:bookmarkEnd w:id="564"/>
      <w:bookmarkEnd w:id="565"/>
    </w:p>
    <w:p w14:paraId="08F547B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rPr>
      </w:pPr>
      <w:bookmarkStart w:id="566" w:name="_Toc16025"/>
      <w:bookmarkStart w:id="567" w:name="_Toc9128"/>
      <w:r>
        <w:rPr>
          <w:rFonts w:hint="eastAsia" w:ascii="宋体" w:hAnsi="宋体" w:eastAsia="宋体" w:cs="宋体"/>
          <w:b/>
          <w:bCs/>
          <w:color w:val="auto"/>
          <w:sz w:val="24"/>
          <w:szCs w:val="24"/>
          <w:highlight w:val="none"/>
          <w:lang w:val="en-US" w:eastAsia="zh-CN"/>
        </w:rPr>
        <w:t>4.1  人员要求</w:t>
      </w:r>
      <w:bookmarkEnd w:id="566"/>
      <w:bookmarkEnd w:id="567"/>
    </w:p>
    <w:p w14:paraId="6FD05C48">
      <w:pPr>
        <w:spacing w:line="360" w:lineRule="auto"/>
        <w:rPr>
          <w:rFonts w:hint="eastAsia"/>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4.1.3  </w:t>
      </w:r>
      <w:r>
        <w:rPr>
          <w:rFonts w:hint="eastAsia" w:ascii="宋体" w:hAnsi="宋体" w:eastAsia="宋体" w:cs="宋体"/>
          <w:color w:val="auto"/>
          <w:sz w:val="24"/>
          <w:szCs w:val="24"/>
          <w:highlight w:val="none"/>
          <w:lang w:val="en-US" w:eastAsia="zh-CN"/>
        </w:rPr>
        <w:t>客户信息</w:t>
      </w:r>
      <w:r>
        <w:rPr>
          <w:rFonts w:hint="eastAsia" w:ascii="宋体" w:hAnsi="宋体" w:cs="宋体"/>
          <w:color w:val="auto"/>
          <w:sz w:val="24"/>
          <w:szCs w:val="24"/>
          <w:highlight w:val="none"/>
          <w:lang w:val="en-US" w:eastAsia="zh-CN"/>
        </w:rPr>
        <w:t>：根据《中华人民共和国保守国家秘密法》、《中华人民共和国数据安全法》，客户信息应包含但不限于各办公场所到访客户或参观学习人员所登记的信息，并进行保密。</w:t>
      </w:r>
    </w:p>
    <w:p w14:paraId="6F3CC0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68" w:name="_Toc3661"/>
      <w:bookmarkStart w:id="569" w:name="_Toc22085"/>
      <w:r>
        <w:rPr>
          <w:rFonts w:hint="eastAsia" w:ascii="宋体" w:hAnsi="宋体" w:eastAsia="宋体" w:cs="宋体"/>
          <w:b/>
          <w:bCs/>
          <w:color w:val="auto"/>
          <w:sz w:val="24"/>
          <w:szCs w:val="24"/>
          <w:highlight w:val="none"/>
          <w:lang w:val="en-US" w:eastAsia="zh-CN"/>
        </w:rPr>
        <w:t>4.3  档案管理</w:t>
      </w:r>
      <w:bookmarkEnd w:id="568"/>
      <w:bookmarkEnd w:id="569"/>
    </w:p>
    <w:p w14:paraId="7EEFE829">
      <w:pPr>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4.3.1</w:t>
      </w:r>
      <w:r>
        <w:rPr>
          <w:rFonts w:hint="eastAsia" w:ascii="宋体" w:hAnsi="宋体" w:eastAsia="宋体" w:cs="宋体"/>
          <w:color w:val="auto"/>
          <w:sz w:val="24"/>
          <w:szCs w:val="24"/>
          <w:highlight w:val="none"/>
          <w:lang w:val="en-US" w:eastAsia="zh-CN"/>
        </w:rPr>
        <w:t xml:space="preserve">  档案管理制度</w:t>
      </w:r>
      <w:r>
        <w:rPr>
          <w:rFonts w:hint="eastAsia" w:ascii="宋体" w:hAnsi="宋体" w:cs="宋体"/>
          <w:color w:val="auto"/>
          <w:sz w:val="24"/>
          <w:szCs w:val="24"/>
          <w:highlight w:val="none"/>
          <w:lang w:val="en-US" w:eastAsia="zh-CN"/>
        </w:rPr>
        <w:t>：根据《中华人民共和国档案法》等法律法规，本规定</w:t>
      </w:r>
      <w:r>
        <w:rPr>
          <w:rFonts w:hint="eastAsia" w:ascii="宋体" w:hAnsi="宋体" w:eastAsia="宋体" w:cs="宋体"/>
          <w:color w:val="auto"/>
          <w:sz w:val="24"/>
          <w:szCs w:val="24"/>
          <w:highlight w:val="none"/>
          <w:lang w:val="en-US" w:eastAsia="zh-CN"/>
        </w:rPr>
        <w:t>档案管理制度</w:t>
      </w:r>
      <w:r>
        <w:rPr>
          <w:rFonts w:hint="eastAsia" w:ascii="宋体" w:hAnsi="宋体" w:cs="宋体"/>
          <w:color w:val="auto"/>
          <w:sz w:val="24"/>
          <w:szCs w:val="24"/>
          <w:highlight w:val="none"/>
          <w:lang w:val="en-US" w:eastAsia="zh-CN"/>
        </w:rPr>
        <w:t>是指企业在建设、经营和服务等活动中直接形成的对社会和企业具有保存价值的各种文字、图表、声像等不同形式的历史记录；应当形成档案，开展档案收集、整理、保管、利用及监督管理等活动。</w:t>
      </w:r>
    </w:p>
    <w:p w14:paraId="0F29DBA6">
      <w:pPr>
        <w:pStyle w:val="2"/>
        <w:rPr>
          <w:rFonts w:hint="eastAsia"/>
          <w:highlight w:val="none"/>
          <w:lang w:val="en-US" w:eastAsia="zh-CN"/>
        </w:rPr>
      </w:pPr>
    </w:p>
    <w:p w14:paraId="5434E1CD">
      <w:pPr>
        <w:rPr>
          <w:rFonts w:hint="eastAsia"/>
          <w:highlight w:val="none"/>
          <w:lang w:val="en-US" w:eastAsia="zh-CN"/>
        </w:rPr>
      </w:pPr>
    </w:p>
    <w:p w14:paraId="7CC7FFCC">
      <w:pPr>
        <w:rPr>
          <w:rFonts w:hint="eastAsia"/>
          <w:highlight w:val="none"/>
          <w:lang w:val="en-US" w:eastAsia="zh-CN"/>
        </w:rPr>
      </w:pPr>
    </w:p>
    <w:p w14:paraId="5C04965D">
      <w:pPr>
        <w:rPr>
          <w:rFonts w:hint="eastAsia"/>
          <w:highlight w:val="none"/>
          <w:lang w:val="en-US" w:eastAsia="zh-CN"/>
        </w:rPr>
      </w:pPr>
    </w:p>
    <w:p w14:paraId="5D4B64BD">
      <w:pPr>
        <w:rPr>
          <w:rFonts w:hint="eastAsia"/>
          <w:highlight w:val="none"/>
          <w:lang w:val="en-US" w:eastAsia="zh-CN"/>
        </w:rPr>
      </w:pPr>
    </w:p>
    <w:p w14:paraId="463AD1C0">
      <w:pPr>
        <w:rPr>
          <w:rFonts w:hint="eastAsia"/>
          <w:highlight w:val="none"/>
          <w:lang w:val="en-US" w:eastAsia="zh-CN"/>
        </w:rPr>
      </w:pPr>
    </w:p>
    <w:p w14:paraId="31B728DD">
      <w:pPr>
        <w:rPr>
          <w:rFonts w:hint="eastAsia"/>
          <w:highlight w:val="none"/>
          <w:lang w:val="en-US" w:eastAsia="zh-CN"/>
        </w:rPr>
      </w:pPr>
    </w:p>
    <w:p w14:paraId="26B32A5D">
      <w:pPr>
        <w:rPr>
          <w:rFonts w:hint="eastAsia"/>
          <w:highlight w:val="none"/>
          <w:lang w:val="en-US" w:eastAsia="zh-CN"/>
        </w:rPr>
      </w:pPr>
    </w:p>
    <w:p w14:paraId="537D327D">
      <w:pPr>
        <w:rPr>
          <w:rFonts w:hint="eastAsia"/>
          <w:highlight w:val="none"/>
          <w:lang w:val="en-US" w:eastAsia="zh-CN"/>
        </w:rPr>
      </w:pPr>
    </w:p>
    <w:p w14:paraId="1F4A7B80">
      <w:pPr>
        <w:rPr>
          <w:rFonts w:hint="eastAsia"/>
          <w:highlight w:val="none"/>
          <w:lang w:val="en-US" w:eastAsia="zh-CN"/>
        </w:rPr>
      </w:pPr>
    </w:p>
    <w:p w14:paraId="757E8D9C">
      <w:pPr>
        <w:rPr>
          <w:rFonts w:hint="eastAsia"/>
          <w:highlight w:val="none"/>
          <w:lang w:val="en-US" w:eastAsia="zh-CN"/>
        </w:rPr>
      </w:pPr>
    </w:p>
    <w:p w14:paraId="2F97D98D">
      <w:pPr>
        <w:rPr>
          <w:rFonts w:hint="eastAsia"/>
          <w:highlight w:val="none"/>
          <w:lang w:val="en-US" w:eastAsia="zh-CN"/>
        </w:rPr>
      </w:pPr>
    </w:p>
    <w:p w14:paraId="6380AAF8">
      <w:pPr>
        <w:rPr>
          <w:rFonts w:hint="eastAsia"/>
          <w:highlight w:val="none"/>
          <w:lang w:val="en-US" w:eastAsia="zh-CN"/>
        </w:rPr>
      </w:pPr>
    </w:p>
    <w:p w14:paraId="04636438">
      <w:pPr>
        <w:rPr>
          <w:rFonts w:hint="eastAsia"/>
          <w:highlight w:val="none"/>
          <w:lang w:val="en-US" w:eastAsia="zh-CN"/>
        </w:rPr>
      </w:pPr>
    </w:p>
    <w:p w14:paraId="6DCB3061">
      <w:pPr>
        <w:rPr>
          <w:rFonts w:hint="eastAsia"/>
          <w:highlight w:val="none"/>
          <w:lang w:val="en-US" w:eastAsia="zh-CN"/>
        </w:rPr>
      </w:pPr>
    </w:p>
    <w:p w14:paraId="0FAFF160">
      <w:pPr>
        <w:rPr>
          <w:rFonts w:hint="eastAsia"/>
          <w:highlight w:val="none"/>
          <w:lang w:val="en-US" w:eastAsia="zh-CN"/>
        </w:rPr>
      </w:pPr>
    </w:p>
    <w:p w14:paraId="75215B0A">
      <w:pPr>
        <w:rPr>
          <w:rFonts w:hint="eastAsia"/>
          <w:highlight w:val="none"/>
          <w:lang w:val="en-US" w:eastAsia="zh-CN"/>
        </w:rPr>
      </w:pPr>
    </w:p>
    <w:p w14:paraId="6648B665">
      <w:pPr>
        <w:rPr>
          <w:rFonts w:hint="eastAsia"/>
          <w:highlight w:val="none"/>
          <w:lang w:val="en-US" w:eastAsia="zh-CN"/>
        </w:rPr>
      </w:pPr>
    </w:p>
    <w:p w14:paraId="63AAD9D2">
      <w:pPr>
        <w:rPr>
          <w:rFonts w:hint="eastAsia"/>
          <w:highlight w:val="none"/>
          <w:lang w:val="en-US" w:eastAsia="zh-CN"/>
        </w:rPr>
      </w:pPr>
    </w:p>
    <w:p w14:paraId="0EBDE9EB">
      <w:pPr>
        <w:rPr>
          <w:rFonts w:hint="eastAsia"/>
          <w:highlight w:val="none"/>
          <w:lang w:val="en-US" w:eastAsia="zh-CN"/>
        </w:rPr>
      </w:pPr>
    </w:p>
    <w:p w14:paraId="55FAE081">
      <w:pPr>
        <w:pStyle w:val="4"/>
        <w:bidi w:val="0"/>
        <w:spacing w:line="360" w:lineRule="auto"/>
        <w:jc w:val="center"/>
        <w:rPr>
          <w:rFonts w:hint="eastAsia"/>
          <w:highlight w:val="none"/>
          <w:lang w:val="en-US" w:eastAsia="zh-CN"/>
        </w:rPr>
      </w:pPr>
      <w:bookmarkStart w:id="570" w:name="_Toc3749"/>
      <w:bookmarkStart w:id="571" w:name="_Toc184"/>
      <w:r>
        <w:rPr>
          <w:rFonts w:hint="eastAsia" w:ascii="Times New Roman" w:hAnsi="Times New Roman" w:eastAsia="宋体" w:cs="Times New Roman"/>
          <w:sz w:val="30"/>
          <w:highlight w:val="none"/>
          <w:lang w:val="en-US" w:eastAsia="zh-CN"/>
        </w:rPr>
        <w:t>9 设施设备运行服务</w:t>
      </w:r>
      <w:bookmarkEnd w:id="570"/>
      <w:bookmarkEnd w:id="571"/>
    </w:p>
    <w:p w14:paraId="5E55E2C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72" w:name="_Toc1675"/>
      <w:bookmarkStart w:id="573" w:name="_Toc21237"/>
      <w:r>
        <w:rPr>
          <w:rFonts w:hint="eastAsia" w:ascii="宋体" w:hAnsi="宋体" w:eastAsia="宋体" w:cs="宋体"/>
          <w:b/>
          <w:bCs/>
          <w:color w:val="auto"/>
          <w:sz w:val="24"/>
          <w:szCs w:val="24"/>
          <w:highlight w:val="none"/>
          <w:lang w:val="en-US" w:eastAsia="zh-CN"/>
        </w:rPr>
        <w:t>9.1   供配电系统</w:t>
      </w:r>
      <w:bookmarkEnd w:id="572"/>
      <w:bookmarkEnd w:id="573"/>
    </w:p>
    <w:p w14:paraId="04B13CC9">
      <w:pPr>
        <w:pStyle w:val="2"/>
        <w:spacing w:line="360" w:lineRule="auto"/>
        <w:rPr>
          <w:rFonts w:hint="eastAsia" w:ascii="宋体" w:hAnsi="宋体" w:eastAsia="宋体" w:cs="宋体"/>
          <w:color w:val="auto"/>
          <w:sz w:val="24"/>
          <w:szCs w:val="24"/>
          <w:highlight w:val="none"/>
          <w:lang w:val="en-US" w:eastAsia="zh-CN" w:bidi="ar-SA"/>
        </w:rPr>
      </w:pPr>
      <w:r>
        <w:rPr>
          <w:rFonts w:hint="default" w:ascii="Times New Roman" w:hAnsi="Times New Roman" w:eastAsia="宋体" w:cs="Times New Roman"/>
          <w:b/>
          <w:bCs/>
          <w:i w:val="0"/>
          <w:color w:val="auto"/>
          <w:kern w:val="2"/>
          <w:sz w:val="24"/>
          <w:szCs w:val="24"/>
          <w:highlight w:val="none"/>
          <w:lang w:val="en-US" w:eastAsia="zh-CN" w:bidi="ar-SA"/>
        </w:rPr>
        <w:t>9.1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UPS电源柜是一种专门设计的电源备用设备，一般用于保证临时停电时，建筑物的持续供电的设备。</w:t>
      </w:r>
    </w:p>
    <w:p w14:paraId="14BFBBCA">
      <w:pPr>
        <w:pStyle w:val="2"/>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EPS应急电源是根据消防设施、应急照明、事故照明等一级负荷供电设备需要而组成的电源设备。主要用于建筑物发生火情或其他紧急情况下为应急照明等各种灯具（含单进单出型金属卤素灯、钠灯）提供集中供电的应急电源装置。</w:t>
      </w:r>
    </w:p>
    <w:p w14:paraId="7F3B244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74" w:name="_Toc9777"/>
      <w:bookmarkStart w:id="575" w:name="_Toc18104"/>
      <w:r>
        <w:rPr>
          <w:rFonts w:hint="eastAsia" w:ascii="宋体" w:hAnsi="宋体" w:eastAsia="宋体" w:cs="宋体"/>
          <w:b/>
          <w:bCs/>
          <w:color w:val="auto"/>
          <w:sz w:val="24"/>
          <w:szCs w:val="24"/>
          <w:highlight w:val="none"/>
          <w:lang w:val="en-US" w:eastAsia="zh-CN"/>
        </w:rPr>
        <w:t>9.3  给排水系统</w:t>
      </w:r>
      <w:bookmarkEnd w:id="574"/>
      <w:bookmarkEnd w:id="575"/>
    </w:p>
    <w:p w14:paraId="45B84009">
      <w:pPr>
        <w:spacing w:line="360" w:lineRule="auto"/>
        <w:rPr>
          <w:rFonts w:hint="eastAsia" w:ascii="宋体" w:hAnsi="宋体" w:cs="宋体"/>
          <w:color w:val="auto"/>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9.3.2</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bidi="ar-SA"/>
        </w:rPr>
        <w:t>生活水泵和消毒装置以及设备控制柜等进行定期保养的基础，应当符合下列要求:</w:t>
      </w:r>
    </w:p>
    <w:p w14:paraId="011354C4">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  维修养护内容完备；</w:t>
      </w:r>
    </w:p>
    <w:p w14:paraId="1B1C9509">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  维修养护内容数据详细具体。</w:t>
      </w:r>
    </w:p>
    <w:p w14:paraId="0368EB89">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本条附录所列项目满足第1款要求，为满足第2款要求，服务企业可以根据维修养护实际情况，用本条附件作为汇总表，现场记录可另附详细表格。</w:t>
      </w:r>
    </w:p>
    <w:p w14:paraId="0C1F99DC">
      <w:pPr>
        <w:pStyle w:val="2"/>
        <w:rPr>
          <w:rFonts w:hint="eastAsia"/>
          <w:highlight w:val="none"/>
          <w:lang w:val="en-US" w:eastAsia="zh-CN"/>
        </w:rPr>
      </w:pPr>
    </w:p>
    <w:p w14:paraId="03598746">
      <w:pPr>
        <w:rPr>
          <w:rFonts w:hint="eastAsia"/>
          <w:highlight w:val="none"/>
          <w:lang w:val="en-US" w:eastAsia="zh-CN"/>
        </w:rPr>
      </w:pPr>
    </w:p>
    <w:p w14:paraId="4E40C82D">
      <w:pPr>
        <w:rPr>
          <w:rFonts w:hint="eastAsia"/>
          <w:highlight w:val="none"/>
          <w:lang w:val="en-US" w:eastAsia="zh-CN"/>
        </w:rPr>
      </w:pPr>
    </w:p>
    <w:p w14:paraId="1F2CF509">
      <w:pPr>
        <w:rPr>
          <w:rFonts w:hint="eastAsia"/>
          <w:highlight w:val="none"/>
          <w:lang w:val="en-US" w:eastAsia="zh-CN"/>
        </w:rPr>
      </w:pPr>
    </w:p>
    <w:p w14:paraId="589F5787">
      <w:pPr>
        <w:rPr>
          <w:rFonts w:hint="eastAsia"/>
          <w:highlight w:val="none"/>
          <w:lang w:val="en-US" w:eastAsia="zh-CN"/>
        </w:rPr>
      </w:pPr>
    </w:p>
    <w:p w14:paraId="13D9C4D8">
      <w:pPr>
        <w:rPr>
          <w:rFonts w:hint="eastAsia"/>
          <w:highlight w:val="none"/>
          <w:lang w:val="en-US" w:eastAsia="zh-CN"/>
        </w:rPr>
      </w:pPr>
    </w:p>
    <w:p w14:paraId="43301A60">
      <w:pPr>
        <w:rPr>
          <w:rFonts w:hint="eastAsia"/>
          <w:highlight w:val="none"/>
          <w:lang w:val="en-US" w:eastAsia="zh-CN"/>
        </w:rPr>
      </w:pPr>
    </w:p>
    <w:p w14:paraId="30DBA407">
      <w:pPr>
        <w:rPr>
          <w:rFonts w:hint="eastAsia"/>
          <w:highlight w:val="none"/>
          <w:lang w:val="en-US" w:eastAsia="zh-CN"/>
        </w:rPr>
      </w:pPr>
    </w:p>
    <w:p w14:paraId="0C3A0A2F">
      <w:pPr>
        <w:rPr>
          <w:rFonts w:hint="eastAsia"/>
          <w:highlight w:val="none"/>
          <w:lang w:val="en-US" w:eastAsia="zh-CN"/>
        </w:rPr>
      </w:pPr>
    </w:p>
    <w:p w14:paraId="6194B455">
      <w:pPr>
        <w:rPr>
          <w:rFonts w:hint="eastAsia"/>
          <w:highlight w:val="none"/>
          <w:lang w:val="en-US" w:eastAsia="zh-CN"/>
        </w:rPr>
      </w:pPr>
    </w:p>
    <w:p w14:paraId="0124F109">
      <w:pPr>
        <w:rPr>
          <w:rFonts w:hint="eastAsia"/>
          <w:highlight w:val="none"/>
          <w:lang w:val="en-US" w:eastAsia="zh-CN"/>
        </w:rPr>
      </w:pPr>
    </w:p>
    <w:p w14:paraId="0DB6EF21">
      <w:pPr>
        <w:rPr>
          <w:rFonts w:hint="eastAsia"/>
          <w:highlight w:val="none"/>
          <w:lang w:val="en-US" w:eastAsia="zh-CN"/>
        </w:rPr>
      </w:pPr>
    </w:p>
    <w:p w14:paraId="370B8F83">
      <w:pPr>
        <w:rPr>
          <w:rFonts w:hint="eastAsia"/>
          <w:highlight w:val="none"/>
          <w:lang w:val="en-US" w:eastAsia="zh-CN"/>
        </w:rPr>
      </w:pPr>
    </w:p>
    <w:p w14:paraId="0B6003F9">
      <w:pPr>
        <w:rPr>
          <w:rFonts w:hint="eastAsia"/>
          <w:highlight w:val="none"/>
          <w:lang w:val="en-US" w:eastAsia="zh-CN"/>
        </w:rPr>
      </w:pPr>
    </w:p>
    <w:p w14:paraId="6163C6B2">
      <w:pPr>
        <w:rPr>
          <w:rFonts w:hint="eastAsia"/>
          <w:highlight w:val="none"/>
          <w:lang w:val="en-US" w:eastAsia="zh-CN"/>
        </w:rPr>
      </w:pPr>
    </w:p>
    <w:p w14:paraId="6D44ECED">
      <w:pPr>
        <w:rPr>
          <w:rFonts w:hint="eastAsia"/>
          <w:highlight w:val="none"/>
          <w:lang w:val="en-US" w:eastAsia="zh-CN"/>
        </w:rPr>
      </w:pPr>
    </w:p>
    <w:p w14:paraId="3BE52D33">
      <w:pPr>
        <w:rPr>
          <w:rFonts w:hint="eastAsia"/>
          <w:highlight w:val="none"/>
          <w:lang w:val="en-US" w:eastAsia="zh-CN"/>
        </w:rPr>
      </w:pPr>
    </w:p>
    <w:p w14:paraId="23A7C8E3">
      <w:pPr>
        <w:rPr>
          <w:rFonts w:hint="eastAsia"/>
          <w:highlight w:val="none"/>
          <w:lang w:val="en-US" w:eastAsia="zh-CN"/>
        </w:rPr>
      </w:pPr>
    </w:p>
    <w:p w14:paraId="04E61479">
      <w:pPr>
        <w:rPr>
          <w:rFonts w:hint="eastAsia"/>
          <w:highlight w:val="none"/>
          <w:lang w:val="en-US" w:eastAsia="zh-CN"/>
        </w:rPr>
      </w:pPr>
    </w:p>
    <w:p w14:paraId="4F192742">
      <w:pPr>
        <w:rPr>
          <w:rFonts w:hint="eastAsia"/>
          <w:highlight w:val="none"/>
          <w:lang w:val="en-US" w:eastAsia="zh-CN"/>
        </w:rPr>
      </w:pPr>
    </w:p>
    <w:p w14:paraId="7995D5C7">
      <w:pPr>
        <w:rPr>
          <w:rFonts w:hint="eastAsia"/>
          <w:highlight w:val="none"/>
          <w:lang w:val="en-US" w:eastAsia="zh-CN"/>
        </w:rPr>
      </w:pPr>
    </w:p>
    <w:p w14:paraId="2248EA44">
      <w:pPr>
        <w:pStyle w:val="4"/>
        <w:bidi w:val="0"/>
        <w:spacing w:line="360" w:lineRule="auto"/>
        <w:jc w:val="center"/>
        <w:rPr>
          <w:rFonts w:hint="eastAsia" w:ascii="Times New Roman" w:hAnsi="Times New Roman" w:eastAsia="宋体" w:cs="Times New Roman"/>
          <w:sz w:val="30"/>
          <w:highlight w:val="none"/>
          <w:lang w:val="en-US" w:eastAsia="zh-CN"/>
        </w:rPr>
      </w:pPr>
      <w:bookmarkStart w:id="576" w:name="_Toc15187"/>
      <w:bookmarkStart w:id="577" w:name="_Toc11717"/>
      <w:r>
        <w:rPr>
          <w:rFonts w:hint="eastAsia" w:ascii="Times New Roman" w:hAnsi="Times New Roman" w:eastAsia="宋体" w:cs="Times New Roman"/>
          <w:sz w:val="30"/>
          <w:highlight w:val="none"/>
          <w:lang w:val="en-US" w:eastAsia="zh-CN"/>
        </w:rPr>
        <w:t>10  秩序消防服务</w:t>
      </w:r>
      <w:bookmarkEnd w:id="576"/>
      <w:bookmarkEnd w:id="577"/>
    </w:p>
    <w:p w14:paraId="092CB35D">
      <w:pPr>
        <w:spacing w:line="360" w:lineRule="auto"/>
        <w:rPr>
          <w:rFonts w:hint="eastAsia" w:ascii="宋体" w:hAnsi="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10.5.5</w:t>
      </w:r>
      <w:r>
        <w:rPr>
          <w:rFonts w:hint="eastAsia" w:ascii="宋体" w:hAnsi="宋体" w:eastAsia="宋体" w:cs="宋体"/>
          <w:vanish w:val="0"/>
          <w:color w:val="auto"/>
          <w:sz w:val="24"/>
          <w:szCs w:val="24"/>
          <w:highlight w:val="none"/>
          <w:lang w:val="en-US" w:eastAsia="zh-CN"/>
        </w:rPr>
        <w:t xml:space="preserve">  志愿消防队</w:t>
      </w:r>
      <w:r>
        <w:rPr>
          <w:rFonts w:hint="eastAsia" w:ascii="宋体" w:hAnsi="宋体" w:cs="宋体"/>
          <w:vanish w:val="0"/>
          <w:color w:val="auto"/>
          <w:sz w:val="24"/>
          <w:szCs w:val="24"/>
          <w:highlight w:val="none"/>
          <w:lang w:val="en-US" w:eastAsia="zh-CN"/>
        </w:rPr>
        <w:t>：根据《中华人民共和国消防法》第四十一条　机关、团体、企业、事业等单位以及村民委员会、居民委员会根据需要，建立志愿消防队等多种形式的消防组织，开展群众性自防自救工作。</w:t>
      </w:r>
    </w:p>
    <w:p w14:paraId="39E2C6E8">
      <w:pPr>
        <w:pStyle w:val="2"/>
        <w:rPr>
          <w:rFonts w:hint="eastAsia"/>
          <w:highlight w:val="none"/>
          <w:lang w:val="en-US" w:eastAsia="zh-CN"/>
        </w:rPr>
      </w:pPr>
    </w:p>
    <w:p w14:paraId="7B119571">
      <w:pPr>
        <w:rPr>
          <w:rFonts w:hint="eastAsia"/>
          <w:highlight w:val="none"/>
          <w:lang w:val="en-US" w:eastAsia="zh-CN"/>
        </w:rPr>
      </w:pPr>
    </w:p>
    <w:p w14:paraId="70A3320F">
      <w:pPr>
        <w:rPr>
          <w:rFonts w:hint="eastAsia"/>
          <w:highlight w:val="none"/>
          <w:lang w:val="en-US" w:eastAsia="zh-CN"/>
        </w:rPr>
      </w:pPr>
    </w:p>
    <w:p w14:paraId="4BA37F2E">
      <w:pPr>
        <w:rPr>
          <w:rFonts w:hint="eastAsia"/>
          <w:highlight w:val="none"/>
          <w:lang w:val="en-US" w:eastAsia="zh-CN"/>
        </w:rPr>
      </w:pPr>
    </w:p>
    <w:p w14:paraId="7BF2C8C1">
      <w:pPr>
        <w:rPr>
          <w:rFonts w:hint="eastAsia"/>
          <w:highlight w:val="none"/>
          <w:lang w:val="en-US" w:eastAsia="zh-CN"/>
        </w:rPr>
      </w:pPr>
    </w:p>
    <w:p w14:paraId="3B29E134">
      <w:pPr>
        <w:rPr>
          <w:rFonts w:hint="eastAsia"/>
          <w:highlight w:val="none"/>
          <w:lang w:val="en-US" w:eastAsia="zh-CN"/>
        </w:rPr>
      </w:pPr>
    </w:p>
    <w:p w14:paraId="2E9CB3CE">
      <w:pPr>
        <w:rPr>
          <w:rFonts w:hint="eastAsia"/>
          <w:highlight w:val="none"/>
          <w:lang w:val="en-US" w:eastAsia="zh-CN"/>
        </w:rPr>
      </w:pPr>
    </w:p>
    <w:p w14:paraId="2E1928B8">
      <w:pPr>
        <w:rPr>
          <w:rFonts w:hint="eastAsia"/>
          <w:highlight w:val="none"/>
          <w:lang w:val="en-US" w:eastAsia="zh-CN"/>
        </w:rPr>
      </w:pPr>
    </w:p>
    <w:p w14:paraId="238E27AC">
      <w:pPr>
        <w:rPr>
          <w:rFonts w:hint="eastAsia"/>
          <w:highlight w:val="none"/>
          <w:lang w:val="en-US" w:eastAsia="zh-CN"/>
        </w:rPr>
      </w:pPr>
    </w:p>
    <w:p w14:paraId="4A54E934">
      <w:pPr>
        <w:rPr>
          <w:rFonts w:hint="eastAsia"/>
          <w:highlight w:val="none"/>
          <w:lang w:val="en-US" w:eastAsia="zh-CN"/>
        </w:rPr>
      </w:pPr>
    </w:p>
    <w:p w14:paraId="173CE7D4">
      <w:pPr>
        <w:rPr>
          <w:rFonts w:hint="eastAsia"/>
          <w:highlight w:val="none"/>
          <w:lang w:val="en-US" w:eastAsia="zh-CN"/>
        </w:rPr>
      </w:pPr>
    </w:p>
    <w:p w14:paraId="7827EC91">
      <w:pPr>
        <w:rPr>
          <w:rFonts w:hint="eastAsia"/>
          <w:highlight w:val="none"/>
          <w:lang w:val="en-US" w:eastAsia="zh-CN"/>
        </w:rPr>
      </w:pPr>
    </w:p>
    <w:p w14:paraId="4DEC7588">
      <w:pPr>
        <w:rPr>
          <w:rFonts w:hint="eastAsia"/>
          <w:highlight w:val="none"/>
          <w:lang w:val="en-US" w:eastAsia="zh-CN"/>
        </w:rPr>
      </w:pPr>
    </w:p>
    <w:p w14:paraId="45D2FC1C">
      <w:pPr>
        <w:rPr>
          <w:rFonts w:hint="eastAsia"/>
          <w:highlight w:val="none"/>
          <w:lang w:val="en-US" w:eastAsia="zh-CN"/>
        </w:rPr>
      </w:pPr>
    </w:p>
    <w:p w14:paraId="1A7B56AA">
      <w:pPr>
        <w:rPr>
          <w:rFonts w:hint="eastAsia"/>
          <w:highlight w:val="none"/>
          <w:lang w:val="en-US" w:eastAsia="zh-CN"/>
        </w:rPr>
      </w:pPr>
    </w:p>
    <w:p w14:paraId="01173ABA">
      <w:pPr>
        <w:rPr>
          <w:rFonts w:hint="eastAsia"/>
          <w:highlight w:val="none"/>
          <w:lang w:val="en-US" w:eastAsia="zh-CN"/>
        </w:rPr>
      </w:pPr>
    </w:p>
    <w:p w14:paraId="4CE4C292">
      <w:pPr>
        <w:rPr>
          <w:rFonts w:hint="eastAsia"/>
          <w:highlight w:val="none"/>
          <w:lang w:val="en-US" w:eastAsia="zh-CN"/>
        </w:rPr>
      </w:pPr>
    </w:p>
    <w:p w14:paraId="7BD773F8">
      <w:pPr>
        <w:rPr>
          <w:rFonts w:hint="eastAsia"/>
          <w:highlight w:val="none"/>
          <w:lang w:val="en-US" w:eastAsia="zh-CN"/>
        </w:rPr>
      </w:pPr>
    </w:p>
    <w:p w14:paraId="48401757">
      <w:pPr>
        <w:rPr>
          <w:rFonts w:hint="eastAsia"/>
          <w:highlight w:val="none"/>
          <w:lang w:val="en-US" w:eastAsia="zh-CN"/>
        </w:rPr>
      </w:pPr>
    </w:p>
    <w:p w14:paraId="10C1AA0B">
      <w:pPr>
        <w:rPr>
          <w:rFonts w:hint="eastAsia"/>
          <w:highlight w:val="none"/>
          <w:lang w:val="en-US" w:eastAsia="zh-CN"/>
        </w:rPr>
      </w:pPr>
    </w:p>
    <w:p w14:paraId="429723F3">
      <w:pPr>
        <w:rPr>
          <w:rFonts w:hint="eastAsia"/>
          <w:highlight w:val="none"/>
          <w:lang w:val="en-US" w:eastAsia="zh-CN"/>
        </w:rPr>
      </w:pPr>
    </w:p>
    <w:p w14:paraId="131C1C43">
      <w:pPr>
        <w:rPr>
          <w:rFonts w:hint="eastAsia"/>
          <w:highlight w:val="none"/>
          <w:lang w:val="en-US" w:eastAsia="zh-CN"/>
        </w:rPr>
      </w:pPr>
    </w:p>
    <w:p w14:paraId="360633E7">
      <w:pPr>
        <w:rPr>
          <w:rFonts w:hint="eastAsia"/>
          <w:highlight w:val="none"/>
          <w:lang w:val="en-US" w:eastAsia="zh-CN"/>
        </w:rPr>
      </w:pPr>
    </w:p>
    <w:p w14:paraId="4F02F123">
      <w:pPr>
        <w:rPr>
          <w:rFonts w:hint="eastAsia"/>
          <w:highlight w:val="none"/>
          <w:lang w:val="en-US" w:eastAsia="zh-CN"/>
        </w:rPr>
      </w:pPr>
    </w:p>
    <w:p w14:paraId="134FBD2F">
      <w:pPr>
        <w:rPr>
          <w:rFonts w:hint="eastAsia"/>
          <w:highlight w:val="none"/>
          <w:lang w:val="en-US" w:eastAsia="zh-CN"/>
        </w:rPr>
      </w:pPr>
    </w:p>
    <w:p w14:paraId="14118B49">
      <w:pPr>
        <w:rPr>
          <w:rFonts w:hint="eastAsia"/>
          <w:highlight w:val="none"/>
          <w:lang w:val="en-US" w:eastAsia="zh-CN"/>
        </w:rPr>
      </w:pPr>
    </w:p>
    <w:p w14:paraId="3B41C4D4">
      <w:pPr>
        <w:rPr>
          <w:rFonts w:hint="eastAsia"/>
          <w:highlight w:val="none"/>
          <w:lang w:val="en-US" w:eastAsia="zh-CN"/>
        </w:rPr>
      </w:pPr>
    </w:p>
    <w:p w14:paraId="192388A6">
      <w:pPr>
        <w:rPr>
          <w:rFonts w:hint="eastAsia"/>
          <w:highlight w:val="none"/>
          <w:lang w:val="en-US" w:eastAsia="zh-CN"/>
        </w:rPr>
      </w:pPr>
    </w:p>
    <w:p w14:paraId="31C1CB1B">
      <w:pPr>
        <w:rPr>
          <w:rFonts w:hint="eastAsia"/>
          <w:highlight w:val="none"/>
          <w:lang w:val="en-US" w:eastAsia="zh-CN"/>
        </w:rPr>
      </w:pPr>
    </w:p>
    <w:p w14:paraId="209E1CF9">
      <w:pPr>
        <w:rPr>
          <w:rFonts w:hint="eastAsia"/>
          <w:highlight w:val="none"/>
          <w:lang w:val="en-US" w:eastAsia="zh-CN"/>
        </w:rPr>
      </w:pPr>
    </w:p>
    <w:p w14:paraId="50B49D66">
      <w:pPr>
        <w:rPr>
          <w:rFonts w:hint="eastAsia"/>
          <w:highlight w:val="none"/>
          <w:lang w:val="en-US" w:eastAsia="zh-CN"/>
        </w:rPr>
      </w:pPr>
    </w:p>
    <w:p w14:paraId="150696F3">
      <w:pPr>
        <w:pStyle w:val="4"/>
        <w:bidi w:val="0"/>
        <w:spacing w:line="360" w:lineRule="auto"/>
        <w:jc w:val="center"/>
        <w:rPr>
          <w:rFonts w:hint="eastAsia" w:ascii="Times New Roman" w:hAnsi="Times New Roman" w:eastAsia="宋体" w:cs="Times New Roman"/>
          <w:sz w:val="30"/>
          <w:highlight w:val="none"/>
          <w:lang w:val="en-US" w:eastAsia="zh-CN"/>
        </w:rPr>
      </w:pPr>
      <w:bookmarkStart w:id="578" w:name="_Toc18780"/>
      <w:bookmarkStart w:id="579" w:name="_Toc25678"/>
      <w:r>
        <w:rPr>
          <w:rFonts w:hint="eastAsia" w:ascii="Times New Roman" w:hAnsi="Times New Roman" w:eastAsia="宋体" w:cs="Times New Roman"/>
          <w:sz w:val="30"/>
          <w:highlight w:val="none"/>
          <w:lang w:val="en-US" w:eastAsia="zh-CN"/>
        </w:rPr>
        <w:t>15  公</w:t>
      </w:r>
      <w:r>
        <w:rPr>
          <w:rFonts w:hint="eastAsia" w:cs="Times New Roman"/>
          <w:sz w:val="30"/>
          <w:highlight w:val="none"/>
          <w:lang w:val="en-US" w:eastAsia="zh-CN"/>
        </w:rPr>
        <w:t xml:space="preserve">  </w:t>
      </w:r>
      <w:r>
        <w:rPr>
          <w:rFonts w:hint="eastAsia" w:ascii="Times New Roman" w:hAnsi="Times New Roman" w:eastAsia="宋体" w:cs="Times New Roman"/>
          <w:sz w:val="30"/>
          <w:highlight w:val="none"/>
          <w:lang w:val="en-US" w:eastAsia="zh-CN"/>
        </w:rPr>
        <w:t>寓</w:t>
      </w:r>
      <w:r>
        <w:rPr>
          <w:rFonts w:hint="eastAsia" w:cs="Times New Roman"/>
          <w:sz w:val="30"/>
          <w:highlight w:val="none"/>
          <w:lang w:val="en-US" w:eastAsia="zh-CN"/>
        </w:rPr>
        <w:t xml:space="preserve">  </w:t>
      </w:r>
      <w:r>
        <w:rPr>
          <w:rFonts w:hint="eastAsia" w:ascii="Times New Roman" w:hAnsi="Times New Roman" w:eastAsia="宋体" w:cs="Times New Roman"/>
          <w:sz w:val="30"/>
          <w:highlight w:val="none"/>
          <w:lang w:val="en-US" w:eastAsia="zh-CN"/>
        </w:rPr>
        <w:t>服</w:t>
      </w:r>
      <w:r>
        <w:rPr>
          <w:rFonts w:hint="eastAsia" w:cs="Times New Roman"/>
          <w:sz w:val="30"/>
          <w:highlight w:val="none"/>
          <w:lang w:val="en-US" w:eastAsia="zh-CN"/>
        </w:rPr>
        <w:t xml:space="preserve">  </w:t>
      </w:r>
      <w:r>
        <w:rPr>
          <w:rFonts w:hint="eastAsia" w:ascii="Times New Roman" w:hAnsi="Times New Roman" w:eastAsia="宋体" w:cs="Times New Roman"/>
          <w:sz w:val="30"/>
          <w:highlight w:val="none"/>
          <w:lang w:val="en-US" w:eastAsia="zh-CN"/>
        </w:rPr>
        <w:t>务</w:t>
      </w:r>
      <w:bookmarkEnd w:id="578"/>
      <w:bookmarkEnd w:id="579"/>
    </w:p>
    <w:p w14:paraId="0119C521">
      <w:pPr>
        <w:spacing w:line="360" w:lineRule="auto"/>
        <w:rPr>
          <w:rFonts w:hint="eastAsia" w:ascii="宋体" w:hAnsi="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xml:space="preserve">  布草</w:t>
      </w:r>
      <w:r>
        <w:rPr>
          <w:rFonts w:hint="eastAsia" w:ascii="宋体" w:hAnsi="宋体" w:cs="宋体"/>
          <w:vanish w:val="0"/>
          <w:color w:val="auto"/>
          <w:sz w:val="24"/>
          <w:szCs w:val="24"/>
          <w:highlight w:val="none"/>
          <w:lang w:val="en-US" w:eastAsia="zh-CN"/>
        </w:rPr>
        <w:t>：泛指现代酒店、宾馆和招待所里与“布”有关的一切物品，包括但不限于床上用品如床单、被套、枕套、枕芯、被芯等，酒店卫浴产品如方巾、面巾、浴巾、浴袍等，以及酒店餐厅用纺织品如台布、口布、椅套等。</w:t>
      </w:r>
    </w:p>
    <w:p w14:paraId="15EF9B55">
      <w:pPr>
        <w:pStyle w:val="2"/>
        <w:rPr>
          <w:rFonts w:hint="eastAsia"/>
          <w:highlight w:val="none"/>
          <w:lang w:val="en-US" w:eastAsia="zh-CN"/>
        </w:rPr>
      </w:pPr>
    </w:p>
    <w:p w14:paraId="63A9CEBD">
      <w:pPr>
        <w:rPr>
          <w:rFonts w:hint="eastAsia"/>
          <w:highlight w:val="none"/>
          <w:lang w:val="en-US" w:eastAsia="zh-CN"/>
        </w:rPr>
      </w:pPr>
    </w:p>
    <w:p w14:paraId="270FB815">
      <w:pPr>
        <w:rPr>
          <w:rFonts w:hint="eastAsia"/>
          <w:highlight w:val="none"/>
          <w:lang w:val="en-US" w:eastAsia="zh-CN"/>
        </w:rPr>
      </w:pPr>
    </w:p>
    <w:p w14:paraId="65E216E8">
      <w:pPr>
        <w:rPr>
          <w:rFonts w:hint="eastAsia"/>
          <w:highlight w:val="none"/>
          <w:lang w:val="en-US" w:eastAsia="zh-CN"/>
        </w:rPr>
      </w:pPr>
    </w:p>
    <w:p w14:paraId="508F626D">
      <w:pPr>
        <w:rPr>
          <w:rFonts w:hint="eastAsia"/>
          <w:highlight w:val="none"/>
          <w:lang w:val="en-US" w:eastAsia="zh-CN"/>
        </w:rPr>
      </w:pPr>
    </w:p>
    <w:p w14:paraId="472909CB">
      <w:pPr>
        <w:rPr>
          <w:rFonts w:hint="eastAsia"/>
          <w:highlight w:val="none"/>
          <w:lang w:val="en-US" w:eastAsia="zh-CN"/>
        </w:rPr>
      </w:pPr>
    </w:p>
    <w:p w14:paraId="2BA71728">
      <w:pPr>
        <w:rPr>
          <w:rFonts w:hint="eastAsia"/>
          <w:highlight w:val="none"/>
          <w:lang w:val="en-US" w:eastAsia="zh-CN"/>
        </w:rPr>
      </w:pPr>
    </w:p>
    <w:p w14:paraId="4FC48ABF">
      <w:pPr>
        <w:rPr>
          <w:rFonts w:hint="eastAsia"/>
          <w:highlight w:val="none"/>
          <w:lang w:val="en-US" w:eastAsia="zh-CN"/>
        </w:rPr>
      </w:pPr>
    </w:p>
    <w:p w14:paraId="33A7DE7B">
      <w:pPr>
        <w:rPr>
          <w:rFonts w:hint="eastAsia"/>
          <w:highlight w:val="none"/>
          <w:lang w:val="en-US" w:eastAsia="zh-CN"/>
        </w:rPr>
      </w:pPr>
    </w:p>
    <w:p w14:paraId="41CABBFA">
      <w:pPr>
        <w:rPr>
          <w:rFonts w:hint="eastAsia"/>
          <w:highlight w:val="none"/>
          <w:lang w:val="en-US" w:eastAsia="zh-CN"/>
        </w:rPr>
      </w:pPr>
    </w:p>
    <w:p w14:paraId="1130AC2D">
      <w:pPr>
        <w:rPr>
          <w:rFonts w:hint="eastAsia"/>
          <w:highlight w:val="none"/>
          <w:lang w:val="en-US" w:eastAsia="zh-CN"/>
        </w:rPr>
      </w:pPr>
    </w:p>
    <w:p w14:paraId="3F42D80A">
      <w:pPr>
        <w:rPr>
          <w:rFonts w:hint="eastAsia"/>
          <w:highlight w:val="none"/>
          <w:lang w:val="en-US" w:eastAsia="zh-CN"/>
        </w:rPr>
      </w:pPr>
    </w:p>
    <w:p w14:paraId="1B64F5A4">
      <w:pPr>
        <w:rPr>
          <w:rFonts w:hint="eastAsia"/>
          <w:highlight w:val="none"/>
          <w:lang w:val="en-US" w:eastAsia="zh-CN"/>
        </w:rPr>
      </w:pPr>
    </w:p>
    <w:p w14:paraId="7E546264">
      <w:pPr>
        <w:rPr>
          <w:rFonts w:hint="eastAsia"/>
          <w:highlight w:val="none"/>
          <w:lang w:val="en-US" w:eastAsia="zh-CN"/>
        </w:rPr>
      </w:pPr>
    </w:p>
    <w:p w14:paraId="74AC9A51">
      <w:pPr>
        <w:rPr>
          <w:rFonts w:hint="eastAsia"/>
          <w:highlight w:val="none"/>
          <w:lang w:val="en-US" w:eastAsia="zh-CN"/>
        </w:rPr>
      </w:pPr>
    </w:p>
    <w:p w14:paraId="1AB2231D">
      <w:pPr>
        <w:rPr>
          <w:rFonts w:hint="eastAsia"/>
          <w:highlight w:val="none"/>
          <w:lang w:val="en-US" w:eastAsia="zh-CN"/>
        </w:rPr>
      </w:pPr>
    </w:p>
    <w:p w14:paraId="257F4AA9">
      <w:pPr>
        <w:rPr>
          <w:rFonts w:hint="eastAsia"/>
          <w:highlight w:val="none"/>
          <w:lang w:val="en-US" w:eastAsia="zh-CN"/>
        </w:rPr>
      </w:pPr>
    </w:p>
    <w:p w14:paraId="544ED0AC">
      <w:pPr>
        <w:rPr>
          <w:rFonts w:hint="eastAsia"/>
          <w:highlight w:val="none"/>
          <w:lang w:val="en-US" w:eastAsia="zh-CN"/>
        </w:rPr>
      </w:pPr>
    </w:p>
    <w:p w14:paraId="5A1DA277">
      <w:pPr>
        <w:rPr>
          <w:rFonts w:hint="eastAsia"/>
          <w:highlight w:val="none"/>
          <w:lang w:val="en-US" w:eastAsia="zh-CN"/>
        </w:rPr>
      </w:pPr>
    </w:p>
    <w:p w14:paraId="657E1F93">
      <w:pPr>
        <w:rPr>
          <w:rFonts w:hint="eastAsia"/>
          <w:highlight w:val="none"/>
          <w:lang w:val="en-US" w:eastAsia="zh-CN"/>
        </w:rPr>
      </w:pPr>
    </w:p>
    <w:p w14:paraId="0057044A">
      <w:pPr>
        <w:rPr>
          <w:rFonts w:hint="eastAsia"/>
          <w:highlight w:val="none"/>
          <w:lang w:val="en-US" w:eastAsia="zh-CN"/>
        </w:rPr>
      </w:pPr>
    </w:p>
    <w:p w14:paraId="46B2FB2E">
      <w:pPr>
        <w:rPr>
          <w:rFonts w:hint="eastAsia"/>
          <w:highlight w:val="none"/>
          <w:lang w:val="en-US" w:eastAsia="zh-CN"/>
        </w:rPr>
      </w:pPr>
    </w:p>
    <w:p w14:paraId="1D8DE518">
      <w:pPr>
        <w:rPr>
          <w:rFonts w:hint="eastAsia"/>
          <w:highlight w:val="none"/>
          <w:lang w:val="en-US" w:eastAsia="zh-CN"/>
        </w:rPr>
      </w:pPr>
    </w:p>
    <w:p w14:paraId="74766F7D">
      <w:pPr>
        <w:rPr>
          <w:rFonts w:hint="eastAsia"/>
          <w:highlight w:val="none"/>
          <w:lang w:val="en-US" w:eastAsia="zh-CN"/>
        </w:rPr>
      </w:pPr>
    </w:p>
    <w:p w14:paraId="530A8178">
      <w:pPr>
        <w:rPr>
          <w:rFonts w:hint="eastAsia"/>
          <w:highlight w:val="none"/>
          <w:lang w:val="en-US" w:eastAsia="zh-CN"/>
        </w:rPr>
      </w:pPr>
    </w:p>
    <w:p w14:paraId="01E267A3">
      <w:pPr>
        <w:rPr>
          <w:rFonts w:hint="eastAsia"/>
          <w:highlight w:val="none"/>
          <w:lang w:val="en-US" w:eastAsia="zh-CN"/>
        </w:rPr>
      </w:pPr>
    </w:p>
    <w:p w14:paraId="36E5A5D7">
      <w:pPr>
        <w:rPr>
          <w:rFonts w:hint="eastAsia"/>
          <w:highlight w:val="none"/>
          <w:lang w:val="en-US" w:eastAsia="zh-CN"/>
        </w:rPr>
      </w:pPr>
    </w:p>
    <w:p w14:paraId="02F2F8FB">
      <w:pPr>
        <w:rPr>
          <w:rFonts w:hint="eastAsia"/>
          <w:highlight w:val="none"/>
          <w:lang w:val="en-US" w:eastAsia="zh-CN"/>
        </w:rPr>
      </w:pPr>
    </w:p>
    <w:p w14:paraId="006B5B08">
      <w:pPr>
        <w:rPr>
          <w:rFonts w:hint="eastAsia"/>
          <w:highlight w:val="none"/>
          <w:lang w:val="en-US" w:eastAsia="zh-CN"/>
        </w:rPr>
      </w:pPr>
    </w:p>
    <w:p w14:paraId="5D98B316">
      <w:pPr>
        <w:rPr>
          <w:rFonts w:hint="eastAsia"/>
          <w:highlight w:val="none"/>
          <w:lang w:val="en-US" w:eastAsia="zh-CN"/>
        </w:rPr>
      </w:pPr>
    </w:p>
    <w:p w14:paraId="26C87723">
      <w:pPr>
        <w:rPr>
          <w:rFonts w:hint="eastAsia"/>
          <w:highlight w:val="none"/>
          <w:lang w:val="en-US" w:eastAsia="zh-CN"/>
        </w:rPr>
      </w:pPr>
    </w:p>
    <w:p w14:paraId="07D8E333">
      <w:pPr>
        <w:pStyle w:val="4"/>
        <w:bidi w:val="0"/>
        <w:spacing w:line="360" w:lineRule="auto"/>
        <w:jc w:val="center"/>
        <w:rPr>
          <w:rFonts w:hint="default"/>
          <w:highlight w:val="none"/>
          <w:lang w:val="en-US" w:eastAsia="zh-CN"/>
        </w:rPr>
      </w:pPr>
      <w:bookmarkStart w:id="580" w:name="_Toc2342"/>
      <w:bookmarkStart w:id="581" w:name="_Toc5719"/>
      <w:r>
        <w:rPr>
          <w:rFonts w:hint="eastAsia" w:ascii="Times New Roman" w:hAnsi="Times New Roman" w:eastAsia="宋体" w:cs="Times New Roman"/>
          <w:sz w:val="30"/>
          <w:highlight w:val="none"/>
          <w:lang w:val="en-US" w:eastAsia="zh-CN"/>
        </w:rPr>
        <w:t>17  智  慧  物  业</w:t>
      </w:r>
      <w:bookmarkEnd w:id="580"/>
      <w:bookmarkEnd w:id="581"/>
    </w:p>
    <w:p w14:paraId="18293878">
      <w:pPr>
        <w:pStyle w:val="2"/>
        <w:spacing w:line="360" w:lineRule="auto"/>
        <w:rPr>
          <w:rFonts w:hint="default"/>
          <w:sz w:val="24"/>
          <w:szCs w:val="24"/>
          <w:highlight w:val="none"/>
          <w:lang w:val="en-US" w:eastAsia="zh-CN"/>
        </w:rPr>
      </w:pPr>
      <w:r>
        <w:rPr>
          <w:rFonts w:hint="default" w:ascii="Times New Roman" w:hAnsi="Times New Roman" w:eastAsia="宋体" w:cs="Times New Roman"/>
          <w:b/>
          <w:bCs/>
          <w:vanish w:val="0"/>
          <w:color w:val="auto"/>
          <w:kern w:val="2"/>
          <w:sz w:val="24"/>
          <w:szCs w:val="24"/>
          <w:highlight w:val="none"/>
          <w:lang w:val="en-US" w:eastAsia="zh-CN" w:bidi="ar-SA"/>
        </w:rPr>
        <w:t>17.0.1</w:t>
      </w:r>
      <w:r>
        <w:rPr>
          <w:rFonts w:hint="eastAsia"/>
          <w:sz w:val="24"/>
          <w:szCs w:val="24"/>
          <w:highlight w:val="none"/>
          <w:lang w:val="en-US" w:eastAsia="zh-CN"/>
        </w:rPr>
        <w:t xml:space="preserve">  </w:t>
      </w:r>
      <w:r>
        <w:rPr>
          <w:rFonts w:hint="default"/>
          <w:sz w:val="24"/>
          <w:szCs w:val="24"/>
          <w:highlight w:val="none"/>
          <w:lang w:val="en-US" w:eastAsia="zh-CN"/>
        </w:rPr>
        <w:t>随着科技的快速发展，物联网、大数据和人工智能等前沿技术已广泛应用于各行各业，为提升服务效率和管理水平带来了显著效果。在物业管理领域，如何有效利用这些技术，构建智能化物业管理服务平台，已成为当前行业发展的重要趋势。通过智能化手段，实现物业管理的自动化、智能化，减少人力成本，提高管理效率。借助大数据和人工智能技术，对物业服务进行精准分析，为业主提供更加个性化、贴心的服务。利用物联网技术，对物业区域内的安全设施进行实时监控，确保物业环境的安全稳定。</w:t>
      </w:r>
    </w:p>
    <w:p w14:paraId="23F37D64">
      <w:pPr>
        <w:pStyle w:val="2"/>
        <w:rPr>
          <w:rFonts w:hint="default"/>
          <w:highlight w:val="none"/>
          <w:lang w:val="en-US"/>
        </w:rPr>
      </w:pPr>
    </w:p>
    <w:p w14:paraId="6960577E">
      <w:pPr>
        <w:pStyle w:val="18"/>
        <w:rPr>
          <w:rFonts w:hint="default"/>
          <w:color w:val="auto"/>
          <w:highlight w:val="none"/>
          <w:lang w:val="en-US" w:eastAsia="zh-CN"/>
        </w:rPr>
      </w:pPr>
    </w:p>
    <w:sectPr>
      <w:headerReference r:id="rId13" w:type="default"/>
      <w:footerReference r:id="rId15" w:type="default"/>
      <w:headerReference r:id="rId14" w:type="even"/>
      <w:footerReference r:id="rId16" w:type="even"/>
      <w:pgSz w:w="11907" w:h="16839"/>
      <w:pgMar w:top="1418" w:right="1134" w:bottom="1134" w:left="1418" w:header="1418" w:footer="113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7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5114">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0EC94">
                          <w:pPr>
                            <w:pStyle w:val="2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14:paraId="0080EC94">
                    <w:pPr>
                      <w:pStyle w:val="2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DBE8">
    <w:pPr>
      <w:pStyle w:val="56"/>
      <w:rPr>
        <w:rStyle w:val="4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EBF3CD">
                          <w:pPr>
                            <w:pStyle w:val="2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beEs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xt4SyQEAAJoDAAAOAAAAAAAAAAEAIAAAAB4BAABkcnMvZTJvRG9j&#10;LnhtbFBLBQYAAAAABgAGAFkBAABZBQAAAAA=&#10;">
              <v:fill on="f" focussize="0,0"/>
              <v:stroke on="f"/>
              <v:imagedata o:title=""/>
              <o:lock v:ext="edit" aspectratio="f"/>
              <v:textbox inset="0mm,0mm,0mm,0mm" style="mso-fit-shape-to-text:t;">
                <w:txbxContent>
                  <w:p w14:paraId="5EEBF3CD">
                    <w:pPr>
                      <w:pStyle w:val="28"/>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7033">
    <w:pPr>
      <w:pStyle w:val="28"/>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140FB">
                          <w:pPr>
                            <w:pStyle w:val="28"/>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wdusk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B26yQEAAJoDAAAOAAAAAAAAAAEAIAAAAB4BAABkcnMvZTJvRG9j&#10;LnhtbFBLBQYAAAAABgAGAFkBAABZBQAAAAA=&#10;">
              <v:fill on="f" focussize="0,0"/>
              <v:stroke on="f"/>
              <v:imagedata o:title=""/>
              <o:lock v:ext="edit" aspectratio="f"/>
              <v:textbox inset="0mm,0mm,0mm,0mm" style="mso-fit-shape-to-text:t;">
                <w:txbxContent>
                  <w:p w14:paraId="12D140FB">
                    <w:pPr>
                      <w:pStyle w:val="28"/>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32B4">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049F3">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6049F3">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3422">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308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30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3AC33">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3pt;width:144pt;mso-position-horizontal:outside;mso-position-horizontal-relative:margin;mso-wrap-style:none;z-index:251666432;mso-width-relative:page;mso-height-relative:page;" filled="f" stroked="f" coordsize="21600,21600" o:gfxdata="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dTqR50wAAAAQBAAAPAAAAAAAAAAEAIAAAACIAAABkcnMvZG93bnJldi54bWxQ&#10;SwECFAAUAAAACACHTuJAElMLfDUCAABgBAAADgAAAAAAAAABACAAAAAiAQAAZHJzL2Uyb0RvYy54&#10;bWxQSwUGAAAAAAYABgBZAQAAyQUAAAAA&#10;">
              <v:fill on="f" focussize="0,0"/>
              <v:stroke on="f" weight="0.5pt"/>
              <v:imagedata o:title=""/>
              <o:lock v:ext="edit" aspectratio="f"/>
              <v:textbox inset="0mm,0mm,0mm,0mm">
                <w:txbxContent>
                  <w:p w14:paraId="38E3AC33">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728A">
    <w:pPr>
      <w:pStyle w:val="28"/>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536AE">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8536AE">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BD66">
    <w:pPr>
      <w:pStyle w:val="28"/>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308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30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A5A96">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3pt;width:144pt;mso-position-horizontal:outside;mso-position-horizontal-relative:margin;mso-wrap-style:none;z-index:251671552;mso-width-relative:page;mso-height-relative:page;" filled="f" stroked="f" coordsize="21600,21600" o:gfxdata="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U6kedMAAAAEAQAADwAAAAAAAAABACAAAAAiAAAAZHJzL2Rvd25yZXYueG1sUEsB&#10;AhQAFAAAAAgAh07iQIAlcsIzAgAAYgQAAA4AAAAAAAAAAQAgAAAAIgEAAGRycy9lMm9Eb2MueG1s&#10;UEsFBgAAAAAGAAYAWQEAAMcFAAAAAA==&#10;">
              <v:fill on="f" focussize="0,0"/>
              <v:stroke on="f" weight="0.5pt"/>
              <v:imagedata o:title=""/>
              <o:lock v:ext="edit" aspectratio="f"/>
              <v:textbox inset="0mm,0mm,0mm,0mm">
                <w:txbxContent>
                  <w:p w14:paraId="41DA5A96">
                    <w:pPr>
                      <w:pStyle w:val="28"/>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D4B6">
    <w:pPr>
      <w:pStyle w:val="56"/>
      <w:rPr>
        <w:rStyle w:val="4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7229D">
                          <w:pPr>
                            <w:pStyle w:val="2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D7229D">
                    <w:pPr>
                      <w:pStyle w:val="2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A725">
    <w:pPr>
      <w:pStyle w:val="28"/>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273A2">
                          <w:pPr>
                            <w:pStyle w:val="28"/>
                          </w:pPr>
                          <w:r>
                            <w:fldChar w:fldCharType="begin"/>
                          </w:r>
                          <w:r>
                            <w:instrText xml:space="preserve"> PAGE  \* MERGEFORMAT </w:instrText>
                          </w:r>
                          <w:r>
                            <w:fldChar w:fldCharType="separate"/>
                          </w:r>
                          <w:r>
                            <w:t>LVI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4273A2">
                    <w:pPr>
                      <w:pStyle w:val="28"/>
                    </w:pPr>
                    <w:r>
                      <w:fldChar w:fldCharType="begin"/>
                    </w:r>
                    <w:r>
                      <w:instrText xml:space="preserve"> PAGE  \* MERGEFORMAT </w:instrText>
                    </w:r>
                    <w:r>
                      <w:fldChar w:fldCharType="separate"/>
                    </w:r>
                    <w:r>
                      <w:t>LVI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BA9F">
    <w:pPr>
      <w:jc w:val="right"/>
      <w:rPr>
        <w:rFonts w:hint="default" w:ascii="黑体" w:eastAsia="黑体"/>
        <w:spacing w:val="1"/>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E054">
    <w:pPr>
      <w:pStyle w:val="29"/>
      <w:pBdr>
        <w:bottom w:val="none" w:color="auto" w:sz="0" w:space="0"/>
      </w:pBdr>
      <w:jc w:val="left"/>
      <w:rPr>
        <w:rFonts w:hint="eastAsia" w:ascii="黑体" w:eastAsia="黑体"/>
        <w:color w:val="000000"/>
        <w:spacing w:val="1"/>
        <w:kern w:val="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96D8">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B5A9">
    <w:pPr>
      <w:pBdr>
        <w:bottom w:val="none" w:color="auto" w:sz="0" w:space="0"/>
      </w:pBdr>
      <w:jc w:val="right"/>
      <w:rPr>
        <w:rFonts w:hint="eastAsia" w:ascii="黑体" w:eastAsia="黑体"/>
        <w:color w:val="000000"/>
        <w:spacing w:val="1"/>
        <w:kern w:val="0"/>
        <w:sz w:val="21"/>
        <w:szCs w:val="21"/>
        <w:highlight w:val="yell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982E">
    <w:pPr>
      <w:pStyle w:val="29"/>
      <w:pBdr>
        <w:bottom w:val="none" w:color="auto" w:sz="0" w:space="0"/>
      </w:pBdr>
      <w:jc w:val="left"/>
      <w:rPr>
        <w:rFonts w:hint="eastAsia" w:ascii="黑体" w:eastAsia="黑体"/>
        <w:color w:val="000000"/>
        <w:spacing w:val="1"/>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tentative="0">
      <w:start w:val="1"/>
      <w:numFmt w:val="none"/>
      <w:pStyle w:val="94"/>
      <w:lvlText w:val=""/>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lowerLetter"/>
      <w:pStyle w:val="1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14"/>
    <w:multiLevelType w:val="multilevel"/>
    <w:tmpl w:val="00000014"/>
    <w:lvl w:ilvl="0" w:tentative="0">
      <w:start w:val="1"/>
      <w:numFmt w:val="none"/>
      <w:pStyle w:val="111"/>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none"/>
      <w:pStyle w:val="87"/>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none"/>
      <w:pStyle w:val="113"/>
      <w:lvlText w:val=""/>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9"/>
    <w:multiLevelType w:val="multilevel"/>
    <w:tmpl w:val="00000019"/>
    <w:lvl w:ilvl="0" w:tentative="0">
      <w:start w:val="1"/>
      <w:numFmt w:val="none"/>
      <w:pStyle w:val="115"/>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A"/>
    <w:multiLevelType w:val="multilevel"/>
    <w:tmpl w:val="0000001A"/>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D"/>
    <w:multiLevelType w:val="multilevel"/>
    <w:tmpl w:val="0000001D"/>
    <w:lvl w:ilvl="0" w:tentative="0">
      <w:start w:val="1"/>
      <w:numFmt w:val="none"/>
      <w:pStyle w:val="125"/>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F"/>
    <w:multiLevelType w:val="multilevel"/>
    <w:tmpl w:val="0000001F"/>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20"/>
    <w:multiLevelType w:val="multilevel"/>
    <w:tmpl w:val="00000020"/>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96"/>
      <w:suff w:val="nothing"/>
      <w:lvlText w:val="%1.%2　"/>
      <w:lvlJc w:val="left"/>
      <w:pPr>
        <w:ind w:left="315"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multilevel"/>
    <w:tmpl w:val="00000021"/>
    <w:lvl w:ilvl="0" w:tentative="0">
      <w:start w:val="1"/>
      <w:numFmt w:val="none"/>
      <w:pStyle w:val="58"/>
      <w:suff w:val="nothing"/>
      <w:lvlText w:val=""/>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1575" w:firstLine="0"/>
      </w:pPr>
      <w:rPr>
        <w:rFonts w:hint="eastAsia" w:ascii="宋体" w:hAnsi="宋体" w:eastAsia="宋体"/>
        <w:b w:val="0"/>
        <w:i w:val="0"/>
        <w:color w:val="000000"/>
        <w:sz w:val="21"/>
      </w:rPr>
    </w:lvl>
    <w:lvl w:ilvl="3" w:tentative="0">
      <w:start w:val="1"/>
      <w:numFmt w:val="decimal"/>
      <w:pStyle w:val="78"/>
      <w:suff w:val="nothing"/>
      <w:lvlText w:val="%1%2.%3.%4　"/>
      <w:lvlJc w:val="left"/>
      <w:pPr>
        <w:ind w:left="735" w:firstLine="0"/>
      </w:pPr>
      <w:rPr>
        <w:rFonts w:hint="eastAsia" w:ascii="黑体" w:hAnsi="Times New Roman" w:eastAsia="黑体"/>
        <w:b w:val="0"/>
        <w:i w:val="0"/>
        <w:sz w:val="21"/>
      </w:rPr>
    </w:lvl>
    <w:lvl w:ilvl="4" w:tentative="0">
      <w:start w:val="1"/>
      <w:numFmt w:val="decimal"/>
      <w:pStyle w:val="68"/>
      <w:suff w:val="nothing"/>
      <w:lvlText w:val="%1%2.%3.%4.%5　"/>
      <w:lvlJc w:val="left"/>
      <w:pPr>
        <w:ind w:left="105"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2"/>
    <w:multiLevelType w:val="multilevel"/>
    <w:tmpl w:val="00000022"/>
    <w:lvl w:ilvl="0" w:tentative="0">
      <w:start w:val="1"/>
      <w:numFmt w:val="none"/>
      <w:pStyle w:val="112"/>
      <w:lvlText w:val=""/>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4"/>
    <w:multiLevelType w:val="multilevel"/>
    <w:tmpl w:val="00000024"/>
    <w:lvl w:ilvl="0" w:tentative="0">
      <w:start w:val="1"/>
      <w:numFmt w:val="none"/>
      <w:pStyle w:val="86"/>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C541AEA"/>
    <w:multiLevelType w:val="multilevel"/>
    <w:tmpl w:val="0C541AEA"/>
    <w:lvl w:ilvl="0" w:tentative="0">
      <w:start w:val="1"/>
      <w:numFmt w:val="decimal"/>
      <w:suff w:val="space"/>
      <w:lvlText w:val="%1"/>
      <w:lvlJc w:val="left"/>
      <w:pPr>
        <w:ind w:left="0" w:firstLine="0"/>
      </w:pPr>
      <w:rPr>
        <w:rFonts w:hint="eastAsia"/>
        <w:lang w:bidi="zh-CN"/>
      </w:rPr>
    </w:lvl>
    <w:lvl w:ilvl="1" w:tentative="0">
      <w:start w:val="0"/>
      <w:numFmt w:val="decimal"/>
      <w:suff w:val="space"/>
      <w:lvlText w:val="%1.%2"/>
      <w:lvlJc w:val="left"/>
      <w:pPr>
        <w:ind w:left="0" w:firstLine="0"/>
      </w:pPr>
      <w:rPr>
        <w:rFonts w:hint="eastAsia"/>
      </w:rPr>
    </w:lvl>
    <w:lvl w:ilvl="2" w:tentative="0">
      <w:start w:val="1"/>
      <w:numFmt w:val="decimal"/>
      <w:pStyle w:val="129"/>
      <w:suff w:val="space"/>
      <w:lvlText w:val="%1.%2.%3"/>
      <w:lvlJc w:val="left"/>
      <w:pPr>
        <w:ind w:left="568" w:firstLine="0"/>
      </w:pPr>
      <w:rPr>
        <w:rFonts w:hint="default" w:ascii="Times New Roman" w:hAnsi="Times New Roman"/>
        <w:b/>
        <w:i w:val="0"/>
      </w:rPr>
    </w:lvl>
    <w:lvl w:ilvl="3" w:tentative="0">
      <w:start w:val="1"/>
      <w:numFmt w:val="decimal"/>
      <w:suff w:val="space"/>
      <w:lvlText w:val="%1.%2.%3.%4"/>
      <w:lvlJc w:val="left"/>
      <w:pPr>
        <w:ind w:left="0" w:firstLine="0"/>
      </w:pPr>
      <w:rPr>
        <w:rFonts w:hint="eastAsia"/>
      </w:rPr>
    </w:lvl>
    <w:lvl w:ilvl="4" w:tentative="0">
      <w:start w:val="1"/>
      <w:numFmt w:val="none"/>
      <w:lvlRestart w:val="0"/>
      <w:suff w:val="space"/>
      <w:lvlText w:val="表%1.%2.%3"/>
      <w:lvlJc w:val="center"/>
      <w:pPr>
        <w:ind w:left="0" w:firstLine="288"/>
      </w:pPr>
      <w:rPr>
        <w:rFonts w:hint="eastAsia"/>
        <w:lang w:val="en-US"/>
      </w:rPr>
    </w:lvl>
    <w:lvl w:ilvl="5" w:tentative="0">
      <w:start w:val="1"/>
      <w:numFmt w:val="none"/>
      <w:lvlRestart w:val="0"/>
      <w:suff w:val="space"/>
      <w:lvlText w:val="图%1.%2.%3"/>
      <w:lvlJc w:val="center"/>
      <w:pPr>
        <w:ind w:left="0" w:firstLine="288"/>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1"/>
  </w:num>
  <w:num w:numId="2">
    <w:abstractNumId w:val="0"/>
  </w:num>
  <w:num w:numId="3">
    <w:abstractNumId w:val="13"/>
  </w:num>
  <w:num w:numId="4">
    <w:abstractNumId w:val="4"/>
  </w:num>
  <w:num w:numId="5">
    <w:abstractNumId w:val="10"/>
  </w:num>
  <w:num w:numId="6">
    <w:abstractNumId w:val="9"/>
  </w:num>
  <w:num w:numId="7">
    <w:abstractNumId w:val="1"/>
  </w:num>
  <w:num w:numId="8">
    <w:abstractNumId w:val="7"/>
  </w:num>
  <w:num w:numId="9">
    <w:abstractNumId w:val="3"/>
  </w:num>
  <w:num w:numId="10">
    <w:abstractNumId w:val="12"/>
  </w:num>
  <w:num w:numId="11">
    <w:abstractNumId w:val="5"/>
  </w:num>
  <w:num w:numId="12">
    <w:abstractNumId w:val="6"/>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OWY1YmU2ZGY4ZTQ1MjZmZDU1NmQ5NzNjMDQ0Y2IifQ=="/>
    <w:docVar w:name="KSO_WPS_MARK_KEY" w:val="300eb0b5-d5bb-4804-b563-02d46b55dd06"/>
  </w:docVars>
  <w:rsids>
    <w:rsidRoot w:val="00172A27"/>
    <w:rsid w:val="00001725"/>
    <w:rsid w:val="0000214A"/>
    <w:rsid w:val="00002C4F"/>
    <w:rsid w:val="00003BE2"/>
    <w:rsid w:val="00003F9F"/>
    <w:rsid w:val="0000418B"/>
    <w:rsid w:val="0000490D"/>
    <w:rsid w:val="00005E3A"/>
    <w:rsid w:val="00005E79"/>
    <w:rsid w:val="00006259"/>
    <w:rsid w:val="00006309"/>
    <w:rsid w:val="00007412"/>
    <w:rsid w:val="00010D34"/>
    <w:rsid w:val="0001167D"/>
    <w:rsid w:val="00011736"/>
    <w:rsid w:val="0001198C"/>
    <w:rsid w:val="00012C1F"/>
    <w:rsid w:val="00013580"/>
    <w:rsid w:val="0001384C"/>
    <w:rsid w:val="00015A2D"/>
    <w:rsid w:val="00015A3A"/>
    <w:rsid w:val="000168B6"/>
    <w:rsid w:val="00016CE2"/>
    <w:rsid w:val="00016D56"/>
    <w:rsid w:val="0001745F"/>
    <w:rsid w:val="00017B86"/>
    <w:rsid w:val="000206E1"/>
    <w:rsid w:val="00021205"/>
    <w:rsid w:val="000213D4"/>
    <w:rsid w:val="00021C44"/>
    <w:rsid w:val="00022164"/>
    <w:rsid w:val="00023106"/>
    <w:rsid w:val="000234DF"/>
    <w:rsid w:val="000244D4"/>
    <w:rsid w:val="00024D50"/>
    <w:rsid w:val="00025815"/>
    <w:rsid w:val="00025B87"/>
    <w:rsid w:val="00026BAB"/>
    <w:rsid w:val="00027D87"/>
    <w:rsid w:val="00030516"/>
    <w:rsid w:val="0003062B"/>
    <w:rsid w:val="00030675"/>
    <w:rsid w:val="00032164"/>
    <w:rsid w:val="000328F3"/>
    <w:rsid w:val="00033235"/>
    <w:rsid w:val="00034326"/>
    <w:rsid w:val="00034B80"/>
    <w:rsid w:val="000355A3"/>
    <w:rsid w:val="00035912"/>
    <w:rsid w:val="00035C60"/>
    <w:rsid w:val="00035DD9"/>
    <w:rsid w:val="00035E5E"/>
    <w:rsid w:val="00036BC8"/>
    <w:rsid w:val="000371EF"/>
    <w:rsid w:val="000372D6"/>
    <w:rsid w:val="000377C5"/>
    <w:rsid w:val="0003797D"/>
    <w:rsid w:val="00037EDF"/>
    <w:rsid w:val="00040458"/>
    <w:rsid w:val="000406A8"/>
    <w:rsid w:val="00041076"/>
    <w:rsid w:val="000418B8"/>
    <w:rsid w:val="00041933"/>
    <w:rsid w:val="000426E9"/>
    <w:rsid w:val="00042B39"/>
    <w:rsid w:val="00042D68"/>
    <w:rsid w:val="00043D01"/>
    <w:rsid w:val="00043E63"/>
    <w:rsid w:val="000442C8"/>
    <w:rsid w:val="00044B2E"/>
    <w:rsid w:val="00044EED"/>
    <w:rsid w:val="00045024"/>
    <w:rsid w:val="00045292"/>
    <w:rsid w:val="00045FFF"/>
    <w:rsid w:val="00046249"/>
    <w:rsid w:val="00047CB0"/>
    <w:rsid w:val="0005000F"/>
    <w:rsid w:val="00050093"/>
    <w:rsid w:val="0005069A"/>
    <w:rsid w:val="00050A6E"/>
    <w:rsid w:val="00050C83"/>
    <w:rsid w:val="00050CDB"/>
    <w:rsid w:val="00051F19"/>
    <w:rsid w:val="0005222D"/>
    <w:rsid w:val="00052C37"/>
    <w:rsid w:val="0005345A"/>
    <w:rsid w:val="0005347F"/>
    <w:rsid w:val="00054550"/>
    <w:rsid w:val="00054882"/>
    <w:rsid w:val="00054930"/>
    <w:rsid w:val="000557BF"/>
    <w:rsid w:val="0005582D"/>
    <w:rsid w:val="000559D8"/>
    <w:rsid w:val="00055D0C"/>
    <w:rsid w:val="00056A02"/>
    <w:rsid w:val="00060342"/>
    <w:rsid w:val="000609EA"/>
    <w:rsid w:val="00060DC6"/>
    <w:rsid w:val="000613BE"/>
    <w:rsid w:val="00061EF3"/>
    <w:rsid w:val="00062ABD"/>
    <w:rsid w:val="00062B14"/>
    <w:rsid w:val="000635DC"/>
    <w:rsid w:val="000642A0"/>
    <w:rsid w:val="00065062"/>
    <w:rsid w:val="00065A0F"/>
    <w:rsid w:val="00065C68"/>
    <w:rsid w:val="0006719C"/>
    <w:rsid w:val="00067600"/>
    <w:rsid w:val="000679E5"/>
    <w:rsid w:val="00070FFC"/>
    <w:rsid w:val="000710A7"/>
    <w:rsid w:val="000712C3"/>
    <w:rsid w:val="000717BB"/>
    <w:rsid w:val="0007181C"/>
    <w:rsid w:val="0007440D"/>
    <w:rsid w:val="000746CD"/>
    <w:rsid w:val="00074A8D"/>
    <w:rsid w:val="00074AE0"/>
    <w:rsid w:val="00074D51"/>
    <w:rsid w:val="000751F7"/>
    <w:rsid w:val="00075CA7"/>
    <w:rsid w:val="000762B4"/>
    <w:rsid w:val="000765F6"/>
    <w:rsid w:val="00076A8C"/>
    <w:rsid w:val="00076FCD"/>
    <w:rsid w:val="00077989"/>
    <w:rsid w:val="000779CB"/>
    <w:rsid w:val="00077A6B"/>
    <w:rsid w:val="00080587"/>
    <w:rsid w:val="00080D3C"/>
    <w:rsid w:val="00080DB1"/>
    <w:rsid w:val="00080E33"/>
    <w:rsid w:val="0008101A"/>
    <w:rsid w:val="00081E1F"/>
    <w:rsid w:val="000855A3"/>
    <w:rsid w:val="00085CC0"/>
    <w:rsid w:val="0008639F"/>
    <w:rsid w:val="00086899"/>
    <w:rsid w:val="0008718D"/>
    <w:rsid w:val="000873B6"/>
    <w:rsid w:val="00090491"/>
    <w:rsid w:val="00090942"/>
    <w:rsid w:val="00090AE5"/>
    <w:rsid w:val="00091231"/>
    <w:rsid w:val="000913C1"/>
    <w:rsid w:val="00092023"/>
    <w:rsid w:val="000932B5"/>
    <w:rsid w:val="000941AA"/>
    <w:rsid w:val="00094245"/>
    <w:rsid w:val="00094CD5"/>
    <w:rsid w:val="00094E32"/>
    <w:rsid w:val="00094FBF"/>
    <w:rsid w:val="00095084"/>
    <w:rsid w:val="00095F8B"/>
    <w:rsid w:val="0009607F"/>
    <w:rsid w:val="00096360"/>
    <w:rsid w:val="000967F2"/>
    <w:rsid w:val="0009752A"/>
    <w:rsid w:val="00097651"/>
    <w:rsid w:val="000978A2"/>
    <w:rsid w:val="000A0862"/>
    <w:rsid w:val="000A1FD2"/>
    <w:rsid w:val="000A25DA"/>
    <w:rsid w:val="000A2BBA"/>
    <w:rsid w:val="000A2E4D"/>
    <w:rsid w:val="000A335A"/>
    <w:rsid w:val="000A35B4"/>
    <w:rsid w:val="000A3A9E"/>
    <w:rsid w:val="000A3C62"/>
    <w:rsid w:val="000A4415"/>
    <w:rsid w:val="000A47C7"/>
    <w:rsid w:val="000A5328"/>
    <w:rsid w:val="000A56E5"/>
    <w:rsid w:val="000A6DEB"/>
    <w:rsid w:val="000A6EAA"/>
    <w:rsid w:val="000B04F6"/>
    <w:rsid w:val="000B0990"/>
    <w:rsid w:val="000B10A8"/>
    <w:rsid w:val="000B1584"/>
    <w:rsid w:val="000B166D"/>
    <w:rsid w:val="000B17DA"/>
    <w:rsid w:val="000B1F52"/>
    <w:rsid w:val="000B2290"/>
    <w:rsid w:val="000B35E5"/>
    <w:rsid w:val="000B39CD"/>
    <w:rsid w:val="000B3BD8"/>
    <w:rsid w:val="000B47C7"/>
    <w:rsid w:val="000B49E1"/>
    <w:rsid w:val="000B6C35"/>
    <w:rsid w:val="000B70F1"/>
    <w:rsid w:val="000C20DC"/>
    <w:rsid w:val="000C2586"/>
    <w:rsid w:val="000C26E0"/>
    <w:rsid w:val="000C2BF9"/>
    <w:rsid w:val="000C2DD8"/>
    <w:rsid w:val="000C3FAB"/>
    <w:rsid w:val="000C3FBC"/>
    <w:rsid w:val="000C41DD"/>
    <w:rsid w:val="000C4769"/>
    <w:rsid w:val="000C486F"/>
    <w:rsid w:val="000C4A05"/>
    <w:rsid w:val="000C4D38"/>
    <w:rsid w:val="000C5ADF"/>
    <w:rsid w:val="000C64D0"/>
    <w:rsid w:val="000C66A8"/>
    <w:rsid w:val="000C6A40"/>
    <w:rsid w:val="000C7006"/>
    <w:rsid w:val="000C7839"/>
    <w:rsid w:val="000D13B3"/>
    <w:rsid w:val="000D20CE"/>
    <w:rsid w:val="000D31E0"/>
    <w:rsid w:val="000D3263"/>
    <w:rsid w:val="000D330C"/>
    <w:rsid w:val="000D3374"/>
    <w:rsid w:val="000D36D5"/>
    <w:rsid w:val="000D3F5C"/>
    <w:rsid w:val="000D400C"/>
    <w:rsid w:val="000D5472"/>
    <w:rsid w:val="000D56BE"/>
    <w:rsid w:val="000D6253"/>
    <w:rsid w:val="000D6981"/>
    <w:rsid w:val="000D6AF1"/>
    <w:rsid w:val="000D6E0E"/>
    <w:rsid w:val="000D756F"/>
    <w:rsid w:val="000D7A1A"/>
    <w:rsid w:val="000E0047"/>
    <w:rsid w:val="000E0D33"/>
    <w:rsid w:val="000E2A22"/>
    <w:rsid w:val="000E2A61"/>
    <w:rsid w:val="000E31E1"/>
    <w:rsid w:val="000E345A"/>
    <w:rsid w:val="000E4105"/>
    <w:rsid w:val="000E435D"/>
    <w:rsid w:val="000E49BE"/>
    <w:rsid w:val="000E5435"/>
    <w:rsid w:val="000E56D8"/>
    <w:rsid w:val="000E584E"/>
    <w:rsid w:val="000E6301"/>
    <w:rsid w:val="000E6F1F"/>
    <w:rsid w:val="000E789D"/>
    <w:rsid w:val="000F10D8"/>
    <w:rsid w:val="000F1351"/>
    <w:rsid w:val="000F1483"/>
    <w:rsid w:val="000F1A4B"/>
    <w:rsid w:val="000F2BEC"/>
    <w:rsid w:val="000F321A"/>
    <w:rsid w:val="000F3AC2"/>
    <w:rsid w:val="000F59D6"/>
    <w:rsid w:val="000F622F"/>
    <w:rsid w:val="000F6524"/>
    <w:rsid w:val="000F6634"/>
    <w:rsid w:val="000F6EF0"/>
    <w:rsid w:val="000F7424"/>
    <w:rsid w:val="00101D84"/>
    <w:rsid w:val="0010266C"/>
    <w:rsid w:val="001027A8"/>
    <w:rsid w:val="001028D3"/>
    <w:rsid w:val="00102C86"/>
    <w:rsid w:val="00103A1D"/>
    <w:rsid w:val="00104EB5"/>
    <w:rsid w:val="00105E48"/>
    <w:rsid w:val="00107445"/>
    <w:rsid w:val="00107F39"/>
    <w:rsid w:val="00110571"/>
    <w:rsid w:val="00110C41"/>
    <w:rsid w:val="001116B0"/>
    <w:rsid w:val="00111AB2"/>
    <w:rsid w:val="00111D24"/>
    <w:rsid w:val="00111E2B"/>
    <w:rsid w:val="00112ACA"/>
    <w:rsid w:val="00113075"/>
    <w:rsid w:val="001130D3"/>
    <w:rsid w:val="00113133"/>
    <w:rsid w:val="001134D0"/>
    <w:rsid w:val="001138A6"/>
    <w:rsid w:val="001141C1"/>
    <w:rsid w:val="001147F5"/>
    <w:rsid w:val="00115268"/>
    <w:rsid w:val="001155B4"/>
    <w:rsid w:val="00115B79"/>
    <w:rsid w:val="0011616F"/>
    <w:rsid w:val="00116D30"/>
    <w:rsid w:val="00117A47"/>
    <w:rsid w:val="001216BD"/>
    <w:rsid w:val="00122272"/>
    <w:rsid w:val="00123C19"/>
    <w:rsid w:val="00124530"/>
    <w:rsid w:val="0012466A"/>
    <w:rsid w:val="00124900"/>
    <w:rsid w:val="00124E85"/>
    <w:rsid w:val="00126066"/>
    <w:rsid w:val="00127E0B"/>
    <w:rsid w:val="00130CDE"/>
    <w:rsid w:val="00130F1C"/>
    <w:rsid w:val="001312C5"/>
    <w:rsid w:val="00132349"/>
    <w:rsid w:val="00132546"/>
    <w:rsid w:val="001325CF"/>
    <w:rsid w:val="00132E7F"/>
    <w:rsid w:val="00133523"/>
    <w:rsid w:val="00133715"/>
    <w:rsid w:val="0013393D"/>
    <w:rsid w:val="00133C78"/>
    <w:rsid w:val="0013411A"/>
    <w:rsid w:val="00134892"/>
    <w:rsid w:val="0013495D"/>
    <w:rsid w:val="00134992"/>
    <w:rsid w:val="00134A9E"/>
    <w:rsid w:val="00134FCA"/>
    <w:rsid w:val="00135014"/>
    <w:rsid w:val="001353B4"/>
    <w:rsid w:val="001358FD"/>
    <w:rsid w:val="0013645B"/>
    <w:rsid w:val="0013673B"/>
    <w:rsid w:val="0013690A"/>
    <w:rsid w:val="00136B08"/>
    <w:rsid w:val="001372F3"/>
    <w:rsid w:val="00137CBA"/>
    <w:rsid w:val="001405A3"/>
    <w:rsid w:val="00140601"/>
    <w:rsid w:val="001406A1"/>
    <w:rsid w:val="00140957"/>
    <w:rsid w:val="0014264A"/>
    <w:rsid w:val="00143011"/>
    <w:rsid w:val="00143222"/>
    <w:rsid w:val="00143748"/>
    <w:rsid w:val="00143C36"/>
    <w:rsid w:val="001442FD"/>
    <w:rsid w:val="001455EA"/>
    <w:rsid w:val="0014586B"/>
    <w:rsid w:val="001458FB"/>
    <w:rsid w:val="00145D86"/>
    <w:rsid w:val="00146396"/>
    <w:rsid w:val="001472E6"/>
    <w:rsid w:val="0014761E"/>
    <w:rsid w:val="00147B3F"/>
    <w:rsid w:val="0015059C"/>
    <w:rsid w:val="00150FDA"/>
    <w:rsid w:val="00151B19"/>
    <w:rsid w:val="0015259F"/>
    <w:rsid w:val="0015355A"/>
    <w:rsid w:val="001539D2"/>
    <w:rsid w:val="00153BA5"/>
    <w:rsid w:val="00153E4E"/>
    <w:rsid w:val="00153EB2"/>
    <w:rsid w:val="00154736"/>
    <w:rsid w:val="00154760"/>
    <w:rsid w:val="00154B34"/>
    <w:rsid w:val="00155592"/>
    <w:rsid w:val="001555EB"/>
    <w:rsid w:val="00156861"/>
    <w:rsid w:val="001574A6"/>
    <w:rsid w:val="00157B1D"/>
    <w:rsid w:val="00157D3C"/>
    <w:rsid w:val="001614AF"/>
    <w:rsid w:val="00161523"/>
    <w:rsid w:val="0016171E"/>
    <w:rsid w:val="001618F0"/>
    <w:rsid w:val="00161E5C"/>
    <w:rsid w:val="001625C1"/>
    <w:rsid w:val="001627E5"/>
    <w:rsid w:val="00163743"/>
    <w:rsid w:val="0016381D"/>
    <w:rsid w:val="00163FC9"/>
    <w:rsid w:val="00164786"/>
    <w:rsid w:val="00164853"/>
    <w:rsid w:val="00164C56"/>
    <w:rsid w:val="001654DA"/>
    <w:rsid w:val="00165C8D"/>
    <w:rsid w:val="00166076"/>
    <w:rsid w:val="00167123"/>
    <w:rsid w:val="001677CD"/>
    <w:rsid w:val="00167FDD"/>
    <w:rsid w:val="001700D5"/>
    <w:rsid w:val="001701C2"/>
    <w:rsid w:val="00170356"/>
    <w:rsid w:val="00171763"/>
    <w:rsid w:val="00171EDA"/>
    <w:rsid w:val="00171F2C"/>
    <w:rsid w:val="0017268F"/>
    <w:rsid w:val="00172897"/>
    <w:rsid w:val="00172C9C"/>
    <w:rsid w:val="00172DB9"/>
    <w:rsid w:val="00173B91"/>
    <w:rsid w:val="00173E86"/>
    <w:rsid w:val="00174317"/>
    <w:rsid w:val="00174696"/>
    <w:rsid w:val="0017496D"/>
    <w:rsid w:val="00174D10"/>
    <w:rsid w:val="00174EEF"/>
    <w:rsid w:val="00174F02"/>
    <w:rsid w:val="001751EA"/>
    <w:rsid w:val="0017695A"/>
    <w:rsid w:val="001769B9"/>
    <w:rsid w:val="00176AA0"/>
    <w:rsid w:val="00176C3C"/>
    <w:rsid w:val="001774A8"/>
    <w:rsid w:val="00180A07"/>
    <w:rsid w:val="00181774"/>
    <w:rsid w:val="00182094"/>
    <w:rsid w:val="001822B8"/>
    <w:rsid w:val="00182F8E"/>
    <w:rsid w:val="001831DE"/>
    <w:rsid w:val="001831EB"/>
    <w:rsid w:val="0018415A"/>
    <w:rsid w:val="00185672"/>
    <w:rsid w:val="00185ABE"/>
    <w:rsid w:val="00185CC9"/>
    <w:rsid w:val="00186C2A"/>
    <w:rsid w:val="00187011"/>
    <w:rsid w:val="00187257"/>
    <w:rsid w:val="00187433"/>
    <w:rsid w:val="00187892"/>
    <w:rsid w:val="0018799F"/>
    <w:rsid w:val="00190AB4"/>
    <w:rsid w:val="00190B2F"/>
    <w:rsid w:val="00191AC1"/>
    <w:rsid w:val="00191E3C"/>
    <w:rsid w:val="00192C13"/>
    <w:rsid w:val="00193D79"/>
    <w:rsid w:val="00193DD9"/>
    <w:rsid w:val="00193E8F"/>
    <w:rsid w:val="00197482"/>
    <w:rsid w:val="0019783F"/>
    <w:rsid w:val="00197B53"/>
    <w:rsid w:val="00197EE4"/>
    <w:rsid w:val="001A0461"/>
    <w:rsid w:val="001A07E0"/>
    <w:rsid w:val="001A1472"/>
    <w:rsid w:val="001A1A65"/>
    <w:rsid w:val="001A1FF0"/>
    <w:rsid w:val="001A20FB"/>
    <w:rsid w:val="001A2540"/>
    <w:rsid w:val="001A38FB"/>
    <w:rsid w:val="001A408F"/>
    <w:rsid w:val="001A40C6"/>
    <w:rsid w:val="001A55F9"/>
    <w:rsid w:val="001A5AA6"/>
    <w:rsid w:val="001A5D12"/>
    <w:rsid w:val="001A6169"/>
    <w:rsid w:val="001A6319"/>
    <w:rsid w:val="001A6327"/>
    <w:rsid w:val="001A763B"/>
    <w:rsid w:val="001A7EA7"/>
    <w:rsid w:val="001B182C"/>
    <w:rsid w:val="001B1A0B"/>
    <w:rsid w:val="001B1F87"/>
    <w:rsid w:val="001B2146"/>
    <w:rsid w:val="001B29A4"/>
    <w:rsid w:val="001B29E5"/>
    <w:rsid w:val="001B31FA"/>
    <w:rsid w:val="001B3A77"/>
    <w:rsid w:val="001B3E76"/>
    <w:rsid w:val="001B40B5"/>
    <w:rsid w:val="001B4626"/>
    <w:rsid w:val="001B4CA9"/>
    <w:rsid w:val="001B5AB8"/>
    <w:rsid w:val="001B6144"/>
    <w:rsid w:val="001B618C"/>
    <w:rsid w:val="001B6218"/>
    <w:rsid w:val="001B6FFA"/>
    <w:rsid w:val="001B738F"/>
    <w:rsid w:val="001B75C5"/>
    <w:rsid w:val="001B7817"/>
    <w:rsid w:val="001C01F0"/>
    <w:rsid w:val="001C0DA7"/>
    <w:rsid w:val="001C1349"/>
    <w:rsid w:val="001C1400"/>
    <w:rsid w:val="001C1742"/>
    <w:rsid w:val="001C19FD"/>
    <w:rsid w:val="001C1A36"/>
    <w:rsid w:val="001C203F"/>
    <w:rsid w:val="001C20E2"/>
    <w:rsid w:val="001C211A"/>
    <w:rsid w:val="001C267A"/>
    <w:rsid w:val="001C2841"/>
    <w:rsid w:val="001C2918"/>
    <w:rsid w:val="001C2D9D"/>
    <w:rsid w:val="001C2EFE"/>
    <w:rsid w:val="001C3181"/>
    <w:rsid w:val="001C3CD7"/>
    <w:rsid w:val="001C4089"/>
    <w:rsid w:val="001C41FE"/>
    <w:rsid w:val="001C4953"/>
    <w:rsid w:val="001C6631"/>
    <w:rsid w:val="001C7182"/>
    <w:rsid w:val="001C74D0"/>
    <w:rsid w:val="001C74FB"/>
    <w:rsid w:val="001C7E7F"/>
    <w:rsid w:val="001D02BA"/>
    <w:rsid w:val="001D06CF"/>
    <w:rsid w:val="001D0BBB"/>
    <w:rsid w:val="001D0EFF"/>
    <w:rsid w:val="001D1E2C"/>
    <w:rsid w:val="001D2308"/>
    <w:rsid w:val="001D3372"/>
    <w:rsid w:val="001D3EEB"/>
    <w:rsid w:val="001D3EFD"/>
    <w:rsid w:val="001D40C1"/>
    <w:rsid w:val="001D4371"/>
    <w:rsid w:val="001D4808"/>
    <w:rsid w:val="001D55D9"/>
    <w:rsid w:val="001D632C"/>
    <w:rsid w:val="001D63AB"/>
    <w:rsid w:val="001D6B84"/>
    <w:rsid w:val="001D732E"/>
    <w:rsid w:val="001D7B16"/>
    <w:rsid w:val="001D7F36"/>
    <w:rsid w:val="001D7FB5"/>
    <w:rsid w:val="001E0140"/>
    <w:rsid w:val="001E1D7B"/>
    <w:rsid w:val="001E2374"/>
    <w:rsid w:val="001E247C"/>
    <w:rsid w:val="001E4678"/>
    <w:rsid w:val="001E5284"/>
    <w:rsid w:val="001E5AEE"/>
    <w:rsid w:val="001E6DD3"/>
    <w:rsid w:val="001E71BE"/>
    <w:rsid w:val="001E7901"/>
    <w:rsid w:val="001F2054"/>
    <w:rsid w:val="001F2ABE"/>
    <w:rsid w:val="001F2DD2"/>
    <w:rsid w:val="001F331A"/>
    <w:rsid w:val="001F3798"/>
    <w:rsid w:val="001F497F"/>
    <w:rsid w:val="001F4A23"/>
    <w:rsid w:val="001F522E"/>
    <w:rsid w:val="001F5B1A"/>
    <w:rsid w:val="001F607B"/>
    <w:rsid w:val="001F669C"/>
    <w:rsid w:val="0020096A"/>
    <w:rsid w:val="00200A35"/>
    <w:rsid w:val="002016E9"/>
    <w:rsid w:val="002024CE"/>
    <w:rsid w:val="00202959"/>
    <w:rsid w:val="00203274"/>
    <w:rsid w:val="00203CE5"/>
    <w:rsid w:val="002044B3"/>
    <w:rsid w:val="002049FC"/>
    <w:rsid w:val="00205221"/>
    <w:rsid w:val="00205AFE"/>
    <w:rsid w:val="0020765E"/>
    <w:rsid w:val="00207E23"/>
    <w:rsid w:val="00210A6B"/>
    <w:rsid w:val="00210FD1"/>
    <w:rsid w:val="00211318"/>
    <w:rsid w:val="00211B9B"/>
    <w:rsid w:val="00211E7E"/>
    <w:rsid w:val="002122A7"/>
    <w:rsid w:val="00213303"/>
    <w:rsid w:val="00213675"/>
    <w:rsid w:val="00213A12"/>
    <w:rsid w:val="0021457D"/>
    <w:rsid w:val="002145B5"/>
    <w:rsid w:val="0021532B"/>
    <w:rsid w:val="00216574"/>
    <w:rsid w:val="00217746"/>
    <w:rsid w:val="00217C12"/>
    <w:rsid w:val="00220435"/>
    <w:rsid w:val="0022044B"/>
    <w:rsid w:val="00220926"/>
    <w:rsid w:val="00220965"/>
    <w:rsid w:val="00220BBB"/>
    <w:rsid w:val="00220CAC"/>
    <w:rsid w:val="00220FB2"/>
    <w:rsid w:val="00220FBB"/>
    <w:rsid w:val="00221D1B"/>
    <w:rsid w:val="00222684"/>
    <w:rsid w:val="0022287B"/>
    <w:rsid w:val="00224077"/>
    <w:rsid w:val="002242B1"/>
    <w:rsid w:val="0022461A"/>
    <w:rsid w:val="002246A1"/>
    <w:rsid w:val="00224706"/>
    <w:rsid w:val="00224826"/>
    <w:rsid w:val="00224D9D"/>
    <w:rsid w:val="00225064"/>
    <w:rsid w:val="002258F3"/>
    <w:rsid w:val="00226030"/>
    <w:rsid w:val="002266AC"/>
    <w:rsid w:val="00226B70"/>
    <w:rsid w:val="00230F2E"/>
    <w:rsid w:val="00231544"/>
    <w:rsid w:val="00231B7F"/>
    <w:rsid w:val="00231CC9"/>
    <w:rsid w:val="00231ED1"/>
    <w:rsid w:val="002328E8"/>
    <w:rsid w:val="00232F19"/>
    <w:rsid w:val="00233260"/>
    <w:rsid w:val="00233602"/>
    <w:rsid w:val="0023370C"/>
    <w:rsid w:val="002344CA"/>
    <w:rsid w:val="00234E71"/>
    <w:rsid w:val="002359A9"/>
    <w:rsid w:val="00235AA3"/>
    <w:rsid w:val="00235C3D"/>
    <w:rsid w:val="002370EC"/>
    <w:rsid w:val="0023767F"/>
    <w:rsid w:val="0024005D"/>
    <w:rsid w:val="002402FD"/>
    <w:rsid w:val="00240AC1"/>
    <w:rsid w:val="00240E9E"/>
    <w:rsid w:val="00241430"/>
    <w:rsid w:val="00241CCE"/>
    <w:rsid w:val="00242084"/>
    <w:rsid w:val="00242362"/>
    <w:rsid w:val="00242467"/>
    <w:rsid w:val="0024299E"/>
    <w:rsid w:val="00242AB6"/>
    <w:rsid w:val="002437AC"/>
    <w:rsid w:val="0024398C"/>
    <w:rsid w:val="00243A21"/>
    <w:rsid w:val="00243B11"/>
    <w:rsid w:val="00243D0E"/>
    <w:rsid w:val="00244193"/>
    <w:rsid w:val="00244226"/>
    <w:rsid w:val="00245002"/>
    <w:rsid w:val="002452D1"/>
    <w:rsid w:val="00245313"/>
    <w:rsid w:val="0024599B"/>
    <w:rsid w:val="00245F8F"/>
    <w:rsid w:val="00246255"/>
    <w:rsid w:val="00246420"/>
    <w:rsid w:val="00247254"/>
    <w:rsid w:val="00250BAB"/>
    <w:rsid w:val="00250DF7"/>
    <w:rsid w:val="002514AE"/>
    <w:rsid w:val="00251567"/>
    <w:rsid w:val="00251DA8"/>
    <w:rsid w:val="00252FD2"/>
    <w:rsid w:val="002543CE"/>
    <w:rsid w:val="00255AB5"/>
    <w:rsid w:val="002566A6"/>
    <w:rsid w:val="00257450"/>
    <w:rsid w:val="00260145"/>
    <w:rsid w:val="002608B1"/>
    <w:rsid w:val="002609EA"/>
    <w:rsid w:val="00260B58"/>
    <w:rsid w:val="00260B8E"/>
    <w:rsid w:val="00260C44"/>
    <w:rsid w:val="00260CA6"/>
    <w:rsid w:val="00260EE3"/>
    <w:rsid w:val="00261AD0"/>
    <w:rsid w:val="00261D85"/>
    <w:rsid w:val="0026217F"/>
    <w:rsid w:val="0026306E"/>
    <w:rsid w:val="00264272"/>
    <w:rsid w:val="00264408"/>
    <w:rsid w:val="0026585F"/>
    <w:rsid w:val="0026586A"/>
    <w:rsid w:val="00266EC9"/>
    <w:rsid w:val="0026719C"/>
    <w:rsid w:val="002672FF"/>
    <w:rsid w:val="002702CC"/>
    <w:rsid w:val="002707ED"/>
    <w:rsid w:val="00270F06"/>
    <w:rsid w:val="00271036"/>
    <w:rsid w:val="002737A1"/>
    <w:rsid w:val="00273E18"/>
    <w:rsid w:val="00273E73"/>
    <w:rsid w:val="00274295"/>
    <w:rsid w:val="002750C7"/>
    <w:rsid w:val="0027563C"/>
    <w:rsid w:val="00275D8D"/>
    <w:rsid w:val="00276A6C"/>
    <w:rsid w:val="00276B3D"/>
    <w:rsid w:val="002776B1"/>
    <w:rsid w:val="00280C5E"/>
    <w:rsid w:val="00281661"/>
    <w:rsid w:val="00281C1F"/>
    <w:rsid w:val="0028205C"/>
    <w:rsid w:val="002831F3"/>
    <w:rsid w:val="00283438"/>
    <w:rsid w:val="00283987"/>
    <w:rsid w:val="002843E3"/>
    <w:rsid w:val="00287A40"/>
    <w:rsid w:val="00290F9A"/>
    <w:rsid w:val="002912EE"/>
    <w:rsid w:val="002928D5"/>
    <w:rsid w:val="00293889"/>
    <w:rsid w:val="00294181"/>
    <w:rsid w:val="002941FC"/>
    <w:rsid w:val="0029465F"/>
    <w:rsid w:val="0029486A"/>
    <w:rsid w:val="00294A83"/>
    <w:rsid w:val="002954CE"/>
    <w:rsid w:val="002954DC"/>
    <w:rsid w:val="0029558F"/>
    <w:rsid w:val="00295BF5"/>
    <w:rsid w:val="002960FB"/>
    <w:rsid w:val="00297B9F"/>
    <w:rsid w:val="002A0033"/>
    <w:rsid w:val="002A0139"/>
    <w:rsid w:val="002A05D6"/>
    <w:rsid w:val="002A064A"/>
    <w:rsid w:val="002A075F"/>
    <w:rsid w:val="002A0EB1"/>
    <w:rsid w:val="002A1765"/>
    <w:rsid w:val="002A3A34"/>
    <w:rsid w:val="002A3DE8"/>
    <w:rsid w:val="002A43BC"/>
    <w:rsid w:val="002A4403"/>
    <w:rsid w:val="002A4699"/>
    <w:rsid w:val="002A4910"/>
    <w:rsid w:val="002A4DAF"/>
    <w:rsid w:val="002A58F4"/>
    <w:rsid w:val="002A62B4"/>
    <w:rsid w:val="002A6913"/>
    <w:rsid w:val="002A71EC"/>
    <w:rsid w:val="002A72A0"/>
    <w:rsid w:val="002A7A05"/>
    <w:rsid w:val="002B0155"/>
    <w:rsid w:val="002B0B22"/>
    <w:rsid w:val="002B124B"/>
    <w:rsid w:val="002B13EE"/>
    <w:rsid w:val="002B15EA"/>
    <w:rsid w:val="002B1B6A"/>
    <w:rsid w:val="002B1BA0"/>
    <w:rsid w:val="002B264D"/>
    <w:rsid w:val="002B391D"/>
    <w:rsid w:val="002B3C49"/>
    <w:rsid w:val="002B3F52"/>
    <w:rsid w:val="002B404F"/>
    <w:rsid w:val="002B5980"/>
    <w:rsid w:val="002B65AD"/>
    <w:rsid w:val="002B69BD"/>
    <w:rsid w:val="002B6DE9"/>
    <w:rsid w:val="002B6E65"/>
    <w:rsid w:val="002B78B1"/>
    <w:rsid w:val="002B7F82"/>
    <w:rsid w:val="002C2114"/>
    <w:rsid w:val="002C36FC"/>
    <w:rsid w:val="002C3942"/>
    <w:rsid w:val="002C3E37"/>
    <w:rsid w:val="002C4D7D"/>
    <w:rsid w:val="002C4DEE"/>
    <w:rsid w:val="002C4E8D"/>
    <w:rsid w:val="002C5270"/>
    <w:rsid w:val="002C6524"/>
    <w:rsid w:val="002C70EB"/>
    <w:rsid w:val="002C73A1"/>
    <w:rsid w:val="002C78AF"/>
    <w:rsid w:val="002C7F3C"/>
    <w:rsid w:val="002D07FC"/>
    <w:rsid w:val="002D0EB9"/>
    <w:rsid w:val="002D15DC"/>
    <w:rsid w:val="002D2375"/>
    <w:rsid w:val="002D27E1"/>
    <w:rsid w:val="002D2C1C"/>
    <w:rsid w:val="002D33C9"/>
    <w:rsid w:val="002D383A"/>
    <w:rsid w:val="002D51CE"/>
    <w:rsid w:val="002D5677"/>
    <w:rsid w:val="002D6683"/>
    <w:rsid w:val="002D6711"/>
    <w:rsid w:val="002D6936"/>
    <w:rsid w:val="002D76E2"/>
    <w:rsid w:val="002E001B"/>
    <w:rsid w:val="002E030B"/>
    <w:rsid w:val="002E0312"/>
    <w:rsid w:val="002E038F"/>
    <w:rsid w:val="002E0F07"/>
    <w:rsid w:val="002E1830"/>
    <w:rsid w:val="002E25D4"/>
    <w:rsid w:val="002E35E0"/>
    <w:rsid w:val="002E4A5C"/>
    <w:rsid w:val="002E52A3"/>
    <w:rsid w:val="002E5353"/>
    <w:rsid w:val="002E5A02"/>
    <w:rsid w:val="002E64E5"/>
    <w:rsid w:val="002E69A8"/>
    <w:rsid w:val="002E6BC2"/>
    <w:rsid w:val="002E6DB6"/>
    <w:rsid w:val="002E6F09"/>
    <w:rsid w:val="002E7AC8"/>
    <w:rsid w:val="002F0F99"/>
    <w:rsid w:val="002F15D8"/>
    <w:rsid w:val="002F1BC9"/>
    <w:rsid w:val="002F1F77"/>
    <w:rsid w:val="002F23C7"/>
    <w:rsid w:val="002F2C98"/>
    <w:rsid w:val="002F2F46"/>
    <w:rsid w:val="002F38E8"/>
    <w:rsid w:val="002F3A99"/>
    <w:rsid w:val="002F3CDD"/>
    <w:rsid w:val="002F44A3"/>
    <w:rsid w:val="002F4833"/>
    <w:rsid w:val="002F5820"/>
    <w:rsid w:val="002F5DB9"/>
    <w:rsid w:val="002F6727"/>
    <w:rsid w:val="002F6B65"/>
    <w:rsid w:val="002F6E1F"/>
    <w:rsid w:val="002F6F39"/>
    <w:rsid w:val="002F78D7"/>
    <w:rsid w:val="00300CCA"/>
    <w:rsid w:val="00300EDC"/>
    <w:rsid w:val="00301B2F"/>
    <w:rsid w:val="00303106"/>
    <w:rsid w:val="003039DA"/>
    <w:rsid w:val="00303CBF"/>
    <w:rsid w:val="0030487C"/>
    <w:rsid w:val="00305B82"/>
    <w:rsid w:val="00305C75"/>
    <w:rsid w:val="0030625A"/>
    <w:rsid w:val="00307D62"/>
    <w:rsid w:val="00310864"/>
    <w:rsid w:val="0031121E"/>
    <w:rsid w:val="00311694"/>
    <w:rsid w:val="00311769"/>
    <w:rsid w:val="00311ECF"/>
    <w:rsid w:val="00312344"/>
    <w:rsid w:val="00313107"/>
    <w:rsid w:val="00313CA4"/>
    <w:rsid w:val="0031468E"/>
    <w:rsid w:val="00314D21"/>
    <w:rsid w:val="003150AC"/>
    <w:rsid w:val="0031558B"/>
    <w:rsid w:val="003156FF"/>
    <w:rsid w:val="00316280"/>
    <w:rsid w:val="003165BD"/>
    <w:rsid w:val="00317078"/>
    <w:rsid w:val="0031736E"/>
    <w:rsid w:val="003173BA"/>
    <w:rsid w:val="00317FF1"/>
    <w:rsid w:val="0032061D"/>
    <w:rsid w:val="003208E5"/>
    <w:rsid w:val="003208FF"/>
    <w:rsid w:val="00320F62"/>
    <w:rsid w:val="003210CF"/>
    <w:rsid w:val="0032172C"/>
    <w:rsid w:val="00321E11"/>
    <w:rsid w:val="00321EBF"/>
    <w:rsid w:val="003224FB"/>
    <w:rsid w:val="00323786"/>
    <w:rsid w:val="0032393C"/>
    <w:rsid w:val="00323D53"/>
    <w:rsid w:val="003240B2"/>
    <w:rsid w:val="0032418C"/>
    <w:rsid w:val="00324196"/>
    <w:rsid w:val="00325D36"/>
    <w:rsid w:val="00325FCF"/>
    <w:rsid w:val="0032631B"/>
    <w:rsid w:val="00326779"/>
    <w:rsid w:val="0032683B"/>
    <w:rsid w:val="00326AAB"/>
    <w:rsid w:val="00326F77"/>
    <w:rsid w:val="003271A6"/>
    <w:rsid w:val="00327425"/>
    <w:rsid w:val="003306E3"/>
    <w:rsid w:val="0033122E"/>
    <w:rsid w:val="0033270E"/>
    <w:rsid w:val="0033294D"/>
    <w:rsid w:val="00332D2C"/>
    <w:rsid w:val="00332D42"/>
    <w:rsid w:val="003333F7"/>
    <w:rsid w:val="00335942"/>
    <w:rsid w:val="003365C4"/>
    <w:rsid w:val="00336727"/>
    <w:rsid w:val="003370F7"/>
    <w:rsid w:val="003415CB"/>
    <w:rsid w:val="00341693"/>
    <w:rsid w:val="0034197E"/>
    <w:rsid w:val="00341AB0"/>
    <w:rsid w:val="00341EAC"/>
    <w:rsid w:val="00342441"/>
    <w:rsid w:val="003432E8"/>
    <w:rsid w:val="003434B0"/>
    <w:rsid w:val="00344292"/>
    <w:rsid w:val="003445B1"/>
    <w:rsid w:val="00344CD7"/>
    <w:rsid w:val="003455F5"/>
    <w:rsid w:val="0034587B"/>
    <w:rsid w:val="00345C90"/>
    <w:rsid w:val="00346170"/>
    <w:rsid w:val="00346566"/>
    <w:rsid w:val="003466A1"/>
    <w:rsid w:val="003467DE"/>
    <w:rsid w:val="00346A7B"/>
    <w:rsid w:val="00346C4D"/>
    <w:rsid w:val="00346EE6"/>
    <w:rsid w:val="0034786A"/>
    <w:rsid w:val="00347946"/>
    <w:rsid w:val="0035000F"/>
    <w:rsid w:val="00351956"/>
    <w:rsid w:val="00352B79"/>
    <w:rsid w:val="0035351C"/>
    <w:rsid w:val="00353D3A"/>
    <w:rsid w:val="00353E09"/>
    <w:rsid w:val="00354540"/>
    <w:rsid w:val="003554B2"/>
    <w:rsid w:val="00355874"/>
    <w:rsid w:val="00355D80"/>
    <w:rsid w:val="003562B6"/>
    <w:rsid w:val="00356736"/>
    <w:rsid w:val="0035731C"/>
    <w:rsid w:val="00357429"/>
    <w:rsid w:val="00360194"/>
    <w:rsid w:val="003608EB"/>
    <w:rsid w:val="00360981"/>
    <w:rsid w:val="0036136D"/>
    <w:rsid w:val="003617BE"/>
    <w:rsid w:val="0036371E"/>
    <w:rsid w:val="003638C3"/>
    <w:rsid w:val="003639D0"/>
    <w:rsid w:val="00363D49"/>
    <w:rsid w:val="00365463"/>
    <w:rsid w:val="00365756"/>
    <w:rsid w:val="00365970"/>
    <w:rsid w:val="00365D2E"/>
    <w:rsid w:val="00366AE8"/>
    <w:rsid w:val="00367087"/>
    <w:rsid w:val="00367100"/>
    <w:rsid w:val="0036719B"/>
    <w:rsid w:val="00367226"/>
    <w:rsid w:val="003677C1"/>
    <w:rsid w:val="00367D75"/>
    <w:rsid w:val="00370BF1"/>
    <w:rsid w:val="003717FA"/>
    <w:rsid w:val="00371BC9"/>
    <w:rsid w:val="00371C18"/>
    <w:rsid w:val="0037244E"/>
    <w:rsid w:val="00372C50"/>
    <w:rsid w:val="00372FEB"/>
    <w:rsid w:val="00373715"/>
    <w:rsid w:val="00373740"/>
    <w:rsid w:val="00374A8F"/>
    <w:rsid w:val="00374B53"/>
    <w:rsid w:val="00375A16"/>
    <w:rsid w:val="00376452"/>
    <w:rsid w:val="00376E53"/>
    <w:rsid w:val="0037780D"/>
    <w:rsid w:val="0038049A"/>
    <w:rsid w:val="0038055B"/>
    <w:rsid w:val="003809C1"/>
    <w:rsid w:val="00380AE0"/>
    <w:rsid w:val="0038126D"/>
    <w:rsid w:val="00381598"/>
    <w:rsid w:val="003819ED"/>
    <w:rsid w:val="003831F5"/>
    <w:rsid w:val="00383DF6"/>
    <w:rsid w:val="00384329"/>
    <w:rsid w:val="003848B8"/>
    <w:rsid w:val="00384F82"/>
    <w:rsid w:val="00385476"/>
    <w:rsid w:val="0038562A"/>
    <w:rsid w:val="0038578F"/>
    <w:rsid w:val="00391623"/>
    <w:rsid w:val="00391DC0"/>
    <w:rsid w:val="00394A56"/>
    <w:rsid w:val="00394F41"/>
    <w:rsid w:val="0039546E"/>
    <w:rsid w:val="00395C45"/>
    <w:rsid w:val="003961A4"/>
    <w:rsid w:val="00396425"/>
    <w:rsid w:val="003A00C9"/>
    <w:rsid w:val="003A27FE"/>
    <w:rsid w:val="003A2B29"/>
    <w:rsid w:val="003A3745"/>
    <w:rsid w:val="003A3BC6"/>
    <w:rsid w:val="003A4082"/>
    <w:rsid w:val="003A413D"/>
    <w:rsid w:val="003A42D4"/>
    <w:rsid w:val="003A4CF1"/>
    <w:rsid w:val="003A4E6E"/>
    <w:rsid w:val="003A5CC2"/>
    <w:rsid w:val="003A6A32"/>
    <w:rsid w:val="003A6BF2"/>
    <w:rsid w:val="003A7814"/>
    <w:rsid w:val="003A7BB9"/>
    <w:rsid w:val="003B0311"/>
    <w:rsid w:val="003B161D"/>
    <w:rsid w:val="003B202C"/>
    <w:rsid w:val="003B255F"/>
    <w:rsid w:val="003B36E2"/>
    <w:rsid w:val="003B3744"/>
    <w:rsid w:val="003B3B18"/>
    <w:rsid w:val="003B4701"/>
    <w:rsid w:val="003B4DA5"/>
    <w:rsid w:val="003B5463"/>
    <w:rsid w:val="003B5482"/>
    <w:rsid w:val="003B5690"/>
    <w:rsid w:val="003B6439"/>
    <w:rsid w:val="003B6F7B"/>
    <w:rsid w:val="003B7934"/>
    <w:rsid w:val="003C0DDE"/>
    <w:rsid w:val="003C223B"/>
    <w:rsid w:val="003C26B8"/>
    <w:rsid w:val="003C29E2"/>
    <w:rsid w:val="003C2DC5"/>
    <w:rsid w:val="003C35E6"/>
    <w:rsid w:val="003C376C"/>
    <w:rsid w:val="003C3BE8"/>
    <w:rsid w:val="003C3C98"/>
    <w:rsid w:val="003C414E"/>
    <w:rsid w:val="003C596A"/>
    <w:rsid w:val="003C5DD3"/>
    <w:rsid w:val="003C5FC0"/>
    <w:rsid w:val="003C60F1"/>
    <w:rsid w:val="003C67A2"/>
    <w:rsid w:val="003C6A67"/>
    <w:rsid w:val="003C6B92"/>
    <w:rsid w:val="003C7D5B"/>
    <w:rsid w:val="003D008D"/>
    <w:rsid w:val="003D0600"/>
    <w:rsid w:val="003D1701"/>
    <w:rsid w:val="003D23C7"/>
    <w:rsid w:val="003D3687"/>
    <w:rsid w:val="003D4D57"/>
    <w:rsid w:val="003D578E"/>
    <w:rsid w:val="003D62BF"/>
    <w:rsid w:val="003D63FF"/>
    <w:rsid w:val="003D6A78"/>
    <w:rsid w:val="003D6CFA"/>
    <w:rsid w:val="003D6D8D"/>
    <w:rsid w:val="003E0991"/>
    <w:rsid w:val="003E0F2A"/>
    <w:rsid w:val="003E281E"/>
    <w:rsid w:val="003E390C"/>
    <w:rsid w:val="003E4974"/>
    <w:rsid w:val="003E4FBB"/>
    <w:rsid w:val="003E51FE"/>
    <w:rsid w:val="003E54F5"/>
    <w:rsid w:val="003E5F80"/>
    <w:rsid w:val="003E6EE9"/>
    <w:rsid w:val="003E7172"/>
    <w:rsid w:val="003E72FE"/>
    <w:rsid w:val="003E78C6"/>
    <w:rsid w:val="003E7D26"/>
    <w:rsid w:val="003E7F7C"/>
    <w:rsid w:val="003F0221"/>
    <w:rsid w:val="003F050F"/>
    <w:rsid w:val="003F0E13"/>
    <w:rsid w:val="003F19BB"/>
    <w:rsid w:val="003F1A2F"/>
    <w:rsid w:val="003F202E"/>
    <w:rsid w:val="003F21D3"/>
    <w:rsid w:val="003F2356"/>
    <w:rsid w:val="003F25C3"/>
    <w:rsid w:val="003F281A"/>
    <w:rsid w:val="003F2F92"/>
    <w:rsid w:val="003F39F0"/>
    <w:rsid w:val="003F3BB0"/>
    <w:rsid w:val="003F4D4C"/>
    <w:rsid w:val="003F541C"/>
    <w:rsid w:val="003F5692"/>
    <w:rsid w:val="003F5983"/>
    <w:rsid w:val="003F5995"/>
    <w:rsid w:val="003F5A91"/>
    <w:rsid w:val="003F5B4C"/>
    <w:rsid w:val="003F5FEC"/>
    <w:rsid w:val="003F6D8E"/>
    <w:rsid w:val="003F772D"/>
    <w:rsid w:val="003F7B49"/>
    <w:rsid w:val="00400BD2"/>
    <w:rsid w:val="00401929"/>
    <w:rsid w:val="00401C67"/>
    <w:rsid w:val="00402C3D"/>
    <w:rsid w:val="004030F5"/>
    <w:rsid w:val="00403746"/>
    <w:rsid w:val="004044E6"/>
    <w:rsid w:val="00404D06"/>
    <w:rsid w:val="004059BB"/>
    <w:rsid w:val="00405C03"/>
    <w:rsid w:val="00406184"/>
    <w:rsid w:val="004067BA"/>
    <w:rsid w:val="0041006B"/>
    <w:rsid w:val="00410B5A"/>
    <w:rsid w:val="00411F2D"/>
    <w:rsid w:val="00413638"/>
    <w:rsid w:val="00415B04"/>
    <w:rsid w:val="00415BF2"/>
    <w:rsid w:val="004161B9"/>
    <w:rsid w:val="00416253"/>
    <w:rsid w:val="004167EC"/>
    <w:rsid w:val="00417024"/>
    <w:rsid w:val="004170C4"/>
    <w:rsid w:val="0041717E"/>
    <w:rsid w:val="004172A8"/>
    <w:rsid w:val="00417C8A"/>
    <w:rsid w:val="004201F5"/>
    <w:rsid w:val="00420771"/>
    <w:rsid w:val="00420C48"/>
    <w:rsid w:val="00420D18"/>
    <w:rsid w:val="0042160D"/>
    <w:rsid w:val="004219F9"/>
    <w:rsid w:val="00421A78"/>
    <w:rsid w:val="004225B5"/>
    <w:rsid w:val="004226F4"/>
    <w:rsid w:val="0042304A"/>
    <w:rsid w:val="00423B59"/>
    <w:rsid w:val="00423CFC"/>
    <w:rsid w:val="00423FD1"/>
    <w:rsid w:val="004248DE"/>
    <w:rsid w:val="00424AC5"/>
    <w:rsid w:val="00426D8F"/>
    <w:rsid w:val="004275A5"/>
    <w:rsid w:val="00427A70"/>
    <w:rsid w:val="0043034C"/>
    <w:rsid w:val="00430CF1"/>
    <w:rsid w:val="0043114C"/>
    <w:rsid w:val="0043135C"/>
    <w:rsid w:val="004325FF"/>
    <w:rsid w:val="004328D7"/>
    <w:rsid w:val="00432DDF"/>
    <w:rsid w:val="0043331B"/>
    <w:rsid w:val="00433820"/>
    <w:rsid w:val="004339AD"/>
    <w:rsid w:val="00433C33"/>
    <w:rsid w:val="00434436"/>
    <w:rsid w:val="00434997"/>
    <w:rsid w:val="00434AC3"/>
    <w:rsid w:val="00434D5D"/>
    <w:rsid w:val="0043576C"/>
    <w:rsid w:val="0043581E"/>
    <w:rsid w:val="00436284"/>
    <w:rsid w:val="00436D09"/>
    <w:rsid w:val="00436DD5"/>
    <w:rsid w:val="0043785D"/>
    <w:rsid w:val="004414B7"/>
    <w:rsid w:val="0044154B"/>
    <w:rsid w:val="00441E28"/>
    <w:rsid w:val="00442CED"/>
    <w:rsid w:val="00442E6C"/>
    <w:rsid w:val="00443189"/>
    <w:rsid w:val="00443439"/>
    <w:rsid w:val="00444A11"/>
    <w:rsid w:val="00444E01"/>
    <w:rsid w:val="004455BE"/>
    <w:rsid w:val="004462AA"/>
    <w:rsid w:val="00446D97"/>
    <w:rsid w:val="004476F8"/>
    <w:rsid w:val="004502B2"/>
    <w:rsid w:val="0045075C"/>
    <w:rsid w:val="00450D5B"/>
    <w:rsid w:val="00451076"/>
    <w:rsid w:val="00451D86"/>
    <w:rsid w:val="0045242A"/>
    <w:rsid w:val="004529E2"/>
    <w:rsid w:val="00452A7D"/>
    <w:rsid w:val="004534FA"/>
    <w:rsid w:val="00455E55"/>
    <w:rsid w:val="0045606B"/>
    <w:rsid w:val="00456BE1"/>
    <w:rsid w:val="00456DB4"/>
    <w:rsid w:val="0045746E"/>
    <w:rsid w:val="004578A0"/>
    <w:rsid w:val="00457B87"/>
    <w:rsid w:val="00460047"/>
    <w:rsid w:val="004600C1"/>
    <w:rsid w:val="0046074F"/>
    <w:rsid w:val="00460B74"/>
    <w:rsid w:val="00460EDA"/>
    <w:rsid w:val="00461251"/>
    <w:rsid w:val="0046175F"/>
    <w:rsid w:val="0046219B"/>
    <w:rsid w:val="004623B5"/>
    <w:rsid w:val="004628BA"/>
    <w:rsid w:val="004638DC"/>
    <w:rsid w:val="00463C07"/>
    <w:rsid w:val="00464C7B"/>
    <w:rsid w:val="00464DC9"/>
    <w:rsid w:val="004656CB"/>
    <w:rsid w:val="00465C28"/>
    <w:rsid w:val="00466A00"/>
    <w:rsid w:val="00467CA3"/>
    <w:rsid w:val="00467D36"/>
    <w:rsid w:val="004707AD"/>
    <w:rsid w:val="004715EA"/>
    <w:rsid w:val="00471EA8"/>
    <w:rsid w:val="00472B25"/>
    <w:rsid w:val="00472E90"/>
    <w:rsid w:val="0047415B"/>
    <w:rsid w:val="00474514"/>
    <w:rsid w:val="00474CBE"/>
    <w:rsid w:val="00475C12"/>
    <w:rsid w:val="00476370"/>
    <w:rsid w:val="004770DA"/>
    <w:rsid w:val="00480318"/>
    <w:rsid w:val="00480678"/>
    <w:rsid w:val="00480A85"/>
    <w:rsid w:val="00480FBF"/>
    <w:rsid w:val="00481054"/>
    <w:rsid w:val="0048219D"/>
    <w:rsid w:val="00482DBE"/>
    <w:rsid w:val="00482F87"/>
    <w:rsid w:val="004832D7"/>
    <w:rsid w:val="00483CF1"/>
    <w:rsid w:val="00483F5B"/>
    <w:rsid w:val="00484196"/>
    <w:rsid w:val="004847F9"/>
    <w:rsid w:val="0048534F"/>
    <w:rsid w:val="004859AA"/>
    <w:rsid w:val="004859E7"/>
    <w:rsid w:val="00485CF3"/>
    <w:rsid w:val="00485DD1"/>
    <w:rsid w:val="00490D5F"/>
    <w:rsid w:val="00490E8E"/>
    <w:rsid w:val="0049221F"/>
    <w:rsid w:val="004931F4"/>
    <w:rsid w:val="0049354E"/>
    <w:rsid w:val="004937DF"/>
    <w:rsid w:val="00494947"/>
    <w:rsid w:val="00494993"/>
    <w:rsid w:val="00494A48"/>
    <w:rsid w:val="00495553"/>
    <w:rsid w:val="00495637"/>
    <w:rsid w:val="00495F28"/>
    <w:rsid w:val="004961CE"/>
    <w:rsid w:val="004A00BB"/>
    <w:rsid w:val="004A0DA1"/>
    <w:rsid w:val="004A208C"/>
    <w:rsid w:val="004A2167"/>
    <w:rsid w:val="004A2189"/>
    <w:rsid w:val="004A21B8"/>
    <w:rsid w:val="004A25FF"/>
    <w:rsid w:val="004A3A88"/>
    <w:rsid w:val="004A3DA3"/>
    <w:rsid w:val="004A46C1"/>
    <w:rsid w:val="004A48BF"/>
    <w:rsid w:val="004A5B51"/>
    <w:rsid w:val="004A7438"/>
    <w:rsid w:val="004A7A3F"/>
    <w:rsid w:val="004A7BD1"/>
    <w:rsid w:val="004B0B78"/>
    <w:rsid w:val="004B0D03"/>
    <w:rsid w:val="004B0F13"/>
    <w:rsid w:val="004B144C"/>
    <w:rsid w:val="004B1527"/>
    <w:rsid w:val="004B1AED"/>
    <w:rsid w:val="004B1B99"/>
    <w:rsid w:val="004B298A"/>
    <w:rsid w:val="004B2BDF"/>
    <w:rsid w:val="004B2F06"/>
    <w:rsid w:val="004B594D"/>
    <w:rsid w:val="004B68A5"/>
    <w:rsid w:val="004B7215"/>
    <w:rsid w:val="004B7599"/>
    <w:rsid w:val="004B7C19"/>
    <w:rsid w:val="004C0530"/>
    <w:rsid w:val="004C0637"/>
    <w:rsid w:val="004C0D57"/>
    <w:rsid w:val="004C1435"/>
    <w:rsid w:val="004C1B8A"/>
    <w:rsid w:val="004C2825"/>
    <w:rsid w:val="004C5685"/>
    <w:rsid w:val="004C5957"/>
    <w:rsid w:val="004C596C"/>
    <w:rsid w:val="004C60E5"/>
    <w:rsid w:val="004C612F"/>
    <w:rsid w:val="004C67B1"/>
    <w:rsid w:val="004C78DB"/>
    <w:rsid w:val="004C7BDF"/>
    <w:rsid w:val="004C7C82"/>
    <w:rsid w:val="004D077B"/>
    <w:rsid w:val="004D1319"/>
    <w:rsid w:val="004D1573"/>
    <w:rsid w:val="004D20A5"/>
    <w:rsid w:val="004D309B"/>
    <w:rsid w:val="004D3535"/>
    <w:rsid w:val="004D3563"/>
    <w:rsid w:val="004D3846"/>
    <w:rsid w:val="004D4668"/>
    <w:rsid w:val="004D4A7C"/>
    <w:rsid w:val="004D4AE1"/>
    <w:rsid w:val="004D4E12"/>
    <w:rsid w:val="004D5648"/>
    <w:rsid w:val="004D58CE"/>
    <w:rsid w:val="004D7CD2"/>
    <w:rsid w:val="004D7DAA"/>
    <w:rsid w:val="004D7E8A"/>
    <w:rsid w:val="004E0D0D"/>
    <w:rsid w:val="004E0E87"/>
    <w:rsid w:val="004E16B7"/>
    <w:rsid w:val="004E1BDC"/>
    <w:rsid w:val="004E25B5"/>
    <w:rsid w:val="004E28E2"/>
    <w:rsid w:val="004E2B0E"/>
    <w:rsid w:val="004E2BC2"/>
    <w:rsid w:val="004E3E19"/>
    <w:rsid w:val="004E4AAE"/>
    <w:rsid w:val="004E60A2"/>
    <w:rsid w:val="004E7AF4"/>
    <w:rsid w:val="004F0288"/>
    <w:rsid w:val="004F036D"/>
    <w:rsid w:val="004F165A"/>
    <w:rsid w:val="004F1848"/>
    <w:rsid w:val="004F1941"/>
    <w:rsid w:val="004F1F46"/>
    <w:rsid w:val="004F2D6F"/>
    <w:rsid w:val="004F3FED"/>
    <w:rsid w:val="004F46AB"/>
    <w:rsid w:val="004F57BA"/>
    <w:rsid w:val="004F5A8D"/>
    <w:rsid w:val="004F64F6"/>
    <w:rsid w:val="004F6AE8"/>
    <w:rsid w:val="004F739A"/>
    <w:rsid w:val="004F73C3"/>
    <w:rsid w:val="004F77A9"/>
    <w:rsid w:val="004F794A"/>
    <w:rsid w:val="0050033F"/>
    <w:rsid w:val="00501265"/>
    <w:rsid w:val="0050222D"/>
    <w:rsid w:val="0050273D"/>
    <w:rsid w:val="00502775"/>
    <w:rsid w:val="00502852"/>
    <w:rsid w:val="00502F02"/>
    <w:rsid w:val="005044F8"/>
    <w:rsid w:val="0050453A"/>
    <w:rsid w:val="0050585F"/>
    <w:rsid w:val="00505FCA"/>
    <w:rsid w:val="00506008"/>
    <w:rsid w:val="0050600A"/>
    <w:rsid w:val="005074B2"/>
    <w:rsid w:val="00507ED5"/>
    <w:rsid w:val="00510C0A"/>
    <w:rsid w:val="005113F0"/>
    <w:rsid w:val="005117D4"/>
    <w:rsid w:val="00511B84"/>
    <w:rsid w:val="0051207F"/>
    <w:rsid w:val="0051258B"/>
    <w:rsid w:val="005125B1"/>
    <w:rsid w:val="005127E6"/>
    <w:rsid w:val="00512C49"/>
    <w:rsid w:val="005141D6"/>
    <w:rsid w:val="00515F2C"/>
    <w:rsid w:val="00516342"/>
    <w:rsid w:val="00516D79"/>
    <w:rsid w:val="00517241"/>
    <w:rsid w:val="00517C60"/>
    <w:rsid w:val="00520DA0"/>
    <w:rsid w:val="00520FA5"/>
    <w:rsid w:val="005215DF"/>
    <w:rsid w:val="005218C6"/>
    <w:rsid w:val="00521A4E"/>
    <w:rsid w:val="005228E4"/>
    <w:rsid w:val="00522B5F"/>
    <w:rsid w:val="00522E26"/>
    <w:rsid w:val="00523288"/>
    <w:rsid w:val="005232DF"/>
    <w:rsid w:val="005265F9"/>
    <w:rsid w:val="00526B20"/>
    <w:rsid w:val="0052794E"/>
    <w:rsid w:val="00527BF4"/>
    <w:rsid w:val="005309CE"/>
    <w:rsid w:val="00531AA2"/>
    <w:rsid w:val="00533225"/>
    <w:rsid w:val="00533506"/>
    <w:rsid w:val="00533A4A"/>
    <w:rsid w:val="0053491B"/>
    <w:rsid w:val="00534BA2"/>
    <w:rsid w:val="00534DC2"/>
    <w:rsid w:val="005351B0"/>
    <w:rsid w:val="0053560F"/>
    <w:rsid w:val="0053781E"/>
    <w:rsid w:val="00537E7A"/>
    <w:rsid w:val="00541EF6"/>
    <w:rsid w:val="00542530"/>
    <w:rsid w:val="005437E8"/>
    <w:rsid w:val="005448D0"/>
    <w:rsid w:val="005463FC"/>
    <w:rsid w:val="00546E16"/>
    <w:rsid w:val="005475FC"/>
    <w:rsid w:val="005476D5"/>
    <w:rsid w:val="00547836"/>
    <w:rsid w:val="00547E95"/>
    <w:rsid w:val="00550720"/>
    <w:rsid w:val="0055161B"/>
    <w:rsid w:val="00551BB3"/>
    <w:rsid w:val="00551CC4"/>
    <w:rsid w:val="00551E31"/>
    <w:rsid w:val="00552885"/>
    <w:rsid w:val="00552DD8"/>
    <w:rsid w:val="00553052"/>
    <w:rsid w:val="00553529"/>
    <w:rsid w:val="00554394"/>
    <w:rsid w:val="00554F6B"/>
    <w:rsid w:val="00555237"/>
    <w:rsid w:val="0055632A"/>
    <w:rsid w:val="0055791A"/>
    <w:rsid w:val="00560C83"/>
    <w:rsid w:val="00561CAD"/>
    <w:rsid w:val="005629A3"/>
    <w:rsid w:val="005641FD"/>
    <w:rsid w:val="0056589D"/>
    <w:rsid w:val="005659B0"/>
    <w:rsid w:val="00565C76"/>
    <w:rsid w:val="00565F37"/>
    <w:rsid w:val="0056624E"/>
    <w:rsid w:val="00566316"/>
    <w:rsid w:val="00566468"/>
    <w:rsid w:val="00566B80"/>
    <w:rsid w:val="00566D88"/>
    <w:rsid w:val="00566EBF"/>
    <w:rsid w:val="00567150"/>
    <w:rsid w:val="005706A1"/>
    <w:rsid w:val="00570AF9"/>
    <w:rsid w:val="005713C6"/>
    <w:rsid w:val="0057168A"/>
    <w:rsid w:val="005716D0"/>
    <w:rsid w:val="0057227E"/>
    <w:rsid w:val="005728A8"/>
    <w:rsid w:val="00572EDE"/>
    <w:rsid w:val="00573229"/>
    <w:rsid w:val="0057322F"/>
    <w:rsid w:val="0057333C"/>
    <w:rsid w:val="00573692"/>
    <w:rsid w:val="00574D8E"/>
    <w:rsid w:val="00574D9C"/>
    <w:rsid w:val="00575D3C"/>
    <w:rsid w:val="00575E76"/>
    <w:rsid w:val="00577814"/>
    <w:rsid w:val="00580715"/>
    <w:rsid w:val="00580C20"/>
    <w:rsid w:val="00581198"/>
    <w:rsid w:val="00581E73"/>
    <w:rsid w:val="0058237C"/>
    <w:rsid w:val="0058290A"/>
    <w:rsid w:val="0058361C"/>
    <w:rsid w:val="0058415D"/>
    <w:rsid w:val="005848E3"/>
    <w:rsid w:val="00584C2F"/>
    <w:rsid w:val="00585EC8"/>
    <w:rsid w:val="00586504"/>
    <w:rsid w:val="00587364"/>
    <w:rsid w:val="00587580"/>
    <w:rsid w:val="00587D39"/>
    <w:rsid w:val="00590417"/>
    <w:rsid w:val="005908D2"/>
    <w:rsid w:val="00590CD3"/>
    <w:rsid w:val="00591302"/>
    <w:rsid w:val="00591535"/>
    <w:rsid w:val="0059191B"/>
    <w:rsid w:val="00592C94"/>
    <w:rsid w:val="00595435"/>
    <w:rsid w:val="005957B0"/>
    <w:rsid w:val="00595C7D"/>
    <w:rsid w:val="00596121"/>
    <w:rsid w:val="0059622A"/>
    <w:rsid w:val="005966A4"/>
    <w:rsid w:val="005967CA"/>
    <w:rsid w:val="005968EF"/>
    <w:rsid w:val="005969E0"/>
    <w:rsid w:val="00596B10"/>
    <w:rsid w:val="00596DDA"/>
    <w:rsid w:val="00596EA0"/>
    <w:rsid w:val="005975B0"/>
    <w:rsid w:val="005976C7"/>
    <w:rsid w:val="00597C09"/>
    <w:rsid w:val="005A19CA"/>
    <w:rsid w:val="005A19FD"/>
    <w:rsid w:val="005A26DB"/>
    <w:rsid w:val="005A2FB3"/>
    <w:rsid w:val="005A317C"/>
    <w:rsid w:val="005A3E08"/>
    <w:rsid w:val="005A4BE8"/>
    <w:rsid w:val="005A4CCC"/>
    <w:rsid w:val="005A6056"/>
    <w:rsid w:val="005A6B18"/>
    <w:rsid w:val="005A6B86"/>
    <w:rsid w:val="005A7A4B"/>
    <w:rsid w:val="005B0F4A"/>
    <w:rsid w:val="005B1F44"/>
    <w:rsid w:val="005B2270"/>
    <w:rsid w:val="005B2E52"/>
    <w:rsid w:val="005B3793"/>
    <w:rsid w:val="005B3BA6"/>
    <w:rsid w:val="005B4060"/>
    <w:rsid w:val="005B4385"/>
    <w:rsid w:val="005B44DA"/>
    <w:rsid w:val="005B4706"/>
    <w:rsid w:val="005B4839"/>
    <w:rsid w:val="005B6531"/>
    <w:rsid w:val="005B72CF"/>
    <w:rsid w:val="005B7A50"/>
    <w:rsid w:val="005B7E9E"/>
    <w:rsid w:val="005C1561"/>
    <w:rsid w:val="005C21D5"/>
    <w:rsid w:val="005C2607"/>
    <w:rsid w:val="005C2A79"/>
    <w:rsid w:val="005C314F"/>
    <w:rsid w:val="005C3C85"/>
    <w:rsid w:val="005C560D"/>
    <w:rsid w:val="005C5D4A"/>
    <w:rsid w:val="005C7BAA"/>
    <w:rsid w:val="005C7F31"/>
    <w:rsid w:val="005D0A35"/>
    <w:rsid w:val="005D0BCF"/>
    <w:rsid w:val="005D235E"/>
    <w:rsid w:val="005D23A0"/>
    <w:rsid w:val="005D3713"/>
    <w:rsid w:val="005D41D1"/>
    <w:rsid w:val="005D44C5"/>
    <w:rsid w:val="005D4DFF"/>
    <w:rsid w:val="005D4FCB"/>
    <w:rsid w:val="005D50D2"/>
    <w:rsid w:val="005D5D83"/>
    <w:rsid w:val="005D5F1A"/>
    <w:rsid w:val="005D5FDC"/>
    <w:rsid w:val="005D63FF"/>
    <w:rsid w:val="005D7457"/>
    <w:rsid w:val="005D7B46"/>
    <w:rsid w:val="005D7DA4"/>
    <w:rsid w:val="005E0505"/>
    <w:rsid w:val="005E1887"/>
    <w:rsid w:val="005E1C05"/>
    <w:rsid w:val="005E2886"/>
    <w:rsid w:val="005E2A73"/>
    <w:rsid w:val="005E3B44"/>
    <w:rsid w:val="005E430A"/>
    <w:rsid w:val="005E4F35"/>
    <w:rsid w:val="005E5DC4"/>
    <w:rsid w:val="005E636C"/>
    <w:rsid w:val="005E794A"/>
    <w:rsid w:val="005E7E04"/>
    <w:rsid w:val="005F072D"/>
    <w:rsid w:val="005F176D"/>
    <w:rsid w:val="005F1AD7"/>
    <w:rsid w:val="005F1FD8"/>
    <w:rsid w:val="005F223B"/>
    <w:rsid w:val="005F2B0C"/>
    <w:rsid w:val="005F2F0B"/>
    <w:rsid w:val="005F30D8"/>
    <w:rsid w:val="005F3FF7"/>
    <w:rsid w:val="005F4209"/>
    <w:rsid w:val="005F57F6"/>
    <w:rsid w:val="005F5AE7"/>
    <w:rsid w:val="005F5CD3"/>
    <w:rsid w:val="005F5D5E"/>
    <w:rsid w:val="005F6E0D"/>
    <w:rsid w:val="005F6EB8"/>
    <w:rsid w:val="005F7148"/>
    <w:rsid w:val="005F78B6"/>
    <w:rsid w:val="0060006B"/>
    <w:rsid w:val="006002A6"/>
    <w:rsid w:val="00600DEA"/>
    <w:rsid w:val="00601212"/>
    <w:rsid w:val="00602908"/>
    <w:rsid w:val="00602F61"/>
    <w:rsid w:val="00603949"/>
    <w:rsid w:val="00603EA4"/>
    <w:rsid w:val="00604A5C"/>
    <w:rsid w:val="00604C30"/>
    <w:rsid w:val="006053EE"/>
    <w:rsid w:val="0060549D"/>
    <w:rsid w:val="006060C4"/>
    <w:rsid w:val="00606D5C"/>
    <w:rsid w:val="00607699"/>
    <w:rsid w:val="00607C19"/>
    <w:rsid w:val="00612FB6"/>
    <w:rsid w:val="0061398E"/>
    <w:rsid w:val="00613B58"/>
    <w:rsid w:val="00613FAC"/>
    <w:rsid w:val="00614B8D"/>
    <w:rsid w:val="00615FFA"/>
    <w:rsid w:val="00616859"/>
    <w:rsid w:val="00620C63"/>
    <w:rsid w:val="00620E23"/>
    <w:rsid w:val="006215DC"/>
    <w:rsid w:val="0062181E"/>
    <w:rsid w:val="006223D2"/>
    <w:rsid w:val="00622939"/>
    <w:rsid w:val="00622D78"/>
    <w:rsid w:val="006231C8"/>
    <w:rsid w:val="00623969"/>
    <w:rsid w:val="006247AD"/>
    <w:rsid w:val="00624852"/>
    <w:rsid w:val="00625995"/>
    <w:rsid w:val="006259C0"/>
    <w:rsid w:val="006274DF"/>
    <w:rsid w:val="00630E6C"/>
    <w:rsid w:val="00630EF2"/>
    <w:rsid w:val="0063104C"/>
    <w:rsid w:val="00631ED6"/>
    <w:rsid w:val="006320AD"/>
    <w:rsid w:val="006327E6"/>
    <w:rsid w:val="00632F28"/>
    <w:rsid w:val="006330E1"/>
    <w:rsid w:val="0063389B"/>
    <w:rsid w:val="00633B35"/>
    <w:rsid w:val="00633C2A"/>
    <w:rsid w:val="00634720"/>
    <w:rsid w:val="00634FC0"/>
    <w:rsid w:val="00635C40"/>
    <w:rsid w:val="0063629D"/>
    <w:rsid w:val="006367C1"/>
    <w:rsid w:val="0063767A"/>
    <w:rsid w:val="00637780"/>
    <w:rsid w:val="00637D24"/>
    <w:rsid w:val="006404C9"/>
    <w:rsid w:val="00641044"/>
    <w:rsid w:val="006410B7"/>
    <w:rsid w:val="006413B3"/>
    <w:rsid w:val="006438F0"/>
    <w:rsid w:val="006443D9"/>
    <w:rsid w:val="006443FF"/>
    <w:rsid w:val="00644A61"/>
    <w:rsid w:val="00645039"/>
    <w:rsid w:val="00645155"/>
    <w:rsid w:val="00645CE8"/>
    <w:rsid w:val="006460B2"/>
    <w:rsid w:val="00646B69"/>
    <w:rsid w:val="006470E0"/>
    <w:rsid w:val="006471C0"/>
    <w:rsid w:val="006478E4"/>
    <w:rsid w:val="00647DE5"/>
    <w:rsid w:val="006500D2"/>
    <w:rsid w:val="00650793"/>
    <w:rsid w:val="00650868"/>
    <w:rsid w:val="00651999"/>
    <w:rsid w:val="00651C90"/>
    <w:rsid w:val="0065243E"/>
    <w:rsid w:val="0065248F"/>
    <w:rsid w:val="00652AB9"/>
    <w:rsid w:val="00653242"/>
    <w:rsid w:val="006535A0"/>
    <w:rsid w:val="00653AFC"/>
    <w:rsid w:val="00654144"/>
    <w:rsid w:val="006542F3"/>
    <w:rsid w:val="00654614"/>
    <w:rsid w:val="006547F1"/>
    <w:rsid w:val="00654AA5"/>
    <w:rsid w:val="006552D2"/>
    <w:rsid w:val="00655CD9"/>
    <w:rsid w:val="00655D55"/>
    <w:rsid w:val="00657076"/>
    <w:rsid w:val="0065781C"/>
    <w:rsid w:val="00657A8D"/>
    <w:rsid w:val="00657DD4"/>
    <w:rsid w:val="0066056B"/>
    <w:rsid w:val="00660EF6"/>
    <w:rsid w:val="00660FAB"/>
    <w:rsid w:val="00661A9C"/>
    <w:rsid w:val="00662B0D"/>
    <w:rsid w:val="00662D22"/>
    <w:rsid w:val="00663E47"/>
    <w:rsid w:val="006643CC"/>
    <w:rsid w:val="006643E4"/>
    <w:rsid w:val="00664EAE"/>
    <w:rsid w:val="006656C9"/>
    <w:rsid w:val="00665EB7"/>
    <w:rsid w:val="0066632E"/>
    <w:rsid w:val="0066647B"/>
    <w:rsid w:val="006666BE"/>
    <w:rsid w:val="006669E7"/>
    <w:rsid w:val="00666CA1"/>
    <w:rsid w:val="0066740C"/>
    <w:rsid w:val="006677E2"/>
    <w:rsid w:val="0066787F"/>
    <w:rsid w:val="00670AD6"/>
    <w:rsid w:val="00670CC9"/>
    <w:rsid w:val="00670D58"/>
    <w:rsid w:val="006712B3"/>
    <w:rsid w:val="00671BF4"/>
    <w:rsid w:val="00671C5A"/>
    <w:rsid w:val="00671F10"/>
    <w:rsid w:val="00671F8F"/>
    <w:rsid w:val="00672507"/>
    <w:rsid w:val="00673184"/>
    <w:rsid w:val="00673254"/>
    <w:rsid w:val="00673305"/>
    <w:rsid w:val="00673EB8"/>
    <w:rsid w:val="00674380"/>
    <w:rsid w:val="006744EF"/>
    <w:rsid w:val="006763B8"/>
    <w:rsid w:val="00676772"/>
    <w:rsid w:val="00676A47"/>
    <w:rsid w:val="006776FA"/>
    <w:rsid w:val="00677955"/>
    <w:rsid w:val="00677A41"/>
    <w:rsid w:val="00677C52"/>
    <w:rsid w:val="00677DA5"/>
    <w:rsid w:val="006806E6"/>
    <w:rsid w:val="006810CD"/>
    <w:rsid w:val="00681DBC"/>
    <w:rsid w:val="00682407"/>
    <w:rsid w:val="00682861"/>
    <w:rsid w:val="00682C6D"/>
    <w:rsid w:val="00683643"/>
    <w:rsid w:val="00683F62"/>
    <w:rsid w:val="006842BD"/>
    <w:rsid w:val="00684A76"/>
    <w:rsid w:val="00684AC8"/>
    <w:rsid w:val="0068518E"/>
    <w:rsid w:val="00685BEE"/>
    <w:rsid w:val="00685E17"/>
    <w:rsid w:val="0068642C"/>
    <w:rsid w:val="00686DB9"/>
    <w:rsid w:val="00686FD8"/>
    <w:rsid w:val="006878F5"/>
    <w:rsid w:val="00687BBB"/>
    <w:rsid w:val="0069098C"/>
    <w:rsid w:val="0069246B"/>
    <w:rsid w:val="00695866"/>
    <w:rsid w:val="0069610F"/>
    <w:rsid w:val="0069644E"/>
    <w:rsid w:val="00696461"/>
    <w:rsid w:val="00696A85"/>
    <w:rsid w:val="00696B12"/>
    <w:rsid w:val="00696BA7"/>
    <w:rsid w:val="00696C31"/>
    <w:rsid w:val="00696DEB"/>
    <w:rsid w:val="00697047"/>
    <w:rsid w:val="00697203"/>
    <w:rsid w:val="006974B0"/>
    <w:rsid w:val="00697C5E"/>
    <w:rsid w:val="00697D1E"/>
    <w:rsid w:val="006A060D"/>
    <w:rsid w:val="006A10E8"/>
    <w:rsid w:val="006A341C"/>
    <w:rsid w:val="006A529F"/>
    <w:rsid w:val="006A58E0"/>
    <w:rsid w:val="006A61D8"/>
    <w:rsid w:val="006A6407"/>
    <w:rsid w:val="006A6671"/>
    <w:rsid w:val="006A6BC0"/>
    <w:rsid w:val="006A7289"/>
    <w:rsid w:val="006A7913"/>
    <w:rsid w:val="006A7C6E"/>
    <w:rsid w:val="006A7E00"/>
    <w:rsid w:val="006B02FC"/>
    <w:rsid w:val="006B0335"/>
    <w:rsid w:val="006B055E"/>
    <w:rsid w:val="006B0D0F"/>
    <w:rsid w:val="006B1615"/>
    <w:rsid w:val="006B2DB5"/>
    <w:rsid w:val="006B3177"/>
    <w:rsid w:val="006B33A6"/>
    <w:rsid w:val="006B3D29"/>
    <w:rsid w:val="006B5E48"/>
    <w:rsid w:val="006B635E"/>
    <w:rsid w:val="006B6CC4"/>
    <w:rsid w:val="006B7E78"/>
    <w:rsid w:val="006B7E8E"/>
    <w:rsid w:val="006B7F59"/>
    <w:rsid w:val="006C0238"/>
    <w:rsid w:val="006C16FE"/>
    <w:rsid w:val="006C18C5"/>
    <w:rsid w:val="006C1D04"/>
    <w:rsid w:val="006C33D7"/>
    <w:rsid w:val="006C3C65"/>
    <w:rsid w:val="006C4026"/>
    <w:rsid w:val="006C4379"/>
    <w:rsid w:val="006C440E"/>
    <w:rsid w:val="006C4CE8"/>
    <w:rsid w:val="006C62E2"/>
    <w:rsid w:val="006C6D15"/>
    <w:rsid w:val="006C7321"/>
    <w:rsid w:val="006C7381"/>
    <w:rsid w:val="006C78F4"/>
    <w:rsid w:val="006D02F9"/>
    <w:rsid w:val="006D036D"/>
    <w:rsid w:val="006D0F0E"/>
    <w:rsid w:val="006D1456"/>
    <w:rsid w:val="006D244F"/>
    <w:rsid w:val="006D280A"/>
    <w:rsid w:val="006D29D9"/>
    <w:rsid w:val="006D3B23"/>
    <w:rsid w:val="006D3BA6"/>
    <w:rsid w:val="006D415C"/>
    <w:rsid w:val="006D50C1"/>
    <w:rsid w:val="006D5212"/>
    <w:rsid w:val="006D5CA7"/>
    <w:rsid w:val="006D5DBD"/>
    <w:rsid w:val="006D687D"/>
    <w:rsid w:val="006D68C3"/>
    <w:rsid w:val="006D6BAF"/>
    <w:rsid w:val="006D6FF7"/>
    <w:rsid w:val="006D795E"/>
    <w:rsid w:val="006D7DFE"/>
    <w:rsid w:val="006D7E91"/>
    <w:rsid w:val="006D7F61"/>
    <w:rsid w:val="006E01A4"/>
    <w:rsid w:val="006E0427"/>
    <w:rsid w:val="006E13EB"/>
    <w:rsid w:val="006E1B69"/>
    <w:rsid w:val="006E1DB9"/>
    <w:rsid w:val="006E1F2C"/>
    <w:rsid w:val="006E214B"/>
    <w:rsid w:val="006E28EB"/>
    <w:rsid w:val="006E2A5E"/>
    <w:rsid w:val="006E2A72"/>
    <w:rsid w:val="006E2E7C"/>
    <w:rsid w:val="006E3A53"/>
    <w:rsid w:val="006E45AA"/>
    <w:rsid w:val="006E4EBB"/>
    <w:rsid w:val="006E4F9C"/>
    <w:rsid w:val="006E5369"/>
    <w:rsid w:val="006E5A63"/>
    <w:rsid w:val="006E5EF8"/>
    <w:rsid w:val="006E67EC"/>
    <w:rsid w:val="006E6F22"/>
    <w:rsid w:val="006E6FD4"/>
    <w:rsid w:val="006E74AC"/>
    <w:rsid w:val="006E7E0A"/>
    <w:rsid w:val="006E7FD4"/>
    <w:rsid w:val="006F0591"/>
    <w:rsid w:val="006F0F31"/>
    <w:rsid w:val="006F103E"/>
    <w:rsid w:val="006F198F"/>
    <w:rsid w:val="006F1E28"/>
    <w:rsid w:val="006F259F"/>
    <w:rsid w:val="006F3337"/>
    <w:rsid w:val="006F38DD"/>
    <w:rsid w:val="006F3A3E"/>
    <w:rsid w:val="006F3F7B"/>
    <w:rsid w:val="006F407A"/>
    <w:rsid w:val="006F44DC"/>
    <w:rsid w:val="006F573A"/>
    <w:rsid w:val="006F5ABF"/>
    <w:rsid w:val="006F5B2D"/>
    <w:rsid w:val="006F5B4A"/>
    <w:rsid w:val="006F60B4"/>
    <w:rsid w:val="006F63B3"/>
    <w:rsid w:val="006F6498"/>
    <w:rsid w:val="006F6698"/>
    <w:rsid w:val="006F68F6"/>
    <w:rsid w:val="006F6920"/>
    <w:rsid w:val="006F727A"/>
    <w:rsid w:val="006F76E6"/>
    <w:rsid w:val="006F7AB7"/>
    <w:rsid w:val="006F7B4D"/>
    <w:rsid w:val="007001A8"/>
    <w:rsid w:val="00700AE7"/>
    <w:rsid w:val="00700BC6"/>
    <w:rsid w:val="0070106C"/>
    <w:rsid w:val="00701303"/>
    <w:rsid w:val="0070147D"/>
    <w:rsid w:val="00702EF0"/>
    <w:rsid w:val="00703A48"/>
    <w:rsid w:val="00704A7B"/>
    <w:rsid w:val="00704BD6"/>
    <w:rsid w:val="00705372"/>
    <w:rsid w:val="00705828"/>
    <w:rsid w:val="0070593E"/>
    <w:rsid w:val="00705F00"/>
    <w:rsid w:val="00705F06"/>
    <w:rsid w:val="00705FF5"/>
    <w:rsid w:val="007063DA"/>
    <w:rsid w:val="00706BF7"/>
    <w:rsid w:val="00707016"/>
    <w:rsid w:val="00710281"/>
    <w:rsid w:val="007103EB"/>
    <w:rsid w:val="00710778"/>
    <w:rsid w:val="00710A36"/>
    <w:rsid w:val="00711396"/>
    <w:rsid w:val="00712146"/>
    <w:rsid w:val="0071250C"/>
    <w:rsid w:val="00712AFE"/>
    <w:rsid w:val="00713674"/>
    <w:rsid w:val="00713B96"/>
    <w:rsid w:val="00714BB0"/>
    <w:rsid w:val="00714F7E"/>
    <w:rsid w:val="007165B7"/>
    <w:rsid w:val="00716904"/>
    <w:rsid w:val="00716CDA"/>
    <w:rsid w:val="007174AE"/>
    <w:rsid w:val="00717D1C"/>
    <w:rsid w:val="007200DC"/>
    <w:rsid w:val="00720735"/>
    <w:rsid w:val="00720750"/>
    <w:rsid w:val="00721110"/>
    <w:rsid w:val="00722401"/>
    <w:rsid w:val="00722EC6"/>
    <w:rsid w:val="00723633"/>
    <w:rsid w:val="00723D20"/>
    <w:rsid w:val="007241AB"/>
    <w:rsid w:val="007252EF"/>
    <w:rsid w:val="00725535"/>
    <w:rsid w:val="007256CE"/>
    <w:rsid w:val="00725D17"/>
    <w:rsid w:val="00726347"/>
    <w:rsid w:val="00730163"/>
    <w:rsid w:val="0073089A"/>
    <w:rsid w:val="007309FC"/>
    <w:rsid w:val="007311BF"/>
    <w:rsid w:val="00731217"/>
    <w:rsid w:val="0073151A"/>
    <w:rsid w:val="00731965"/>
    <w:rsid w:val="00731E84"/>
    <w:rsid w:val="00731F03"/>
    <w:rsid w:val="00732059"/>
    <w:rsid w:val="00732260"/>
    <w:rsid w:val="00732BF4"/>
    <w:rsid w:val="007330B3"/>
    <w:rsid w:val="00733AC7"/>
    <w:rsid w:val="00733E59"/>
    <w:rsid w:val="00734D10"/>
    <w:rsid w:val="00734D18"/>
    <w:rsid w:val="00734E05"/>
    <w:rsid w:val="00734E0F"/>
    <w:rsid w:val="00734F40"/>
    <w:rsid w:val="007350E0"/>
    <w:rsid w:val="007356C9"/>
    <w:rsid w:val="007358F6"/>
    <w:rsid w:val="00736290"/>
    <w:rsid w:val="00736BAA"/>
    <w:rsid w:val="007370A3"/>
    <w:rsid w:val="0073741E"/>
    <w:rsid w:val="007374F7"/>
    <w:rsid w:val="00737807"/>
    <w:rsid w:val="00737ABE"/>
    <w:rsid w:val="007406EE"/>
    <w:rsid w:val="00741352"/>
    <w:rsid w:val="00741717"/>
    <w:rsid w:val="0074171C"/>
    <w:rsid w:val="00741ABF"/>
    <w:rsid w:val="0074256E"/>
    <w:rsid w:val="007426D8"/>
    <w:rsid w:val="00742DF9"/>
    <w:rsid w:val="00743735"/>
    <w:rsid w:val="00743AF4"/>
    <w:rsid w:val="00744589"/>
    <w:rsid w:val="00745654"/>
    <w:rsid w:val="007458F3"/>
    <w:rsid w:val="00745AEE"/>
    <w:rsid w:val="00745F8F"/>
    <w:rsid w:val="00746078"/>
    <w:rsid w:val="00746906"/>
    <w:rsid w:val="00746B24"/>
    <w:rsid w:val="00747D02"/>
    <w:rsid w:val="00750997"/>
    <w:rsid w:val="00750D5A"/>
    <w:rsid w:val="00751105"/>
    <w:rsid w:val="007516FA"/>
    <w:rsid w:val="00753272"/>
    <w:rsid w:val="0075368C"/>
    <w:rsid w:val="00753967"/>
    <w:rsid w:val="00754B1C"/>
    <w:rsid w:val="00755185"/>
    <w:rsid w:val="00755CE5"/>
    <w:rsid w:val="00755F7E"/>
    <w:rsid w:val="00756914"/>
    <w:rsid w:val="00757276"/>
    <w:rsid w:val="00760B39"/>
    <w:rsid w:val="00760EB4"/>
    <w:rsid w:val="007614CC"/>
    <w:rsid w:val="00761B26"/>
    <w:rsid w:val="00762C2D"/>
    <w:rsid w:val="0076407F"/>
    <w:rsid w:val="007668C3"/>
    <w:rsid w:val="00767032"/>
    <w:rsid w:val="007670DF"/>
    <w:rsid w:val="00767586"/>
    <w:rsid w:val="00767DBF"/>
    <w:rsid w:val="00770145"/>
    <w:rsid w:val="00770433"/>
    <w:rsid w:val="00770865"/>
    <w:rsid w:val="00771B6E"/>
    <w:rsid w:val="00772006"/>
    <w:rsid w:val="007726A4"/>
    <w:rsid w:val="007730A4"/>
    <w:rsid w:val="007742B2"/>
    <w:rsid w:val="007748E0"/>
    <w:rsid w:val="00775E47"/>
    <w:rsid w:val="0077678D"/>
    <w:rsid w:val="00776C64"/>
    <w:rsid w:val="00776CFD"/>
    <w:rsid w:val="007773C7"/>
    <w:rsid w:val="00777565"/>
    <w:rsid w:val="007776FD"/>
    <w:rsid w:val="00777E54"/>
    <w:rsid w:val="00780851"/>
    <w:rsid w:val="00781101"/>
    <w:rsid w:val="007813BB"/>
    <w:rsid w:val="007815DE"/>
    <w:rsid w:val="007815F2"/>
    <w:rsid w:val="0078163E"/>
    <w:rsid w:val="00781A80"/>
    <w:rsid w:val="00781F2A"/>
    <w:rsid w:val="00782268"/>
    <w:rsid w:val="007825EF"/>
    <w:rsid w:val="00782E12"/>
    <w:rsid w:val="00782E88"/>
    <w:rsid w:val="007830B3"/>
    <w:rsid w:val="007831C6"/>
    <w:rsid w:val="007836BB"/>
    <w:rsid w:val="007838F6"/>
    <w:rsid w:val="00783E28"/>
    <w:rsid w:val="00783F7F"/>
    <w:rsid w:val="007846AF"/>
    <w:rsid w:val="0078487A"/>
    <w:rsid w:val="00785072"/>
    <w:rsid w:val="0078512F"/>
    <w:rsid w:val="00785464"/>
    <w:rsid w:val="00785DDF"/>
    <w:rsid w:val="0078710A"/>
    <w:rsid w:val="0078710D"/>
    <w:rsid w:val="00790285"/>
    <w:rsid w:val="007911E9"/>
    <w:rsid w:val="007920AD"/>
    <w:rsid w:val="00792281"/>
    <w:rsid w:val="007924EB"/>
    <w:rsid w:val="00792903"/>
    <w:rsid w:val="00792D4C"/>
    <w:rsid w:val="00792FFF"/>
    <w:rsid w:val="007932C0"/>
    <w:rsid w:val="00795B0E"/>
    <w:rsid w:val="00796790"/>
    <w:rsid w:val="0079711C"/>
    <w:rsid w:val="00797A7F"/>
    <w:rsid w:val="007A0873"/>
    <w:rsid w:val="007A1315"/>
    <w:rsid w:val="007A1765"/>
    <w:rsid w:val="007A1B25"/>
    <w:rsid w:val="007A1D2D"/>
    <w:rsid w:val="007A1F89"/>
    <w:rsid w:val="007A3078"/>
    <w:rsid w:val="007A3A02"/>
    <w:rsid w:val="007A3F32"/>
    <w:rsid w:val="007A46EC"/>
    <w:rsid w:val="007A5174"/>
    <w:rsid w:val="007A53D3"/>
    <w:rsid w:val="007A5462"/>
    <w:rsid w:val="007A55D3"/>
    <w:rsid w:val="007A6225"/>
    <w:rsid w:val="007A6356"/>
    <w:rsid w:val="007A6415"/>
    <w:rsid w:val="007A66F8"/>
    <w:rsid w:val="007A6AD6"/>
    <w:rsid w:val="007A7AC8"/>
    <w:rsid w:val="007A7B07"/>
    <w:rsid w:val="007B015E"/>
    <w:rsid w:val="007B01A9"/>
    <w:rsid w:val="007B0309"/>
    <w:rsid w:val="007B0774"/>
    <w:rsid w:val="007B29BC"/>
    <w:rsid w:val="007B2CF9"/>
    <w:rsid w:val="007B2E6A"/>
    <w:rsid w:val="007B301C"/>
    <w:rsid w:val="007B3492"/>
    <w:rsid w:val="007B36CE"/>
    <w:rsid w:val="007B3992"/>
    <w:rsid w:val="007B40CD"/>
    <w:rsid w:val="007B41AA"/>
    <w:rsid w:val="007B4BE2"/>
    <w:rsid w:val="007B4EB3"/>
    <w:rsid w:val="007B4FBA"/>
    <w:rsid w:val="007B5E8B"/>
    <w:rsid w:val="007B5FAE"/>
    <w:rsid w:val="007B64BE"/>
    <w:rsid w:val="007B68AC"/>
    <w:rsid w:val="007B765A"/>
    <w:rsid w:val="007C081C"/>
    <w:rsid w:val="007C0AEE"/>
    <w:rsid w:val="007C10F0"/>
    <w:rsid w:val="007C11F4"/>
    <w:rsid w:val="007C1231"/>
    <w:rsid w:val="007C164D"/>
    <w:rsid w:val="007C23FD"/>
    <w:rsid w:val="007C3E74"/>
    <w:rsid w:val="007C4E85"/>
    <w:rsid w:val="007C513D"/>
    <w:rsid w:val="007C5C47"/>
    <w:rsid w:val="007C7547"/>
    <w:rsid w:val="007D04DE"/>
    <w:rsid w:val="007D2715"/>
    <w:rsid w:val="007D2A52"/>
    <w:rsid w:val="007D301B"/>
    <w:rsid w:val="007D36DD"/>
    <w:rsid w:val="007D3821"/>
    <w:rsid w:val="007D5BE5"/>
    <w:rsid w:val="007D6021"/>
    <w:rsid w:val="007D65DF"/>
    <w:rsid w:val="007D7D67"/>
    <w:rsid w:val="007E022A"/>
    <w:rsid w:val="007E131A"/>
    <w:rsid w:val="007E1948"/>
    <w:rsid w:val="007E2192"/>
    <w:rsid w:val="007E2307"/>
    <w:rsid w:val="007E270E"/>
    <w:rsid w:val="007E2A1D"/>
    <w:rsid w:val="007E2B4E"/>
    <w:rsid w:val="007E2E74"/>
    <w:rsid w:val="007E312A"/>
    <w:rsid w:val="007E3208"/>
    <w:rsid w:val="007E36A7"/>
    <w:rsid w:val="007E3919"/>
    <w:rsid w:val="007E3F28"/>
    <w:rsid w:val="007E482D"/>
    <w:rsid w:val="007E4B6B"/>
    <w:rsid w:val="007E4E21"/>
    <w:rsid w:val="007E4FAB"/>
    <w:rsid w:val="007E506A"/>
    <w:rsid w:val="007E61F5"/>
    <w:rsid w:val="007E64CD"/>
    <w:rsid w:val="007E6D4E"/>
    <w:rsid w:val="007E7EC3"/>
    <w:rsid w:val="007F0101"/>
    <w:rsid w:val="007F074B"/>
    <w:rsid w:val="007F0C58"/>
    <w:rsid w:val="007F0F61"/>
    <w:rsid w:val="007F153F"/>
    <w:rsid w:val="007F18DA"/>
    <w:rsid w:val="007F1C7C"/>
    <w:rsid w:val="007F2884"/>
    <w:rsid w:val="007F2C87"/>
    <w:rsid w:val="007F30CE"/>
    <w:rsid w:val="007F3A83"/>
    <w:rsid w:val="007F42D9"/>
    <w:rsid w:val="007F4F7A"/>
    <w:rsid w:val="007F5A54"/>
    <w:rsid w:val="007F660F"/>
    <w:rsid w:val="007F707C"/>
    <w:rsid w:val="007F73F0"/>
    <w:rsid w:val="007F7631"/>
    <w:rsid w:val="008001C0"/>
    <w:rsid w:val="00800767"/>
    <w:rsid w:val="00801465"/>
    <w:rsid w:val="00801ACC"/>
    <w:rsid w:val="00802150"/>
    <w:rsid w:val="00802A3F"/>
    <w:rsid w:val="00802C12"/>
    <w:rsid w:val="008041D5"/>
    <w:rsid w:val="00804F91"/>
    <w:rsid w:val="00805211"/>
    <w:rsid w:val="00805AFF"/>
    <w:rsid w:val="00806181"/>
    <w:rsid w:val="00806371"/>
    <w:rsid w:val="00807008"/>
    <w:rsid w:val="00807E0A"/>
    <w:rsid w:val="00810166"/>
    <w:rsid w:val="00810ABC"/>
    <w:rsid w:val="00811833"/>
    <w:rsid w:val="00811A9C"/>
    <w:rsid w:val="008121FD"/>
    <w:rsid w:val="00812D54"/>
    <w:rsid w:val="0081317D"/>
    <w:rsid w:val="008144DD"/>
    <w:rsid w:val="00814DA0"/>
    <w:rsid w:val="00814FB1"/>
    <w:rsid w:val="00816563"/>
    <w:rsid w:val="008178D3"/>
    <w:rsid w:val="00817932"/>
    <w:rsid w:val="00817BB4"/>
    <w:rsid w:val="0082032D"/>
    <w:rsid w:val="00820A3E"/>
    <w:rsid w:val="00820A71"/>
    <w:rsid w:val="00820F36"/>
    <w:rsid w:val="00820F6F"/>
    <w:rsid w:val="00822BF5"/>
    <w:rsid w:val="00823433"/>
    <w:rsid w:val="00823BA3"/>
    <w:rsid w:val="00823D31"/>
    <w:rsid w:val="00824E9E"/>
    <w:rsid w:val="00824EE3"/>
    <w:rsid w:val="008251F0"/>
    <w:rsid w:val="00825369"/>
    <w:rsid w:val="00825644"/>
    <w:rsid w:val="008256E0"/>
    <w:rsid w:val="008259A7"/>
    <w:rsid w:val="008262FE"/>
    <w:rsid w:val="008264EE"/>
    <w:rsid w:val="008265DB"/>
    <w:rsid w:val="00826D04"/>
    <w:rsid w:val="00827777"/>
    <w:rsid w:val="00827B35"/>
    <w:rsid w:val="00827C61"/>
    <w:rsid w:val="008302CC"/>
    <w:rsid w:val="008302F2"/>
    <w:rsid w:val="00830F9C"/>
    <w:rsid w:val="00831A7F"/>
    <w:rsid w:val="00831B00"/>
    <w:rsid w:val="008331E0"/>
    <w:rsid w:val="00833CF0"/>
    <w:rsid w:val="00833F7B"/>
    <w:rsid w:val="00834366"/>
    <w:rsid w:val="00835699"/>
    <w:rsid w:val="00835A06"/>
    <w:rsid w:val="00835B65"/>
    <w:rsid w:val="00835E28"/>
    <w:rsid w:val="00836057"/>
    <w:rsid w:val="008367DF"/>
    <w:rsid w:val="0083764C"/>
    <w:rsid w:val="008379DB"/>
    <w:rsid w:val="008401B9"/>
    <w:rsid w:val="00840534"/>
    <w:rsid w:val="0084084C"/>
    <w:rsid w:val="00840ABC"/>
    <w:rsid w:val="0084117E"/>
    <w:rsid w:val="0084149D"/>
    <w:rsid w:val="00841C7F"/>
    <w:rsid w:val="0084262F"/>
    <w:rsid w:val="008427E7"/>
    <w:rsid w:val="00842D73"/>
    <w:rsid w:val="008433B8"/>
    <w:rsid w:val="00843822"/>
    <w:rsid w:val="008443E6"/>
    <w:rsid w:val="00844A4B"/>
    <w:rsid w:val="00844CCD"/>
    <w:rsid w:val="00844E16"/>
    <w:rsid w:val="008451B2"/>
    <w:rsid w:val="008455EC"/>
    <w:rsid w:val="008456AD"/>
    <w:rsid w:val="00845D3E"/>
    <w:rsid w:val="008462AC"/>
    <w:rsid w:val="008465B5"/>
    <w:rsid w:val="00846A43"/>
    <w:rsid w:val="00846A8E"/>
    <w:rsid w:val="00846B39"/>
    <w:rsid w:val="00846FC4"/>
    <w:rsid w:val="00846FE6"/>
    <w:rsid w:val="008473B8"/>
    <w:rsid w:val="008475C0"/>
    <w:rsid w:val="00847DD3"/>
    <w:rsid w:val="00847F72"/>
    <w:rsid w:val="008506D5"/>
    <w:rsid w:val="00850EFF"/>
    <w:rsid w:val="008516E0"/>
    <w:rsid w:val="00851854"/>
    <w:rsid w:val="00851F68"/>
    <w:rsid w:val="008521D5"/>
    <w:rsid w:val="008523C5"/>
    <w:rsid w:val="008529A2"/>
    <w:rsid w:val="008532B1"/>
    <w:rsid w:val="0085351E"/>
    <w:rsid w:val="008535AB"/>
    <w:rsid w:val="00854CE1"/>
    <w:rsid w:val="00855FE2"/>
    <w:rsid w:val="008563C2"/>
    <w:rsid w:val="0085647C"/>
    <w:rsid w:val="00856DC1"/>
    <w:rsid w:val="0085716A"/>
    <w:rsid w:val="00860532"/>
    <w:rsid w:val="00860748"/>
    <w:rsid w:val="00860F29"/>
    <w:rsid w:val="008614DB"/>
    <w:rsid w:val="00861CAC"/>
    <w:rsid w:val="00862901"/>
    <w:rsid w:val="00862E69"/>
    <w:rsid w:val="00863BD8"/>
    <w:rsid w:val="00863E2B"/>
    <w:rsid w:val="00864C9B"/>
    <w:rsid w:val="008650D0"/>
    <w:rsid w:val="008669CC"/>
    <w:rsid w:val="00866DE1"/>
    <w:rsid w:val="0086764B"/>
    <w:rsid w:val="00867818"/>
    <w:rsid w:val="00867E0C"/>
    <w:rsid w:val="00867F7A"/>
    <w:rsid w:val="008702D3"/>
    <w:rsid w:val="008710A4"/>
    <w:rsid w:val="008723E8"/>
    <w:rsid w:val="00872D93"/>
    <w:rsid w:val="00873043"/>
    <w:rsid w:val="008730BF"/>
    <w:rsid w:val="00873799"/>
    <w:rsid w:val="00873ADF"/>
    <w:rsid w:val="00874BBF"/>
    <w:rsid w:val="00874F7C"/>
    <w:rsid w:val="0087502B"/>
    <w:rsid w:val="0087599B"/>
    <w:rsid w:val="00875BFF"/>
    <w:rsid w:val="008772A9"/>
    <w:rsid w:val="008773E5"/>
    <w:rsid w:val="008774C0"/>
    <w:rsid w:val="00877A31"/>
    <w:rsid w:val="00877E0E"/>
    <w:rsid w:val="0088028E"/>
    <w:rsid w:val="00880D47"/>
    <w:rsid w:val="00882A5C"/>
    <w:rsid w:val="00882B54"/>
    <w:rsid w:val="00882C2F"/>
    <w:rsid w:val="008840E4"/>
    <w:rsid w:val="00884422"/>
    <w:rsid w:val="00884520"/>
    <w:rsid w:val="00884872"/>
    <w:rsid w:val="00886110"/>
    <w:rsid w:val="0088724A"/>
    <w:rsid w:val="00890787"/>
    <w:rsid w:val="00890AC5"/>
    <w:rsid w:val="00890EA0"/>
    <w:rsid w:val="00891295"/>
    <w:rsid w:val="00891CA7"/>
    <w:rsid w:val="00892DDA"/>
    <w:rsid w:val="00892F5D"/>
    <w:rsid w:val="00893220"/>
    <w:rsid w:val="00893DE0"/>
    <w:rsid w:val="0089417D"/>
    <w:rsid w:val="00894510"/>
    <w:rsid w:val="00895294"/>
    <w:rsid w:val="0089575A"/>
    <w:rsid w:val="00895CD3"/>
    <w:rsid w:val="008966A9"/>
    <w:rsid w:val="008968E2"/>
    <w:rsid w:val="00897034"/>
    <w:rsid w:val="008974B9"/>
    <w:rsid w:val="00897C19"/>
    <w:rsid w:val="008A0365"/>
    <w:rsid w:val="008A0B2C"/>
    <w:rsid w:val="008A0C25"/>
    <w:rsid w:val="008A0E0B"/>
    <w:rsid w:val="008A13F7"/>
    <w:rsid w:val="008A16C2"/>
    <w:rsid w:val="008A21B6"/>
    <w:rsid w:val="008A2269"/>
    <w:rsid w:val="008A24E0"/>
    <w:rsid w:val="008A2B88"/>
    <w:rsid w:val="008A3973"/>
    <w:rsid w:val="008A3C55"/>
    <w:rsid w:val="008A40BB"/>
    <w:rsid w:val="008A4566"/>
    <w:rsid w:val="008A486B"/>
    <w:rsid w:val="008A5388"/>
    <w:rsid w:val="008A5720"/>
    <w:rsid w:val="008A6240"/>
    <w:rsid w:val="008A6296"/>
    <w:rsid w:val="008A66FC"/>
    <w:rsid w:val="008A6A2D"/>
    <w:rsid w:val="008A6CD7"/>
    <w:rsid w:val="008A6E92"/>
    <w:rsid w:val="008A728C"/>
    <w:rsid w:val="008A72A9"/>
    <w:rsid w:val="008A78E0"/>
    <w:rsid w:val="008B00C1"/>
    <w:rsid w:val="008B02D6"/>
    <w:rsid w:val="008B0957"/>
    <w:rsid w:val="008B12D4"/>
    <w:rsid w:val="008B15FC"/>
    <w:rsid w:val="008B1D5C"/>
    <w:rsid w:val="008B241D"/>
    <w:rsid w:val="008B2C35"/>
    <w:rsid w:val="008B2C66"/>
    <w:rsid w:val="008B4121"/>
    <w:rsid w:val="008B42AF"/>
    <w:rsid w:val="008B5080"/>
    <w:rsid w:val="008B52B1"/>
    <w:rsid w:val="008B538B"/>
    <w:rsid w:val="008B6449"/>
    <w:rsid w:val="008B68C5"/>
    <w:rsid w:val="008B734E"/>
    <w:rsid w:val="008B742E"/>
    <w:rsid w:val="008B7647"/>
    <w:rsid w:val="008B7CA4"/>
    <w:rsid w:val="008C06AC"/>
    <w:rsid w:val="008C11F4"/>
    <w:rsid w:val="008C1BE4"/>
    <w:rsid w:val="008C1ECF"/>
    <w:rsid w:val="008C1F56"/>
    <w:rsid w:val="008C2096"/>
    <w:rsid w:val="008C2340"/>
    <w:rsid w:val="008C2910"/>
    <w:rsid w:val="008C29A7"/>
    <w:rsid w:val="008C3362"/>
    <w:rsid w:val="008C399B"/>
    <w:rsid w:val="008C44C7"/>
    <w:rsid w:val="008C4597"/>
    <w:rsid w:val="008C48D3"/>
    <w:rsid w:val="008C4900"/>
    <w:rsid w:val="008C49C9"/>
    <w:rsid w:val="008C4E89"/>
    <w:rsid w:val="008C5080"/>
    <w:rsid w:val="008C5C8C"/>
    <w:rsid w:val="008C609B"/>
    <w:rsid w:val="008D0A18"/>
    <w:rsid w:val="008D1639"/>
    <w:rsid w:val="008D234C"/>
    <w:rsid w:val="008D27C7"/>
    <w:rsid w:val="008D289C"/>
    <w:rsid w:val="008D33C1"/>
    <w:rsid w:val="008D38B0"/>
    <w:rsid w:val="008D390E"/>
    <w:rsid w:val="008D3A19"/>
    <w:rsid w:val="008D3DFB"/>
    <w:rsid w:val="008D427F"/>
    <w:rsid w:val="008D4424"/>
    <w:rsid w:val="008D476B"/>
    <w:rsid w:val="008D48C1"/>
    <w:rsid w:val="008D4F2C"/>
    <w:rsid w:val="008D5988"/>
    <w:rsid w:val="008D5C6D"/>
    <w:rsid w:val="008D5E14"/>
    <w:rsid w:val="008D5FF6"/>
    <w:rsid w:val="008D64A5"/>
    <w:rsid w:val="008D6D21"/>
    <w:rsid w:val="008D721A"/>
    <w:rsid w:val="008D7800"/>
    <w:rsid w:val="008E01DD"/>
    <w:rsid w:val="008E0502"/>
    <w:rsid w:val="008E0828"/>
    <w:rsid w:val="008E0957"/>
    <w:rsid w:val="008E0CF0"/>
    <w:rsid w:val="008E14C7"/>
    <w:rsid w:val="008E1D07"/>
    <w:rsid w:val="008E1F69"/>
    <w:rsid w:val="008E206D"/>
    <w:rsid w:val="008E2951"/>
    <w:rsid w:val="008E2AD6"/>
    <w:rsid w:val="008E2E20"/>
    <w:rsid w:val="008E30D8"/>
    <w:rsid w:val="008E31A7"/>
    <w:rsid w:val="008E3990"/>
    <w:rsid w:val="008E41A5"/>
    <w:rsid w:val="008E43E6"/>
    <w:rsid w:val="008E4D64"/>
    <w:rsid w:val="008E5CCD"/>
    <w:rsid w:val="008E646F"/>
    <w:rsid w:val="008E69D5"/>
    <w:rsid w:val="008F01D7"/>
    <w:rsid w:val="008F0463"/>
    <w:rsid w:val="008F0C89"/>
    <w:rsid w:val="008F0F07"/>
    <w:rsid w:val="008F143C"/>
    <w:rsid w:val="008F3093"/>
    <w:rsid w:val="008F3291"/>
    <w:rsid w:val="008F5325"/>
    <w:rsid w:val="008F5A03"/>
    <w:rsid w:val="008F5CDB"/>
    <w:rsid w:val="008F6BBA"/>
    <w:rsid w:val="008F6C61"/>
    <w:rsid w:val="008F77C4"/>
    <w:rsid w:val="0090061A"/>
    <w:rsid w:val="009008D8"/>
    <w:rsid w:val="00901045"/>
    <w:rsid w:val="0090145C"/>
    <w:rsid w:val="00901923"/>
    <w:rsid w:val="00902F70"/>
    <w:rsid w:val="00903173"/>
    <w:rsid w:val="009038B6"/>
    <w:rsid w:val="00904212"/>
    <w:rsid w:val="00904FB1"/>
    <w:rsid w:val="0090551C"/>
    <w:rsid w:val="009079E7"/>
    <w:rsid w:val="00910AA0"/>
    <w:rsid w:val="009114E0"/>
    <w:rsid w:val="0091304C"/>
    <w:rsid w:val="00913252"/>
    <w:rsid w:val="0091389F"/>
    <w:rsid w:val="00913FB6"/>
    <w:rsid w:val="009140E5"/>
    <w:rsid w:val="009154ED"/>
    <w:rsid w:val="0091569A"/>
    <w:rsid w:val="009164F7"/>
    <w:rsid w:val="00916EA4"/>
    <w:rsid w:val="00917136"/>
    <w:rsid w:val="0091769F"/>
    <w:rsid w:val="00921099"/>
    <w:rsid w:val="009212CF"/>
    <w:rsid w:val="00921755"/>
    <w:rsid w:val="00922BB7"/>
    <w:rsid w:val="009230ED"/>
    <w:rsid w:val="0092310D"/>
    <w:rsid w:val="0092362A"/>
    <w:rsid w:val="009238E0"/>
    <w:rsid w:val="009239B8"/>
    <w:rsid w:val="00923E3E"/>
    <w:rsid w:val="00924A36"/>
    <w:rsid w:val="00925144"/>
    <w:rsid w:val="00926B32"/>
    <w:rsid w:val="00926E82"/>
    <w:rsid w:val="009270C7"/>
    <w:rsid w:val="00927255"/>
    <w:rsid w:val="00927385"/>
    <w:rsid w:val="009276F3"/>
    <w:rsid w:val="009311A3"/>
    <w:rsid w:val="0093177F"/>
    <w:rsid w:val="0093185C"/>
    <w:rsid w:val="00931D4C"/>
    <w:rsid w:val="009329F8"/>
    <w:rsid w:val="00932CCF"/>
    <w:rsid w:val="00932DCD"/>
    <w:rsid w:val="00933264"/>
    <w:rsid w:val="00933730"/>
    <w:rsid w:val="00933907"/>
    <w:rsid w:val="00933E13"/>
    <w:rsid w:val="00934E50"/>
    <w:rsid w:val="009350ED"/>
    <w:rsid w:val="00935F1A"/>
    <w:rsid w:val="00936DDF"/>
    <w:rsid w:val="00936ECC"/>
    <w:rsid w:val="00936F80"/>
    <w:rsid w:val="00940838"/>
    <w:rsid w:val="00940968"/>
    <w:rsid w:val="00941D4B"/>
    <w:rsid w:val="009424BD"/>
    <w:rsid w:val="009426FD"/>
    <w:rsid w:val="00942BAA"/>
    <w:rsid w:val="00942C77"/>
    <w:rsid w:val="0094348D"/>
    <w:rsid w:val="009436C8"/>
    <w:rsid w:val="00943A93"/>
    <w:rsid w:val="00943E19"/>
    <w:rsid w:val="00943EF2"/>
    <w:rsid w:val="0094422F"/>
    <w:rsid w:val="00944771"/>
    <w:rsid w:val="0094529F"/>
    <w:rsid w:val="00945602"/>
    <w:rsid w:val="00945D7C"/>
    <w:rsid w:val="00946478"/>
    <w:rsid w:val="0094659D"/>
    <w:rsid w:val="00947848"/>
    <w:rsid w:val="0095036C"/>
    <w:rsid w:val="00950479"/>
    <w:rsid w:val="009504F7"/>
    <w:rsid w:val="00950C0C"/>
    <w:rsid w:val="00951679"/>
    <w:rsid w:val="00951849"/>
    <w:rsid w:val="0095316A"/>
    <w:rsid w:val="0095386F"/>
    <w:rsid w:val="00953CB3"/>
    <w:rsid w:val="00953FB4"/>
    <w:rsid w:val="00954F83"/>
    <w:rsid w:val="00955684"/>
    <w:rsid w:val="00955CBF"/>
    <w:rsid w:val="00956272"/>
    <w:rsid w:val="00956318"/>
    <w:rsid w:val="009564DE"/>
    <w:rsid w:val="00956A23"/>
    <w:rsid w:val="00956FC2"/>
    <w:rsid w:val="009576CC"/>
    <w:rsid w:val="00957AB3"/>
    <w:rsid w:val="00957E5F"/>
    <w:rsid w:val="009601A3"/>
    <w:rsid w:val="00960DFC"/>
    <w:rsid w:val="00961C0B"/>
    <w:rsid w:val="00962981"/>
    <w:rsid w:val="009633AF"/>
    <w:rsid w:val="00963C75"/>
    <w:rsid w:val="0096401D"/>
    <w:rsid w:val="00964445"/>
    <w:rsid w:val="0096457B"/>
    <w:rsid w:val="0096494E"/>
    <w:rsid w:val="00964E50"/>
    <w:rsid w:val="00965EAE"/>
    <w:rsid w:val="0096612B"/>
    <w:rsid w:val="009667F7"/>
    <w:rsid w:val="0096691B"/>
    <w:rsid w:val="00967368"/>
    <w:rsid w:val="00970DC5"/>
    <w:rsid w:val="009713D8"/>
    <w:rsid w:val="00972449"/>
    <w:rsid w:val="0097258F"/>
    <w:rsid w:val="00972950"/>
    <w:rsid w:val="00972B90"/>
    <w:rsid w:val="0097316E"/>
    <w:rsid w:val="00973668"/>
    <w:rsid w:val="00975B58"/>
    <w:rsid w:val="00975E10"/>
    <w:rsid w:val="00976BF5"/>
    <w:rsid w:val="00976C73"/>
    <w:rsid w:val="0098023E"/>
    <w:rsid w:val="009806D7"/>
    <w:rsid w:val="009812A6"/>
    <w:rsid w:val="009817BC"/>
    <w:rsid w:val="00981B61"/>
    <w:rsid w:val="00982971"/>
    <w:rsid w:val="009831DB"/>
    <w:rsid w:val="00983D26"/>
    <w:rsid w:val="009845B0"/>
    <w:rsid w:val="00984839"/>
    <w:rsid w:val="00985387"/>
    <w:rsid w:val="00985BEF"/>
    <w:rsid w:val="0098743D"/>
    <w:rsid w:val="009874EE"/>
    <w:rsid w:val="00987787"/>
    <w:rsid w:val="00990367"/>
    <w:rsid w:val="009908C9"/>
    <w:rsid w:val="00990B07"/>
    <w:rsid w:val="00991E29"/>
    <w:rsid w:val="0099226E"/>
    <w:rsid w:val="00992401"/>
    <w:rsid w:val="00992F16"/>
    <w:rsid w:val="009944C4"/>
    <w:rsid w:val="0099473F"/>
    <w:rsid w:val="00995192"/>
    <w:rsid w:val="00995FFB"/>
    <w:rsid w:val="009973D5"/>
    <w:rsid w:val="009A0185"/>
    <w:rsid w:val="009A0C6D"/>
    <w:rsid w:val="009A1494"/>
    <w:rsid w:val="009A19F4"/>
    <w:rsid w:val="009A1C7F"/>
    <w:rsid w:val="009A1F8C"/>
    <w:rsid w:val="009A3805"/>
    <w:rsid w:val="009A3C2D"/>
    <w:rsid w:val="009A3EB2"/>
    <w:rsid w:val="009A3FDB"/>
    <w:rsid w:val="009A4251"/>
    <w:rsid w:val="009A4B50"/>
    <w:rsid w:val="009A4DB0"/>
    <w:rsid w:val="009A59F7"/>
    <w:rsid w:val="009A5F41"/>
    <w:rsid w:val="009A6BB2"/>
    <w:rsid w:val="009A6FE6"/>
    <w:rsid w:val="009A754D"/>
    <w:rsid w:val="009A757A"/>
    <w:rsid w:val="009A7CC9"/>
    <w:rsid w:val="009B0D29"/>
    <w:rsid w:val="009B159D"/>
    <w:rsid w:val="009B2674"/>
    <w:rsid w:val="009B333E"/>
    <w:rsid w:val="009B3AD9"/>
    <w:rsid w:val="009B3BE9"/>
    <w:rsid w:val="009B4440"/>
    <w:rsid w:val="009B4737"/>
    <w:rsid w:val="009B62C0"/>
    <w:rsid w:val="009B6B53"/>
    <w:rsid w:val="009B771B"/>
    <w:rsid w:val="009C039B"/>
    <w:rsid w:val="009C06DE"/>
    <w:rsid w:val="009C0EBD"/>
    <w:rsid w:val="009C115F"/>
    <w:rsid w:val="009C1240"/>
    <w:rsid w:val="009C1F1A"/>
    <w:rsid w:val="009C2107"/>
    <w:rsid w:val="009C240A"/>
    <w:rsid w:val="009C268E"/>
    <w:rsid w:val="009C3041"/>
    <w:rsid w:val="009C3650"/>
    <w:rsid w:val="009C4324"/>
    <w:rsid w:val="009C445E"/>
    <w:rsid w:val="009C4556"/>
    <w:rsid w:val="009C4BC0"/>
    <w:rsid w:val="009C4F3A"/>
    <w:rsid w:val="009C561D"/>
    <w:rsid w:val="009C6E84"/>
    <w:rsid w:val="009C78FF"/>
    <w:rsid w:val="009C7D5B"/>
    <w:rsid w:val="009D0293"/>
    <w:rsid w:val="009D0EB8"/>
    <w:rsid w:val="009D1280"/>
    <w:rsid w:val="009D1CC7"/>
    <w:rsid w:val="009D1DF6"/>
    <w:rsid w:val="009D2058"/>
    <w:rsid w:val="009D20BC"/>
    <w:rsid w:val="009D2634"/>
    <w:rsid w:val="009D3029"/>
    <w:rsid w:val="009D39D4"/>
    <w:rsid w:val="009D3C73"/>
    <w:rsid w:val="009D4D74"/>
    <w:rsid w:val="009D52CE"/>
    <w:rsid w:val="009D5A69"/>
    <w:rsid w:val="009D5B0D"/>
    <w:rsid w:val="009D607D"/>
    <w:rsid w:val="009D6586"/>
    <w:rsid w:val="009D67A9"/>
    <w:rsid w:val="009E0195"/>
    <w:rsid w:val="009E0850"/>
    <w:rsid w:val="009E0EDD"/>
    <w:rsid w:val="009E14B8"/>
    <w:rsid w:val="009E2288"/>
    <w:rsid w:val="009E2EA0"/>
    <w:rsid w:val="009E359B"/>
    <w:rsid w:val="009E3742"/>
    <w:rsid w:val="009E4341"/>
    <w:rsid w:val="009E4A3D"/>
    <w:rsid w:val="009E60F7"/>
    <w:rsid w:val="009E60FD"/>
    <w:rsid w:val="009E650F"/>
    <w:rsid w:val="009E6596"/>
    <w:rsid w:val="009E65F7"/>
    <w:rsid w:val="009E6B53"/>
    <w:rsid w:val="009E6F58"/>
    <w:rsid w:val="009E788A"/>
    <w:rsid w:val="009E7A21"/>
    <w:rsid w:val="009F1A0B"/>
    <w:rsid w:val="009F32C2"/>
    <w:rsid w:val="009F3AAD"/>
    <w:rsid w:val="009F498A"/>
    <w:rsid w:val="009F4D94"/>
    <w:rsid w:val="009F517A"/>
    <w:rsid w:val="009F6407"/>
    <w:rsid w:val="009F64FB"/>
    <w:rsid w:val="009F6EFE"/>
    <w:rsid w:val="009F759E"/>
    <w:rsid w:val="009F78A4"/>
    <w:rsid w:val="00A00332"/>
    <w:rsid w:val="00A0186F"/>
    <w:rsid w:val="00A01A71"/>
    <w:rsid w:val="00A026F2"/>
    <w:rsid w:val="00A02A2B"/>
    <w:rsid w:val="00A0428F"/>
    <w:rsid w:val="00A04C40"/>
    <w:rsid w:val="00A05212"/>
    <w:rsid w:val="00A0523A"/>
    <w:rsid w:val="00A0523B"/>
    <w:rsid w:val="00A055A1"/>
    <w:rsid w:val="00A06807"/>
    <w:rsid w:val="00A10E6F"/>
    <w:rsid w:val="00A1174F"/>
    <w:rsid w:val="00A12501"/>
    <w:rsid w:val="00A127DD"/>
    <w:rsid w:val="00A13602"/>
    <w:rsid w:val="00A14942"/>
    <w:rsid w:val="00A1511C"/>
    <w:rsid w:val="00A154D8"/>
    <w:rsid w:val="00A156DC"/>
    <w:rsid w:val="00A157A8"/>
    <w:rsid w:val="00A17B8A"/>
    <w:rsid w:val="00A206AC"/>
    <w:rsid w:val="00A20859"/>
    <w:rsid w:val="00A20861"/>
    <w:rsid w:val="00A20D1C"/>
    <w:rsid w:val="00A20F79"/>
    <w:rsid w:val="00A21324"/>
    <w:rsid w:val="00A21C62"/>
    <w:rsid w:val="00A2270B"/>
    <w:rsid w:val="00A22728"/>
    <w:rsid w:val="00A231B2"/>
    <w:rsid w:val="00A23B16"/>
    <w:rsid w:val="00A23F95"/>
    <w:rsid w:val="00A24478"/>
    <w:rsid w:val="00A249DD"/>
    <w:rsid w:val="00A265F1"/>
    <w:rsid w:val="00A26AE0"/>
    <w:rsid w:val="00A26C21"/>
    <w:rsid w:val="00A26EBC"/>
    <w:rsid w:val="00A274A9"/>
    <w:rsid w:val="00A276F5"/>
    <w:rsid w:val="00A30A27"/>
    <w:rsid w:val="00A30FED"/>
    <w:rsid w:val="00A321CB"/>
    <w:rsid w:val="00A3237B"/>
    <w:rsid w:val="00A331E8"/>
    <w:rsid w:val="00A33343"/>
    <w:rsid w:val="00A33FEB"/>
    <w:rsid w:val="00A34BD8"/>
    <w:rsid w:val="00A35A0B"/>
    <w:rsid w:val="00A3640C"/>
    <w:rsid w:val="00A3651D"/>
    <w:rsid w:val="00A366E7"/>
    <w:rsid w:val="00A36D9D"/>
    <w:rsid w:val="00A376B6"/>
    <w:rsid w:val="00A37A06"/>
    <w:rsid w:val="00A37AC7"/>
    <w:rsid w:val="00A37C30"/>
    <w:rsid w:val="00A407AE"/>
    <w:rsid w:val="00A41004"/>
    <w:rsid w:val="00A4161A"/>
    <w:rsid w:val="00A41B0D"/>
    <w:rsid w:val="00A41B4E"/>
    <w:rsid w:val="00A41C72"/>
    <w:rsid w:val="00A4202A"/>
    <w:rsid w:val="00A43653"/>
    <w:rsid w:val="00A444CA"/>
    <w:rsid w:val="00A44C2B"/>
    <w:rsid w:val="00A45481"/>
    <w:rsid w:val="00A478A8"/>
    <w:rsid w:val="00A47A32"/>
    <w:rsid w:val="00A47B98"/>
    <w:rsid w:val="00A51782"/>
    <w:rsid w:val="00A51FE4"/>
    <w:rsid w:val="00A52305"/>
    <w:rsid w:val="00A52BDC"/>
    <w:rsid w:val="00A52CC4"/>
    <w:rsid w:val="00A52E79"/>
    <w:rsid w:val="00A530B1"/>
    <w:rsid w:val="00A53B1E"/>
    <w:rsid w:val="00A54633"/>
    <w:rsid w:val="00A54778"/>
    <w:rsid w:val="00A55036"/>
    <w:rsid w:val="00A55271"/>
    <w:rsid w:val="00A563D0"/>
    <w:rsid w:val="00A5681C"/>
    <w:rsid w:val="00A57537"/>
    <w:rsid w:val="00A57937"/>
    <w:rsid w:val="00A60C22"/>
    <w:rsid w:val="00A60C27"/>
    <w:rsid w:val="00A61418"/>
    <w:rsid w:val="00A61427"/>
    <w:rsid w:val="00A622E7"/>
    <w:rsid w:val="00A62A57"/>
    <w:rsid w:val="00A64126"/>
    <w:rsid w:val="00A643A1"/>
    <w:rsid w:val="00A65A46"/>
    <w:rsid w:val="00A663E2"/>
    <w:rsid w:val="00A66B9D"/>
    <w:rsid w:val="00A66BB7"/>
    <w:rsid w:val="00A67683"/>
    <w:rsid w:val="00A67C8A"/>
    <w:rsid w:val="00A70588"/>
    <w:rsid w:val="00A70772"/>
    <w:rsid w:val="00A70C6C"/>
    <w:rsid w:val="00A70F70"/>
    <w:rsid w:val="00A70FF7"/>
    <w:rsid w:val="00A7243C"/>
    <w:rsid w:val="00A72625"/>
    <w:rsid w:val="00A72ADC"/>
    <w:rsid w:val="00A72DD4"/>
    <w:rsid w:val="00A734C7"/>
    <w:rsid w:val="00A735AA"/>
    <w:rsid w:val="00A73920"/>
    <w:rsid w:val="00A74806"/>
    <w:rsid w:val="00A74B02"/>
    <w:rsid w:val="00A75C3A"/>
    <w:rsid w:val="00A769AE"/>
    <w:rsid w:val="00A7711F"/>
    <w:rsid w:val="00A7725C"/>
    <w:rsid w:val="00A80600"/>
    <w:rsid w:val="00A80BCD"/>
    <w:rsid w:val="00A82F5C"/>
    <w:rsid w:val="00A82F7F"/>
    <w:rsid w:val="00A8368A"/>
    <w:rsid w:val="00A8385A"/>
    <w:rsid w:val="00A84545"/>
    <w:rsid w:val="00A8493B"/>
    <w:rsid w:val="00A864A6"/>
    <w:rsid w:val="00A866AF"/>
    <w:rsid w:val="00A87257"/>
    <w:rsid w:val="00A900E4"/>
    <w:rsid w:val="00A90B3F"/>
    <w:rsid w:val="00A91237"/>
    <w:rsid w:val="00A916FF"/>
    <w:rsid w:val="00A919F5"/>
    <w:rsid w:val="00A927E3"/>
    <w:rsid w:val="00A92F2C"/>
    <w:rsid w:val="00A9384A"/>
    <w:rsid w:val="00A93E4E"/>
    <w:rsid w:val="00A94303"/>
    <w:rsid w:val="00A952AC"/>
    <w:rsid w:val="00A953E7"/>
    <w:rsid w:val="00A95B0F"/>
    <w:rsid w:val="00A95CDF"/>
    <w:rsid w:val="00A95FC9"/>
    <w:rsid w:val="00A9641D"/>
    <w:rsid w:val="00A96CC5"/>
    <w:rsid w:val="00A97579"/>
    <w:rsid w:val="00A977E4"/>
    <w:rsid w:val="00AA04EB"/>
    <w:rsid w:val="00AA069E"/>
    <w:rsid w:val="00AA0903"/>
    <w:rsid w:val="00AA0B27"/>
    <w:rsid w:val="00AA1506"/>
    <w:rsid w:val="00AA19B2"/>
    <w:rsid w:val="00AA207A"/>
    <w:rsid w:val="00AA2CF5"/>
    <w:rsid w:val="00AA2D34"/>
    <w:rsid w:val="00AA3335"/>
    <w:rsid w:val="00AA36D0"/>
    <w:rsid w:val="00AA3C93"/>
    <w:rsid w:val="00AA42B0"/>
    <w:rsid w:val="00AA4520"/>
    <w:rsid w:val="00AA46ED"/>
    <w:rsid w:val="00AA48EF"/>
    <w:rsid w:val="00AA5EB0"/>
    <w:rsid w:val="00AA603E"/>
    <w:rsid w:val="00AA6661"/>
    <w:rsid w:val="00AA6A5E"/>
    <w:rsid w:val="00AA6C11"/>
    <w:rsid w:val="00AB1EB0"/>
    <w:rsid w:val="00AB1F9F"/>
    <w:rsid w:val="00AB2413"/>
    <w:rsid w:val="00AB2FB0"/>
    <w:rsid w:val="00AB3214"/>
    <w:rsid w:val="00AB35AF"/>
    <w:rsid w:val="00AB3E77"/>
    <w:rsid w:val="00AB478A"/>
    <w:rsid w:val="00AB490C"/>
    <w:rsid w:val="00AB4E4A"/>
    <w:rsid w:val="00AB5430"/>
    <w:rsid w:val="00AB5469"/>
    <w:rsid w:val="00AB5988"/>
    <w:rsid w:val="00AB5AB0"/>
    <w:rsid w:val="00AB5EC8"/>
    <w:rsid w:val="00AB62BC"/>
    <w:rsid w:val="00AB687E"/>
    <w:rsid w:val="00AB6A8D"/>
    <w:rsid w:val="00AB7499"/>
    <w:rsid w:val="00AB7FF7"/>
    <w:rsid w:val="00AC035D"/>
    <w:rsid w:val="00AC0A5E"/>
    <w:rsid w:val="00AC1214"/>
    <w:rsid w:val="00AC141C"/>
    <w:rsid w:val="00AC15F3"/>
    <w:rsid w:val="00AC1D4D"/>
    <w:rsid w:val="00AC28E7"/>
    <w:rsid w:val="00AC3071"/>
    <w:rsid w:val="00AC584D"/>
    <w:rsid w:val="00AC5C48"/>
    <w:rsid w:val="00AC66E7"/>
    <w:rsid w:val="00AC6F22"/>
    <w:rsid w:val="00AC7F20"/>
    <w:rsid w:val="00AD06E5"/>
    <w:rsid w:val="00AD0AE3"/>
    <w:rsid w:val="00AD0C0F"/>
    <w:rsid w:val="00AD13B9"/>
    <w:rsid w:val="00AD1489"/>
    <w:rsid w:val="00AD26A3"/>
    <w:rsid w:val="00AD2C51"/>
    <w:rsid w:val="00AD2D54"/>
    <w:rsid w:val="00AD3B86"/>
    <w:rsid w:val="00AD3BD6"/>
    <w:rsid w:val="00AD41B6"/>
    <w:rsid w:val="00AD5204"/>
    <w:rsid w:val="00AD5384"/>
    <w:rsid w:val="00AD5423"/>
    <w:rsid w:val="00AD5467"/>
    <w:rsid w:val="00AD59BA"/>
    <w:rsid w:val="00AD5BB8"/>
    <w:rsid w:val="00AD624E"/>
    <w:rsid w:val="00AD67D3"/>
    <w:rsid w:val="00AD79EF"/>
    <w:rsid w:val="00AE0154"/>
    <w:rsid w:val="00AE0B63"/>
    <w:rsid w:val="00AE0C05"/>
    <w:rsid w:val="00AE205A"/>
    <w:rsid w:val="00AE23C4"/>
    <w:rsid w:val="00AE265D"/>
    <w:rsid w:val="00AE2A7F"/>
    <w:rsid w:val="00AE2BCA"/>
    <w:rsid w:val="00AE2E79"/>
    <w:rsid w:val="00AE2FF2"/>
    <w:rsid w:val="00AE4099"/>
    <w:rsid w:val="00AE4A72"/>
    <w:rsid w:val="00AE4E24"/>
    <w:rsid w:val="00AE4E65"/>
    <w:rsid w:val="00AE4EBA"/>
    <w:rsid w:val="00AE5CD7"/>
    <w:rsid w:val="00AE6F97"/>
    <w:rsid w:val="00AE79EA"/>
    <w:rsid w:val="00AF074B"/>
    <w:rsid w:val="00AF086E"/>
    <w:rsid w:val="00AF0DD4"/>
    <w:rsid w:val="00AF12B0"/>
    <w:rsid w:val="00AF1E6C"/>
    <w:rsid w:val="00AF2216"/>
    <w:rsid w:val="00AF223F"/>
    <w:rsid w:val="00AF26EB"/>
    <w:rsid w:val="00AF2AFC"/>
    <w:rsid w:val="00AF3366"/>
    <w:rsid w:val="00AF3460"/>
    <w:rsid w:val="00AF3ABA"/>
    <w:rsid w:val="00AF3F30"/>
    <w:rsid w:val="00AF46D8"/>
    <w:rsid w:val="00AF48DF"/>
    <w:rsid w:val="00AF4C0D"/>
    <w:rsid w:val="00AF5285"/>
    <w:rsid w:val="00AF5556"/>
    <w:rsid w:val="00AF5B2E"/>
    <w:rsid w:val="00AF5C30"/>
    <w:rsid w:val="00AF6B57"/>
    <w:rsid w:val="00AF6C40"/>
    <w:rsid w:val="00AF72D0"/>
    <w:rsid w:val="00AF7543"/>
    <w:rsid w:val="00B00368"/>
    <w:rsid w:val="00B01C33"/>
    <w:rsid w:val="00B01F17"/>
    <w:rsid w:val="00B02127"/>
    <w:rsid w:val="00B02A01"/>
    <w:rsid w:val="00B02CF6"/>
    <w:rsid w:val="00B02FCE"/>
    <w:rsid w:val="00B03393"/>
    <w:rsid w:val="00B03971"/>
    <w:rsid w:val="00B03B5E"/>
    <w:rsid w:val="00B03E3F"/>
    <w:rsid w:val="00B05047"/>
    <w:rsid w:val="00B050DE"/>
    <w:rsid w:val="00B056B0"/>
    <w:rsid w:val="00B06660"/>
    <w:rsid w:val="00B07766"/>
    <w:rsid w:val="00B079F6"/>
    <w:rsid w:val="00B10614"/>
    <w:rsid w:val="00B116D9"/>
    <w:rsid w:val="00B11928"/>
    <w:rsid w:val="00B11D44"/>
    <w:rsid w:val="00B1248E"/>
    <w:rsid w:val="00B12939"/>
    <w:rsid w:val="00B13A11"/>
    <w:rsid w:val="00B13CB3"/>
    <w:rsid w:val="00B14537"/>
    <w:rsid w:val="00B150A0"/>
    <w:rsid w:val="00B15BF7"/>
    <w:rsid w:val="00B15F29"/>
    <w:rsid w:val="00B1617C"/>
    <w:rsid w:val="00B16AEF"/>
    <w:rsid w:val="00B17A1E"/>
    <w:rsid w:val="00B20388"/>
    <w:rsid w:val="00B20699"/>
    <w:rsid w:val="00B20865"/>
    <w:rsid w:val="00B21549"/>
    <w:rsid w:val="00B2163D"/>
    <w:rsid w:val="00B21A52"/>
    <w:rsid w:val="00B21B0B"/>
    <w:rsid w:val="00B22271"/>
    <w:rsid w:val="00B2273A"/>
    <w:rsid w:val="00B230C7"/>
    <w:rsid w:val="00B2365C"/>
    <w:rsid w:val="00B237CA"/>
    <w:rsid w:val="00B2385B"/>
    <w:rsid w:val="00B23A1A"/>
    <w:rsid w:val="00B2415A"/>
    <w:rsid w:val="00B246C2"/>
    <w:rsid w:val="00B2504E"/>
    <w:rsid w:val="00B255BA"/>
    <w:rsid w:val="00B25F6A"/>
    <w:rsid w:val="00B26724"/>
    <w:rsid w:val="00B2745A"/>
    <w:rsid w:val="00B275D1"/>
    <w:rsid w:val="00B27E56"/>
    <w:rsid w:val="00B27F5A"/>
    <w:rsid w:val="00B30270"/>
    <w:rsid w:val="00B303D2"/>
    <w:rsid w:val="00B30661"/>
    <w:rsid w:val="00B3075C"/>
    <w:rsid w:val="00B30AAE"/>
    <w:rsid w:val="00B312F8"/>
    <w:rsid w:val="00B32D5C"/>
    <w:rsid w:val="00B33522"/>
    <w:rsid w:val="00B33578"/>
    <w:rsid w:val="00B33836"/>
    <w:rsid w:val="00B338FA"/>
    <w:rsid w:val="00B33920"/>
    <w:rsid w:val="00B34345"/>
    <w:rsid w:val="00B34A20"/>
    <w:rsid w:val="00B34D9A"/>
    <w:rsid w:val="00B354F9"/>
    <w:rsid w:val="00B35D60"/>
    <w:rsid w:val="00B35D78"/>
    <w:rsid w:val="00B35E0E"/>
    <w:rsid w:val="00B377BD"/>
    <w:rsid w:val="00B40693"/>
    <w:rsid w:val="00B40DB6"/>
    <w:rsid w:val="00B41753"/>
    <w:rsid w:val="00B41D39"/>
    <w:rsid w:val="00B425E7"/>
    <w:rsid w:val="00B4375E"/>
    <w:rsid w:val="00B4453A"/>
    <w:rsid w:val="00B446B8"/>
    <w:rsid w:val="00B44992"/>
    <w:rsid w:val="00B44A49"/>
    <w:rsid w:val="00B4513A"/>
    <w:rsid w:val="00B452C2"/>
    <w:rsid w:val="00B455E7"/>
    <w:rsid w:val="00B47555"/>
    <w:rsid w:val="00B4785C"/>
    <w:rsid w:val="00B50117"/>
    <w:rsid w:val="00B50341"/>
    <w:rsid w:val="00B5109D"/>
    <w:rsid w:val="00B515FF"/>
    <w:rsid w:val="00B51C22"/>
    <w:rsid w:val="00B51F5C"/>
    <w:rsid w:val="00B52E2A"/>
    <w:rsid w:val="00B52FA8"/>
    <w:rsid w:val="00B5357E"/>
    <w:rsid w:val="00B53609"/>
    <w:rsid w:val="00B53D2A"/>
    <w:rsid w:val="00B53F13"/>
    <w:rsid w:val="00B542F5"/>
    <w:rsid w:val="00B5439D"/>
    <w:rsid w:val="00B5539C"/>
    <w:rsid w:val="00B55DC9"/>
    <w:rsid w:val="00B5603A"/>
    <w:rsid w:val="00B5720E"/>
    <w:rsid w:val="00B60192"/>
    <w:rsid w:val="00B6123D"/>
    <w:rsid w:val="00B61986"/>
    <w:rsid w:val="00B61D81"/>
    <w:rsid w:val="00B620BC"/>
    <w:rsid w:val="00B6236D"/>
    <w:rsid w:val="00B627FC"/>
    <w:rsid w:val="00B62DAF"/>
    <w:rsid w:val="00B63476"/>
    <w:rsid w:val="00B644EA"/>
    <w:rsid w:val="00B647CB"/>
    <w:rsid w:val="00B64F13"/>
    <w:rsid w:val="00B6586A"/>
    <w:rsid w:val="00B65C5A"/>
    <w:rsid w:val="00B661AF"/>
    <w:rsid w:val="00B669A4"/>
    <w:rsid w:val="00B66C5A"/>
    <w:rsid w:val="00B67459"/>
    <w:rsid w:val="00B67CBC"/>
    <w:rsid w:val="00B704F0"/>
    <w:rsid w:val="00B70738"/>
    <w:rsid w:val="00B708F8"/>
    <w:rsid w:val="00B715FC"/>
    <w:rsid w:val="00B71C5E"/>
    <w:rsid w:val="00B71D39"/>
    <w:rsid w:val="00B726ED"/>
    <w:rsid w:val="00B72840"/>
    <w:rsid w:val="00B73499"/>
    <w:rsid w:val="00B7508C"/>
    <w:rsid w:val="00B75430"/>
    <w:rsid w:val="00B759EB"/>
    <w:rsid w:val="00B75B5A"/>
    <w:rsid w:val="00B767B1"/>
    <w:rsid w:val="00B76EF7"/>
    <w:rsid w:val="00B776C1"/>
    <w:rsid w:val="00B77F23"/>
    <w:rsid w:val="00B80EB4"/>
    <w:rsid w:val="00B8115D"/>
    <w:rsid w:val="00B81F48"/>
    <w:rsid w:val="00B82037"/>
    <w:rsid w:val="00B824E7"/>
    <w:rsid w:val="00B82D24"/>
    <w:rsid w:val="00B82E53"/>
    <w:rsid w:val="00B835F6"/>
    <w:rsid w:val="00B8381F"/>
    <w:rsid w:val="00B83FE4"/>
    <w:rsid w:val="00B851F9"/>
    <w:rsid w:val="00B8526B"/>
    <w:rsid w:val="00B85540"/>
    <w:rsid w:val="00B86971"/>
    <w:rsid w:val="00B869DA"/>
    <w:rsid w:val="00B86AE5"/>
    <w:rsid w:val="00B86B28"/>
    <w:rsid w:val="00B86F6B"/>
    <w:rsid w:val="00B87732"/>
    <w:rsid w:val="00B879AA"/>
    <w:rsid w:val="00B87C66"/>
    <w:rsid w:val="00B87D03"/>
    <w:rsid w:val="00B87D31"/>
    <w:rsid w:val="00B9079D"/>
    <w:rsid w:val="00B9098A"/>
    <w:rsid w:val="00B90BC4"/>
    <w:rsid w:val="00B91ADD"/>
    <w:rsid w:val="00B9227B"/>
    <w:rsid w:val="00B92726"/>
    <w:rsid w:val="00B92BB8"/>
    <w:rsid w:val="00B92C3F"/>
    <w:rsid w:val="00B954D4"/>
    <w:rsid w:val="00B95FCB"/>
    <w:rsid w:val="00B9700B"/>
    <w:rsid w:val="00B970CA"/>
    <w:rsid w:val="00B97601"/>
    <w:rsid w:val="00BA06A7"/>
    <w:rsid w:val="00BA14A1"/>
    <w:rsid w:val="00BA16A5"/>
    <w:rsid w:val="00BA2B23"/>
    <w:rsid w:val="00BA3B88"/>
    <w:rsid w:val="00BA45FB"/>
    <w:rsid w:val="00BA4DF5"/>
    <w:rsid w:val="00BA62FB"/>
    <w:rsid w:val="00BA6BF9"/>
    <w:rsid w:val="00BA6C68"/>
    <w:rsid w:val="00BA7795"/>
    <w:rsid w:val="00BA7AD9"/>
    <w:rsid w:val="00BB0474"/>
    <w:rsid w:val="00BB08E4"/>
    <w:rsid w:val="00BB103F"/>
    <w:rsid w:val="00BB1457"/>
    <w:rsid w:val="00BB2787"/>
    <w:rsid w:val="00BB29B2"/>
    <w:rsid w:val="00BB3943"/>
    <w:rsid w:val="00BB4696"/>
    <w:rsid w:val="00BB474A"/>
    <w:rsid w:val="00BB4805"/>
    <w:rsid w:val="00BB4949"/>
    <w:rsid w:val="00BB567F"/>
    <w:rsid w:val="00BB5C26"/>
    <w:rsid w:val="00BB5E89"/>
    <w:rsid w:val="00BB6523"/>
    <w:rsid w:val="00BB6C25"/>
    <w:rsid w:val="00BB7CED"/>
    <w:rsid w:val="00BC156C"/>
    <w:rsid w:val="00BC1E02"/>
    <w:rsid w:val="00BC2F2F"/>
    <w:rsid w:val="00BC3D7E"/>
    <w:rsid w:val="00BC4C77"/>
    <w:rsid w:val="00BC4DAE"/>
    <w:rsid w:val="00BC57A7"/>
    <w:rsid w:val="00BC5B1D"/>
    <w:rsid w:val="00BC6088"/>
    <w:rsid w:val="00BC61DB"/>
    <w:rsid w:val="00BC6453"/>
    <w:rsid w:val="00BC67B9"/>
    <w:rsid w:val="00BC6999"/>
    <w:rsid w:val="00BC69BE"/>
    <w:rsid w:val="00BC7548"/>
    <w:rsid w:val="00BC779A"/>
    <w:rsid w:val="00BC7A49"/>
    <w:rsid w:val="00BC7DD7"/>
    <w:rsid w:val="00BD023F"/>
    <w:rsid w:val="00BD080D"/>
    <w:rsid w:val="00BD170E"/>
    <w:rsid w:val="00BD19CF"/>
    <w:rsid w:val="00BD1CD4"/>
    <w:rsid w:val="00BD37E0"/>
    <w:rsid w:val="00BD3937"/>
    <w:rsid w:val="00BD39BB"/>
    <w:rsid w:val="00BD3ACD"/>
    <w:rsid w:val="00BD44BA"/>
    <w:rsid w:val="00BD5CA0"/>
    <w:rsid w:val="00BD603A"/>
    <w:rsid w:val="00BD652D"/>
    <w:rsid w:val="00BD6F42"/>
    <w:rsid w:val="00BD7FA2"/>
    <w:rsid w:val="00BE032B"/>
    <w:rsid w:val="00BE0ADD"/>
    <w:rsid w:val="00BE0BDE"/>
    <w:rsid w:val="00BE0E61"/>
    <w:rsid w:val="00BE15EE"/>
    <w:rsid w:val="00BE1B6A"/>
    <w:rsid w:val="00BE2757"/>
    <w:rsid w:val="00BE2AED"/>
    <w:rsid w:val="00BE3202"/>
    <w:rsid w:val="00BE36EE"/>
    <w:rsid w:val="00BE3704"/>
    <w:rsid w:val="00BE3BEE"/>
    <w:rsid w:val="00BE4193"/>
    <w:rsid w:val="00BE5008"/>
    <w:rsid w:val="00BE52C8"/>
    <w:rsid w:val="00BE5A46"/>
    <w:rsid w:val="00BE5A66"/>
    <w:rsid w:val="00BE6255"/>
    <w:rsid w:val="00BE64D8"/>
    <w:rsid w:val="00BE65C0"/>
    <w:rsid w:val="00BE6A6E"/>
    <w:rsid w:val="00BE6EC4"/>
    <w:rsid w:val="00BE78CA"/>
    <w:rsid w:val="00BF1274"/>
    <w:rsid w:val="00BF148F"/>
    <w:rsid w:val="00BF14B2"/>
    <w:rsid w:val="00BF1AC4"/>
    <w:rsid w:val="00BF1C26"/>
    <w:rsid w:val="00BF2C4A"/>
    <w:rsid w:val="00BF3620"/>
    <w:rsid w:val="00BF368C"/>
    <w:rsid w:val="00BF53FA"/>
    <w:rsid w:val="00BF55B2"/>
    <w:rsid w:val="00BF57BF"/>
    <w:rsid w:val="00BF591A"/>
    <w:rsid w:val="00BF6161"/>
    <w:rsid w:val="00BF71F6"/>
    <w:rsid w:val="00BF7CC4"/>
    <w:rsid w:val="00C000D1"/>
    <w:rsid w:val="00C005BE"/>
    <w:rsid w:val="00C00DD5"/>
    <w:rsid w:val="00C01044"/>
    <w:rsid w:val="00C02144"/>
    <w:rsid w:val="00C02586"/>
    <w:rsid w:val="00C02B6F"/>
    <w:rsid w:val="00C02BC4"/>
    <w:rsid w:val="00C0346B"/>
    <w:rsid w:val="00C04722"/>
    <w:rsid w:val="00C05A3F"/>
    <w:rsid w:val="00C05A7E"/>
    <w:rsid w:val="00C06EAB"/>
    <w:rsid w:val="00C07041"/>
    <w:rsid w:val="00C0704C"/>
    <w:rsid w:val="00C07E39"/>
    <w:rsid w:val="00C07F6B"/>
    <w:rsid w:val="00C07FFC"/>
    <w:rsid w:val="00C10574"/>
    <w:rsid w:val="00C10BAA"/>
    <w:rsid w:val="00C10E66"/>
    <w:rsid w:val="00C11680"/>
    <w:rsid w:val="00C1170C"/>
    <w:rsid w:val="00C11E8E"/>
    <w:rsid w:val="00C12A7E"/>
    <w:rsid w:val="00C12B69"/>
    <w:rsid w:val="00C1586F"/>
    <w:rsid w:val="00C16065"/>
    <w:rsid w:val="00C160FD"/>
    <w:rsid w:val="00C1703C"/>
    <w:rsid w:val="00C20208"/>
    <w:rsid w:val="00C20E11"/>
    <w:rsid w:val="00C21057"/>
    <w:rsid w:val="00C21FDB"/>
    <w:rsid w:val="00C24C31"/>
    <w:rsid w:val="00C251CF"/>
    <w:rsid w:val="00C264F1"/>
    <w:rsid w:val="00C278B5"/>
    <w:rsid w:val="00C278BB"/>
    <w:rsid w:val="00C3027B"/>
    <w:rsid w:val="00C3044C"/>
    <w:rsid w:val="00C30F8E"/>
    <w:rsid w:val="00C3180F"/>
    <w:rsid w:val="00C32671"/>
    <w:rsid w:val="00C32F4B"/>
    <w:rsid w:val="00C32F60"/>
    <w:rsid w:val="00C33A1B"/>
    <w:rsid w:val="00C34078"/>
    <w:rsid w:val="00C34BDA"/>
    <w:rsid w:val="00C34EEC"/>
    <w:rsid w:val="00C35CA6"/>
    <w:rsid w:val="00C3605A"/>
    <w:rsid w:val="00C36DDF"/>
    <w:rsid w:val="00C37019"/>
    <w:rsid w:val="00C377C8"/>
    <w:rsid w:val="00C37DB0"/>
    <w:rsid w:val="00C40035"/>
    <w:rsid w:val="00C40B93"/>
    <w:rsid w:val="00C41666"/>
    <w:rsid w:val="00C419D6"/>
    <w:rsid w:val="00C42516"/>
    <w:rsid w:val="00C42BA9"/>
    <w:rsid w:val="00C4395A"/>
    <w:rsid w:val="00C4534B"/>
    <w:rsid w:val="00C45888"/>
    <w:rsid w:val="00C45A79"/>
    <w:rsid w:val="00C47900"/>
    <w:rsid w:val="00C51339"/>
    <w:rsid w:val="00C5177F"/>
    <w:rsid w:val="00C51885"/>
    <w:rsid w:val="00C51ACC"/>
    <w:rsid w:val="00C555AA"/>
    <w:rsid w:val="00C55DB6"/>
    <w:rsid w:val="00C56624"/>
    <w:rsid w:val="00C571B8"/>
    <w:rsid w:val="00C57D87"/>
    <w:rsid w:val="00C60F91"/>
    <w:rsid w:val="00C61840"/>
    <w:rsid w:val="00C62E6E"/>
    <w:rsid w:val="00C6324E"/>
    <w:rsid w:val="00C63D55"/>
    <w:rsid w:val="00C65FF4"/>
    <w:rsid w:val="00C66108"/>
    <w:rsid w:val="00C667F1"/>
    <w:rsid w:val="00C66D19"/>
    <w:rsid w:val="00C66D29"/>
    <w:rsid w:val="00C66D31"/>
    <w:rsid w:val="00C66F79"/>
    <w:rsid w:val="00C6730F"/>
    <w:rsid w:val="00C67DDD"/>
    <w:rsid w:val="00C7005A"/>
    <w:rsid w:val="00C70918"/>
    <w:rsid w:val="00C71775"/>
    <w:rsid w:val="00C7209B"/>
    <w:rsid w:val="00C7212E"/>
    <w:rsid w:val="00C72A3C"/>
    <w:rsid w:val="00C73498"/>
    <w:rsid w:val="00C75C80"/>
    <w:rsid w:val="00C76186"/>
    <w:rsid w:val="00C7632D"/>
    <w:rsid w:val="00C7641F"/>
    <w:rsid w:val="00C76569"/>
    <w:rsid w:val="00C7684E"/>
    <w:rsid w:val="00C76BC0"/>
    <w:rsid w:val="00C76DB3"/>
    <w:rsid w:val="00C76E1D"/>
    <w:rsid w:val="00C777FD"/>
    <w:rsid w:val="00C77A31"/>
    <w:rsid w:val="00C77AE2"/>
    <w:rsid w:val="00C77B7B"/>
    <w:rsid w:val="00C82002"/>
    <w:rsid w:val="00C822FE"/>
    <w:rsid w:val="00C82B4E"/>
    <w:rsid w:val="00C82BCF"/>
    <w:rsid w:val="00C82FB6"/>
    <w:rsid w:val="00C839F8"/>
    <w:rsid w:val="00C83AAE"/>
    <w:rsid w:val="00C83CCA"/>
    <w:rsid w:val="00C842F3"/>
    <w:rsid w:val="00C84768"/>
    <w:rsid w:val="00C8554D"/>
    <w:rsid w:val="00C859D6"/>
    <w:rsid w:val="00C85D6A"/>
    <w:rsid w:val="00C862E6"/>
    <w:rsid w:val="00C86A5C"/>
    <w:rsid w:val="00C900A9"/>
    <w:rsid w:val="00C90B27"/>
    <w:rsid w:val="00C91211"/>
    <w:rsid w:val="00C92127"/>
    <w:rsid w:val="00C92A23"/>
    <w:rsid w:val="00C92D01"/>
    <w:rsid w:val="00C9399D"/>
    <w:rsid w:val="00C94594"/>
    <w:rsid w:val="00C95166"/>
    <w:rsid w:val="00C95A7B"/>
    <w:rsid w:val="00C96BA7"/>
    <w:rsid w:val="00C97E53"/>
    <w:rsid w:val="00CA01DD"/>
    <w:rsid w:val="00CA0478"/>
    <w:rsid w:val="00CA0624"/>
    <w:rsid w:val="00CA0C30"/>
    <w:rsid w:val="00CA105A"/>
    <w:rsid w:val="00CA106F"/>
    <w:rsid w:val="00CA1795"/>
    <w:rsid w:val="00CA17E6"/>
    <w:rsid w:val="00CA1CA1"/>
    <w:rsid w:val="00CA25AF"/>
    <w:rsid w:val="00CA262F"/>
    <w:rsid w:val="00CA335B"/>
    <w:rsid w:val="00CA4CB4"/>
    <w:rsid w:val="00CA4F3A"/>
    <w:rsid w:val="00CA4FF9"/>
    <w:rsid w:val="00CA5A43"/>
    <w:rsid w:val="00CA5D99"/>
    <w:rsid w:val="00CA5EC8"/>
    <w:rsid w:val="00CA6376"/>
    <w:rsid w:val="00CA650A"/>
    <w:rsid w:val="00CA66D5"/>
    <w:rsid w:val="00CA67C4"/>
    <w:rsid w:val="00CA6E90"/>
    <w:rsid w:val="00CA74CD"/>
    <w:rsid w:val="00CA7769"/>
    <w:rsid w:val="00CA7D6B"/>
    <w:rsid w:val="00CB0955"/>
    <w:rsid w:val="00CB0F1E"/>
    <w:rsid w:val="00CB0F36"/>
    <w:rsid w:val="00CB10B3"/>
    <w:rsid w:val="00CB110B"/>
    <w:rsid w:val="00CB16B0"/>
    <w:rsid w:val="00CB2ED7"/>
    <w:rsid w:val="00CB32AE"/>
    <w:rsid w:val="00CB39E3"/>
    <w:rsid w:val="00CB484B"/>
    <w:rsid w:val="00CB4F1D"/>
    <w:rsid w:val="00CB5308"/>
    <w:rsid w:val="00CB5D97"/>
    <w:rsid w:val="00CB5FA2"/>
    <w:rsid w:val="00CB669D"/>
    <w:rsid w:val="00CB7BAC"/>
    <w:rsid w:val="00CB7E7C"/>
    <w:rsid w:val="00CC11F8"/>
    <w:rsid w:val="00CC230C"/>
    <w:rsid w:val="00CC250E"/>
    <w:rsid w:val="00CC2517"/>
    <w:rsid w:val="00CC2F22"/>
    <w:rsid w:val="00CC3342"/>
    <w:rsid w:val="00CC3F76"/>
    <w:rsid w:val="00CC4F12"/>
    <w:rsid w:val="00CC4FE9"/>
    <w:rsid w:val="00CC62C5"/>
    <w:rsid w:val="00CC6401"/>
    <w:rsid w:val="00CC6911"/>
    <w:rsid w:val="00CD0077"/>
    <w:rsid w:val="00CD01C4"/>
    <w:rsid w:val="00CD02F4"/>
    <w:rsid w:val="00CD0AEA"/>
    <w:rsid w:val="00CD0C48"/>
    <w:rsid w:val="00CD101D"/>
    <w:rsid w:val="00CD14CC"/>
    <w:rsid w:val="00CD180A"/>
    <w:rsid w:val="00CD22CD"/>
    <w:rsid w:val="00CD22F0"/>
    <w:rsid w:val="00CD26E6"/>
    <w:rsid w:val="00CD28D2"/>
    <w:rsid w:val="00CD2D1E"/>
    <w:rsid w:val="00CD2F3C"/>
    <w:rsid w:val="00CD328E"/>
    <w:rsid w:val="00CD39E1"/>
    <w:rsid w:val="00CD424D"/>
    <w:rsid w:val="00CD48D9"/>
    <w:rsid w:val="00CD52CF"/>
    <w:rsid w:val="00CD550C"/>
    <w:rsid w:val="00CD637D"/>
    <w:rsid w:val="00CD65AD"/>
    <w:rsid w:val="00CD6A4B"/>
    <w:rsid w:val="00CD6C06"/>
    <w:rsid w:val="00CD6E2F"/>
    <w:rsid w:val="00CD718B"/>
    <w:rsid w:val="00CD7517"/>
    <w:rsid w:val="00CD76BF"/>
    <w:rsid w:val="00CD7A6B"/>
    <w:rsid w:val="00CD7C2E"/>
    <w:rsid w:val="00CE01C8"/>
    <w:rsid w:val="00CE0CCB"/>
    <w:rsid w:val="00CE0F7E"/>
    <w:rsid w:val="00CE113B"/>
    <w:rsid w:val="00CE214C"/>
    <w:rsid w:val="00CE32AE"/>
    <w:rsid w:val="00CE3D18"/>
    <w:rsid w:val="00CE4D59"/>
    <w:rsid w:val="00CE4E6A"/>
    <w:rsid w:val="00CE50C4"/>
    <w:rsid w:val="00CE5AA4"/>
    <w:rsid w:val="00CE610E"/>
    <w:rsid w:val="00CE6AA3"/>
    <w:rsid w:val="00CE702F"/>
    <w:rsid w:val="00CE729F"/>
    <w:rsid w:val="00CE7644"/>
    <w:rsid w:val="00CE79FE"/>
    <w:rsid w:val="00CE7B55"/>
    <w:rsid w:val="00CE7DB0"/>
    <w:rsid w:val="00CF023B"/>
    <w:rsid w:val="00CF05FD"/>
    <w:rsid w:val="00CF0B6F"/>
    <w:rsid w:val="00CF0B9D"/>
    <w:rsid w:val="00CF0D23"/>
    <w:rsid w:val="00CF0EFE"/>
    <w:rsid w:val="00CF1108"/>
    <w:rsid w:val="00CF1CA1"/>
    <w:rsid w:val="00CF26F2"/>
    <w:rsid w:val="00CF27F6"/>
    <w:rsid w:val="00CF314F"/>
    <w:rsid w:val="00CF3882"/>
    <w:rsid w:val="00CF4099"/>
    <w:rsid w:val="00CF4B5A"/>
    <w:rsid w:val="00CF57B5"/>
    <w:rsid w:val="00CF6055"/>
    <w:rsid w:val="00CF7188"/>
    <w:rsid w:val="00CF71CA"/>
    <w:rsid w:val="00D0093E"/>
    <w:rsid w:val="00D01A23"/>
    <w:rsid w:val="00D026F2"/>
    <w:rsid w:val="00D02B47"/>
    <w:rsid w:val="00D03069"/>
    <w:rsid w:val="00D03D8B"/>
    <w:rsid w:val="00D05219"/>
    <w:rsid w:val="00D0574A"/>
    <w:rsid w:val="00D05901"/>
    <w:rsid w:val="00D0688E"/>
    <w:rsid w:val="00D06F33"/>
    <w:rsid w:val="00D07CA1"/>
    <w:rsid w:val="00D1230A"/>
    <w:rsid w:val="00D1234B"/>
    <w:rsid w:val="00D1467E"/>
    <w:rsid w:val="00D14944"/>
    <w:rsid w:val="00D15447"/>
    <w:rsid w:val="00D15467"/>
    <w:rsid w:val="00D163AA"/>
    <w:rsid w:val="00D166D4"/>
    <w:rsid w:val="00D16E75"/>
    <w:rsid w:val="00D1778B"/>
    <w:rsid w:val="00D20386"/>
    <w:rsid w:val="00D20648"/>
    <w:rsid w:val="00D21379"/>
    <w:rsid w:val="00D2216A"/>
    <w:rsid w:val="00D22553"/>
    <w:rsid w:val="00D22A75"/>
    <w:rsid w:val="00D23B9C"/>
    <w:rsid w:val="00D24008"/>
    <w:rsid w:val="00D24E04"/>
    <w:rsid w:val="00D25640"/>
    <w:rsid w:val="00D25C79"/>
    <w:rsid w:val="00D261BA"/>
    <w:rsid w:val="00D263E3"/>
    <w:rsid w:val="00D265EF"/>
    <w:rsid w:val="00D266A5"/>
    <w:rsid w:val="00D26F90"/>
    <w:rsid w:val="00D27216"/>
    <w:rsid w:val="00D276C9"/>
    <w:rsid w:val="00D277CC"/>
    <w:rsid w:val="00D27BB8"/>
    <w:rsid w:val="00D27F02"/>
    <w:rsid w:val="00D30945"/>
    <w:rsid w:val="00D30AE3"/>
    <w:rsid w:val="00D30E58"/>
    <w:rsid w:val="00D3157D"/>
    <w:rsid w:val="00D319F5"/>
    <w:rsid w:val="00D324D2"/>
    <w:rsid w:val="00D3280F"/>
    <w:rsid w:val="00D32AFD"/>
    <w:rsid w:val="00D335C5"/>
    <w:rsid w:val="00D33DF3"/>
    <w:rsid w:val="00D34689"/>
    <w:rsid w:val="00D35E21"/>
    <w:rsid w:val="00D36492"/>
    <w:rsid w:val="00D3692A"/>
    <w:rsid w:val="00D412DB"/>
    <w:rsid w:val="00D41D7B"/>
    <w:rsid w:val="00D42541"/>
    <w:rsid w:val="00D425BB"/>
    <w:rsid w:val="00D42C1E"/>
    <w:rsid w:val="00D42C61"/>
    <w:rsid w:val="00D42E24"/>
    <w:rsid w:val="00D43E12"/>
    <w:rsid w:val="00D448A9"/>
    <w:rsid w:val="00D4511E"/>
    <w:rsid w:val="00D454CB"/>
    <w:rsid w:val="00D46B71"/>
    <w:rsid w:val="00D46B97"/>
    <w:rsid w:val="00D471FF"/>
    <w:rsid w:val="00D47810"/>
    <w:rsid w:val="00D478AA"/>
    <w:rsid w:val="00D478EF"/>
    <w:rsid w:val="00D51281"/>
    <w:rsid w:val="00D51700"/>
    <w:rsid w:val="00D522C9"/>
    <w:rsid w:val="00D525B5"/>
    <w:rsid w:val="00D53164"/>
    <w:rsid w:val="00D53267"/>
    <w:rsid w:val="00D54B30"/>
    <w:rsid w:val="00D55894"/>
    <w:rsid w:val="00D5593E"/>
    <w:rsid w:val="00D56005"/>
    <w:rsid w:val="00D56139"/>
    <w:rsid w:val="00D5652A"/>
    <w:rsid w:val="00D605CC"/>
    <w:rsid w:val="00D617AB"/>
    <w:rsid w:val="00D622E3"/>
    <w:rsid w:val="00D63919"/>
    <w:rsid w:val="00D63CCB"/>
    <w:rsid w:val="00D64AD2"/>
    <w:rsid w:val="00D64ADA"/>
    <w:rsid w:val="00D65CB0"/>
    <w:rsid w:val="00D65E1C"/>
    <w:rsid w:val="00D667EC"/>
    <w:rsid w:val="00D66C16"/>
    <w:rsid w:val="00D67789"/>
    <w:rsid w:val="00D677C0"/>
    <w:rsid w:val="00D67ACE"/>
    <w:rsid w:val="00D702DE"/>
    <w:rsid w:val="00D706A1"/>
    <w:rsid w:val="00D70887"/>
    <w:rsid w:val="00D70C0C"/>
    <w:rsid w:val="00D71071"/>
    <w:rsid w:val="00D727BC"/>
    <w:rsid w:val="00D73E79"/>
    <w:rsid w:val="00D74326"/>
    <w:rsid w:val="00D747EE"/>
    <w:rsid w:val="00D753C7"/>
    <w:rsid w:val="00D7547A"/>
    <w:rsid w:val="00D76601"/>
    <w:rsid w:val="00D76E95"/>
    <w:rsid w:val="00D77574"/>
    <w:rsid w:val="00D77A20"/>
    <w:rsid w:val="00D8060C"/>
    <w:rsid w:val="00D80A1C"/>
    <w:rsid w:val="00D80A53"/>
    <w:rsid w:val="00D81E41"/>
    <w:rsid w:val="00D82127"/>
    <w:rsid w:val="00D83021"/>
    <w:rsid w:val="00D84808"/>
    <w:rsid w:val="00D84C02"/>
    <w:rsid w:val="00D8546F"/>
    <w:rsid w:val="00D8672C"/>
    <w:rsid w:val="00D86E6F"/>
    <w:rsid w:val="00D872A9"/>
    <w:rsid w:val="00D8770A"/>
    <w:rsid w:val="00D878D5"/>
    <w:rsid w:val="00D87B05"/>
    <w:rsid w:val="00D87D93"/>
    <w:rsid w:val="00D87F53"/>
    <w:rsid w:val="00D92706"/>
    <w:rsid w:val="00D92A30"/>
    <w:rsid w:val="00D93F6B"/>
    <w:rsid w:val="00D94DDB"/>
    <w:rsid w:val="00D94DEC"/>
    <w:rsid w:val="00D95458"/>
    <w:rsid w:val="00D955C4"/>
    <w:rsid w:val="00D958DF"/>
    <w:rsid w:val="00D95924"/>
    <w:rsid w:val="00D95D3E"/>
    <w:rsid w:val="00D95F24"/>
    <w:rsid w:val="00D974A8"/>
    <w:rsid w:val="00D97DB1"/>
    <w:rsid w:val="00DA073E"/>
    <w:rsid w:val="00DA0EC4"/>
    <w:rsid w:val="00DA12F2"/>
    <w:rsid w:val="00DA135B"/>
    <w:rsid w:val="00DA1785"/>
    <w:rsid w:val="00DA17DE"/>
    <w:rsid w:val="00DA1C3F"/>
    <w:rsid w:val="00DA2370"/>
    <w:rsid w:val="00DA2694"/>
    <w:rsid w:val="00DA3EA6"/>
    <w:rsid w:val="00DA3EB3"/>
    <w:rsid w:val="00DA50DF"/>
    <w:rsid w:val="00DA5947"/>
    <w:rsid w:val="00DA5A6B"/>
    <w:rsid w:val="00DA5E7D"/>
    <w:rsid w:val="00DA632D"/>
    <w:rsid w:val="00DA63D6"/>
    <w:rsid w:val="00DA6BBF"/>
    <w:rsid w:val="00DA6C24"/>
    <w:rsid w:val="00DA6D4F"/>
    <w:rsid w:val="00DA702F"/>
    <w:rsid w:val="00DA752D"/>
    <w:rsid w:val="00DA75B8"/>
    <w:rsid w:val="00DA75DC"/>
    <w:rsid w:val="00DB05EA"/>
    <w:rsid w:val="00DB1D4B"/>
    <w:rsid w:val="00DB354B"/>
    <w:rsid w:val="00DB382D"/>
    <w:rsid w:val="00DB38FA"/>
    <w:rsid w:val="00DB3EB7"/>
    <w:rsid w:val="00DB4188"/>
    <w:rsid w:val="00DB477C"/>
    <w:rsid w:val="00DB5EEB"/>
    <w:rsid w:val="00DB5F12"/>
    <w:rsid w:val="00DB5F60"/>
    <w:rsid w:val="00DB6043"/>
    <w:rsid w:val="00DB6116"/>
    <w:rsid w:val="00DB7621"/>
    <w:rsid w:val="00DB7897"/>
    <w:rsid w:val="00DC2F79"/>
    <w:rsid w:val="00DC3C65"/>
    <w:rsid w:val="00DC424C"/>
    <w:rsid w:val="00DC44D7"/>
    <w:rsid w:val="00DC4637"/>
    <w:rsid w:val="00DC496C"/>
    <w:rsid w:val="00DC4F2D"/>
    <w:rsid w:val="00DC5808"/>
    <w:rsid w:val="00DC6CD8"/>
    <w:rsid w:val="00DC7375"/>
    <w:rsid w:val="00DD07EE"/>
    <w:rsid w:val="00DD0FDC"/>
    <w:rsid w:val="00DD159B"/>
    <w:rsid w:val="00DD235F"/>
    <w:rsid w:val="00DD23B9"/>
    <w:rsid w:val="00DD2FB2"/>
    <w:rsid w:val="00DD4523"/>
    <w:rsid w:val="00DD50A1"/>
    <w:rsid w:val="00DD57E7"/>
    <w:rsid w:val="00DD5873"/>
    <w:rsid w:val="00DD59D6"/>
    <w:rsid w:val="00DD63D4"/>
    <w:rsid w:val="00DD75CF"/>
    <w:rsid w:val="00DD75F3"/>
    <w:rsid w:val="00DD763C"/>
    <w:rsid w:val="00DE0207"/>
    <w:rsid w:val="00DE030F"/>
    <w:rsid w:val="00DE0D46"/>
    <w:rsid w:val="00DE0DA8"/>
    <w:rsid w:val="00DE1563"/>
    <w:rsid w:val="00DE2237"/>
    <w:rsid w:val="00DE2436"/>
    <w:rsid w:val="00DE2BB1"/>
    <w:rsid w:val="00DE4530"/>
    <w:rsid w:val="00DE4A19"/>
    <w:rsid w:val="00DE4E2A"/>
    <w:rsid w:val="00DE51EA"/>
    <w:rsid w:val="00DE5312"/>
    <w:rsid w:val="00DE565B"/>
    <w:rsid w:val="00DE60A8"/>
    <w:rsid w:val="00DE632C"/>
    <w:rsid w:val="00DE6D5F"/>
    <w:rsid w:val="00DE767F"/>
    <w:rsid w:val="00DE7D95"/>
    <w:rsid w:val="00DE7EE6"/>
    <w:rsid w:val="00DF1265"/>
    <w:rsid w:val="00DF12EB"/>
    <w:rsid w:val="00DF1570"/>
    <w:rsid w:val="00DF19F6"/>
    <w:rsid w:val="00DF1C76"/>
    <w:rsid w:val="00DF2553"/>
    <w:rsid w:val="00DF35B9"/>
    <w:rsid w:val="00DF3651"/>
    <w:rsid w:val="00DF3D8D"/>
    <w:rsid w:val="00DF4260"/>
    <w:rsid w:val="00DF464F"/>
    <w:rsid w:val="00DF4CCF"/>
    <w:rsid w:val="00DF5195"/>
    <w:rsid w:val="00DF5445"/>
    <w:rsid w:val="00DF548C"/>
    <w:rsid w:val="00DF55FC"/>
    <w:rsid w:val="00DF5FDB"/>
    <w:rsid w:val="00DF6978"/>
    <w:rsid w:val="00DF6C1E"/>
    <w:rsid w:val="00DF7363"/>
    <w:rsid w:val="00DF765A"/>
    <w:rsid w:val="00E0010F"/>
    <w:rsid w:val="00E01B1E"/>
    <w:rsid w:val="00E022E9"/>
    <w:rsid w:val="00E03C93"/>
    <w:rsid w:val="00E040F1"/>
    <w:rsid w:val="00E04411"/>
    <w:rsid w:val="00E0452C"/>
    <w:rsid w:val="00E04ED0"/>
    <w:rsid w:val="00E0509C"/>
    <w:rsid w:val="00E05CB2"/>
    <w:rsid w:val="00E05E43"/>
    <w:rsid w:val="00E05F76"/>
    <w:rsid w:val="00E06224"/>
    <w:rsid w:val="00E0646D"/>
    <w:rsid w:val="00E06C32"/>
    <w:rsid w:val="00E1058F"/>
    <w:rsid w:val="00E10B63"/>
    <w:rsid w:val="00E11DD1"/>
    <w:rsid w:val="00E12A2A"/>
    <w:rsid w:val="00E13088"/>
    <w:rsid w:val="00E130F0"/>
    <w:rsid w:val="00E1349F"/>
    <w:rsid w:val="00E135BB"/>
    <w:rsid w:val="00E13B65"/>
    <w:rsid w:val="00E1423C"/>
    <w:rsid w:val="00E143AE"/>
    <w:rsid w:val="00E1480A"/>
    <w:rsid w:val="00E14BB8"/>
    <w:rsid w:val="00E15B9B"/>
    <w:rsid w:val="00E15DDF"/>
    <w:rsid w:val="00E161FC"/>
    <w:rsid w:val="00E16F10"/>
    <w:rsid w:val="00E1722F"/>
    <w:rsid w:val="00E20914"/>
    <w:rsid w:val="00E20BDE"/>
    <w:rsid w:val="00E210E7"/>
    <w:rsid w:val="00E210EF"/>
    <w:rsid w:val="00E215E9"/>
    <w:rsid w:val="00E21AAC"/>
    <w:rsid w:val="00E21DB1"/>
    <w:rsid w:val="00E221C0"/>
    <w:rsid w:val="00E22D47"/>
    <w:rsid w:val="00E234F8"/>
    <w:rsid w:val="00E241BD"/>
    <w:rsid w:val="00E25563"/>
    <w:rsid w:val="00E263A3"/>
    <w:rsid w:val="00E2652A"/>
    <w:rsid w:val="00E27A79"/>
    <w:rsid w:val="00E27EBF"/>
    <w:rsid w:val="00E30A09"/>
    <w:rsid w:val="00E30B65"/>
    <w:rsid w:val="00E31431"/>
    <w:rsid w:val="00E31434"/>
    <w:rsid w:val="00E317DC"/>
    <w:rsid w:val="00E31B60"/>
    <w:rsid w:val="00E32167"/>
    <w:rsid w:val="00E32356"/>
    <w:rsid w:val="00E329C8"/>
    <w:rsid w:val="00E3331D"/>
    <w:rsid w:val="00E33654"/>
    <w:rsid w:val="00E34D00"/>
    <w:rsid w:val="00E34E64"/>
    <w:rsid w:val="00E357FD"/>
    <w:rsid w:val="00E35FE6"/>
    <w:rsid w:val="00E36438"/>
    <w:rsid w:val="00E3665E"/>
    <w:rsid w:val="00E36BEE"/>
    <w:rsid w:val="00E36C7A"/>
    <w:rsid w:val="00E36D3B"/>
    <w:rsid w:val="00E373A0"/>
    <w:rsid w:val="00E37BB6"/>
    <w:rsid w:val="00E401D5"/>
    <w:rsid w:val="00E407A3"/>
    <w:rsid w:val="00E41532"/>
    <w:rsid w:val="00E417C5"/>
    <w:rsid w:val="00E427CD"/>
    <w:rsid w:val="00E42F1A"/>
    <w:rsid w:val="00E45179"/>
    <w:rsid w:val="00E455E7"/>
    <w:rsid w:val="00E45DA7"/>
    <w:rsid w:val="00E46619"/>
    <w:rsid w:val="00E4666D"/>
    <w:rsid w:val="00E46954"/>
    <w:rsid w:val="00E46D4E"/>
    <w:rsid w:val="00E478C7"/>
    <w:rsid w:val="00E479DB"/>
    <w:rsid w:val="00E503FC"/>
    <w:rsid w:val="00E5045C"/>
    <w:rsid w:val="00E516DB"/>
    <w:rsid w:val="00E52D65"/>
    <w:rsid w:val="00E535CC"/>
    <w:rsid w:val="00E54962"/>
    <w:rsid w:val="00E557BC"/>
    <w:rsid w:val="00E5586F"/>
    <w:rsid w:val="00E55ABC"/>
    <w:rsid w:val="00E56A8B"/>
    <w:rsid w:val="00E56CDD"/>
    <w:rsid w:val="00E56E61"/>
    <w:rsid w:val="00E570B0"/>
    <w:rsid w:val="00E57281"/>
    <w:rsid w:val="00E579AB"/>
    <w:rsid w:val="00E6017C"/>
    <w:rsid w:val="00E60A26"/>
    <w:rsid w:val="00E60AF4"/>
    <w:rsid w:val="00E60F8C"/>
    <w:rsid w:val="00E61EB4"/>
    <w:rsid w:val="00E62637"/>
    <w:rsid w:val="00E62956"/>
    <w:rsid w:val="00E63CB9"/>
    <w:rsid w:val="00E64920"/>
    <w:rsid w:val="00E64AA5"/>
    <w:rsid w:val="00E65A69"/>
    <w:rsid w:val="00E65B08"/>
    <w:rsid w:val="00E66430"/>
    <w:rsid w:val="00E66645"/>
    <w:rsid w:val="00E66879"/>
    <w:rsid w:val="00E669F9"/>
    <w:rsid w:val="00E670D3"/>
    <w:rsid w:val="00E67CC1"/>
    <w:rsid w:val="00E7135A"/>
    <w:rsid w:val="00E714A2"/>
    <w:rsid w:val="00E715C9"/>
    <w:rsid w:val="00E71E90"/>
    <w:rsid w:val="00E720D1"/>
    <w:rsid w:val="00E72326"/>
    <w:rsid w:val="00E73B7D"/>
    <w:rsid w:val="00E73D27"/>
    <w:rsid w:val="00E74D94"/>
    <w:rsid w:val="00E75EB3"/>
    <w:rsid w:val="00E75F03"/>
    <w:rsid w:val="00E762C6"/>
    <w:rsid w:val="00E762CC"/>
    <w:rsid w:val="00E7661D"/>
    <w:rsid w:val="00E766A1"/>
    <w:rsid w:val="00E76B76"/>
    <w:rsid w:val="00E76F49"/>
    <w:rsid w:val="00E80054"/>
    <w:rsid w:val="00E803C1"/>
    <w:rsid w:val="00E818E9"/>
    <w:rsid w:val="00E82872"/>
    <w:rsid w:val="00E82CDD"/>
    <w:rsid w:val="00E83057"/>
    <w:rsid w:val="00E839C9"/>
    <w:rsid w:val="00E83ADE"/>
    <w:rsid w:val="00E85DD4"/>
    <w:rsid w:val="00E86421"/>
    <w:rsid w:val="00E907E2"/>
    <w:rsid w:val="00E908C3"/>
    <w:rsid w:val="00E91815"/>
    <w:rsid w:val="00E91983"/>
    <w:rsid w:val="00E92966"/>
    <w:rsid w:val="00E93209"/>
    <w:rsid w:val="00E9320B"/>
    <w:rsid w:val="00E932D0"/>
    <w:rsid w:val="00E937BE"/>
    <w:rsid w:val="00E94F7E"/>
    <w:rsid w:val="00E95BF8"/>
    <w:rsid w:val="00E964DF"/>
    <w:rsid w:val="00E97036"/>
    <w:rsid w:val="00E97469"/>
    <w:rsid w:val="00E97675"/>
    <w:rsid w:val="00E97739"/>
    <w:rsid w:val="00E97D9C"/>
    <w:rsid w:val="00EA054B"/>
    <w:rsid w:val="00EA0FAE"/>
    <w:rsid w:val="00EA1103"/>
    <w:rsid w:val="00EA13BA"/>
    <w:rsid w:val="00EA1995"/>
    <w:rsid w:val="00EA1F10"/>
    <w:rsid w:val="00EA269B"/>
    <w:rsid w:val="00EA272A"/>
    <w:rsid w:val="00EA3C17"/>
    <w:rsid w:val="00EA3C8F"/>
    <w:rsid w:val="00EA3D0C"/>
    <w:rsid w:val="00EA3E30"/>
    <w:rsid w:val="00EA404D"/>
    <w:rsid w:val="00EA45BB"/>
    <w:rsid w:val="00EA4F7A"/>
    <w:rsid w:val="00EA58B2"/>
    <w:rsid w:val="00EA5977"/>
    <w:rsid w:val="00EA5B78"/>
    <w:rsid w:val="00EA66BD"/>
    <w:rsid w:val="00EA721B"/>
    <w:rsid w:val="00EA731C"/>
    <w:rsid w:val="00EA7545"/>
    <w:rsid w:val="00EB0258"/>
    <w:rsid w:val="00EB0A6E"/>
    <w:rsid w:val="00EB1ED3"/>
    <w:rsid w:val="00EB2229"/>
    <w:rsid w:val="00EB2258"/>
    <w:rsid w:val="00EB279B"/>
    <w:rsid w:val="00EB3275"/>
    <w:rsid w:val="00EB32D4"/>
    <w:rsid w:val="00EB32FA"/>
    <w:rsid w:val="00EB46DF"/>
    <w:rsid w:val="00EB541D"/>
    <w:rsid w:val="00EB56AC"/>
    <w:rsid w:val="00EB5818"/>
    <w:rsid w:val="00EB62D6"/>
    <w:rsid w:val="00EB65C4"/>
    <w:rsid w:val="00EB6760"/>
    <w:rsid w:val="00EB6766"/>
    <w:rsid w:val="00EB6BE5"/>
    <w:rsid w:val="00EB79A8"/>
    <w:rsid w:val="00EC10F6"/>
    <w:rsid w:val="00EC1184"/>
    <w:rsid w:val="00EC1251"/>
    <w:rsid w:val="00EC1271"/>
    <w:rsid w:val="00EC147A"/>
    <w:rsid w:val="00EC14C1"/>
    <w:rsid w:val="00EC1987"/>
    <w:rsid w:val="00EC1DED"/>
    <w:rsid w:val="00EC23B4"/>
    <w:rsid w:val="00EC29BA"/>
    <w:rsid w:val="00EC36CC"/>
    <w:rsid w:val="00EC36E4"/>
    <w:rsid w:val="00EC3BE7"/>
    <w:rsid w:val="00EC3BEF"/>
    <w:rsid w:val="00EC3E96"/>
    <w:rsid w:val="00EC479D"/>
    <w:rsid w:val="00EC4A1D"/>
    <w:rsid w:val="00EC4EC9"/>
    <w:rsid w:val="00EC57F4"/>
    <w:rsid w:val="00EC6033"/>
    <w:rsid w:val="00EC61EB"/>
    <w:rsid w:val="00EC6DD4"/>
    <w:rsid w:val="00EC6E22"/>
    <w:rsid w:val="00ED0D55"/>
    <w:rsid w:val="00ED13D2"/>
    <w:rsid w:val="00ED1740"/>
    <w:rsid w:val="00ED1B7D"/>
    <w:rsid w:val="00ED2A9F"/>
    <w:rsid w:val="00ED2D81"/>
    <w:rsid w:val="00ED32EC"/>
    <w:rsid w:val="00ED3781"/>
    <w:rsid w:val="00ED37C0"/>
    <w:rsid w:val="00ED426E"/>
    <w:rsid w:val="00ED4A5C"/>
    <w:rsid w:val="00ED5346"/>
    <w:rsid w:val="00ED5A41"/>
    <w:rsid w:val="00ED6C74"/>
    <w:rsid w:val="00ED709E"/>
    <w:rsid w:val="00ED7E49"/>
    <w:rsid w:val="00EE0422"/>
    <w:rsid w:val="00EE0C7F"/>
    <w:rsid w:val="00EE1A6F"/>
    <w:rsid w:val="00EE2C57"/>
    <w:rsid w:val="00EE2E22"/>
    <w:rsid w:val="00EE33CB"/>
    <w:rsid w:val="00EE3580"/>
    <w:rsid w:val="00EE500A"/>
    <w:rsid w:val="00EE59F5"/>
    <w:rsid w:val="00EE5A51"/>
    <w:rsid w:val="00EE60E7"/>
    <w:rsid w:val="00EE69F7"/>
    <w:rsid w:val="00EE722A"/>
    <w:rsid w:val="00EE7DB6"/>
    <w:rsid w:val="00EE7DFD"/>
    <w:rsid w:val="00EF016E"/>
    <w:rsid w:val="00EF14D1"/>
    <w:rsid w:val="00EF27AB"/>
    <w:rsid w:val="00EF2EA8"/>
    <w:rsid w:val="00EF372C"/>
    <w:rsid w:val="00EF3848"/>
    <w:rsid w:val="00EF3A6F"/>
    <w:rsid w:val="00EF3BC3"/>
    <w:rsid w:val="00EF3DE8"/>
    <w:rsid w:val="00EF5611"/>
    <w:rsid w:val="00EF5674"/>
    <w:rsid w:val="00EF5B53"/>
    <w:rsid w:val="00EF60A7"/>
    <w:rsid w:val="00EF6CCB"/>
    <w:rsid w:val="00EF6DA2"/>
    <w:rsid w:val="00F0048F"/>
    <w:rsid w:val="00F02E35"/>
    <w:rsid w:val="00F03127"/>
    <w:rsid w:val="00F0327C"/>
    <w:rsid w:val="00F03F6C"/>
    <w:rsid w:val="00F04490"/>
    <w:rsid w:val="00F046B2"/>
    <w:rsid w:val="00F04AC0"/>
    <w:rsid w:val="00F05168"/>
    <w:rsid w:val="00F05777"/>
    <w:rsid w:val="00F06348"/>
    <w:rsid w:val="00F07312"/>
    <w:rsid w:val="00F11290"/>
    <w:rsid w:val="00F119F9"/>
    <w:rsid w:val="00F12BED"/>
    <w:rsid w:val="00F13240"/>
    <w:rsid w:val="00F133D0"/>
    <w:rsid w:val="00F140C9"/>
    <w:rsid w:val="00F14BC9"/>
    <w:rsid w:val="00F158DD"/>
    <w:rsid w:val="00F15F54"/>
    <w:rsid w:val="00F15FAA"/>
    <w:rsid w:val="00F20DA6"/>
    <w:rsid w:val="00F2114A"/>
    <w:rsid w:val="00F21653"/>
    <w:rsid w:val="00F21A1C"/>
    <w:rsid w:val="00F21D8E"/>
    <w:rsid w:val="00F22005"/>
    <w:rsid w:val="00F222AE"/>
    <w:rsid w:val="00F2354E"/>
    <w:rsid w:val="00F24447"/>
    <w:rsid w:val="00F24957"/>
    <w:rsid w:val="00F2530A"/>
    <w:rsid w:val="00F2635B"/>
    <w:rsid w:val="00F2662A"/>
    <w:rsid w:val="00F266AF"/>
    <w:rsid w:val="00F26C6E"/>
    <w:rsid w:val="00F27DB5"/>
    <w:rsid w:val="00F27E4B"/>
    <w:rsid w:val="00F303B1"/>
    <w:rsid w:val="00F3108D"/>
    <w:rsid w:val="00F31B41"/>
    <w:rsid w:val="00F31DCB"/>
    <w:rsid w:val="00F31F0A"/>
    <w:rsid w:val="00F32436"/>
    <w:rsid w:val="00F332DE"/>
    <w:rsid w:val="00F332EB"/>
    <w:rsid w:val="00F336F4"/>
    <w:rsid w:val="00F35D60"/>
    <w:rsid w:val="00F35E8F"/>
    <w:rsid w:val="00F35F39"/>
    <w:rsid w:val="00F36732"/>
    <w:rsid w:val="00F36B03"/>
    <w:rsid w:val="00F36E39"/>
    <w:rsid w:val="00F36E88"/>
    <w:rsid w:val="00F371C8"/>
    <w:rsid w:val="00F372EC"/>
    <w:rsid w:val="00F373DE"/>
    <w:rsid w:val="00F374E2"/>
    <w:rsid w:val="00F379DC"/>
    <w:rsid w:val="00F40F69"/>
    <w:rsid w:val="00F414FB"/>
    <w:rsid w:val="00F415F7"/>
    <w:rsid w:val="00F41FB2"/>
    <w:rsid w:val="00F42BC2"/>
    <w:rsid w:val="00F42FAF"/>
    <w:rsid w:val="00F4389D"/>
    <w:rsid w:val="00F438A5"/>
    <w:rsid w:val="00F446CE"/>
    <w:rsid w:val="00F44C30"/>
    <w:rsid w:val="00F45029"/>
    <w:rsid w:val="00F4571E"/>
    <w:rsid w:val="00F46914"/>
    <w:rsid w:val="00F46DCF"/>
    <w:rsid w:val="00F50818"/>
    <w:rsid w:val="00F50D80"/>
    <w:rsid w:val="00F50ED5"/>
    <w:rsid w:val="00F512BD"/>
    <w:rsid w:val="00F52822"/>
    <w:rsid w:val="00F539E2"/>
    <w:rsid w:val="00F5420E"/>
    <w:rsid w:val="00F54803"/>
    <w:rsid w:val="00F54852"/>
    <w:rsid w:val="00F54A52"/>
    <w:rsid w:val="00F54FC3"/>
    <w:rsid w:val="00F56AE1"/>
    <w:rsid w:val="00F56E42"/>
    <w:rsid w:val="00F5706B"/>
    <w:rsid w:val="00F57507"/>
    <w:rsid w:val="00F5774C"/>
    <w:rsid w:val="00F60086"/>
    <w:rsid w:val="00F605D2"/>
    <w:rsid w:val="00F606F7"/>
    <w:rsid w:val="00F60718"/>
    <w:rsid w:val="00F60C70"/>
    <w:rsid w:val="00F60F32"/>
    <w:rsid w:val="00F6348B"/>
    <w:rsid w:val="00F63A2E"/>
    <w:rsid w:val="00F63AB1"/>
    <w:rsid w:val="00F642C8"/>
    <w:rsid w:val="00F6449A"/>
    <w:rsid w:val="00F646CB"/>
    <w:rsid w:val="00F64B48"/>
    <w:rsid w:val="00F64E1E"/>
    <w:rsid w:val="00F656B4"/>
    <w:rsid w:val="00F65D0D"/>
    <w:rsid w:val="00F662E6"/>
    <w:rsid w:val="00F66A6E"/>
    <w:rsid w:val="00F66F32"/>
    <w:rsid w:val="00F67D05"/>
    <w:rsid w:val="00F70416"/>
    <w:rsid w:val="00F70E01"/>
    <w:rsid w:val="00F7173C"/>
    <w:rsid w:val="00F720AE"/>
    <w:rsid w:val="00F72459"/>
    <w:rsid w:val="00F72620"/>
    <w:rsid w:val="00F7264B"/>
    <w:rsid w:val="00F73AD9"/>
    <w:rsid w:val="00F73F39"/>
    <w:rsid w:val="00F75132"/>
    <w:rsid w:val="00F75600"/>
    <w:rsid w:val="00F76A51"/>
    <w:rsid w:val="00F76CB5"/>
    <w:rsid w:val="00F772EE"/>
    <w:rsid w:val="00F80072"/>
    <w:rsid w:val="00F801B1"/>
    <w:rsid w:val="00F80BE4"/>
    <w:rsid w:val="00F8162A"/>
    <w:rsid w:val="00F81681"/>
    <w:rsid w:val="00F81978"/>
    <w:rsid w:val="00F8197D"/>
    <w:rsid w:val="00F81E87"/>
    <w:rsid w:val="00F81FAB"/>
    <w:rsid w:val="00F82D32"/>
    <w:rsid w:val="00F82FA2"/>
    <w:rsid w:val="00F82FDA"/>
    <w:rsid w:val="00F8322A"/>
    <w:rsid w:val="00F832AC"/>
    <w:rsid w:val="00F837EB"/>
    <w:rsid w:val="00F845B6"/>
    <w:rsid w:val="00F84965"/>
    <w:rsid w:val="00F84B96"/>
    <w:rsid w:val="00F84C2D"/>
    <w:rsid w:val="00F8525C"/>
    <w:rsid w:val="00F85603"/>
    <w:rsid w:val="00F86560"/>
    <w:rsid w:val="00F86CA4"/>
    <w:rsid w:val="00F86CF1"/>
    <w:rsid w:val="00F8705F"/>
    <w:rsid w:val="00F87328"/>
    <w:rsid w:val="00F87392"/>
    <w:rsid w:val="00F87407"/>
    <w:rsid w:val="00F91323"/>
    <w:rsid w:val="00F9161E"/>
    <w:rsid w:val="00F9167B"/>
    <w:rsid w:val="00F91729"/>
    <w:rsid w:val="00F91A68"/>
    <w:rsid w:val="00F91B28"/>
    <w:rsid w:val="00F91C51"/>
    <w:rsid w:val="00F92837"/>
    <w:rsid w:val="00F928F8"/>
    <w:rsid w:val="00F92A42"/>
    <w:rsid w:val="00F93652"/>
    <w:rsid w:val="00F93741"/>
    <w:rsid w:val="00F93FEE"/>
    <w:rsid w:val="00F94C38"/>
    <w:rsid w:val="00F95808"/>
    <w:rsid w:val="00F95838"/>
    <w:rsid w:val="00F9648B"/>
    <w:rsid w:val="00F968BD"/>
    <w:rsid w:val="00F96F11"/>
    <w:rsid w:val="00F9708F"/>
    <w:rsid w:val="00F972CC"/>
    <w:rsid w:val="00F97341"/>
    <w:rsid w:val="00FA0D90"/>
    <w:rsid w:val="00FA0EFB"/>
    <w:rsid w:val="00FA15C1"/>
    <w:rsid w:val="00FA1B6A"/>
    <w:rsid w:val="00FA2215"/>
    <w:rsid w:val="00FA2A21"/>
    <w:rsid w:val="00FA3E9D"/>
    <w:rsid w:val="00FA3F60"/>
    <w:rsid w:val="00FA3F94"/>
    <w:rsid w:val="00FA3FA9"/>
    <w:rsid w:val="00FA454B"/>
    <w:rsid w:val="00FA5CE7"/>
    <w:rsid w:val="00FA6A02"/>
    <w:rsid w:val="00FA6EF3"/>
    <w:rsid w:val="00FB073B"/>
    <w:rsid w:val="00FB0D11"/>
    <w:rsid w:val="00FB13E2"/>
    <w:rsid w:val="00FB1605"/>
    <w:rsid w:val="00FB1A92"/>
    <w:rsid w:val="00FB2188"/>
    <w:rsid w:val="00FB259E"/>
    <w:rsid w:val="00FB2947"/>
    <w:rsid w:val="00FB296C"/>
    <w:rsid w:val="00FB2BAF"/>
    <w:rsid w:val="00FB2D08"/>
    <w:rsid w:val="00FB30C9"/>
    <w:rsid w:val="00FB3688"/>
    <w:rsid w:val="00FB36B4"/>
    <w:rsid w:val="00FB4172"/>
    <w:rsid w:val="00FB49F3"/>
    <w:rsid w:val="00FB7439"/>
    <w:rsid w:val="00FC0B09"/>
    <w:rsid w:val="00FC0FB8"/>
    <w:rsid w:val="00FC1D13"/>
    <w:rsid w:val="00FC21D2"/>
    <w:rsid w:val="00FC24B3"/>
    <w:rsid w:val="00FC285D"/>
    <w:rsid w:val="00FC3AAA"/>
    <w:rsid w:val="00FC4433"/>
    <w:rsid w:val="00FC4848"/>
    <w:rsid w:val="00FC51FA"/>
    <w:rsid w:val="00FC6BD8"/>
    <w:rsid w:val="00FC7706"/>
    <w:rsid w:val="00FC7851"/>
    <w:rsid w:val="00FD0728"/>
    <w:rsid w:val="00FD11F5"/>
    <w:rsid w:val="00FD2840"/>
    <w:rsid w:val="00FD2AF4"/>
    <w:rsid w:val="00FD2F2E"/>
    <w:rsid w:val="00FD307B"/>
    <w:rsid w:val="00FD380E"/>
    <w:rsid w:val="00FD4764"/>
    <w:rsid w:val="00FD4929"/>
    <w:rsid w:val="00FD4B6B"/>
    <w:rsid w:val="00FD4DA9"/>
    <w:rsid w:val="00FD4EA4"/>
    <w:rsid w:val="00FD5111"/>
    <w:rsid w:val="00FD5914"/>
    <w:rsid w:val="00FD5B1C"/>
    <w:rsid w:val="00FE01D9"/>
    <w:rsid w:val="00FE17D9"/>
    <w:rsid w:val="00FE1A96"/>
    <w:rsid w:val="00FE1B65"/>
    <w:rsid w:val="00FE2001"/>
    <w:rsid w:val="00FE20DB"/>
    <w:rsid w:val="00FE2346"/>
    <w:rsid w:val="00FE2AE5"/>
    <w:rsid w:val="00FE3354"/>
    <w:rsid w:val="00FE38A3"/>
    <w:rsid w:val="00FE3B71"/>
    <w:rsid w:val="00FE3C02"/>
    <w:rsid w:val="00FE446F"/>
    <w:rsid w:val="00FE4D23"/>
    <w:rsid w:val="00FE501D"/>
    <w:rsid w:val="00FE59EC"/>
    <w:rsid w:val="00FE5C40"/>
    <w:rsid w:val="00FE5ED4"/>
    <w:rsid w:val="00FE67F5"/>
    <w:rsid w:val="00FE6F2A"/>
    <w:rsid w:val="00FE73C6"/>
    <w:rsid w:val="00FE7ACA"/>
    <w:rsid w:val="00FE7D9E"/>
    <w:rsid w:val="00FF04A3"/>
    <w:rsid w:val="00FF04C6"/>
    <w:rsid w:val="00FF060C"/>
    <w:rsid w:val="00FF0A16"/>
    <w:rsid w:val="00FF0FA2"/>
    <w:rsid w:val="00FF17F5"/>
    <w:rsid w:val="00FF1B31"/>
    <w:rsid w:val="00FF1BA9"/>
    <w:rsid w:val="00FF2ADA"/>
    <w:rsid w:val="00FF3174"/>
    <w:rsid w:val="00FF3A03"/>
    <w:rsid w:val="00FF3E3C"/>
    <w:rsid w:val="00FF4180"/>
    <w:rsid w:val="00FF452C"/>
    <w:rsid w:val="00FF4815"/>
    <w:rsid w:val="00FF4E8E"/>
    <w:rsid w:val="00FF5B80"/>
    <w:rsid w:val="00FF5DB6"/>
    <w:rsid w:val="00FF5E0D"/>
    <w:rsid w:val="00FF67AC"/>
    <w:rsid w:val="00FF68B7"/>
    <w:rsid w:val="00FF6D43"/>
    <w:rsid w:val="00FF6DE0"/>
    <w:rsid w:val="00FF7B83"/>
    <w:rsid w:val="010859CB"/>
    <w:rsid w:val="012C6360"/>
    <w:rsid w:val="01551736"/>
    <w:rsid w:val="018204DD"/>
    <w:rsid w:val="01EC7DF0"/>
    <w:rsid w:val="020B02E9"/>
    <w:rsid w:val="02147936"/>
    <w:rsid w:val="022511FF"/>
    <w:rsid w:val="022F5F3E"/>
    <w:rsid w:val="023A1825"/>
    <w:rsid w:val="02671A0C"/>
    <w:rsid w:val="02672E9E"/>
    <w:rsid w:val="02802B98"/>
    <w:rsid w:val="028A4E92"/>
    <w:rsid w:val="02BA6CB0"/>
    <w:rsid w:val="02F76F90"/>
    <w:rsid w:val="03347967"/>
    <w:rsid w:val="03544580"/>
    <w:rsid w:val="03AF3CB3"/>
    <w:rsid w:val="03C7694E"/>
    <w:rsid w:val="03D1593C"/>
    <w:rsid w:val="03E72B61"/>
    <w:rsid w:val="04010A9E"/>
    <w:rsid w:val="04273B89"/>
    <w:rsid w:val="042C3FFD"/>
    <w:rsid w:val="04BA06FC"/>
    <w:rsid w:val="04DF7CDC"/>
    <w:rsid w:val="04E87ABE"/>
    <w:rsid w:val="04F95927"/>
    <w:rsid w:val="05146DFD"/>
    <w:rsid w:val="053A662B"/>
    <w:rsid w:val="053D2A87"/>
    <w:rsid w:val="057A2F37"/>
    <w:rsid w:val="058475F3"/>
    <w:rsid w:val="05AD27F6"/>
    <w:rsid w:val="05C1309B"/>
    <w:rsid w:val="05E11A1D"/>
    <w:rsid w:val="05EC5337"/>
    <w:rsid w:val="061C4781"/>
    <w:rsid w:val="06357F93"/>
    <w:rsid w:val="06FF7026"/>
    <w:rsid w:val="07201CA4"/>
    <w:rsid w:val="07233264"/>
    <w:rsid w:val="074706DB"/>
    <w:rsid w:val="075218DF"/>
    <w:rsid w:val="07AE4EB4"/>
    <w:rsid w:val="07FE7ED9"/>
    <w:rsid w:val="082A74CE"/>
    <w:rsid w:val="083906A1"/>
    <w:rsid w:val="08514F10"/>
    <w:rsid w:val="08CB3D89"/>
    <w:rsid w:val="08D10C2C"/>
    <w:rsid w:val="08D6085A"/>
    <w:rsid w:val="08D90E36"/>
    <w:rsid w:val="08E259D4"/>
    <w:rsid w:val="093F3DDB"/>
    <w:rsid w:val="096B653D"/>
    <w:rsid w:val="09865570"/>
    <w:rsid w:val="09EB2C7F"/>
    <w:rsid w:val="0A0B3154"/>
    <w:rsid w:val="0A200A41"/>
    <w:rsid w:val="0A8E0E1C"/>
    <w:rsid w:val="0A981831"/>
    <w:rsid w:val="0AA70A77"/>
    <w:rsid w:val="0AB968ED"/>
    <w:rsid w:val="0ACA4B43"/>
    <w:rsid w:val="0ADB7197"/>
    <w:rsid w:val="0B6E1DBA"/>
    <w:rsid w:val="0BFB4911"/>
    <w:rsid w:val="0BFD4BA4"/>
    <w:rsid w:val="0C240CB4"/>
    <w:rsid w:val="0C4513A7"/>
    <w:rsid w:val="0C5F00DE"/>
    <w:rsid w:val="0C9B3087"/>
    <w:rsid w:val="0C9C79CB"/>
    <w:rsid w:val="0CA04515"/>
    <w:rsid w:val="0CAC53DD"/>
    <w:rsid w:val="0CC75FF6"/>
    <w:rsid w:val="0D2B3146"/>
    <w:rsid w:val="0D6040E1"/>
    <w:rsid w:val="0D6E4269"/>
    <w:rsid w:val="0D980E85"/>
    <w:rsid w:val="0DF2469C"/>
    <w:rsid w:val="0E627936"/>
    <w:rsid w:val="0EB23116"/>
    <w:rsid w:val="0ED553FA"/>
    <w:rsid w:val="0F0E394D"/>
    <w:rsid w:val="0F477578"/>
    <w:rsid w:val="0FC51077"/>
    <w:rsid w:val="10036F54"/>
    <w:rsid w:val="102E78D4"/>
    <w:rsid w:val="10477053"/>
    <w:rsid w:val="104843EB"/>
    <w:rsid w:val="1073367F"/>
    <w:rsid w:val="10857989"/>
    <w:rsid w:val="10A873A5"/>
    <w:rsid w:val="10B03568"/>
    <w:rsid w:val="10DC7BBC"/>
    <w:rsid w:val="1139474B"/>
    <w:rsid w:val="114D44BF"/>
    <w:rsid w:val="114E5A01"/>
    <w:rsid w:val="1159539C"/>
    <w:rsid w:val="1173286D"/>
    <w:rsid w:val="118C27F0"/>
    <w:rsid w:val="11D211EC"/>
    <w:rsid w:val="11EB3904"/>
    <w:rsid w:val="11EC0F73"/>
    <w:rsid w:val="11FD4E7C"/>
    <w:rsid w:val="12341A1F"/>
    <w:rsid w:val="123B5980"/>
    <w:rsid w:val="12603944"/>
    <w:rsid w:val="129955C8"/>
    <w:rsid w:val="12EF4C36"/>
    <w:rsid w:val="12F136B3"/>
    <w:rsid w:val="131948CC"/>
    <w:rsid w:val="13705028"/>
    <w:rsid w:val="13726445"/>
    <w:rsid w:val="1388775F"/>
    <w:rsid w:val="138C2E7F"/>
    <w:rsid w:val="13A11B8F"/>
    <w:rsid w:val="13D377EB"/>
    <w:rsid w:val="13E0305B"/>
    <w:rsid w:val="140206E4"/>
    <w:rsid w:val="141E5BF5"/>
    <w:rsid w:val="146B52A4"/>
    <w:rsid w:val="146E5FF0"/>
    <w:rsid w:val="149F5CD5"/>
    <w:rsid w:val="14F77E27"/>
    <w:rsid w:val="1510419E"/>
    <w:rsid w:val="152A04A0"/>
    <w:rsid w:val="159774FA"/>
    <w:rsid w:val="15A84117"/>
    <w:rsid w:val="15E12558"/>
    <w:rsid w:val="160661D5"/>
    <w:rsid w:val="16117171"/>
    <w:rsid w:val="16415425"/>
    <w:rsid w:val="164765AA"/>
    <w:rsid w:val="16651231"/>
    <w:rsid w:val="16C17712"/>
    <w:rsid w:val="16DE7B1B"/>
    <w:rsid w:val="17136DCC"/>
    <w:rsid w:val="17475EBD"/>
    <w:rsid w:val="17745EE0"/>
    <w:rsid w:val="17955FFF"/>
    <w:rsid w:val="179B2609"/>
    <w:rsid w:val="17BC76E2"/>
    <w:rsid w:val="17CF3BE0"/>
    <w:rsid w:val="18072B08"/>
    <w:rsid w:val="1842631B"/>
    <w:rsid w:val="18515633"/>
    <w:rsid w:val="186B629E"/>
    <w:rsid w:val="18962092"/>
    <w:rsid w:val="18A706B9"/>
    <w:rsid w:val="18B15F12"/>
    <w:rsid w:val="19324A23"/>
    <w:rsid w:val="1982311A"/>
    <w:rsid w:val="19C423FA"/>
    <w:rsid w:val="1A4B4199"/>
    <w:rsid w:val="1A7F5A3D"/>
    <w:rsid w:val="1A9B6905"/>
    <w:rsid w:val="1AB4568A"/>
    <w:rsid w:val="1AF54551"/>
    <w:rsid w:val="1B0601F1"/>
    <w:rsid w:val="1B227485"/>
    <w:rsid w:val="1B63514B"/>
    <w:rsid w:val="1B674EAD"/>
    <w:rsid w:val="1B6B6C32"/>
    <w:rsid w:val="1BAE391D"/>
    <w:rsid w:val="1C105CD7"/>
    <w:rsid w:val="1C4B7AAA"/>
    <w:rsid w:val="1C51419F"/>
    <w:rsid w:val="1C660314"/>
    <w:rsid w:val="1C6D7ADE"/>
    <w:rsid w:val="1CF5249C"/>
    <w:rsid w:val="1CFDAB4C"/>
    <w:rsid w:val="1D50756C"/>
    <w:rsid w:val="1D6A26C7"/>
    <w:rsid w:val="1D8A2584"/>
    <w:rsid w:val="1D9E7C25"/>
    <w:rsid w:val="1DA8115B"/>
    <w:rsid w:val="1DAA6EE0"/>
    <w:rsid w:val="1DE59343"/>
    <w:rsid w:val="1DEF0B38"/>
    <w:rsid w:val="1E127FA6"/>
    <w:rsid w:val="1E420DC1"/>
    <w:rsid w:val="1E516218"/>
    <w:rsid w:val="1E780C0D"/>
    <w:rsid w:val="1E790A8A"/>
    <w:rsid w:val="1EAC17E8"/>
    <w:rsid w:val="1EC36F09"/>
    <w:rsid w:val="1ECD7FB8"/>
    <w:rsid w:val="1F043E45"/>
    <w:rsid w:val="1F146DF0"/>
    <w:rsid w:val="1F765A0D"/>
    <w:rsid w:val="1F7967BC"/>
    <w:rsid w:val="1F95570F"/>
    <w:rsid w:val="1FB82249"/>
    <w:rsid w:val="1FC1433B"/>
    <w:rsid w:val="1FD64971"/>
    <w:rsid w:val="1FFA4BFE"/>
    <w:rsid w:val="20000743"/>
    <w:rsid w:val="202D2B5F"/>
    <w:rsid w:val="20490380"/>
    <w:rsid w:val="207B2AF1"/>
    <w:rsid w:val="20911F7D"/>
    <w:rsid w:val="20A42B1A"/>
    <w:rsid w:val="20AF50A9"/>
    <w:rsid w:val="20B91A00"/>
    <w:rsid w:val="20E94BBB"/>
    <w:rsid w:val="21374CD0"/>
    <w:rsid w:val="21BE70E1"/>
    <w:rsid w:val="21D73DBD"/>
    <w:rsid w:val="21E14C90"/>
    <w:rsid w:val="221A1CBA"/>
    <w:rsid w:val="223A5B61"/>
    <w:rsid w:val="223C06A4"/>
    <w:rsid w:val="2265188E"/>
    <w:rsid w:val="227F501C"/>
    <w:rsid w:val="22C3052A"/>
    <w:rsid w:val="23465F27"/>
    <w:rsid w:val="2349357D"/>
    <w:rsid w:val="234B9043"/>
    <w:rsid w:val="235C1851"/>
    <w:rsid w:val="237103D4"/>
    <w:rsid w:val="239B5A57"/>
    <w:rsid w:val="23FF1FDA"/>
    <w:rsid w:val="240D2674"/>
    <w:rsid w:val="24113230"/>
    <w:rsid w:val="241B3410"/>
    <w:rsid w:val="24320551"/>
    <w:rsid w:val="243C25FD"/>
    <w:rsid w:val="244E26EC"/>
    <w:rsid w:val="24904B1A"/>
    <w:rsid w:val="249733DA"/>
    <w:rsid w:val="250C3D4F"/>
    <w:rsid w:val="26054DCA"/>
    <w:rsid w:val="260D6D7D"/>
    <w:rsid w:val="26211AAB"/>
    <w:rsid w:val="263467E7"/>
    <w:rsid w:val="26E60163"/>
    <w:rsid w:val="26F6C558"/>
    <w:rsid w:val="26F74C08"/>
    <w:rsid w:val="27053431"/>
    <w:rsid w:val="270D1AB7"/>
    <w:rsid w:val="271565A2"/>
    <w:rsid w:val="272F38E5"/>
    <w:rsid w:val="27455C6D"/>
    <w:rsid w:val="2753038A"/>
    <w:rsid w:val="279467E1"/>
    <w:rsid w:val="27A7364B"/>
    <w:rsid w:val="27B91C76"/>
    <w:rsid w:val="27C23A59"/>
    <w:rsid w:val="27F44743"/>
    <w:rsid w:val="28327168"/>
    <w:rsid w:val="28485A15"/>
    <w:rsid w:val="288E0611"/>
    <w:rsid w:val="28D66226"/>
    <w:rsid w:val="28DF33F7"/>
    <w:rsid w:val="28E53263"/>
    <w:rsid w:val="28F21C60"/>
    <w:rsid w:val="29132346"/>
    <w:rsid w:val="297E482E"/>
    <w:rsid w:val="29816398"/>
    <w:rsid w:val="29A85F93"/>
    <w:rsid w:val="29AF43DE"/>
    <w:rsid w:val="29BE7756"/>
    <w:rsid w:val="29F250A2"/>
    <w:rsid w:val="2A04499F"/>
    <w:rsid w:val="2A504439"/>
    <w:rsid w:val="2ABB6365"/>
    <w:rsid w:val="2AC53663"/>
    <w:rsid w:val="2B1409A1"/>
    <w:rsid w:val="2B360BE7"/>
    <w:rsid w:val="2B4B7A5F"/>
    <w:rsid w:val="2B7D7783"/>
    <w:rsid w:val="2C052741"/>
    <w:rsid w:val="2C114158"/>
    <w:rsid w:val="2C197A9F"/>
    <w:rsid w:val="2C6404DA"/>
    <w:rsid w:val="2C8E6130"/>
    <w:rsid w:val="2C9B2934"/>
    <w:rsid w:val="2D5F50C2"/>
    <w:rsid w:val="2DBF5FEF"/>
    <w:rsid w:val="2DF452BA"/>
    <w:rsid w:val="2E031262"/>
    <w:rsid w:val="2E755B09"/>
    <w:rsid w:val="2E852ACB"/>
    <w:rsid w:val="2E8C14FD"/>
    <w:rsid w:val="2EA26868"/>
    <w:rsid w:val="2ED1644B"/>
    <w:rsid w:val="2EDE16FA"/>
    <w:rsid w:val="2F083C15"/>
    <w:rsid w:val="2F2E36BB"/>
    <w:rsid w:val="2FA963D4"/>
    <w:rsid w:val="2FC30986"/>
    <w:rsid w:val="2FEFCF7D"/>
    <w:rsid w:val="30C2189B"/>
    <w:rsid w:val="30CB447F"/>
    <w:rsid w:val="30E73693"/>
    <w:rsid w:val="31483B24"/>
    <w:rsid w:val="314F2171"/>
    <w:rsid w:val="31D67739"/>
    <w:rsid w:val="31FE2C6A"/>
    <w:rsid w:val="32065F59"/>
    <w:rsid w:val="32AC0031"/>
    <w:rsid w:val="32B10F6A"/>
    <w:rsid w:val="331C63CE"/>
    <w:rsid w:val="333316D6"/>
    <w:rsid w:val="33455739"/>
    <w:rsid w:val="334B1B65"/>
    <w:rsid w:val="33937D44"/>
    <w:rsid w:val="33AF0574"/>
    <w:rsid w:val="33C718C3"/>
    <w:rsid w:val="34050B29"/>
    <w:rsid w:val="34414A3D"/>
    <w:rsid w:val="348F3F88"/>
    <w:rsid w:val="34A121A7"/>
    <w:rsid w:val="34B82891"/>
    <w:rsid w:val="34C0477A"/>
    <w:rsid w:val="35547DDF"/>
    <w:rsid w:val="35674F46"/>
    <w:rsid w:val="3589141A"/>
    <w:rsid w:val="35C52D0C"/>
    <w:rsid w:val="35DB4086"/>
    <w:rsid w:val="364C4A1C"/>
    <w:rsid w:val="36A924E5"/>
    <w:rsid w:val="36DD725A"/>
    <w:rsid w:val="37223086"/>
    <w:rsid w:val="37417360"/>
    <w:rsid w:val="37DB679D"/>
    <w:rsid w:val="37E1159A"/>
    <w:rsid w:val="37FF3759"/>
    <w:rsid w:val="38405BA3"/>
    <w:rsid w:val="38C76F0E"/>
    <w:rsid w:val="38E8097B"/>
    <w:rsid w:val="38F58830"/>
    <w:rsid w:val="39043A6F"/>
    <w:rsid w:val="390551AD"/>
    <w:rsid w:val="39263A52"/>
    <w:rsid w:val="39661E3A"/>
    <w:rsid w:val="39961F46"/>
    <w:rsid w:val="39FE3791"/>
    <w:rsid w:val="3A345439"/>
    <w:rsid w:val="3A35017A"/>
    <w:rsid w:val="3A531B4B"/>
    <w:rsid w:val="3A6100A0"/>
    <w:rsid w:val="3A93D22B"/>
    <w:rsid w:val="3AA47B6F"/>
    <w:rsid w:val="3ADD0D30"/>
    <w:rsid w:val="3B0A150C"/>
    <w:rsid w:val="3B1B1948"/>
    <w:rsid w:val="3B3818A9"/>
    <w:rsid w:val="3B500427"/>
    <w:rsid w:val="3B633A97"/>
    <w:rsid w:val="3B983B82"/>
    <w:rsid w:val="3BD27B94"/>
    <w:rsid w:val="3BE75E37"/>
    <w:rsid w:val="3BFD794F"/>
    <w:rsid w:val="3C1566AA"/>
    <w:rsid w:val="3C422860"/>
    <w:rsid w:val="3C5F7EE2"/>
    <w:rsid w:val="3C8E6CF6"/>
    <w:rsid w:val="3C8E74C0"/>
    <w:rsid w:val="3CBD2E64"/>
    <w:rsid w:val="3CC01960"/>
    <w:rsid w:val="3CCB7DCD"/>
    <w:rsid w:val="3CDF61FC"/>
    <w:rsid w:val="3D217C4E"/>
    <w:rsid w:val="3D3F73DB"/>
    <w:rsid w:val="3D4A248F"/>
    <w:rsid w:val="3D5C072E"/>
    <w:rsid w:val="3DCFAD89"/>
    <w:rsid w:val="3DFA76EA"/>
    <w:rsid w:val="3DFFCF2B"/>
    <w:rsid w:val="3E2A54D1"/>
    <w:rsid w:val="3E4A1549"/>
    <w:rsid w:val="3E673ED1"/>
    <w:rsid w:val="3E6D21F1"/>
    <w:rsid w:val="3E8952AB"/>
    <w:rsid w:val="3E8B53EF"/>
    <w:rsid w:val="3ECDA7E3"/>
    <w:rsid w:val="3EEE5F4A"/>
    <w:rsid w:val="3F1310BC"/>
    <w:rsid w:val="3F25659F"/>
    <w:rsid w:val="3F286B9D"/>
    <w:rsid w:val="3F6C2781"/>
    <w:rsid w:val="3F7B4CF0"/>
    <w:rsid w:val="3F9C0C6F"/>
    <w:rsid w:val="3FA73C29"/>
    <w:rsid w:val="3FB6684F"/>
    <w:rsid w:val="3FC13AEE"/>
    <w:rsid w:val="3FC315A4"/>
    <w:rsid w:val="3FC813F4"/>
    <w:rsid w:val="3FD7117D"/>
    <w:rsid w:val="3FEBA09B"/>
    <w:rsid w:val="40030D27"/>
    <w:rsid w:val="40255702"/>
    <w:rsid w:val="402C73CD"/>
    <w:rsid w:val="402D3794"/>
    <w:rsid w:val="40326618"/>
    <w:rsid w:val="40462E09"/>
    <w:rsid w:val="408D66BF"/>
    <w:rsid w:val="40B8784F"/>
    <w:rsid w:val="40C16042"/>
    <w:rsid w:val="40D151EB"/>
    <w:rsid w:val="40D4413E"/>
    <w:rsid w:val="40F64D54"/>
    <w:rsid w:val="41112955"/>
    <w:rsid w:val="41517F91"/>
    <w:rsid w:val="416140AC"/>
    <w:rsid w:val="41766B95"/>
    <w:rsid w:val="41A208C5"/>
    <w:rsid w:val="41A46AC4"/>
    <w:rsid w:val="41D17BBA"/>
    <w:rsid w:val="41DD3B43"/>
    <w:rsid w:val="41F85C80"/>
    <w:rsid w:val="422416AE"/>
    <w:rsid w:val="423E0BC7"/>
    <w:rsid w:val="425B1CA4"/>
    <w:rsid w:val="427217A0"/>
    <w:rsid w:val="42865BA7"/>
    <w:rsid w:val="42F96363"/>
    <w:rsid w:val="430A26F1"/>
    <w:rsid w:val="43284021"/>
    <w:rsid w:val="4343719C"/>
    <w:rsid w:val="43714560"/>
    <w:rsid w:val="437E5FDF"/>
    <w:rsid w:val="442F2A79"/>
    <w:rsid w:val="44420967"/>
    <w:rsid w:val="449B4091"/>
    <w:rsid w:val="44C25D95"/>
    <w:rsid w:val="44DA6353"/>
    <w:rsid w:val="450D27C8"/>
    <w:rsid w:val="45274425"/>
    <w:rsid w:val="456255F2"/>
    <w:rsid w:val="457F719B"/>
    <w:rsid w:val="45B85F05"/>
    <w:rsid w:val="45BE30AC"/>
    <w:rsid w:val="45C01136"/>
    <w:rsid w:val="45D93C11"/>
    <w:rsid w:val="464E11A3"/>
    <w:rsid w:val="465C7F51"/>
    <w:rsid w:val="479206B3"/>
    <w:rsid w:val="47A15CA5"/>
    <w:rsid w:val="47A44D93"/>
    <w:rsid w:val="47BD4BF7"/>
    <w:rsid w:val="47D958BE"/>
    <w:rsid w:val="47FF3141"/>
    <w:rsid w:val="48291C55"/>
    <w:rsid w:val="488E6945"/>
    <w:rsid w:val="48CD4489"/>
    <w:rsid w:val="491B7FFC"/>
    <w:rsid w:val="49433EE8"/>
    <w:rsid w:val="495D742D"/>
    <w:rsid w:val="497672C9"/>
    <w:rsid w:val="499170CD"/>
    <w:rsid w:val="49B51C24"/>
    <w:rsid w:val="49F35E30"/>
    <w:rsid w:val="4A43202A"/>
    <w:rsid w:val="4A557F45"/>
    <w:rsid w:val="4AB5130D"/>
    <w:rsid w:val="4ABA113F"/>
    <w:rsid w:val="4AC51680"/>
    <w:rsid w:val="4B990437"/>
    <w:rsid w:val="4BC132E8"/>
    <w:rsid w:val="4BC167FE"/>
    <w:rsid w:val="4BDA479E"/>
    <w:rsid w:val="4BE45C35"/>
    <w:rsid w:val="4BF03067"/>
    <w:rsid w:val="4BF16D32"/>
    <w:rsid w:val="4C2537F3"/>
    <w:rsid w:val="4C404532"/>
    <w:rsid w:val="4C7B62F9"/>
    <w:rsid w:val="4CA820F2"/>
    <w:rsid w:val="4CB204B3"/>
    <w:rsid w:val="4CBB5AF7"/>
    <w:rsid w:val="4CC8507C"/>
    <w:rsid w:val="4CE72891"/>
    <w:rsid w:val="4D213714"/>
    <w:rsid w:val="4D504D41"/>
    <w:rsid w:val="4D6817A1"/>
    <w:rsid w:val="4D7253CB"/>
    <w:rsid w:val="4D786416"/>
    <w:rsid w:val="4D89413D"/>
    <w:rsid w:val="4DA448C0"/>
    <w:rsid w:val="4E2C57C6"/>
    <w:rsid w:val="4E320F5E"/>
    <w:rsid w:val="4E4A228B"/>
    <w:rsid w:val="4E692550"/>
    <w:rsid w:val="4E785DD2"/>
    <w:rsid w:val="4E8C385C"/>
    <w:rsid w:val="4E987AA7"/>
    <w:rsid w:val="4F052F9E"/>
    <w:rsid w:val="4F2D442D"/>
    <w:rsid w:val="4F4576B0"/>
    <w:rsid w:val="4F5C6612"/>
    <w:rsid w:val="4F602CBF"/>
    <w:rsid w:val="4F892BFE"/>
    <w:rsid w:val="4FDE5C62"/>
    <w:rsid w:val="500D0826"/>
    <w:rsid w:val="50116643"/>
    <w:rsid w:val="501A2F43"/>
    <w:rsid w:val="50250ECF"/>
    <w:rsid w:val="503135CB"/>
    <w:rsid w:val="507A77E6"/>
    <w:rsid w:val="507D5595"/>
    <w:rsid w:val="509B6FFA"/>
    <w:rsid w:val="50AC75B7"/>
    <w:rsid w:val="50CD1BF0"/>
    <w:rsid w:val="511E317E"/>
    <w:rsid w:val="514B6A19"/>
    <w:rsid w:val="51BC99E4"/>
    <w:rsid w:val="51E732F9"/>
    <w:rsid w:val="51F806B7"/>
    <w:rsid w:val="52340BEF"/>
    <w:rsid w:val="523D116B"/>
    <w:rsid w:val="523D6190"/>
    <w:rsid w:val="525F6430"/>
    <w:rsid w:val="52911BE2"/>
    <w:rsid w:val="529D0BA2"/>
    <w:rsid w:val="52FE25A5"/>
    <w:rsid w:val="530F04FA"/>
    <w:rsid w:val="533F08B7"/>
    <w:rsid w:val="53837051"/>
    <w:rsid w:val="53A05909"/>
    <w:rsid w:val="53AC4351"/>
    <w:rsid w:val="53AC45BB"/>
    <w:rsid w:val="541016D4"/>
    <w:rsid w:val="54247494"/>
    <w:rsid w:val="54380E57"/>
    <w:rsid w:val="5485510F"/>
    <w:rsid w:val="54CE676C"/>
    <w:rsid w:val="54DFDC22"/>
    <w:rsid w:val="551E7032"/>
    <w:rsid w:val="55414BE2"/>
    <w:rsid w:val="554B1AAB"/>
    <w:rsid w:val="557B58C7"/>
    <w:rsid w:val="559E34D8"/>
    <w:rsid w:val="55AC0AE1"/>
    <w:rsid w:val="55CA50F5"/>
    <w:rsid w:val="55EF1922"/>
    <w:rsid w:val="55F36D31"/>
    <w:rsid w:val="55FE49E7"/>
    <w:rsid w:val="56AD6185"/>
    <w:rsid w:val="56BA654E"/>
    <w:rsid w:val="56D946F3"/>
    <w:rsid w:val="56F664B8"/>
    <w:rsid w:val="574D24C7"/>
    <w:rsid w:val="57682E99"/>
    <w:rsid w:val="577613A7"/>
    <w:rsid w:val="5779764C"/>
    <w:rsid w:val="57811AFA"/>
    <w:rsid w:val="57936FCB"/>
    <w:rsid w:val="57C461E4"/>
    <w:rsid w:val="580567CC"/>
    <w:rsid w:val="583A3E8E"/>
    <w:rsid w:val="583B0153"/>
    <w:rsid w:val="58D71D06"/>
    <w:rsid w:val="58DB3A98"/>
    <w:rsid w:val="58DD395C"/>
    <w:rsid w:val="58F66614"/>
    <w:rsid w:val="59067F89"/>
    <w:rsid w:val="593220BD"/>
    <w:rsid w:val="59796396"/>
    <w:rsid w:val="59AA78AE"/>
    <w:rsid w:val="59B679DA"/>
    <w:rsid w:val="59E50AF3"/>
    <w:rsid w:val="5A164CA8"/>
    <w:rsid w:val="5A5A6992"/>
    <w:rsid w:val="5A847167"/>
    <w:rsid w:val="5AE1755F"/>
    <w:rsid w:val="5AF07DB4"/>
    <w:rsid w:val="5AFA679F"/>
    <w:rsid w:val="5B036F00"/>
    <w:rsid w:val="5B575649"/>
    <w:rsid w:val="5B75FCC6"/>
    <w:rsid w:val="5B8519B2"/>
    <w:rsid w:val="5B9D21DE"/>
    <w:rsid w:val="5BA6839B"/>
    <w:rsid w:val="5BF011F4"/>
    <w:rsid w:val="5C036CD2"/>
    <w:rsid w:val="5C1D5EBA"/>
    <w:rsid w:val="5C644ED4"/>
    <w:rsid w:val="5CB1269B"/>
    <w:rsid w:val="5CC91EC1"/>
    <w:rsid w:val="5D0B3136"/>
    <w:rsid w:val="5D4C064F"/>
    <w:rsid w:val="5D5F4D95"/>
    <w:rsid w:val="5D5F6439"/>
    <w:rsid w:val="5D73215E"/>
    <w:rsid w:val="5D752101"/>
    <w:rsid w:val="5D85463D"/>
    <w:rsid w:val="5DCCD75A"/>
    <w:rsid w:val="5DEEFD0C"/>
    <w:rsid w:val="5DFD0F51"/>
    <w:rsid w:val="5E0B5D90"/>
    <w:rsid w:val="5E3BF49B"/>
    <w:rsid w:val="5E986C5F"/>
    <w:rsid w:val="5E9A1DC5"/>
    <w:rsid w:val="5E9A3CE6"/>
    <w:rsid w:val="5EA152F3"/>
    <w:rsid w:val="5EC73D40"/>
    <w:rsid w:val="5EDD0429"/>
    <w:rsid w:val="5EEC6F86"/>
    <w:rsid w:val="5EFF3268"/>
    <w:rsid w:val="5F0F5076"/>
    <w:rsid w:val="5F1508DD"/>
    <w:rsid w:val="5F2975F9"/>
    <w:rsid w:val="5F662111"/>
    <w:rsid w:val="5F6F4F33"/>
    <w:rsid w:val="5F7A1C50"/>
    <w:rsid w:val="5F9F5213"/>
    <w:rsid w:val="5FDB17E6"/>
    <w:rsid w:val="5FDE3139"/>
    <w:rsid w:val="5FF13B5A"/>
    <w:rsid w:val="5FFE09E0"/>
    <w:rsid w:val="5FFFBA98"/>
    <w:rsid w:val="600A5E56"/>
    <w:rsid w:val="602F7A5B"/>
    <w:rsid w:val="604D0813"/>
    <w:rsid w:val="607E33AA"/>
    <w:rsid w:val="608228F6"/>
    <w:rsid w:val="608F34F5"/>
    <w:rsid w:val="609D5BF6"/>
    <w:rsid w:val="60B436BF"/>
    <w:rsid w:val="60BE27F4"/>
    <w:rsid w:val="611D2893"/>
    <w:rsid w:val="61214B1C"/>
    <w:rsid w:val="6192239D"/>
    <w:rsid w:val="61D65448"/>
    <w:rsid w:val="61EE3155"/>
    <w:rsid w:val="62302A57"/>
    <w:rsid w:val="62404999"/>
    <w:rsid w:val="625E52B6"/>
    <w:rsid w:val="6284604B"/>
    <w:rsid w:val="62890939"/>
    <w:rsid w:val="62893F38"/>
    <w:rsid w:val="629244A9"/>
    <w:rsid w:val="62F86197"/>
    <w:rsid w:val="631A52DC"/>
    <w:rsid w:val="63272170"/>
    <w:rsid w:val="633D0C93"/>
    <w:rsid w:val="635E51C5"/>
    <w:rsid w:val="6397630F"/>
    <w:rsid w:val="639D040E"/>
    <w:rsid w:val="639E1AE3"/>
    <w:rsid w:val="63B760B2"/>
    <w:rsid w:val="63CE3548"/>
    <w:rsid w:val="63FE2786"/>
    <w:rsid w:val="64BF3E79"/>
    <w:rsid w:val="64C04CB2"/>
    <w:rsid w:val="64C87FE9"/>
    <w:rsid w:val="64E910CD"/>
    <w:rsid w:val="651327B0"/>
    <w:rsid w:val="654D3310"/>
    <w:rsid w:val="6573554D"/>
    <w:rsid w:val="65754735"/>
    <w:rsid w:val="65824D57"/>
    <w:rsid w:val="65887A44"/>
    <w:rsid w:val="65913889"/>
    <w:rsid w:val="65BF33EE"/>
    <w:rsid w:val="65EC5C1E"/>
    <w:rsid w:val="661E6358"/>
    <w:rsid w:val="66645F44"/>
    <w:rsid w:val="667869D8"/>
    <w:rsid w:val="669C48BB"/>
    <w:rsid w:val="672033F8"/>
    <w:rsid w:val="67205CE9"/>
    <w:rsid w:val="67343DFC"/>
    <w:rsid w:val="67452716"/>
    <w:rsid w:val="67886D6D"/>
    <w:rsid w:val="67AB91BE"/>
    <w:rsid w:val="67D59474"/>
    <w:rsid w:val="67E70573"/>
    <w:rsid w:val="68295C7C"/>
    <w:rsid w:val="68416111"/>
    <w:rsid w:val="68760400"/>
    <w:rsid w:val="68E33322"/>
    <w:rsid w:val="690F4B25"/>
    <w:rsid w:val="692E7117"/>
    <w:rsid w:val="692F06D8"/>
    <w:rsid w:val="696278F9"/>
    <w:rsid w:val="699628F5"/>
    <w:rsid w:val="699F3A8F"/>
    <w:rsid w:val="6A0B418F"/>
    <w:rsid w:val="6A0F7F13"/>
    <w:rsid w:val="6A4B1B29"/>
    <w:rsid w:val="6A5D27B3"/>
    <w:rsid w:val="6AEE0AE9"/>
    <w:rsid w:val="6B181E7B"/>
    <w:rsid w:val="6B517D09"/>
    <w:rsid w:val="6BBE0072"/>
    <w:rsid w:val="6BC04E8F"/>
    <w:rsid w:val="6BFFD257"/>
    <w:rsid w:val="6C2409C2"/>
    <w:rsid w:val="6C7B0898"/>
    <w:rsid w:val="6C9327CE"/>
    <w:rsid w:val="6C98019D"/>
    <w:rsid w:val="6C9F392F"/>
    <w:rsid w:val="6CC73400"/>
    <w:rsid w:val="6CD36FC9"/>
    <w:rsid w:val="6CDA0A19"/>
    <w:rsid w:val="6D5E5F69"/>
    <w:rsid w:val="6DBD568D"/>
    <w:rsid w:val="6DCF1858"/>
    <w:rsid w:val="6E0D0170"/>
    <w:rsid w:val="6E1F100C"/>
    <w:rsid w:val="6E3336F6"/>
    <w:rsid w:val="6E8263AE"/>
    <w:rsid w:val="6E907F9A"/>
    <w:rsid w:val="6EBB0FB6"/>
    <w:rsid w:val="6EC8494C"/>
    <w:rsid w:val="6EF2C632"/>
    <w:rsid w:val="6EFDFA9B"/>
    <w:rsid w:val="6F003B91"/>
    <w:rsid w:val="6F1302E4"/>
    <w:rsid w:val="6F161AA3"/>
    <w:rsid w:val="6F2A33DA"/>
    <w:rsid w:val="6F487A12"/>
    <w:rsid w:val="6F4F31CB"/>
    <w:rsid w:val="6F574E4A"/>
    <w:rsid w:val="6F6F2A7D"/>
    <w:rsid w:val="6FDB4201"/>
    <w:rsid w:val="6FED91D9"/>
    <w:rsid w:val="6FF80294"/>
    <w:rsid w:val="6FFFAC33"/>
    <w:rsid w:val="703E23A0"/>
    <w:rsid w:val="7047792D"/>
    <w:rsid w:val="708C6EFD"/>
    <w:rsid w:val="708E03E3"/>
    <w:rsid w:val="70CE3BAA"/>
    <w:rsid w:val="70F24BA0"/>
    <w:rsid w:val="710B52C8"/>
    <w:rsid w:val="71233EF6"/>
    <w:rsid w:val="71317FB7"/>
    <w:rsid w:val="7142648B"/>
    <w:rsid w:val="71564DB9"/>
    <w:rsid w:val="715D1512"/>
    <w:rsid w:val="7162593D"/>
    <w:rsid w:val="71656A88"/>
    <w:rsid w:val="719D058A"/>
    <w:rsid w:val="71BB6B37"/>
    <w:rsid w:val="71C02909"/>
    <w:rsid w:val="722E26CF"/>
    <w:rsid w:val="7285188F"/>
    <w:rsid w:val="72872124"/>
    <w:rsid w:val="72D0329A"/>
    <w:rsid w:val="72EE5A15"/>
    <w:rsid w:val="72F3C521"/>
    <w:rsid w:val="72F740FD"/>
    <w:rsid w:val="72F81A40"/>
    <w:rsid w:val="73177848"/>
    <w:rsid w:val="734B249A"/>
    <w:rsid w:val="73502327"/>
    <w:rsid w:val="735431AC"/>
    <w:rsid w:val="7358058C"/>
    <w:rsid w:val="73963468"/>
    <w:rsid w:val="739962A9"/>
    <w:rsid w:val="73C22DCA"/>
    <w:rsid w:val="73DE1024"/>
    <w:rsid w:val="73E938C1"/>
    <w:rsid w:val="73EE4B3F"/>
    <w:rsid w:val="74254D79"/>
    <w:rsid w:val="74474270"/>
    <w:rsid w:val="747964B6"/>
    <w:rsid w:val="74963220"/>
    <w:rsid w:val="74B121A8"/>
    <w:rsid w:val="74DA5557"/>
    <w:rsid w:val="74EA0540"/>
    <w:rsid w:val="74ED0A2E"/>
    <w:rsid w:val="74FF0333"/>
    <w:rsid w:val="75052EE6"/>
    <w:rsid w:val="75792336"/>
    <w:rsid w:val="758E4FBF"/>
    <w:rsid w:val="75A14337"/>
    <w:rsid w:val="75C60081"/>
    <w:rsid w:val="75CD266E"/>
    <w:rsid w:val="75F70E1A"/>
    <w:rsid w:val="761269F0"/>
    <w:rsid w:val="761E4066"/>
    <w:rsid w:val="762878F9"/>
    <w:rsid w:val="764C18B7"/>
    <w:rsid w:val="767F264B"/>
    <w:rsid w:val="767F52A5"/>
    <w:rsid w:val="76E37225"/>
    <w:rsid w:val="76E7D0A8"/>
    <w:rsid w:val="771B7FF5"/>
    <w:rsid w:val="772D3ADC"/>
    <w:rsid w:val="774D0E49"/>
    <w:rsid w:val="77525A17"/>
    <w:rsid w:val="777D20A1"/>
    <w:rsid w:val="778A3305"/>
    <w:rsid w:val="779363A0"/>
    <w:rsid w:val="77AEF57F"/>
    <w:rsid w:val="77D057E9"/>
    <w:rsid w:val="77D302E4"/>
    <w:rsid w:val="77EAC561"/>
    <w:rsid w:val="77F6D8A8"/>
    <w:rsid w:val="77FA30E4"/>
    <w:rsid w:val="78063C29"/>
    <w:rsid w:val="78200293"/>
    <w:rsid w:val="78487150"/>
    <w:rsid w:val="785B3F75"/>
    <w:rsid w:val="786732E5"/>
    <w:rsid w:val="78692CBB"/>
    <w:rsid w:val="789210C1"/>
    <w:rsid w:val="78C2587F"/>
    <w:rsid w:val="78E1253B"/>
    <w:rsid w:val="78F3CE36"/>
    <w:rsid w:val="79357F7A"/>
    <w:rsid w:val="79487AD3"/>
    <w:rsid w:val="79513E00"/>
    <w:rsid w:val="797957E2"/>
    <w:rsid w:val="797B7AD9"/>
    <w:rsid w:val="797F393A"/>
    <w:rsid w:val="797F465B"/>
    <w:rsid w:val="799353BF"/>
    <w:rsid w:val="799462E7"/>
    <w:rsid w:val="79B05219"/>
    <w:rsid w:val="79CD1526"/>
    <w:rsid w:val="79FAD240"/>
    <w:rsid w:val="7A4156BC"/>
    <w:rsid w:val="7A55719E"/>
    <w:rsid w:val="7A855176"/>
    <w:rsid w:val="7ABB73F9"/>
    <w:rsid w:val="7AF82CCF"/>
    <w:rsid w:val="7B215191"/>
    <w:rsid w:val="7B23496B"/>
    <w:rsid w:val="7B301500"/>
    <w:rsid w:val="7B451FF2"/>
    <w:rsid w:val="7B542A1C"/>
    <w:rsid w:val="7B770EB0"/>
    <w:rsid w:val="7B803AA3"/>
    <w:rsid w:val="7BAFEC30"/>
    <w:rsid w:val="7BB34EF9"/>
    <w:rsid w:val="7BC2173D"/>
    <w:rsid w:val="7BDC4BA9"/>
    <w:rsid w:val="7BFBAF4E"/>
    <w:rsid w:val="7BFD9DB9"/>
    <w:rsid w:val="7C182BB6"/>
    <w:rsid w:val="7C193F27"/>
    <w:rsid w:val="7C2C42CE"/>
    <w:rsid w:val="7C2F08B1"/>
    <w:rsid w:val="7C3D2F69"/>
    <w:rsid w:val="7C3E6636"/>
    <w:rsid w:val="7C5938C0"/>
    <w:rsid w:val="7C66360B"/>
    <w:rsid w:val="7C6801F5"/>
    <w:rsid w:val="7C746740"/>
    <w:rsid w:val="7C866853"/>
    <w:rsid w:val="7C8F70A1"/>
    <w:rsid w:val="7CBF4FFE"/>
    <w:rsid w:val="7CDE48C1"/>
    <w:rsid w:val="7D293170"/>
    <w:rsid w:val="7D2F461E"/>
    <w:rsid w:val="7D4F3249"/>
    <w:rsid w:val="7D556465"/>
    <w:rsid w:val="7D6145D1"/>
    <w:rsid w:val="7DA66089"/>
    <w:rsid w:val="7DB717A0"/>
    <w:rsid w:val="7DD32975"/>
    <w:rsid w:val="7DDD7B32"/>
    <w:rsid w:val="7DE44527"/>
    <w:rsid w:val="7DFF9DF9"/>
    <w:rsid w:val="7E14379B"/>
    <w:rsid w:val="7E2E32D4"/>
    <w:rsid w:val="7E363583"/>
    <w:rsid w:val="7E7C08C7"/>
    <w:rsid w:val="7E8542DA"/>
    <w:rsid w:val="7E94256F"/>
    <w:rsid w:val="7EB37B8C"/>
    <w:rsid w:val="7EE7090C"/>
    <w:rsid w:val="7EED2922"/>
    <w:rsid w:val="7EED6830"/>
    <w:rsid w:val="7EEFD576"/>
    <w:rsid w:val="7EF41591"/>
    <w:rsid w:val="7F1C3744"/>
    <w:rsid w:val="7F272875"/>
    <w:rsid w:val="7F595ED4"/>
    <w:rsid w:val="7F601E71"/>
    <w:rsid w:val="7F65F3C8"/>
    <w:rsid w:val="7F914720"/>
    <w:rsid w:val="7FBB8728"/>
    <w:rsid w:val="7FD55BDB"/>
    <w:rsid w:val="7FD7C80F"/>
    <w:rsid w:val="7FE64A6C"/>
    <w:rsid w:val="7FEE7A2A"/>
    <w:rsid w:val="7FFB7DEC"/>
    <w:rsid w:val="7FFCC6F5"/>
    <w:rsid w:val="8F7D9D5A"/>
    <w:rsid w:val="96F72BC1"/>
    <w:rsid w:val="97DA54E5"/>
    <w:rsid w:val="97FCD273"/>
    <w:rsid w:val="9A7CB714"/>
    <w:rsid w:val="9DDF8448"/>
    <w:rsid w:val="9F7B0F80"/>
    <w:rsid w:val="AAEE2718"/>
    <w:rsid w:val="AFFF9377"/>
    <w:rsid w:val="B7D4C562"/>
    <w:rsid w:val="BADFC26D"/>
    <w:rsid w:val="BB274AF7"/>
    <w:rsid w:val="BBFFF9A4"/>
    <w:rsid w:val="BC67C9CD"/>
    <w:rsid w:val="BDFDF2D5"/>
    <w:rsid w:val="BDFE5996"/>
    <w:rsid w:val="BFFEE798"/>
    <w:rsid w:val="BFFF0383"/>
    <w:rsid w:val="C1F770A5"/>
    <w:rsid w:val="C3F625AE"/>
    <w:rsid w:val="CF7E82F9"/>
    <w:rsid w:val="D4E5C02D"/>
    <w:rsid w:val="D73FDC8C"/>
    <w:rsid w:val="D7AD038B"/>
    <w:rsid w:val="DAEDAE72"/>
    <w:rsid w:val="DAFD67E7"/>
    <w:rsid w:val="DBF7EC97"/>
    <w:rsid w:val="DDD16A77"/>
    <w:rsid w:val="DDFFB308"/>
    <w:rsid w:val="DE757B34"/>
    <w:rsid w:val="DEFF2418"/>
    <w:rsid w:val="DF7EBCA3"/>
    <w:rsid w:val="DF96FE75"/>
    <w:rsid w:val="DF9F2A82"/>
    <w:rsid w:val="DFED1875"/>
    <w:rsid w:val="DFFB9DBF"/>
    <w:rsid w:val="E5C9671E"/>
    <w:rsid w:val="EAEFEED1"/>
    <w:rsid w:val="EBDE7511"/>
    <w:rsid w:val="EBFDA859"/>
    <w:rsid w:val="ED3E634D"/>
    <w:rsid w:val="ED9FD80E"/>
    <w:rsid w:val="EEDBA1E0"/>
    <w:rsid w:val="EFBD87D2"/>
    <w:rsid w:val="EFDFB587"/>
    <w:rsid w:val="EFFFF4FE"/>
    <w:rsid w:val="F2CFEA00"/>
    <w:rsid w:val="F2FA858B"/>
    <w:rsid w:val="F36F9F61"/>
    <w:rsid w:val="F3BB5C9A"/>
    <w:rsid w:val="F3DEB06C"/>
    <w:rsid w:val="F4FF9017"/>
    <w:rsid w:val="F55CDB9C"/>
    <w:rsid w:val="F57FA268"/>
    <w:rsid w:val="F5B0FC3B"/>
    <w:rsid w:val="F67E82A4"/>
    <w:rsid w:val="F73FDC34"/>
    <w:rsid w:val="F7BEEE67"/>
    <w:rsid w:val="F7FE0F10"/>
    <w:rsid w:val="F7FF3ACB"/>
    <w:rsid w:val="F96EDD6A"/>
    <w:rsid w:val="F9DFE863"/>
    <w:rsid w:val="FA9FA113"/>
    <w:rsid w:val="FBF957BF"/>
    <w:rsid w:val="FC9FCB92"/>
    <w:rsid w:val="FCED4C8D"/>
    <w:rsid w:val="FDADC187"/>
    <w:rsid w:val="FDAF1D16"/>
    <w:rsid w:val="FDBF0B7F"/>
    <w:rsid w:val="FDDB38E7"/>
    <w:rsid w:val="FDF90583"/>
    <w:rsid w:val="FDFE8D86"/>
    <w:rsid w:val="FDFFFA3E"/>
    <w:rsid w:val="FE3B477D"/>
    <w:rsid w:val="FEBF33A2"/>
    <w:rsid w:val="FEE7683A"/>
    <w:rsid w:val="FEE76D8E"/>
    <w:rsid w:val="FEF7E22D"/>
    <w:rsid w:val="FEFD757F"/>
    <w:rsid w:val="FEFF93E2"/>
    <w:rsid w:val="FFBB6390"/>
    <w:rsid w:val="FFD56938"/>
    <w:rsid w:val="FFE7289A"/>
    <w:rsid w:val="FFFF1233"/>
    <w:rsid w:val="FFFF8317"/>
    <w:rsid w:val="FFFFA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cs="Times New Roman"/>
      <w:b/>
      <w:bCs/>
      <w:sz w:val="24"/>
    </w:rPr>
  </w:style>
  <w:style w:type="paragraph" w:styleId="10">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cs="Times New Roman"/>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cs="Times New Roman"/>
      <w:szCs w:val="21"/>
    </w:rPr>
  </w:style>
  <w:style w:type="character" w:default="1" w:styleId="40">
    <w:name w:val="Default Paragraph Font"/>
    <w:qFormat/>
    <w:uiPriority w:val="0"/>
    <w:rPr>
      <w:rFonts w:ascii="Times New Roman" w:hAnsi="Times New Roman" w:eastAsia="宋体" w:cs="Times New Roman"/>
    </w:rPr>
  </w:style>
  <w:style w:type="table" w:default="1" w:styleId="3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qFormat/>
    <w:uiPriority w:val="0"/>
    <w:pPr>
      <w:spacing w:before="240" w:after="60"/>
      <w:jc w:val="center"/>
      <w:outlineLvl w:val="0"/>
    </w:pPr>
    <w:rPr>
      <w:rFonts w:ascii="Arial" w:hAnsi="Arial" w:eastAsia="宋体" w:cs="Arial"/>
      <w:b/>
      <w:bCs/>
      <w:sz w:val="32"/>
      <w:szCs w:val="32"/>
    </w:rPr>
  </w:style>
  <w:style w:type="paragraph" w:styleId="13">
    <w:name w:val="toc 7"/>
    <w:basedOn w:val="14"/>
    <w:next w:val="1"/>
    <w:qFormat/>
    <w:uiPriority w:val="0"/>
    <w:rPr>
      <w:rFonts w:ascii="Times New Roman" w:hAnsi="Times New Roman" w:eastAsia="宋体" w:cs="Times New Roman"/>
    </w:rPr>
  </w:style>
  <w:style w:type="paragraph" w:styleId="14">
    <w:name w:val="toc 6"/>
    <w:basedOn w:val="15"/>
    <w:next w:val="1"/>
    <w:qFormat/>
    <w:uiPriority w:val="0"/>
    <w:rPr>
      <w:rFonts w:ascii="Times New Roman" w:hAnsi="Times New Roman" w:eastAsia="宋体" w:cs="Times New Roman"/>
    </w:rPr>
  </w:style>
  <w:style w:type="paragraph" w:styleId="15">
    <w:name w:val="toc 5"/>
    <w:basedOn w:val="16"/>
    <w:next w:val="1"/>
    <w:qFormat/>
    <w:uiPriority w:val="0"/>
    <w:rPr>
      <w:rFonts w:ascii="Times New Roman" w:hAnsi="Times New Roman" w:eastAsia="宋体" w:cs="Times New Roman"/>
    </w:rPr>
  </w:style>
  <w:style w:type="paragraph" w:styleId="16">
    <w:name w:val="toc 4"/>
    <w:basedOn w:val="17"/>
    <w:next w:val="1"/>
    <w:qFormat/>
    <w:uiPriority w:val="0"/>
    <w:rPr>
      <w:rFonts w:ascii="Times New Roman" w:hAnsi="Times New Roman" w:eastAsia="宋体" w:cs="Times New Roman"/>
    </w:rPr>
  </w:style>
  <w:style w:type="paragraph" w:styleId="17">
    <w:name w:val="toc 3"/>
    <w:basedOn w:val="1"/>
    <w:next w:val="1"/>
    <w:qFormat/>
    <w:uiPriority w:val="0"/>
    <w:rPr>
      <w:rFonts w:ascii="Times New Roman" w:hAnsi="Times New Roman" w:eastAsia="宋体" w:cs="Times New Roman"/>
    </w:rPr>
  </w:style>
  <w:style w:type="paragraph" w:styleId="18">
    <w:name w:val="Normal Indent"/>
    <w:basedOn w:val="1"/>
    <w:qFormat/>
    <w:uiPriority w:val="0"/>
    <w:pPr>
      <w:ind w:firstLine="420"/>
    </w:pPr>
    <w:rPr>
      <w:rFonts w:ascii="Times New Roman" w:hAnsi="Times New Roman" w:eastAsia="宋体" w:cs="Times New Roman"/>
      <w:szCs w:val="20"/>
    </w:rPr>
  </w:style>
  <w:style w:type="paragraph" w:styleId="19">
    <w:name w:val="caption"/>
    <w:basedOn w:val="1"/>
    <w:next w:val="1"/>
    <w:qFormat/>
    <w:uiPriority w:val="0"/>
    <w:rPr>
      <w:rFonts w:ascii="Times New Roman" w:hAnsi="Times New Roman" w:eastAsia="宋体" w:cs="Times New Roman"/>
      <w:b/>
      <w:bCs/>
      <w:szCs w:val="24"/>
    </w:rPr>
  </w:style>
  <w:style w:type="paragraph" w:styleId="20">
    <w:name w:val="Document Map"/>
    <w:basedOn w:val="1"/>
    <w:qFormat/>
    <w:uiPriority w:val="0"/>
    <w:pPr>
      <w:shd w:val="clear" w:color="auto" w:fill="000080"/>
    </w:pPr>
    <w:rPr>
      <w:rFonts w:ascii="Times New Roman" w:hAnsi="Times New Roman" w:eastAsia="宋体" w:cs="Times New Roman"/>
    </w:rPr>
  </w:style>
  <w:style w:type="paragraph" w:styleId="21">
    <w:name w:val="annotation text"/>
    <w:basedOn w:val="1"/>
    <w:qFormat/>
    <w:uiPriority w:val="0"/>
    <w:pPr>
      <w:jc w:val="left"/>
    </w:pPr>
    <w:rPr>
      <w:rFonts w:ascii="Times New Roman" w:hAnsi="Times New Roman" w:eastAsia="宋体" w:cs="Times New Roman"/>
    </w:rPr>
  </w:style>
  <w:style w:type="paragraph" w:styleId="22">
    <w:name w:val="Body Text Indent"/>
    <w:basedOn w:val="1"/>
    <w:qFormat/>
    <w:uiPriority w:val="0"/>
    <w:pPr>
      <w:ind w:firstLine="420" w:firstLineChars="200"/>
    </w:pPr>
    <w:rPr>
      <w:rFonts w:ascii="Times New Roman" w:hAnsi="Times New Roman" w:eastAsia="宋体" w:cs="Times New Roman"/>
    </w:rPr>
  </w:style>
  <w:style w:type="paragraph" w:styleId="23">
    <w:name w:val="HTML Address"/>
    <w:basedOn w:val="1"/>
    <w:qFormat/>
    <w:uiPriority w:val="0"/>
    <w:rPr>
      <w:rFonts w:ascii="Times New Roman" w:hAnsi="Times New Roman" w:eastAsia="宋体" w:cs="Times New Roman"/>
      <w:i/>
      <w:iCs/>
    </w:rPr>
  </w:style>
  <w:style w:type="paragraph" w:styleId="24">
    <w:name w:val="Plain Text"/>
    <w:basedOn w:val="1"/>
    <w:qFormat/>
    <w:uiPriority w:val="0"/>
    <w:rPr>
      <w:rFonts w:ascii="宋体" w:hAnsi="Courier New" w:eastAsia="宋体" w:cs="Times New Roman"/>
    </w:rPr>
  </w:style>
  <w:style w:type="paragraph" w:styleId="25">
    <w:name w:val="toc 8"/>
    <w:basedOn w:val="13"/>
    <w:next w:val="1"/>
    <w:qFormat/>
    <w:uiPriority w:val="0"/>
    <w:rPr>
      <w:rFonts w:ascii="Times New Roman" w:hAnsi="Times New Roman" w:eastAsia="宋体" w:cs="Times New Roman"/>
    </w:rPr>
  </w:style>
  <w:style w:type="paragraph" w:styleId="26">
    <w:name w:val="Date"/>
    <w:basedOn w:val="1"/>
    <w:next w:val="1"/>
    <w:qFormat/>
    <w:uiPriority w:val="0"/>
    <w:pPr>
      <w:ind w:left="100" w:leftChars="2500"/>
    </w:pPr>
    <w:rPr>
      <w:rFonts w:ascii="Times New Roman" w:hAnsi="Times New Roman" w:eastAsia="宋体" w:cs="Times New Roman"/>
      <w:szCs w:val="24"/>
    </w:rPr>
  </w:style>
  <w:style w:type="paragraph" w:styleId="27">
    <w:name w:val="Balloon Text"/>
    <w:basedOn w:val="1"/>
    <w:qFormat/>
    <w:uiPriority w:val="0"/>
    <w:rPr>
      <w:rFonts w:ascii="Times New Roman" w:hAnsi="Times New Roman" w:eastAsia="宋体" w:cs="Times New Roman"/>
      <w:sz w:val="18"/>
      <w:szCs w:val="18"/>
    </w:rPr>
  </w:style>
  <w:style w:type="paragraph" w:styleId="28">
    <w:name w:val="footer"/>
    <w:basedOn w:val="1"/>
    <w:qFormat/>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0"/>
    <w:pPr>
      <w:jc w:val="both"/>
    </w:pPr>
    <w:rPr>
      <w:rFonts w:ascii="宋体" w:hAnsi="Times New Roman" w:eastAsia="宋体" w:cs="Times New Roman"/>
      <w:sz w:val="21"/>
      <w:lang w:val="en-US" w:eastAsia="zh-CN" w:bidi="ar-SA"/>
    </w:rPr>
  </w:style>
  <w:style w:type="paragraph" w:styleId="31">
    <w:name w:val="footnote text"/>
    <w:basedOn w:val="1"/>
    <w:qFormat/>
    <w:uiPriority w:val="0"/>
    <w:pPr>
      <w:snapToGrid w:val="0"/>
      <w:jc w:val="left"/>
    </w:pPr>
    <w:rPr>
      <w:rFonts w:ascii="Times New Roman" w:hAnsi="Times New Roman" w:eastAsia="宋体" w:cs="Times New Roman"/>
      <w:sz w:val="18"/>
      <w:szCs w:val="18"/>
    </w:rPr>
  </w:style>
  <w:style w:type="paragraph" w:styleId="32">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33">
    <w:name w:val="toc 2"/>
    <w:basedOn w:val="30"/>
    <w:next w:val="1"/>
    <w:qFormat/>
    <w:uiPriority w:val="0"/>
    <w:rPr>
      <w:rFonts w:ascii="Times New Roman" w:hAnsi="Times New Roman" w:eastAsia="宋体" w:cs="Times New Roman"/>
    </w:rPr>
  </w:style>
  <w:style w:type="paragraph" w:styleId="34">
    <w:name w:val="toc 9"/>
    <w:basedOn w:val="25"/>
    <w:next w:val="1"/>
    <w:qFormat/>
    <w:uiPriority w:val="0"/>
    <w:rPr>
      <w:rFonts w:ascii="Times New Roman" w:hAnsi="Times New Roman" w:eastAsia="宋体" w:cs="Times New Roman"/>
    </w:rPr>
  </w:style>
  <w:style w:type="paragraph" w:styleId="35">
    <w:name w:val="HTML Preformatted"/>
    <w:basedOn w:val="1"/>
    <w:qFormat/>
    <w:uiPriority w:val="0"/>
    <w:rPr>
      <w:rFonts w:ascii="Courier New" w:hAnsi="Courier New" w:eastAsia="宋体" w:cs="Courier New"/>
      <w:sz w:val="20"/>
      <w:szCs w:val="20"/>
    </w:rPr>
  </w:style>
  <w:style w:type="paragraph" w:styleId="3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7">
    <w:name w:val="annotation subject"/>
    <w:basedOn w:val="21"/>
    <w:next w:val="21"/>
    <w:qFormat/>
    <w:uiPriority w:val="0"/>
    <w:rPr>
      <w:rFonts w:ascii="Times New Roman" w:hAnsi="Times New Roman" w:eastAsia="宋体" w:cs="Times New Roman"/>
      <w:b/>
      <w:bCs/>
    </w:rPr>
  </w:style>
  <w:style w:type="table" w:styleId="39">
    <w:name w:val="Table Grid"/>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sz w:val="18"/>
    </w:rPr>
  </w:style>
  <w:style w:type="character" w:styleId="43">
    <w:name w:val="Emphasis"/>
    <w:qFormat/>
    <w:uiPriority w:val="0"/>
    <w:rPr>
      <w:rFonts w:ascii="Times New Roman" w:hAnsi="Times New Roman" w:eastAsia="宋体" w:cs="Times New Roman"/>
      <w:color w:val="CC0033"/>
    </w:rPr>
  </w:style>
  <w:style w:type="character" w:styleId="44">
    <w:name w:val="HTML Definition"/>
    <w:qFormat/>
    <w:uiPriority w:val="0"/>
    <w:rPr>
      <w:rFonts w:ascii="Times New Roman" w:hAnsi="Times New Roman" w:eastAsia="宋体" w:cs="Times New Roman"/>
      <w:i/>
      <w:iCs/>
    </w:rPr>
  </w:style>
  <w:style w:type="character" w:styleId="45">
    <w:name w:val="HTML Typewriter"/>
    <w:qFormat/>
    <w:uiPriority w:val="0"/>
    <w:rPr>
      <w:rFonts w:ascii="Courier New" w:hAnsi="Courier New" w:eastAsia="宋体" w:cs="Times New Roman"/>
      <w:sz w:val="20"/>
      <w:szCs w:val="20"/>
    </w:rPr>
  </w:style>
  <w:style w:type="character" w:styleId="46">
    <w:name w:val="HTML Acronym"/>
    <w:basedOn w:val="40"/>
    <w:qFormat/>
    <w:uiPriority w:val="0"/>
    <w:rPr>
      <w:rFonts w:ascii="Times New Roman" w:hAnsi="Times New Roman" w:eastAsia="宋体" w:cs="Times New Roman"/>
    </w:rPr>
  </w:style>
  <w:style w:type="character" w:styleId="47">
    <w:name w:val="HTML Variable"/>
    <w:qFormat/>
    <w:uiPriority w:val="0"/>
    <w:rPr>
      <w:rFonts w:ascii="Times New Roman" w:hAnsi="Times New Roman" w:eastAsia="宋体" w:cs="Times New Roman"/>
      <w:i/>
      <w:iCs/>
    </w:rPr>
  </w:style>
  <w:style w:type="character" w:styleId="48">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49">
    <w:name w:val="HTML Code"/>
    <w:qFormat/>
    <w:uiPriority w:val="0"/>
    <w:rPr>
      <w:rFonts w:ascii="Courier New" w:hAnsi="Courier New" w:eastAsia="宋体" w:cs="Times New Roman"/>
      <w:sz w:val="20"/>
      <w:szCs w:val="20"/>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Cite"/>
    <w:qFormat/>
    <w:uiPriority w:val="0"/>
    <w:rPr>
      <w:rFonts w:ascii="Times New Roman" w:hAnsi="Times New Roman" w:eastAsia="宋体" w:cs="Times New Roman"/>
      <w:i/>
      <w:iCs/>
    </w:rPr>
  </w:style>
  <w:style w:type="character" w:styleId="52">
    <w:name w:val="footnote reference"/>
    <w:qFormat/>
    <w:uiPriority w:val="0"/>
    <w:rPr>
      <w:rFonts w:ascii="Times New Roman" w:hAnsi="Times New Roman" w:eastAsia="宋体" w:cs="Times New Roman"/>
      <w:vertAlign w:val="superscript"/>
    </w:rPr>
  </w:style>
  <w:style w:type="character" w:styleId="53">
    <w:name w:val="HTML Keyboard"/>
    <w:qFormat/>
    <w:uiPriority w:val="0"/>
    <w:rPr>
      <w:rFonts w:ascii="Courier New" w:hAnsi="Courier New" w:eastAsia="宋体" w:cs="Times New Roman"/>
      <w:sz w:val="20"/>
      <w:szCs w:val="20"/>
    </w:rPr>
  </w:style>
  <w:style w:type="character" w:styleId="54">
    <w:name w:val="HTML Sample"/>
    <w:qFormat/>
    <w:uiPriority w:val="0"/>
    <w:rPr>
      <w:rFonts w:ascii="Courier New" w:hAnsi="Courier New" w:eastAsia="宋体" w:cs="Times New Roman"/>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目次、标准名称标题"/>
    <w:basedOn w:val="58"/>
    <w:next w:val="59"/>
    <w:qFormat/>
    <w:uiPriority w:val="0"/>
    <w:pPr>
      <w:numPr>
        <w:ilvl w:val="0"/>
        <w:numId w:val="0"/>
      </w:numPr>
      <w:spacing w:line="460" w:lineRule="exact"/>
    </w:pPr>
    <w:rPr>
      <w:rFonts w:ascii="Times New Roman" w:hAnsi="Times New Roman" w:eastAsia="宋体" w:cs="Times New Roman"/>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5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59"/>
    <w:link w:val="64"/>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64">
    <w:name w:val="一级条标题 Char"/>
    <w:link w:val="63"/>
    <w:qFormat/>
    <w:uiPriority w:val="0"/>
    <w:rPr>
      <w:rFonts w:ascii="Times New Roman" w:hAnsi="Times New Roman" w:eastAsia="黑体" w:cs="Times New Roman"/>
      <w:sz w:val="21"/>
      <w:lang w:val="en-US" w:eastAsia="zh-CN" w:bidi="ar-SA"/>
    </w:rPr>
  </w:style>
  <w:style w:type="paragraph" w:customStyle="1" w:styleId="6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其他发布部门"/>
    <w:basedOn w:val="65"/>
    <w:qFormat/>
    <w:uiPriority w:val="0"/>
    <w:pPr>
      <w:spacing w:line="0" w:lineRule="atLeast"/>
    </w:pPr>
    <w:rPr>
      <w:rFonts w:ascii="黑体" w:hAnsi="Times New Roman" w:eastAsia="黑体" w:cs="Times New Roman"/>
      <w:b w:val="0"/>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实施日期"/>
    <w:basedOn w:val="67"/>
    <w:qFormat/>
    <w:uiPriority w:val="0"/>
    <w:pPr>
      <w:framePr w:hSpace="0" w:xAlign="right"/>
      <w:numPr>
        <w:ilvl w:val="4"/>
        <w:numId w:val="1"/>
      </w:numPr>
      <w:jc w:val="right"/>
    </w:pPr>
    <w:rPr>
      <w:rFonts w:ascii="Times New Roman" w:hAnsi="Times New Roman" w:eastAsia="宋体" w:cs="Times New Roman"/>
    </w:rPr>
  </w:style>
  <w:style w:type="paragraph" w:customStyle="1" w:styleId="6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73">
    <w:name w:val="发布"/>
    <w:qFormat/>
    <w:uiPriority w:val="0"/>
    <w:rPr>
      <w:rFonts w:ascii="黑体" w:hAnsi="Times New Roman" w:eastAsia="黑体" w:cs="Times New Roman"/>
      <w:spacing w:val="22"/>
      <w:w w:val="100"/>
      <w:position w:val="3"/>
      <w:sz w:val="28"/>
    </w:rPr>
  </w:style>
  <w:style w:type="character" w:customStyle="1" w:styleId="74">
    <w:name w:val="个人撰写风格"/>
    <w:qFormat/>
    <w:uiPriority w:val="0"/>
    <w:rPr>
      <w:rFonts w:ascii="Arial" w:hAnsi="Arial" w:eastAsia="宋体" w:cs="Arial"/>
      <w:color w:val="auto"/>
      <w:sz w:val="20"/>
    </w:rPr>
  </w:style>
  <w:style w:type="character" w:customStyle="1" w:styleId="75">
    <w:name w:val="一级无标题条 Char"/>
    <w:link w:val="76"/>
    <w:qFormat/>
    <w:uiPriority w:val="0"/>
    <w:rPr>
      <w:rFonts w:ascii="Times New Roman" w:hAnsi="Times New Roman" w:eastAsia="宋体" w:cs="Times New Roman"/>
      <w:kern w:val="2"/>
      <w:sz w:val="21"/>
      <w:szCs w:val="24"/>
      <w:lang w:val="en-US" w:eastAsia="zh-CN" w:bidi="ar-SA"/>
    </w:rPr>
  </w:style>
  <w:style w:type="paragraph" w:customStyle="1" w:styleId="76">
    <w:name w:val="一级无标题条"/>
    <w:basedOn w:val="1"/>
    <w:link w:val="75"/>
    <w:qFormat/>
    <w:uiPriority w:val="0"/>
    <w:pPr>
      <w:numPr>
        <w:ilvl w:val="2"/>
        <w:numId w:val="2"/>
      </w:numPr>
    </w:pPr>
    <w:rPr>
      <w:rFonts w:ascii="Times New Roman" w:hAnsi="Times New Roman" w:eastAsia="宋体" w:cs="Times New Roman"/>
      <w:szCs w:val="24"/>
    </w:rPr>
  </w:style>
  <w:style w:type="character" w:customStyle="1" w:styleId="77">
    <w:name w:val="二级条标题 Char"/>
    <w:basedOn w:val="64"/>
    <w:link w:val="78"/>
    <w:qFormat/>
    <w:uiPriority w:val="0"/>
    <w:rPr>
      <w:rFonts w:ascii="Times New Roman" w:hAnsi="Times New Roman" w:eastAsia="宋体" w:cs="Times New Roman"/>
    </w:rPr>
  </w:style>
  <w:style w:type="paragraph" w:customStyle="1" w:styleId="78">
    <w:name w:val="二级条标题"/>
    <w:basedOn w:val="63"/>
    <w:next w:val="59"/>
    <w:link w:val="77"/>
    <w:qFormat/>
    <w:uiPriority w:val="0"/>
    <w:pPr>
      <w:numPr>
        <w:ilvl w:val="3"/>
        <w:numId w:val="1"/>
      </w:numPr>
      <w:outlineLvl w:val="3"/>
    </w:pPr>
    <w:rPr>
      <w:rFonts w:ascii="Times New Roman" w:hAnsi="Times New Roman" w:eastAsia="宋体" w:cs="Times New Roman"/>
    </w:rPr>
  </w:style>
  <w:style w:type="character" w:customStyle="1" w:styleId="79">
    <w:name w:val="个人答复风格"/>
    <w:qFormat/>
    <w:uiPriority w:val="0"/>
    <w:rPr>
      <w:rFonts w:ascii="Arial" w:hAnsi="Arial" w:eastAsia="宋体" w:cs="Arial"/>
      <w:color w:val="auto"/>
      <w:sz w:val="20"/>
    </w:rPr>
  </w:style>
  <w:style w:type="paragraph" w:customStyle="1" w:styleId="80">
    <w:name w:val="二级无标题条"/>
    <w:basedOn w:val="1"/>
    <w:qFormat/>
    <w:uiPriority w:val="0"/>
    <w:pPr>
      <w:numPr>
        <w:ilvl w:val="3"/>
        <w:numId w:val="2"/>
      </w:numPr>
    </w:pPr>
    <w:rPr>
      <w:rFonts w:ascii="Times New Roman" w:hAnsi="Times New Roman" w:eastAsia="宋体" w:cs="Times New Roman"/>
      <w:szCs w:val="24"/>
    </w:rPr>
  </w:style>
  <w:style w:type="paragraph" w:customStyle="1" w:styleId="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号2"/>
    <w:basedOn w:val="82"/>
    <w:qFormat/>
    <w:uiPriority w:val="0"/>
    <w:pPr>
      <w:framePr w:w="9138" w:h="1244" w:hRule="exact" w:wrap="around" w:vAnchor="page" w:hAnchor="margin" w:y="2908"/>
      <w:adjustRightInd w:val="0"/>
      <w:spacing w:before="357" w:line="280" w:lineRule="exact"/>
    </w:pPr>
    <w:rPr>
      <w:rFonts w:ascii="Times New Roman" w:hAnsi="Times New Roman" w:eastAsia="宋体" w:cs="Times New Roman"/>
    </w:rPr>
  </w:style>
  <w:style w:type="paragraph" w:customStyle="1" w:styleId="84">
    <w:name w:val="封面标准代替信息"/>
    <w:basedOn w:val="83"/>
    <w:qFormat/>
    <w:uiPriority w:val="0"/>
    <w:pPr>
      <w:spacing w:before="57"/>
    </w:pPr>
    <w:rPr>
      <w:rFonts w:ascii="宋体" w:hAnsi="Times New Roman" w:eastAsia="宋体" w:cs="Times New Roman"/>
      <w:sz w:val="21"/>
    </w:rPr>
  </w:style>
  <w:style w:type="paragraph" w:customStyle="1" w:styleId="85">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86">
    <w:name w:val="列项——（一级）"/>
    <w:qFormat/>
    <w:uiPriority w:val="0"/>
    <w:pPr>
      <w:widowControl w:val="0"/>
      <w:numPr>
        <w:ilvl w:val="0"/>
        <w:numId w:val="3"/>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7">
    <w:name w:val="列项◆（三级）"/>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88">
    <w:name w:val="附录标识"/>
    <w:basedOn w:val="58"/>
    <w:qFormat/>
    <w:uiPriority w:val="0"/>
    <w:pPr>
      <w:numPr>
        <w:ilvl w:val="0"/>
        <w:numId w:val="5"/>
      </w:numPr>
      <w:tabs>
        <w:tab w:val="left" w:pos="6405"/>
      </w:tabs>
      <w:spacing w:after="200"/>
    </w:pPr>
    <w:rPr>
      <w:rFonts w:ascii="Times New Roman" w:hAnsi="Times New Roman" w:eastAsia="宋体" w:cs="Times New Roman"/>
      <w:sz w:val="21"/>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标准书眉_偶数页"/>
    <w:basedOn w:val="89"/>
    <w:next w:val="1"/>
    <w:qFormat/>
    <w:uiPriority w:val="0"/>
    <w:pPr>
      <w:jc w:val="left"/>
    </w:pPr>
    <w:rPr>
      <w:rFonts w:ascii="Times New Roman" w:hAnsi="Times New Roman" w:eastAsia="宋体" w:cs="Times New Roman"/>
    </w:rPr>
  </w:style>
  <w:style w:type="paragraph" w:customStyle="1" w:styleId="91">
    <w:name w:val="Default Text"/>
    <w:basedOn w:val="1"/>
    <w:qFormat/>
    <w:uiPriority w:val="0"/>
    <w:pPr>
      <w:autoSpaceDE w:val="0"/>
      <w:autoSpaceDN w:val="0"/>
      <w:adjustRightInd w:val="0"/>
      <w:jc w:val="left"/>
    </w:pPr>
    <w:rPr>
      <w:rFonts w:ascii="宋体" w:hAnsi="Times New Roman" w:eastAsia="宋体" w:cs="Times New Roman"/>
      <w:kern w:val="0"/>
      <w:sz w:val="24"/>
      <w:szCs w:val="24"/>
    </w:rPr>
  </w:style>
  <w:style w:type="paragraph" w:customStyle="1" w:styleId="92">
    <w:name w:val="正文表标题"/>
    <w:next w:val="59"/>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
    <w:name w:val="示例"/>
    <w:next w:val="59"/>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附录章标题"/>
    <w:next w:val="59"/>
    <w:qFormat/>
    <w:uiPriority w:val="0"/>
    <w:pPr>
      <w:numPr>
        <w:ilvl w:val="1"/>
        <w:numId w:val="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附录一级条标题"/>
    <w:basedOn w:val="96"/>
    <w:next w:val="59"/>
    <w:qFormat/>
    <w:uiPriority w:val="0"/>
    <w:pPr>
      <w:numPr>
        <w:ilvl w:val="2"/>
        <w:numId w:val="5"/>
      </w:numPr>
      <w:autoSpaceDN w:val="0"/>
      <w:spacing w:before="0" w:beforeLines="0" w:after="0" w:afterLines="0"/>
      <w:outlineLvl w:val="2"/>
    </w:pPr>
    <w:rPr>
      <w:rFonts w:ascii="Times New Roman" w:hAnsi="Times New Roman" w:eastAsia="宋体" w:cs="Times New Roman"/>
    </w:rPr>
  </w:style>
  <w:style w:type="paragraph" w:customStyle="1" w:styleId="98">
    <w:name w:val="附录二级条标题"/>
    <w:basedOn w:val="97"/>
    <w:next w:val="59"/>
    <w:qFormat/>
    <w:uiPriority w:val="0"/>
    <w:pPr>
      <w:numPr>
        <w:ilvl w:val="3"/>
        <w:numId w:val="5"/>
      </w:numPr>
      <w:outlineLvl w:val="3"/>
    </w:pPr>
    <w:rPr>
      <w:rFonts w:ascii="Times New Roman" w:hAnsi="Times New Roman" w:eastAsia="宋体" w:cs="Times New Roman"/>
    </w:rPr>
  </w:style>
  <w:style w:type="paragraph" w:customStyle="1" w:styleId="99">
    <w:name w:val="附录三级条标题"/>
    <w:basedOn w:val="98"/>
    <w:next w:val="59"/>
    <w:qFormat/>
    <w:uiPriority w:val="0"/>
    <w:pPr>
      <w:numPr>
        <w:ilvl w:val="4"/>
        <w:numId w:val="5"/>
      </w:numPr>
      <w:outlineLvl w:val="4"/>
    </w:pPr>
    <w:rPr>
      <w:rFonts w:ascii="Times New Roman" w:hAnsi="Times New Roman" w:eastAsia="宋体" w:cs="Times New Roman"/>
    </w:rPr>
  </w:style>
  <w:style w:type="paragraph" w:customStyle="1" w:styleId="100">
    <w:name w:val="附录四级条标题"/>
    <w:basedOn w:val="99"/>
    <w:next w:val="59"/>
    <w:qFormat/>
    <w:uiPriority w:val="0"/>
    <w:pPr>
      <w:numPr>
        <w:ilvl w:val="5"/>
        <w:numId w:val="5"/>
      </w:numPr>
      <w:outlineLvl w:val="5"/>
    </w:pPr>
    <w:rPr>
      <w:rFonts w:ascii="Times New Roman" w:hAnsi="Times New Roman" w:eastAsia="宋体" w:cs="Times New Roman"/>
    </w:rPr>
  </w:style>
  <w:style w:type="paragraph" w:customStyle="1" w:styleId="101">
    <w:name w:val="附录五级条标题"/>
    <w:basedOn w:val="100"/>
    <w:next w:val="59"/>
    <w:qFormat/>
    <w:uiPriority w:val="0"/>
    <w:pPr>
      <w:numPr>
        <w:ilvl w:val="6"/>
        <w:numId w:val="5"/>
      </w:numPr>
      <w:outlineLvl w:val="6"/>
    </w:pPr>
    <w:rPr>
      <w:rFonts w:ascii="Times New Roman" w:hAnsi="Times New Roman" w:eastAsia="宋体" w:cs="Times New Roman"/>
    </w:rPr>
  </w:style>
  <w:style w:type="paragraph" w:customStyle="1" w:styleId="102">
    <w:name w:val="三级条标题"/>
    <w:basedOn w:val="78"/>
    <w:next w:val="59"/>
    <w:qFormat/>
    <w:uiPriority w:val="0"/>
    <w:pPr>
      <w:numPr>
        <w:ilvl w:val="0"/>
        <w:numId w:val="0"/>
      </w:numPr>
      <w:ind w:left="105"/>
      <w:outlineLvl w:val="4"/>
    </w:pPr>
    <w:rPr>
      <w:rFonts w:ascii="Times New Roman" w:hAnsi="Times New Roman" w:eastAsia="宋体" w:cs="Times New Roman"/>
    </w:rPr>
  </w:style>
  <w:style w:type="paragraph" w:customStyle="1" w:styleId="103">
    <w:name w:val="四级条标题"/>
    <w:basedOn w:val="102"/>
    <w:next w:val="59"/>
    <w:qFormat/>
    <w:uiPriority w:val="0"/>
    <w:pPr>
      <w:numPr>
        <w:ilvl w:val="5"/>
        <w:numId w:val="1"/>
      </w:numPr>
      <w:outlineLvl w:val="5"/>
    </w:pPr>
    <w:rPr>
      <w:rFonts w:ascii="Times New Roman" w:hAnsi="Times New Roman" w:eastAsia="宋体" w:cs="Times New Roman"/>
    </w:rPr>
  </w:style>
  <w:style w:type="paragraph" w:customStyle="1" w:styleId="104">
    <w:name w:val="五级条标题"/>
    <w:basedOn w:val="103"/>
    <w:next w:val="59"/>
    <w:qFormat/>
    <w:uiPriority w:val="0"/>
    <w:pPr>
      <w:numPr>
        <w:ilvl w:val="6"/>
        <w:numId w:val="1"/>
      </w:numPr>
      <w:outlineLvl w:val="6"/>
    </w:pPr>
    <w:rPr>
      <w:rFonts w:ascii="Times New Roman" w:hAnsi="Times New Roman" w:eastAsia="宋体" w:cs="Times New Roman"/>
    </w:rPr>
  </w:style>
  <w:style w:type="paragraph" w:customStyle="1" w:styleId="105">
    <w:name w:val="_Style 98"/>
    <w:basedOn w:val="1"/>
    <w:qFormat/>
    <w:uiPriority w:val="0"/>
    <w:rPr>
      <w:rFonts w:ascii="Times New Roman" w:hAnsi="Times New Roman" w:eastAsia="仿宋_GB2312" w:cs="Times New Roman"/>
      <w:kern w:val="0"/>
      <w:sz w:val="32"/>
      <w:szCs w:val="21"/>
    </w:rPr>
  </w:style>
  <w:style w:type="paragraph" w:customStyle="1" w:styleId="10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参考文献、索引标题"/>
    <w:basedOn w:val="58"/>
    <w:next w:val="1"/>
    <w:qFormat/>
    <w:uiPriority w:val="0"/>
    <w:pPr>
      <w:numPr>
        <w:ilvl w:val="0"/>
        <w:numId w:val="0"/>
      </w:numPr>
      <w:spacing w:after="200"/>
    </w:pPr>
    <w:rPr>
      <w:rFonts w:ascii="Times New Roman" w:hAnsi="Times New Roman" w:eastAsia="宋体" w:cs="Times New Roman"/>
      <w:sz w:val="21"/>
    </w:rPr>
  </w:style>
  <w:style w:type="paragraph" w:customStyle="1" w:styleId="10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9">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0">
    <w:name w:val="图表脚注"/>
    <w:next w:val="59"/>
    <w:qFormat/>
    <w:uiPriority w:val="0"/>
    <w:pPr>
      <w:jc w:val="both"/>
    </w:pPr>
    <w:rPr>
      <w:rFonts w:ascii="宋体" w:hAnsi="Times New Roman" w:eastAsia="宋体" w:cs="Times New Roman"/>
      <w:sz w:val="18"/>
      <w:lang w:val="en-US" w:eastAsia="zh-CN" w:bidi="ar-SA"/>
    </w:rPr>
  </w:style>
  <w:style w:type="paragraph" w:customStyle="1" w:styleId="111">
    <w:name w:val="附录图标题"/>
    <w:next w:val="59"/>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2">
    <w:name w:val="注："/>
    <w:next w:val="59"/>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3">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条文脚注"/>
    <w:basedOn w:val="31"/>
    <w:qFormat/>
    <w:uiPriority w:val="0"/>
    <w:pPr>
      <w:ind w:left="780" w:leftChars="200" w:hanging="360" w:hangingChars="200"/>
      <w:jc w:val="both"/>
    </w:pPr>
    <w:rPr>
      <w:rFonts w:ascii="宋体" w:hAnsi="Times New Roman" w:eastAsia="宋体" w:cs="Times New Roman"/>
    </w:rPr>
  </w:style>
  <w:style w:type="paragraph" w:customStyle="1" w:styleId="115">
    <w:name w:val="附录表标题"/>
    <w:next w:val="59"/>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116">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11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Table Paragraph"/>
    <w:basedOn w:val="1"/>
    <w:qFormat/>
    <w:uiPriority w:val="0"/>
    <w:pPr>
      <w:spacing w:before="22"/>
      <w:ind w:left="107"/>
    </w:pPr>
    <w:rPr>
      <w:rFonts w:ascii="宋体" w:hAnsi="宋体" w:eastAsia="宋体" w:cs="宋体"/>
      <w:lang w:val="zh-CN" w:eastAsia="zh-CN" w:bidi="zh-CN"/>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125">
    <w:name w:val="列项●（二级）"/>
    <w:qFormat/>
    <w:uiPriority w:val="0"/>
    <w:pPr>
      <w:numPr>
        <w:ilvl w:val="0"/>
        <w:numId w:val="13"/>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6">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27">
    <w:name w:val="标准文件_附录一级无标题"/>
    <w:basedOn w:val="126"/>
    <w:qFormat/>
    <w:uiPriority w:val="0"/>
    <w:pPr>
      <w:spacing w:before="0" w:beforeLines="0" w:after="0" w:afterLines="0" w:line="276" w:lineRule="auto"/>
      <w:outlineLvl w:val="9"/>
    </w:pPr>
    <w:rPr>
      <w:rFonts w:ascii="宋体" w:hAnsi="Times New Roman" w:eastAsia="宋体" w:cs="Times New Roman"/>
    </w:rPr>
  </w:style>
  <w:style w:type="paragraph" w:customStyle="1" w:styleId="12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29">
    <w:name w:val="正文C条文"/>
    <w:basedOn w:val="130"/>
    <w:qFormat/>
    <w:uiPriority w:val="0"/>
    <w:pPr>
      <w:numPr>
        <w:ilvl w:val="2"/>
        <w:numId w:val="15"/>
      </w:numPr>
      <w:spacing w:before="50" w:beforeLines="50" w:after="50" w:afterLines="50"/>
      <w:ind w:left="0" w:firstLineChars="0"/>
    </w:pPr>
  </w:style>
  <w:style w:type="paragraph" w:customStyle="1" w:styleId="130">
    <w:name w:val="正文A缩进"/>
    <w:basedOn w:val="1"/>
    <w:qFormat/>
    <w:uiPriority w:val="0"/>
    <w:pPr>
      <w:spacing w:line="360" w:lineRule="auto"/>
      <w:ind w:firstLine="200" w:firstLineChars="200"/>
    </w:pPr>
    <w:rPr>
      <w:sz w:val="24"/>
    </w:rPr>
  </w:style>
  <w:style w:type="paragraph" w:customStyle="1" w:styleId="131">
    <w:name w:val="标准正文"/>
    <w:basedOn w:val="1"/>
    <w:qFormat/>
    <w:uiPriority w:val="0"/>
    <w:pPr>
      <w:tabs>
        <w:tab w:val="left" w:pos="540"/>
        <w:tab w:val="left" w:pos="720"/>
        <w:tab w:val="left" w:pos="900"/>
        <w:tab w:val="left" w:pos="1080"/>
      </w:tabs>
      <w:snapToGrid w:val="0"/>
      <w:spacing w:line="288" w:lineRule="auto"/>
    </w:pPr>
    <w:rPr>
      <w:rFonts w:ascii="宋体" w:hAnsi="宋体"/>
      <w:color w:val="000000"/>
      <w:szCs w:val="21"/>
    </w:rPr>
  </w:style>
  <w:style w:type="paragraph" w:customStyle="1" w:styleId="132">
    <w:name w:val="WPSOffice手动目录 1"/>
    <w:qFormat/>
    <w:uiPriority w:val="0"/>
    <w:pPr>
      <w:ind w:leftChars="0"/>
    </w:pPr>
    <w:rPr>
      <w:rFonts w:ascii="Times New Roman" w:hAnsi="Times New Roman" w:eastAsia="宋体" w:cs="Times New Roman"/>
      <w:sz w:val="20"/>
      <w:szCs w:val="20"/>
    </w:rPr>
  </w:style>
  <w:style w:type="paragraph" w:customStyle="1" w:styleId="133">
    <w:name w:val="WPSOffice手动目录 2"/>
    <w:qFormat/>
    <w:uiPriority w:val="0"/>
    <w:pPr>
      <w:ind w:leftChars="200"/>
    </w:pPr>
    <w:rPr>
      <w:rFonts w:ascii="Times New Roman" w:hAnsi="Times New Roman" w:eastAsia="宋体" w:cs="Times New Roman"/>
      <w:sz w:val="20"/>
      <w:szCs w:val="20"/>
    </w:rPr>
  </w:style>
  <w:style w:type="paragraph" w:customStyle="1" w:styleId="13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68</Pages>
  <Words>6705</Words>
  <Characters>9399</Characters>
  <Lines>81</Lines>
  <Paragraphs>22</Paragraphs>
  <TotalTime>50</TotalTime>
  <ScaleCrop>false</ScaleCrop>
  <LinksUpToDate>false</LinksUpToDate>
  <CharactersWithSpaces>10781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2018-09-30T19:48:00Z</dcterms:created>
  <dc:creator>LSK</dc:creator>
  <dc:description>Shankar's Birthday falls on 25th July.  Don't Forget to wish him</dc:description>
  <cp:keywords>Birthday</cp:keywords>
  <cp:lastModifiedBy>陌</cp:lastModifiedBy>
  <cp:lastPrinted>2024-08-16T05:32:00Z</cp:lastPrinted>
  <dcterms:modified xsi:type="dcterms:W3CDTF">2025-01-20T08:44:34Z</dcterms:modified>
  <dc:subject>Birthday</dc:subject>
  <dc:title>Are You suprised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2052-12.1.0.19770</vt:lpwstr>
  </property>
  <property fmtid="{D5CDD505-2E9C-101B-9397-08002B2CF9AE}" pid="4" name="ICV">
    <vt:lpwstr>8C05D32F46034B1EA214863DC578135E_13</vt:lpwstr>
  </property>
  <property fmtid="{D5CDD505-2E9C-101B-9397-08002B2CF9AE}" pid="5" name="KSOTemplateDocerSaveRecord">
    <vt:lpwstr>eyJoZGlkIjoiYmNhZDU5Nzc0MWRjZjgzYTk5MjI0N2JhZjg4OWRhMWIiLCJ1c2VySWQiOiIxMjA5OTQ0MDAwIn0=</vt:lpwstr>
  </property>
</Properties>
</file>