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baseline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本地区房屋市政工程</w:t>
      </w:r>
      <w:r>
        <w:rPr>
          <w:rFonts w:hint="eastAsia" w:ascii="小标宋" w:hAnsi="小标宋" w:eastAsia="小标宋" w:cs="小标宋"/>
          <w:sz w:val="44"/>
          <w:szCs w:val="44"/>
        </w:rPr>
        <w:t>安责险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推广工作</w:t>
      </w:r>
      <w:r>
        <w:rPr>
          <w:rFonts w:hint="eastAsia" w:ascii="小标宋" w:hAnsi="小标宋" w:eastAsia="小标宋" w:cs="小标宋"/>
          <w:sz w:val="44"/>
          <w:szCs w:val="44"/>
        </w:rPr>
        <w:t>统计表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</w:p>
    <w:p>
      <w:pPr>
        <w:pStyle w:val="2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填报单位：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联系电话：</w:t>
      </w:r>
    </w:p>
    <w:tbl>
      <w:tblPr>
        <w:tblStyle w:val="4"/>
        <w:tblW w:w="15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12"/>
        <w:gridCol w:w="913"/>
        <w:gridCol w:w="1028"/>
        <w:gridCol w:w="1037"/>
        <w:gridCol w:w="1283"/>
        <w:gridCol w:w="1565"/>
        <w:gridCol w:w="1106"/>
        <w:gridCol w:w="1105"/>
        <w:gridCol w:w="1106"/>
        <w:gridCol w:w="1441"/>
        <w:gridCol w:w="143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参保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比重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保费规模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保障额度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参保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获赔数（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赔付总额（万元）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赔付率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开展事故预防技术服务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是否开展服务监测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技术服务形式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备注：1.本表由各地级以上市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房屋市政工程有关主管部门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来填写；2.赔付率通过简易赔付率计算，即赔付总额/保费规模。赔付总额中如未形成实际支出，近期可以确保能支出的，将其计算在内。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E4NTk4ODM0ZDQ0NTE3MTBmOWEyODViZTE1MGEifQ=="/>
  </w:docVars>
  <w:rsids>
    <w:rsidRoot w:val="242D38E1"/>
    <w:rsid w:val="242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等线" w:hAnsi="等线" w:eastAsia="仿宋_GB2312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table" w:styleId="4">
    <w:name w:val="Table Grid"/>
    <w:basedOn w:val="3"/>
    <w:uiPriority w:val="3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2024-01-19T02:40:00Z</dcterms:created>
  <dc:creator>Taco</dc:creator>
  <cp:lastModifiedBy>Taco</cp:lastModifiedBy>
  <dcterms:modified xsi:type="dcterms:W3CDTF">2024-01-19T02:40:40Z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8D77063E901E435084988B3BD13D7965_11</vt:lpwstr>
  </property>
</Properties>
</file>