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2B573">
      <w:pPr>
        <w:jc w:val="both"/>
        <w:rPr>
          <w:rFonts w:cs="Microsoft JhengHei"/>
          <w:sz w:val="44"/>
          <w:szCs w:val="44"/>
          <w:highlight w:val="none"/>
        </w:rPr>
      </w:pPr>
      <w:r>
        <w:rPr>
          <w:rFonts w:cs="Microsoft JhengHei"/>
          <w:sz w:val="44"/>
          <w:szCs w:val="44"/>
          <w:highlight w:val="none"/>
        </w:rPr>
        <w:drawing>
          <wp:anchor distT="0" distB="0" distL="114300" distR="114300" simplePos="0" relativeHeight="251663360" behindDoc="0" locked="0" layoutInCell="1" allowOverlap="1">
            <wp:simplePos x="0" y="0"/>
            <wp:positionH relativeFrom="page">
              <wp:posOffset>4436745</wp:posOffset>
            </wp:positionH>
            <wp:positionV relativeFrom="page">
              <wp:posOffset>1032510</wp:posOffset>
            </wp:positionV>
            <wp:extent cx="1720215" cy="800100"/>
            <wp:effectExtent l="0" t="0" r="1905" b="7620"/>
            <wp:wrapNone/>
            <wp:docPr id="6"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说明: GD"/>
                    <pic:cNvPicPr>
                      <a:picLocks noChangeAspect="1"/>
                    </pic:cNvPicPr>
                  </pic:nvPicPr>
                  <pic:blipFill>
                    <a:blip r:embed="rId16"/>
                    <a:stretch>
                      <a:fillRect/>
                    </a:stretch>
                  </pic:blipFill>
                  <pic:spPr>
                    <a:xfrm>
                      <a:off x="0" y="0"/>
                      <a:ext cx="1720215" cy="800100"/>
                    </a:xfrm>
                    <a:prstGeom prst="rect">
                      <a:avLst/>
                    </a:prstGeom>
                    <a:noFill/>
                    <a:ln>
                      <a:noFill/>
                    </a:ln>
                  </pic:spPr>
                </pic:pic>
              </a:graphicData>
            </a:graphic>
          </wp:anchor>
        </w:drawing>
      </w:r>
    </w:p>
    <w:p w14:paraId="26610E90">
      <w:pPr>
        <w:pStyle w:val="20"/>
        <w:rPr>
          <w:rFonts w:hint="eastAsia"/>
          <w:highlight w:val="none"/>
          <w:lang w:val="en-US" w:eastAsia="zh-CN"/>
        </w:rPr>
      </w:pPr>
    </w:p>
    <w:p w14:paraId="07499435">
      <w:pPr>
        <w:jc w:val="both"/>
        <w:rPr>
          <w:rFonts w:eastAsia="MS Gothic"/>
          <w:b/>
          <w:sz w:val="84"/>
          <w:szCs w:val="84"/>
          <w:highlight w:val="none"/>
        </w:rPr>
      </w:pPr>
      <w:r>
        <w:rPr>
          <w:rFonts w:hint="eastAsia" w:eastAsia="黑体"/>
          <w:sz w:val="32"/>
          <w:szCs w:val="32"/>
          <w:highlight w:val="none"/>
          <w:lang w:val="en-US" w:eastAsia="zh-CN"/>
        </w:rPr>
        <w:t xml:space="preserve">         </w:t>
      </w:r>
      <w:r>
        <w:rPr>
          <w:rFonts w:eastAsia="黑体"/>
          <w:spacing w:val="28"/>
          <w:sz w:val="48"/>
          <w:szCs w:val="48"/>
          <w:highlight w:val="none"/>
        </w:rPr>
        <w:t>广东省标准</w:t>
      </w:r>
      <w:r>
        <w:rPr>
          <w:rFonts w:eastAsia="黑体"/>
          <w:sz w:val="32"/>
          <w:szCs w:val="32"/>
          <w:highlight w:val="none"/>
        </w:rPr>
        <w:t xml:space="preserve">            </w:t>
      </w:r>
      <w:r>
        <w:rPr>
          <w:rFonts w:hint="eastAsia"/>
          <w:color w:val="000000"/>
          <w:sz w:val="52"/>
          <w:highlight w:val="none"/>
        </w:rPr>
        <w:t xml:space="preserve">   </w:t>
      </w:r>
    </w:p>
    <w:p w14:paraId="75292127">
      <w:pPr>
        <w:rPr>
          <w:rFonts w:hint="eastAsia"/>
          <w:highlight w:val="none"/>
        </w:rPr>
      </w:pPr>
      <w:r>
        <w:rPr>
          <w:highlight w:val="none"/>
        </w:rPr>
        <w:t xml:space="preserve">                              </w:t>
      </w:r>
      <w:bookmarkStart w:id="0" w:name="_Toc337542810"/>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 </w:t>
      </w:r>
    </w:p>
    <w:p w14:paraId="40480D9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eastAsia="宋体"/>
          <w:spacing w:val="17"/>
          <w:sz w:val="30"/>
          <w:szCs w:val="30"/>
          <w:highlight w:val="none"/>
          <w:lang w:val="en-US" w:eastAsia="zh-CN"/>
        </w:rPr>
      </w:pPr>
      <w:r>
        <w:rPr>
          <w:rFonts w:hint="eastAsia"/>
          <w:highlight w:val="none"/>
          <w:lang w:val="en-US" w:eastAsia="zh-CN"/>
        </w:rPr>
        <w:t xml:space="preserve">                                                      </w:t>
      </w:r>
      <w:r>
        <w:rPr>
          <w:rFonts w:hint="eastAsia"/>
          <w:highlight w:val="none"/>
        </w:rPr>
        <w:t xml:space="preserve"> </w:t>
      </w:r>
      <w:r>
        <w:rPr>
          <w:spacing w:val="23"/>
          <w:sz w:val="30"/>
          <w:szCs w:val="30"/>
          <w:highlight w:val="none"/>
        </w:rPr>
        <w:t>DBJ</w:t>
      </w:r>
      <w:r>
        <w:rPr>
          <w:rFonts w:hint="eastAsia"/>
          <w:spacing w:val="23"/>
          <w:sz w:val="30"/>
          <w:szCs w:val="30"/>
          <w:highlight w:val="none"/>
          <w:lang w:val="en-US" w:eastAsia="zh-CN"/>
        </w:rPr>
        <w:t>/T 15</w:t>
      </w:r>
      <w:r>
        <w:rPr>
          <w:spacing w:val="23"/>
          <w:sz w:val="30"/>
          <w:szCs w:val="30"/>
          <w:highlight w:val="none"/>
        </w:rPr>
        <w:t>-</w:t>
      </w:r>
      <w:r>
        <w:rPr>
          <w:rFonts w:hint="eastAsia" w:ascii="黑体" w:hAnsi="黑体" w:eastAsia="黑体"/>
          <w:sz w:val="28"/>
          <w:szCs w:val="28"/>
          <w:highlight w:val="none"/>
          <w:lang w:val="en-US" w:eastAsia="zh-CN"/>
        </w:rPr>
        <w:t>XX</w:t>
      </w:r>
      <w:r>
        <w:rPr>
          <w:spacing w:val="23"/>
          <w:sz w:val="30"/>
          <w:szCs w:val="30"/>
          <w:highlight w:val="none"/>
        </w:rPr>
        <w:t>-</w:t>
      </w:r>
      <w:bookmarkEnd w:id="0"/>
      <w:r>
        <w:rPr>
          <w:spacing w:val="0"/>
          <w:sz w:val="30"/>
          <w:szCs w:val="30"/>
          <w:highlight w:val="none"/>
        </w:rPr>
        <w:t>20</w:t>
      </w:r>
      <w:r>
        <w:rPr>
          <w:rFonts w:hint="eastAsia" w:ascii="黑体" w:hAnsi="黑体" w:eastAsia="黑体"/>
          <w:sz w:val="28"/>
          <w:szCs w:val="28"/>
          <w:highlight w:val="none"/>
          <w:lang w:val="en-US" w:eastAsia="zh-CN"/>
        </w:rPr>
        <w:t>XX</w:t>
      </w:r>
    </w:p>
    <w:p w14:paraId="51DEA10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sz w:val="28"/>
          <w:szCs w:val="28"/>
          <w:highlight w:val="none"/>
        </w:rPr>
      </w:pPr>
      <w:r>
        <w:rPr>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359410</wp:posOffset>
                </wp:positionV>
                <wp:extent cx="5486400" cy="41910"/>
                <wp:effectExtent l="0" t="4445" r="0" b="14605"/>
                <wp:wrapNone/>
                <wp:docPr id="4" name="直线 4"/>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2.05pt;margin-top:28.3pt;height:3.3pt;width:432pt;z-index:251661312;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bFpJ1AAAAAcBAAAPAAAAAAAAAAEAIAAAACIAAABkcnMvZG93bnJldi54bWxQSwECFAAU&#10;AAAACACHTuJAI8fTFfUBAADpAwAADgAAAAAAAAABACAAAAAjAQAAZHJzL2Uyb0RvYy54bWxQSwUG&#10;AAAAAAYABgBZAQAAigUAAAAA&#10;">
                <v:fill on="f" focussize="0,0"/>
                <v:stroke color="#000000" joinstyle="round"/>
                <v:imagedata o:title=""/>
                <o:lock v:ext="edit" aspectratio="f"/>
              </v:line>
            </w:pict>
          </mc:Fallback>
        </mc:AlternateContent>
      </w:r>
      <w:r>
        <w:rPr>
          <w:rFonts w:hint="eastAsia"/>
          <w:sz w:val="28"/>
          <w:szCs w:val="28"/>
          <w:highlight w:val="none"/>
          <w:lang w:val="en-US" w:eastAsia="zh-CN"/>
        </w:rPr>
        <w:t xml:space="preserve">                                        </w:t>
      </w:r>
      <w:r>
        <w:rPr>
          <w:rFonts w:hint="eastAsia" w:ascii="黑体" w:hAnsi="黑体" w:eastAsia="黑体"/>
          <w:sz w:val="28"/>
          <w:szCs w:val="28"/>
          <w:highlight w:val="none"/>
        </w:rPr>
        <w:t xml:space="preserve">备案号 J </w:t>
      </w:r>
      <w:r>
        <w:rPr>
          <w:rFonts w:hint="eastAsia" w:ascii="黑体" w:hAnsi="黑体" w:eastAsia="黑体"/>
          <w:sz w:val="28"/>
          <w:szCs w:val="28"/>
          <w:highlight w:val="none"/>
          <w:lang w:val="en-US" w:eastAsia="zh-CN"/>
        </w:rPr>
        <w:t>XXXXX</w:t>
      </w:r>
      <w:r>
        <w:rPr>
          <w:rFonts w:hint="eastAsia" w:ascii="黑体" w:hAnsi="黑体" w:eastAsia="黑体"/>
          <w:sz w:val="28"/>
          <w:szCs w:val="28"/>
          <w:highlight w:val="none"/>
        </w:rPr>
        <w:t>-20</w:t>
      </w:r>
      <w:r>
        <w:rPr>
          <w:rFonts w:hint="eastAsia" w:ascii="黑体" w:hAnsi="黑体" w:eastAsia="黑体"/>
          <w:sz w:val="28"/>
          <w:szCs w:val="28"/>
          <w:highlight w:val="none"/>
          <w:lang w:val="en-US" w:eastAsia="zh-CN"/>
        </w:rPr>
        <w:t>XX</w:t>
      </w:r>
    </w:p>
    <w:p w14:paraId="27886CF6">
      <w:pPr>
        <w:jc w:val="center"/>
        <w:rPr>
          <w:rFonts w:ascii="宋体" w:hAnsi="宋体"/>
          <w:b/>
          <w:sz w:val="48"/>
          <w:szCs w:val="48"/>
          <w:highlight w:val="none"/>
        </w:rPr>
      </w:pPr>
    </w:p>
    <w:p w14:paraId="2792A84B">
      <w:pPr>
        <w:jc w:val="center"/>
        <w:outlineLvl w:val="9"/>
        <w:rPr>
          <w:rFonts w:hint="eastAsia" w:ascii="宋体" w:hAnsi="宋体"/>
          <w:b/>
          <w:sz w:val="48"/>
          <w:szCs w:val="48"/>
          <w:highlight w:val="none"/>
        </w:rPr>
      </w:pPr>
      <w:bookmarkStart w:id="1" w:name="_Toc375640674"/>
    </w:p>
    <w:bookmarkEnd w:id="1"/>
    <w:p w14:paraId="312BF7E7">
      <w:pPr>
        <w:jc w:val="center"/>
        <w:outlineLvl w:val="9"/>
        <w:rPr>
          <w:rFonts w:ascii="宋体" w:hAnsi="宋体"/>
          <w:b/>
          <w:sz w:val="48"/>
          <w:szCs w:val="48"/>
          <w:highlight w:val="none"/>
        </w:rPr>
      </w:pPr>
      <w:bookmarkStart w:id="2" w:name="_Toc375640675"/>
      <w:bookmarkStart w:id="3" w:name="_Toc11438"/>
      <w:bookmarkStart w:id="4" w:name="_Toc6420"/>
      <w:r>
        <w:rPr>
          <w:rFonts w:hint="eastAsia" w:ascii="宋体" w:hAnsi="宋体" w:eastAsia="宋体" w:cs="Times New Roman"/>
          <w:b/>
          <w:sz w:val="48"/>
          <w:szCs w:val="48"/>
          <w:highlight w:val="none"/>
          <w:lang w:eastAsia="zh-CN"/>
        </w:rPr>
        <w:t>党政机关</w:t>
      </w:r>
      <w:r>
        <w:rPr>
          <w:rFonts w:hint="eastAsia" w:ascii="宋体" w:hAnsi="宋体" w:eastAsia="宋体" w:cs="Times New Roman"/>
          <w:b/>
          <w:sz w:val="48"/>
          <w:szCs w:val="48"/>
          <w:highlight w:val="none"/>
          <w:lang w:val="en-US" w:eastAsia="zh-CN"/>
        </w:rPr>
        <w:t>办公区</w:t>
      </w:r>
      <w:r>
        <w:rPr>
          <w:rFonts w:hint="eastAsia" w:ascii="宋体" w:hAnsi="宋体" w:eastAsia="宋体" w:cs="Times New Roman"/>
          <w:b/>
          <w:sz w:val="48"/>
          <w:szCs w:val="48"/>
          <w:highlight w:val="none"/>
          <w:lang w:eastAsia="zh-CN"/>
        </w:rPr>
        <w:t>物业服务</w:t>
      </w:r>
      <w:bookmarkEnd w:id="2"/>
      <w:r>
        <w:rPr>
          <w:rFonts w:hint="eastAsia" w:ascii="宋体" w:hAnsi="宋体" w:cs="Times New Roman"/>
          <w:b/>
          <w:sz w:val="48"/>
          <w:szCs w:val="48"/>
          <w:highlight w:val="none"/>
          <w:lang w:val="en-US" w:eastAsia="zh-CN"/>
        </w:rPr>
        <w:t>标准</w:t>
      </w:r>
      <w:bookmarkEnd w:id="3"/>
      <w:bookmarkEnd w:id="4"/>
    </w:p>
    <w:p w14:paraId="58950B9D">
      <w:pPr>
        <w:rPr>
          <w:highlight w:val="none"/>
        </w:rPr>
      </w:pPr>
    </w:p>
    <w:p w14:paraId="1CFE4BEA">
      <w:pPr>
        <w:jc w:val="center"/>
        <w:rPr>
          <w:rFonts w:hint="eastAsia" w:ascii="Times New Roman" w:hAnsi="Times New Roman" w:eastAsia="宋体" w:cs="Times New Roman"/>
          <w:b/>
          <w:sz w:val="28"/>
          <w:szCs w:val="28"/>
          <w:highlight w:val="none"/>
        </w:rPr>
      </w:pPr>
      <w:bookmarkStart w:id="5" w:name="_Toc337542811"/>
      <w:r>
        <w:rPr>
          <w:rFonts w:hint="eastAsia" w:ascii="Times New Roman" w:hAnsi="Times New Roman" w:eastAsia="宋体" w:cs="Times New Roman"/>
          <w:b/>
          <w:sz w:val="28"/>
          <w:szCs w:val="28"/>
          <w:highlight w:val="none"/>
        </w:rPr>
        <w:t>Party and government office area property service standards</w:t>
      </w:r>
    </w:p>
    <w:bookmarkEnd w:id="5"/>
    <w:p w14:paraId="7165BA08">
      <w:pPr>
        <w:jc w:val="both"/>
        <w:rPr>
          <w:rFonts w:hint="eastAsia"/>
          <w:b/>
          <w:sz w:val="28"/>
          <w:szCs w:val="28"/>
          <w:highlight w:val="none"/>
        </w:rPr>
      </w:pPr>
    </w:p>
    <w:p w14:paraId="5D045764">
      <w:pPr>
        <w:jc w:val="center"/>
        <w:rPr>
          <w:b/>
          <w:color w:val="000000"/>
          <w:sz w:val="30"/>
          <w:szCs w:val="30"/>
          <w:highlight w:val="none"/>
        </w:rPr>
      </w:pPr>
      <w:r>
        <w:rPr>
          <w:rFonts w:hint="eastAsia"/>
          <w:b/>
          <w:color w:val="000000"/>
          <w:sz w:val="30"/>
          <w:szCs w:val="30"/>
          <w:highlight w:val="none"/>
          <w:lang w:eastAsia="zh-CN"/>
        </w:rPr>
        <w:t>（</w:t>
      </w:r>
      <w:r>
        <w:rPr>
          <w:rFonts w:hint="eastAsia"/>
          <w:b/>
          <w:color w:val="000000"/>
          <w:sz w:val="30"/>
          <w:szCs w:val="30"/>
          <w:highlight w:val="none"/>
          <w:lang w:val="en-US" w:eastAsia="zh-CN"/>
        </w:rPr>
        <w:t>征求意见稿）</w:t>
      </w:r>
    </w:p>
    <w:p w14:paraId="7E170890">
      <w:pPr>
        <w:rPr>
          <w:highlight w:val="none"/>
        </w:rPr>
      </w:pPr>
    </w:p>
    <w:p w14:paraId="3D3147AB">
      <w:pPr>
        <w:rPr>
          <w:highlight w:val="none"/>
        </w:rPr>
      </w:pPr>
    </w:p>
    <w:p w14:paraId="77CE2628">
      <w:pPr>
        <w:rPr>
          <w:highlight w:val="none"/>
        </w:rPr>
      </w:pPr>
    </w:p>
    <w:p w14:paraId="6790525F">
      <w:pPr>
        <w:rPr>
          <w:highlight w:val="none"/>
        </w:rPr>
      </w:pPr>
    </w:p>
    <w:p w14:paraId="48F057BD">
      <w:pPr>
        <w:rPr>
          <w:highlight w:val="none"/>
        </w:rPr>
      </w:pPr>
    </w:p>
    <w:p w14:paraId="48B47532">
      <w:pPr>
        <w:rPr>
          <w:highlight w:val="none"/>
        </w:rPr>
      </w:pPr>
    </w:p>
    <w:p w14:paraId="23BF9D83">
      <w:pPr>
        <w:rPr>
          <w:highlight w:val="none"/>
        </w:rPr>
      </w:pPr>
    </w:p>
    <w:p w14:paraId="3FDCB901">
      <w:pPr>
        <w:rPr>
          <w:highlight w:val="none"/>
        </w:rPr>
      </w:pPr>
    </w:p>
    <w:p w14:paraId="500E75BB">
      <w:pPr>
        <w:rPr>
          <w:highlight w:val="none"/>
        </w:rPr>
      </w:pPr>
    </w:p>
    <w:p w14:paraId="44D53D60">
      <w:pPr>
        <w:rPr>
          <w:highlight w:val="none"/>
        </w:rPr>
      </w:pPr>
    </w:p>
    <w:p w14:paraId="5B920748">
      <w:pPr>
        <w:rPr>
          <w:highlight w:val="none"/>
        </w:rPr>
      </w:pPr>
    </w:p>
    <w:p w14:paraId="3C305AB3">
      <w:pPr>
        <w:rPr>
          <w:rFonts w:eastAsia="黑体"/>
          <w:sz w:val="28"/>
          <w:szCs w:val="28"/>
          <w:highlight w:val="none"/>
        </w:rPr>
      </w:pPr>
      <w:r>
        <w:rPr>
          <w:b/>
          <w:bCs/>
          <w:sz w:val="32"/>
          <w:highlight w:val="none"/>
        </w:rPr>
        <w:t xml:space="preserve">  </w:t>
      </w:r>
      <w:r>
        <w:rPr>
          <w:rFonts w:eastAsia="黑体"/>
          <w:sz w:val="28"/>
          <w:szCs w:val="28"/>
          <w:highlight w:val="none"/>
        </w:rPr>
        <w:t>20</w:t>
      </w:r>
      <w:r>
        <w:rPr>
          <w:rFonts w:hint="eastAsia" w:eastAsia="黑体"/>
          <w:sz w:val="28"/>
          <w:szCs w:val="28"/>
          <w:highlight w:val="none"/>
          <w:lang w:val="en-US" w:eastAsia="zh-CN"/>
        </w:rPr>
        <w:t>2</w:t>
      </w:r>
      <w:r>
        <w:rPr>
          <w:rFonts w:hint="eastAsia" w:ascii="黑体" w:hAnsi="黑体" w:eastAsia="黑体"/>
          <w:sz w:val="28"/>
          <w:szCs w:val="28"/>
          <w:highlight w:val="none"/>
          <w:lang w:val="en-US" w:eastAsia="zh-CN"/>
        </w:rPr>
        <w:t>X</w:t>
      </w:r>
      <w:r>
        <w:rPr>
          <w:rFonts w:eastAsia="黑体"/>
          <w:sz w:val="28"/>
          <w:szCs w:val="28"/>
          <w:highlight w:val="none"/>
        </w:rPr>
        <w:t>-</w:t>
      </w:r>
      <w:r>
        <w:rPr>
          <w:rFonts w:hint="eastAsia" w:ascii="黑体" w:hAnsi="黑体" w:eastAsia="黑体"/>
          <w:sz w:val="28"/>
          <w:szCs w:val="28"/>
          <w:highlight w:val="none"/>
          <w:lang w:val="en-US" w:eastAsia="zh-CN"/>
        </w:rPr>
        <w:t>XX</w:t>
      </w:r>
      <w:r>
        <w:rPr>
          <w:rFonts w:eastAsia="黑体"/>
          <w:sz w:val="28"/>
          <w:szCs w:val="28"/>
          <w:highlight w:val="none"/>
        </w:rPr>
        <w:t>-</w:t>
      </w:r>
      <w:r>
        <w:rPr>
          <w:rFonts w:hint="eastAsia" w:ascii="黑体" w:hAnsi="黑体" w:eastAsia="黑体"/>
          <w:sz w:val="28"/>
          <w:szCs w:val="28"/>
          <w:highlight w:val="none"/>
          <w:lang w:val="en-US" w:eastAsia="zh-CN"/>
        </w:rPr>
        <w:t>XX</w:t>
      </w:r>
      <w:r>
        <w:rPr>
          <w:rFonts w:eastAsia="黑体"/>
          <w:sz w:val="28"/>
          <w:szCs w:val="28"/>
          <w:highlight w:val="none"/>
        </w:rPr>
        <w:t xml:space="preserve">  发布                  </w:t>
      </w:r>
      <w:r>
        <w:rPr>
          <w:rFonts w:hint="eastAsia" w:eastAsia="黑体"/>
          <w:sz w:val="28"/>
          <w:szCs w:val="28"/>
          <w:highlight w:val="none"/>
          <w:lang w:val="en-US" w:eastAsia="zh-CN"/>
        </w:rPr>
        <w:t xml:space="preserve">           </w:t>
      </w:r>
      <w:r>
        <w:rPr>
          <w:rFonts w:eastAsia="黑体"/>
          <w:sz w:val="28"/>
          <w:szCs w:val="28"/>
          <w:highlight w:val="none"/>
        </w:rPr>
        <w:t xml:space="preserve"> 20</w:t>
      </w:r>
      <w:r>
        <w:rPr>
          <w:rFonts w:hint="eastAsia" w:eastAsia="黑体"/>
          <w:sz w:val="28"/>
          <w:szCs w:val="28"/>
          <w:highlight w:val="none"/>
          <w:lang w:val="en-US" w:eastAsia="zh-CN"/>
        </w:rPr>
        <w:t>2</w:t>
      </w:r>
      <w:r>
        <w:rPr>
          <w:rFonts w:hint="eastAsia" w:ascii="黑体" w:hAnsi="黑体" w:eastAsia="黑体"/>
          <w:sz w:val="28"/>
          <w:szCs w:val="28"/>
          <w:highlight w:val="none"/>
          <w:lang w:val="en-US" w:eastAsia="zh-CN"/>
        </w:rPr>
        <w:t>X</w:t>
      </w:r>
      <w:r>
        <w:rPr>
          <w:rFonts w:eastAsia="黑体"/>
          <w:sz w:val="28"/>
          <w:szCs w:val="28"/>
          <w:highlight w:val="none"/>
        </w:rPr>
        <w:t>-</w:t>
      </w:r>
      <w:r>
        <w:rPr>
          <w:rFonts w:hint="eastAsia" w:ascii="黑体" w:hAnsi="黑体" w:eastAsia="黑体"/>
          <w:sz w:val="28"/>
          <w:szCs w:val="28"/>
          <w:highlight w:val="none"/>
          <w:lang w:val="en-US" w:eastAsia="zh-CN"/>
        </w:rPr>
        <w:t>XX</w:t>
      </w:r>
      <w:r>
        <w:rPr>
          <w:rFonts w:eastAsia="黑体"/>
          <w:sz w:val="28"/>
          <w:szCs w:val="28"/>
          <w:highlight w:val="none"/>
        </w:rPr>
        <w:t>-</w:t>
      </w:r>
      <w:r>
        <w:rPr>
          <w:rFonts w:hint="eastAsia" w:ascii="黑体" w:hAnsi="黑体" w:eastAsia="黑体"/>
          <w:sz w:val="28"/>
          <w:szCs w:val="28"/>
          <w:highlight w:val="none"/>
          <w:lang w:val="en-US" w:eastAsia="zh-CN"/>
        </w:rPr>
        <w:t>XX</w:t>
      </w:r>
      <w:r>
        <w:rPr>
          <w:rFonts w:hint="eastAsia" w:eastAsia="黑体"/>
          <w:sz w:val="28"/>
          <w:szCs w:val="28"/>
          <w:highlight w:val="none"/>
        </w:rPr>
        <w:t xml:space="preserve">  </w:t>
      </w:r>
      <w:r>
        <w:rPr>
          <w:rFonts w:eastAsia="黑体"/>
          <w:sz w:val="28"/>
          <w:szCs w:val="28"/>
          <w:highlight w:val="none"/>
        </w:rPr>
        <w:t>实施</w:t>
      </w:r>
    </w:p>
    <w:p w14:paraId="66CFAEB4">
      <w:pPr>
        <w:tabs>
          <w:tab w:val="left" w:pos="8235"/>
        </w:tabs>
        <w:rPr>
          <w:rFonts w:eastAsia="黑体"/>
          <w:b/>
          <w:sz w:val="28"/>
          <w:szCs w:val="28"/>
          <w:highlight w:val="none"/>
        </w:rPr>
      </w:pPr>
      <w:r>
        <w:rPr>
          <w:rFonts w:eastAsia="黑体"/>
          <w:b/>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69850</wp:posOffset>
                </wp:positionV>
                <wp:extent cx="5600700" cy="26670"/>
                <wp:effectExtent l="0" t="4445" r="7620" b="14605"/>
                <wp:wrapNone/>
                <wp:docPr id="5" name="直线 5"/>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2.2pt;margin-top:5.5pt;height:2.1pt;width:441pt;z-index:251662336;mso-width-relative:page;mso-height-relative:page;" filled="f" stroked="t" coordsize="21600,21600" o:gfxdata="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pv1&#10;VdUAAAAIAQAADwAAAAAAAAABACAAAAAiAAAAZHJzL2Rvd25yZXYueG1sUEsBAhQAFAAAAAgAh07i&#10;QODbSObsAQAA3wMAAA4AAAAAAAAAAQAgAAAAJAEAAGRycy9lMm9Eb2MueG1sUEsFBgAAAAAGAAYA&#10;WQEAAIIFAAAAAA==&#10;">
                <v:fill on="f" focussize="0,0"/>
                <v:stroke color="#000000" joinstyle="round"/>
                <v:imagedata o:title=""/>
                <o:lock v:ext="edit" aspectratio="f"/>
              </v:line>
            </w:pict>
          </mc:Fallback>
        </mc:AlternateContent>
      </w:r>
      <w:r>
        <w:rPr>
          <w:rFonts w:eastAsia="黑体"/>
          <w:b/>
          <w:sz w:val="28"/>
          <w:szCs w:val="28"/>
          <w:highlight w:val="none"/>
        </w:rPr>
        <w:tab/>
      </w:r>
    </w:p>
    <w:p w14:paraId="63572460">
      <w:pPr>
        <w:jc w:val="center"/>
        <w:outlineLvl w:val="9"/>
        <w:rPr>
          <w:rFonts w:hint="eastAsia" w:eastAsia="黑体"/>
          <w:sz w:val="32"/>
          <w:szCs w:val="32"/>
          <w:highlight w:val="none"/>
        </w:rPr>
      </w:pPr>
      <w:bookmarkStart w:id="6" w:name="_Toc7469"/>
      <w:bookmarkStart w:id="7" w:name="_Toc3374"/>
      <w:bookmarkStart w:id="8" w:name="_Toc28113"/>
      <w:r>
        <w:rPr>
          <w:rFonts w:hint="eastAsia" w:eastAsia="黑体"/>
          <w:sz w:val="32"/>
          <w:szCs w:val="32"/>
          <w:highlight w:val="none"/>
        </w:rPr>
        <w:t>广东省机关事务管理局</w:t>
      </w:r>
      <w:bookmarkEnd w:id="6"/>
      <w:bookmarkEnd w:id="7"/>
    </w:p>
    <w:p w14:paraId="0C62BE78">
      <w:pPr>
        <w:jc w:val="center"/>
        <w:outlineLvl w:val="9"/>
        <w:rPr>
          <w:highlight w:val="none"/>
        </w:rPr>
      </w:pPr>
      <w:bookmarkStart w:id="9" w:name="_Toc20483"/>
      <w:bookmarkStart w:id="10" w:name="_Toc12886"/>
      <w:r>
        <w:rPr>
          <w:rFonts w:eastAsia="黑体"/>
          <w:sz w:val="32"/>
          <w:szCs w:val="32"/>
          <w:highlight w:val="none"/>
        </w:rPr>
        <w:t>广东省住房和城乡建设厅</w:t>
      </w:r>
      <w:r>
        <w:rPr>
          <w:rFonts w:hint="eastAsia" w:eastAsia="黑体"/>
          <w:sz w:val="32"/>
          <w:szCs w:val="32"/>
          <w:highlight w:val="none"/>
          <w:lang w:val="en-US" w:eastAsia="zh-CN"/>
        </w:rPr>
        <w:t xml:space="preserve">  广东省市场监督管理局</w:t>
      </w:r>
      <w:bookmarkEnd w:id="8"/>
      <w:bookmarkEnd w:id="9"/>
      <w:bookmarkEnd w:id="10"/>
    </w:p>
    <w:p w14:paraId="1737AA60">
      <w:pPr>
        <w:jc w:val="right"/>
        <w:rPr>
          <w:highlight w:val="none"/>
        </w:rPr>
      </w:pPr>
      <w:r>
        <w:rPr>
          <w:rFonts w:hint="eastAsia" w:eastAsia="黑体"/>
          <w:spacing w:val="20"/>
          <w:sz w:val="28"/>
          <w:szCs w:val="28"/>
          <w:highlight w:val="none"/>
          <w:lang w:val="en-US" w:eastAsia="zh-CN"/>
        </w:rPr>
        <w:t>联合发布</w:t>
      </w:r>
    </w:p>
    <w:p w14:paraId="7030C622">
      <w:pPr>
        <w:pStyle w:val="57"/>
        <w:jc w:val="right"/>
        <w:rPr>
          <w:color w:val="auto"/>
          <w:highlight w:val="none"/>
        </w:rPr>
      </w:pPr>
      <w:r>
        <w:rPr>
          <w:rFonts w:hint="eastAsia"/>
          <w:highlight w:val="none"/>
          <w:lang w:eastAsia="zh-CN"/>
        </w:rPr>
        <w:t>本标准不涉及专利</w: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2" name="直线 6"/>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700pt;height:0pt;width:482pt;z-index:251660288;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bDfv7VAAAA&#10;CgEAAA8AAAAAAAAAAQAgAAAAIgAAAGRycy9kb3ducmV2LnhtbFBLAQIUABQAAAAIAIdO4kDkYEgL&#10;5wEAANwDAAAOAAAAAAAAAAEAIAAAACQBAABkcnMvZTJvRG9jLnhtbFBLBQYAAAAABgAGAFkBAAB9&#10;BQAAAAA=&#10;">
                <v:fill on="f" focussize="0,0"/>
                <v:stroke weight="1pt" color="#000000" joinstyle="round"/>
                <v:imagedata o:title=""/>
                <o:lock v:ext="edit" aspectratio="f"/>
              </v:line>
            </w:pict>
          </mc:Fallback>
        </mc:AlternateContent>
      </w:r>
    </w:p>
    <w:p w14:paraId="489CE192">
      <w:pPr>
        <w:rPr>
          <w:color w:val="auto"/>
          <w:highlight w:val="none"/>
        </w:rPr>
      </w:pPr>
    </w:p>
    <w:p w14:paraId="53A13207">
      <w:pPr>
        <w:rPr>
          <w:rFonts w:hint="eastAsia"/>
          <w:color w:val="auto"/>
          <w:highlight w:val="none"/>
        </w:rPr>
        <w:sectPr>
          <w:headerReference r:id="rId5" w:type="first"/>
          <w:footerReference r:id="rId6" w:type="first"/>
          <w:headerReference r:id="rId3" w:type="default"/>
          <w:headerReference r:id="rId4" w:type="even"/>
          <w:pgSz w:w="11907" w:h="16839"/>
          <w:pgMar w:top="1427" w:right="851" w:bottom="1361"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1609725</wp:posOffset>
                </wp:positionV>
                <wp:extent cx="6121400" cy="0"/>
                <wp:effectExtent l="0" t="6350" r="0" b="6350"/>
                <wp:wrapNone/>
                <wp:docPr id="1" name="直线 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126.75pt;height:0pt;width:482pt;z-index:251659264;mso-width-relative:page;mso-height-relative:page;" filled="f" stroked="t" coordsize="21600,21600" o:gfxdata="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78hb21wAA&#10;AAgBAAAPAAAAAAAAAAEAIAAAACIAAABkcnMvZG93bnJldi54bWxQSwECFAAUAAAACACHTuJA1v61&#10;NeYBAADcAwAADgAAAAAAAAABACAAAAAmAQAAZHJzL2Uyb0RvYy54bWxQSwUGAAAAAAYABgBZAQAA&#10;fgUAAAAA&#10;">
                <v:fill on="f" focussize="0,0"/>
                <v:stroke weight="1pt" color="#000000" joinstyle="round"/>
                <v:imagedata o:title=""/>
                <o:lock v:ext="edit" aspectratio="f"/>
              </v:line>
            </w:pict>
          </mc:Fallback>
        </mc:AlternateContent>
      </w:r>
    </w:p>
    <w:p w14:paraId="7B607C3B">
      <w:pPr>
        <w:bidi w:val="0"/>
        <w:jc w:val="center"/>
        <w:outlineLvl w:val="9"/>
        <w:rPr>
          <w:rFonts w:hint="eastAsia"/>
          <w:color w:val="auto"/>
          <w:sz w:val="44"/>
          <w:szCs w:val="44"/>
          <w:highlight w:val="none"/>
        </w:rPr>
      </w:pPr>
      <w:bookmarkStart w:id="11" w:name="_Toc23891"/>
      <w:bookmarkStart w:id="12" w:name="_Toc1813"/>
      <w:bookmarkStart w:id="13" w:name="_Toc5699"/>
      <w:r>
        <w:rPr>
          <w:rFonts w:hint="eastAsia"/>
          <w:sz w:val="44"/>
          <w:szCs w:val="44"/>
          <w:highlight w:val="none"/>
        </w:rPr>
        <w:t>广东省住房和城乡建设厅关于发布广东省标准《</w:t>
      </w:r>
      <w:r>
        <w:rPr>
          <w:rFonts w:hint="eastAsia"/>
          <w:sz w:val="44"/>
          <w:szCs w:val="44"/>
          <w:highlight w:val="none"/>
          <w:lang w:eastAsia="zh-CN"/>
        </w:rPr>
        <w:t>党政机关</w:t>
      </w:r>
      <w:r>
        <w:rPr>
          <w:rFonts w:hint="eastAsia"/>
          <w:sz w:val="44"/>
          <w:szCs w:val="44"/>
          <w:highlight w:val="none"/>
          <w:lang w:val="en-US" w:eastAsia="zh-CN"/>
        </w:rPr>
        <w:t>办公区</w:t>
      </w:r>
      <w:r>
        <w:rPr>
          <w:rFonts w:hint="eastAsia"/>
          <w:sz w:val="44"/>
          <w:szCs w:val="44"/>
          <w:highlight w:val="none"/>
          <w:lang w:eastAsia="zh-CN"/>
        </w:rPr>
        <w:t>物业服务</w:t>
      </w:r>
      <w:r>
        <w:rPr>
          <w:rFonts w:hint="eastAsia"/>
          <w:sz w:val="44"/>
          <w:szCs w:val="44"/>
          <w:highlight w:val="none"/>
          <w:lang w:val="en-US" w:eastAsia="zh-CN"/>
        </w:rPr>
        <w:t>标准</w:t>
      </w:r>
      <w:r>
        <w:rPr>
          <w:rFonts w:hint="eastAsia"/>
          <w:sz w:val="44"/>
          <w:szCs w:val="44"/>
          <w:highlight w:val="none"/>
        </w:rPr>
        <w:t>》的公告</w:t>
      </w:r>
      <w:bookmarkEnd w:id="11"/>
      <w:bookmarkEnd w:id="12"/>
      <w:bookmarkEnd w:id="13"/>
    </w:p>
    <w:p w14:paraId="559BEEE2">
      <w:pPr>
        <w:pStyle w:val="59"/>
        <w:tabs>
          <w:tab w:val="center" w:pos="4201"/>
          <w:tab w:val="right" w:leader="dot" w:pos="9298"/>
        </w:tabs>
        <w:ind w:left="0" w:leftChars="0" w:firstLine="0" w:firstLineChars="0"/>
        <w:jc w:val="center"/>
        <w:outlineLvl w:val="9"/>
        <w:rPr>
          <w:rFonts w:hint="eastAsia" w:ascii="黑体" w:hAnsi="黑体" w:eastAsia="黑体" w:cs="黑体"/>
          <w:color w:val="auto"/>
          <w:highlight w:val="none"/>
        </w:rPr>
      </w:pPr>
      <w:bookmarkStart w:id="14" w:name="_Toc8637"/>
      <w:bookmarkStart w:id="15" w:name="_Toc23130"/>
      <w:bookmarkStart w:id="16" w:name="_Toc13219"/>
      <w:r>
        <w:rPr>
          <w:rFonts w:hint="eastAsia" w:ascii="宋体" w:hAnsi="宋体" w:eastAsia="宋体" w:cs="宋体"/>
          <w:color w:val="auto"/>
          <w:sz w:val="24"/>
          <w:szCs w:val="24"/>
          <w:highlight w:val="none"/>
        </w:rPr>
        <w:t>粤建公告</w:t>
      </w:r>
      <w:r>
        <w:rPr>
          <w:rFonts w:hint="eastAsia" w:ascii="宋体" w:hAnsi="宋体" w:eastAsia="宋体" w:cs="宋体"/>
          <w:color w:val="auto"/>
          <w:sz w:val="24"/>
          <w:szCs w:val="24"/>
          <w:highlight w:val="none"/>
          <w:lang w:val="en-US" w:eastAsia="zh-CN"/>
        </w:rPr>
        <w:t>〔20XX〕XX</w:t>
      </w:r>
      <w:r>
        <w:rPr>
          <w:rFonts w:hint="eastAsia" w:ascii="宋体" w:hAnsi="宋体" w:eastAsia="宋体" w:cs="宋体"/>
          <w:color w:val="auto"/>
          <w:sz w:val="24"/>
          <w:szCs w:val="24"/>
          <w:highlight w:val="none"/>
        </w:rPr>
        <w:t>号</w:t>
      </w:r>
      <w:bookmarkEnd w:id="14"/>
      <w:bookmarkEnd w:id="15"/>
      <w:bookmarkEnd w:id="16"/>
    </w:p>
    <w:p w14:paraId="73E563B6">
      <w:pPr>
        <w:pStyle w:val="59"/>
        <w:tabs>
          <w:tab w:val="center" w:pos="4201"/>
          <w:tab w:val="right" w:leader="dot" w:pos="9298"/>
        </w:tabs>
        <w:ind w:left="0" w:leftChars="0" w:firstLine="0" w:firstLineChars="0"/>
        <w:jc w:val="center"/>
        <w:rPr>
          <w:rFonts w:hint="eastAsia" w:ascii="黑体" w:hAnsi="黑体" w:eastAsia="黑体" w:cs="黑体"/>
          <w:color w:val="auto"/>
          <w:highlight w:val="none"/>
        </w:rPr>
      </w:pPr>
    </w:p>
    <w:p w14:paraId="1737FC91">
      <w:pPr>
        <w:pStyle w:val="59"/>
        <w:tabs>
          <w:tab w:val="center" w:pos="4201"/>
          <w:tab w:val="right" w:leader="dot" w:pos="9298"/>
        </w:tabs>
        <w:ind w:left="0" w:leftChars="0" w:firstLine="0" w:firstLineChars="0"/>
        <w:jc w:val="center"/>
        <w:rPr>
          <w:rFonts w:hint="eastAsia" w:ascii="黑体" w:hAnsi="黑体" w:eastAsia="黑体" w:cs="黑体"/>
          <w:color w:val="auto"/>
          <w:highlight w:val="none"/>
        </w:rPr>
      </w:pPr>
    </w:p>
    <w:p w14:paraId="3FB74648">
      <w:pPr>
        <w:pStyle w:val="59"/>
        <w:tabs>
          <w:tab w:val="center" w:pos="4201"/>
          <w:tab w:val="right" w:leader="dot" w:pos="9298"/>
        </w:tabs>
        <w:autoSpaceDE/>
        <w:autoSpaceDN/>
        <w:spacing w:line="360" w:lineRule="auto"/>
        <w:rPr>
          <w:rFonts w:hint="eastAsia" w:hAnsi="宋体" w:cs="宋体"/>
          <w:color w:val="auto"/>
          <w:sz w:val="24"/>
          <w:szCs w:val="24"/>
          <w:highlight w:val="none"/>
          <w:lang w:eastAsia="zh-CN"/>
        </w:rPr>
      </w:pPr>
      <w:r>
        <w:rPr>
          <w:rFonts w:hint="eastAsia" w:hAnsi="宋体" w:cs="宋体"/>
          <w:color w:val="auto"/>
          <w:sz w:val="24"/>
          <w:szCs w:val="24"/>
          <w:highlight w:val="none"/>
        </w:rPr>
        <w:t>经组织专家委员会审查，现批准《党政机关办公区物业服务标准》为广东省地方标准，编号为DBJ/T</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XXX</w:t>
      </w:r>
      <w:r>
        <w:rPr>
          <w:rFonts w:hint="eastAsia" w:hAnsi="宋体" w:cs="宋体"/>
          <w:color w:val="auto"/>
          <w:sz w:val="24"/>
          <w:szCs w:val="24"/>
          <w:highlight w:val="none"/>
        </w:rPr>
        <w:t>。本标准自20</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日起实施</w:t>
      </w:r>
      <w:r>
        <w:rPr>
          <w:rFonts w:hint="eastAsia" w:hAnsi="宋体" w:cs="宋体"/>
          <w:color w:val="auto"/>
          <w:sz w:val="24"/>
          <w:szCs w:val="24"/>
          <w:highlight w:val="none"/>
          <w:lang w:eastAsia="zh-CN"/>
        </w:rPr>
        <w:t>。</w:t>
      </w:r>
    </w:p>
    <w:p w14:paraId="6C18F8D3">
      <w:pPr>
        <w:pStyle w:val="59"/>
        <w:tabs>
          <w:tab w:val="center" w:pos="4201"/>
          <w:tab w:val="right" w:leader="dot" w:pos="9298"/>
        </w:tabs>
        <w:autoSpaceDE/>
        <w:autoSpaceDN/>
        <w:spacing w:line="360" w:lineRule="auto"/>
        <w:rPr>
          <w:rFonts w:hint="eastAsia" w:hAnsi="宋体" w:cs="宋体"/>
          <w:color w:val="auto"/>
          <w:sz w:val="24"/>
          <w:szCs w:val="24"/>
          <w:highlight w:val="none"/>
        </w:rPr>
      </w:pPr>
      <w:r>
        <w:rPr>
          <w:rFonts w:hint="eastAsia" w:hAnsi="宋体" w:cs="宋体"/>
          <w:color w:val="auto"/>
          <w:sz w:val="24"/>
          <w:szCs w:val="24"/>
          <w:highlight w:val="none"/>
        </w:rPr>
        <w:t>本标准广东省住房和城乡建设厅负责管理，由</w:t>
      </w:r>
      <w:r>
        <w:rPr>
          <w:rFonts w:hint="eastAsia"/>
          <w:color w:val="auto"/>
          <w:sz w:val="24"/>
          <w:szCs w:val="24"/>
          <w:highlight w:val="none"/>
        </w:rPr>
        <w:t>广东省物业管理行业协会</w:t>
      </w:r>
      <w:r>
        <w:rPr>
          <w:rFonts w:hint="eastAsia" w:hAnsi="宋体" w:cs="宋体"/>
          <w:color w:val="auto"/>
          <w:sz w:val="24"/>
          <w:szCs w:val="24"/>
          <w:highlight w:val="none"/>
        </w:rPr>
        <w:t>负责具体技术内容的解释，并在广东省住房和城乡建设厅门户网站</w:t>
      </w:r>
      <w:r>
        <w:rPr>
          <w:rFonts w:hint="eastAsia" w:hAnsi="宋体" w:cs="宋体"/>
          <w:color w:val="auto"/>
          <w:sz w:val="24"/>
          <w:szCs w:val="24"/>
          <w:highlight w:val="none"/>
          <w:lang w:eastAsia="zh-CN"/>
        </w:rPr>
        <w:t>（</w:t>
      </w:r>
      <w:r>
        <w:rPr>
          <w:rFonts w:hint="eastAsia" w:hAnsi="宋体" w:cs="宋体"/>
          <w:color w:val="auto"/>
          <w:sz w:val="24"/>
          <w:szCs w:val="24"/>
          <w:highlight w:val="none"/>
        </w:rPr>
        <w:t>h</w:t>
      </w:r>
      <w:r>
        <w:rPr>
          <w:rFonts w:hint="eastAsia" w:hAnsi="宋体" w:cs="宋体"/>
          <w:color w:val="auto"/>
          <w:sz w:val="24"/>
          <w:szCs w:val="24"/>
          <w:highlight w:val="none"/>
          <w:lang w:val="en-US" w:eastAsia="zh-CN"/>
        </w:rPr>
        <w:t>tt</w:t>
      </w:r>
      <w:r>
        <w:rPr>
          <w:rFonts w:hint="eastAsia" w:hAnsi="宋体" w:cs="宋体"/>
          <w:color w:val="auto"/>
          <w:sz w:val="24"/>
          <w:szCs w:val="24"/>
          <w:highlight w:val="none"/>
        </w:rPr>
        <w:t>p://zfcxjst.gd.gov.cn</w:t>
      </w:r>
      <w:r>
        <w:rPr>
          <w:rFonts w:hint="eastAsia" w:hAnsi="宋体" w:cs="宋体"/>
          <w:color w:val="auto"/>
          <w:sz w:val="24"/>
          <w:szCs w:val="24"/>
          <w:highlight w:val="none"/>
          <w:lang w:eastAsia="zh-CN"/>
        </w:rPr>
        <w:t>）</w:t>
      </w:r>
      <w:r>
        <w:rPr>
          <w:rFonts w:hint="eastAsia" w:hAnsi="宋体" w:cs="宋体"/>
          <w:color w:val="auto"/>
          <w:sz w:val="24"/>
          <w:szCs w:val="24"/>
          <w:highlight w:val="none"/>
        </w:rPr>
        <w:t>公开。</w:t>
      </w:r>
    </w:p>
    <w:p w14:paraId="11327C06">
      <w:pPr>
        <w:pStyle w:val="59"/>
        <w:tabs>
          <w:tab w:val="center" w:pos="4201"/>
          <w:tab w:val="right" w:leader="dot" w:pos="9298"/>
        </w:tabs>
        <w:autoSpaceDE/>
        <w:autoSpaceDN/>
        <w:rPr>
          <w:rFonts w:hint="eastAsia" w:hAnsi="宋体" w:cs="宋体"/>
          <w:color w:val="auto"/>
          <w:szCs w:val="21"/>
          <w:highlight w:val="none"/>
        </w:rPr>
      </w:pPr>
    </w:p>
    <w:p w14:paraId="0B6CC634">
      <w:pPr>
        <w:pStyle w:val="59"/>
        <w:tabs>
          <w:tab w:val="center" w:pos="4201"/>
          <w:tab w:val="right" w:leader="dot" w:pos="9298"/>
        </w:tabs>
        <w:autoSpaceDE/>
        <w:autoSpaceDN/>
        <w:rPr>
          <w:rFonts w:hint="eastAsia" w:hAnsi="宋体" w:cs="宋体"/>
          <w:color w:val="auto"/>
          <w:szCs w:val="21"/>
          <w:highlight w:val="none"/>
        </w:rPr>
      </w:pPr>
    </w:p>
    <w:p w14:paraId="7621BDC1">
      <w:pPr>
        <w:pStyle w:val="59"/>
        <w:tabs>
          <w:tab w:val="center" w:pos="4201"/>
          <w:tab w:val="right" w:leader="dot" w:pos="9298"/>
        </w:tabs>
        <w:autoSpaceDE/>
        <w:autoSpaceDN/>
        <w:rPr>
          <w:rFonts w:hint="eastAsia" w:hAnsi="宋体" w:cs="宋体"/>
          <w:color w:val="auto"/>
          <w:szCs w:val="21"/>
          <w:highlight w:val="none"/>
        </w:rPr>
      </w:pPr>
    </w:p>
    <w:p w14:paraId="1D9E77F1">
      <w:pPr>
        <w:pStyle w:val="59"/>
        <w:tabs>
          <w:tab w:val="center" w:pos="4201"/>
          <w:tab w:val="right" w:leader="dot" w:pos="9298"/>
        </w:tabs>
        <w:autoSpaceDE/>
        <w:autoSpaceDN/>
        <w:rPr>
          <w:rFonts w:hint="eastAsia" w:hAnsi="宋体" w:cs="宋体"/>
          <w:color w:val="auto"/>
          <w:szCs w:val="21"/>
          <w:highlight w:val="none"/>
        </w:rPr>
      </w:pPr>
    </w:p>
    <w:p w14:paraId="71429546">
      <w:pPr>
        <w:pStyle w:val="59"/>
        <w:tabs>
          <w:tab w:val="center" w:pos="4201"/>
          <w:tab w:val="right" w:leader="dot" w:pos="9298"/>
        </w:tabs>
        <w:autoSpaceDE/>
        <w:autoSpaceDN/>
        <w:rPr>
          <w:rFonts w:hint="eastAsia" w:hAnsi="宋体" w:cs="宋体"/>
          <w:color w:val="auto"/>
          <w:szCs w:val="21"/>
          <w:highlight w:val="none"/>
        </w:rPr>
      </w:pPr>
    </w:p>
    <w:p w14:paraId="45F5820F">
      <w:pPr>
        <w:pStyle w:val="59"/>
        <w:tabs>
          <w:tab w:val="center" w:pos="4201"/>
          <w:tab w:val="right" w:leader="dot" w:pos="9298"/>
        </w:tabs>
        <w:autoSpaceDE/>
        <w:autoSpaceDN/>
        <w:rPr>
          <w:rFonts w:hint="eastAsia" w:hAnsi="宋体" w:cs="宋体"/>
          <w:color w:val="auto"/>
          <w:szCs w:val="21"/>
          <w:highlight w:val="none"/>
        </w:rPr>
      </w:pPr>
    </w:p>
    <w:p w14:paraId="444D97EC">
      <w:pPr>
        <w:pStyle w:val="59"/>
        <w:tabs>
          <w:tab w:val="center" w:pos="4201"/>
          <w:tab w:val="right" w:leader="dot" w:pos="9298"/>
        </w:tabs>
        <w:autoSpaceDE/>
        <w:autoSpaceDN/>
        <w:spacing w:line="360" w:lineRule="auto"/>
        <w:jc w:val="right"/>
        <w:outlineLvl w:val="9"/>
        <w:rPr>
          <w:rFonts w:hint="eastAsia" w:hAnsi="宋体" w:cs="宋体"/>
          <w:color w:val="auto"/>
          <w:sz w:val="24"/>
          <w:szCs w:val="24"/>
          <w:highlight w:val="none"/>
        </w:rPr>
      </w:pPr>
      <w:bookmarkStart w:id="17" w:name="_Toc18570"/>
      <w:bookmarkStart w:id="18" w:name="_Toc28943"/>
      <w:bookmarkStart w:id="19" w:name="_Toc1866"/>
      <w:r>
        <w:rPr>
          <w:rFonts w:hint="eastAsia" w:hAnsi="宋体" w:cs="宋体"/>
          <w:color w:val="auto"/>
          <w:sz w:val="24"/>
          <w:szCs w:val="24"/>
          <w:highlight w:val="none"/>
        </w:rPr>
        <w:t>广东省住房和城乡建设厅</w:t>
      </w:r>
      <w:bookmarkEnd w:id="17"/>
      <w:bookmarkEnd w:id="18"/>
      <w:bookmarkEnd w:id="19"/>
    </w:p>
    <w:p w14:paraId="6E6BDE1A">
      <w:pPr>
        <w:pStyle w:val="59"/>
        <w:tabs>
          <w:tab w:val="center" w:pos="4201"/>
          <w:tab w:val="right" w:leader="dot" w:pos="9298"/>
        </w:tabs>
        <w:autoSpaceDE/>
        <w:autoSpaceDN/>
        <w:spacing w:line="360" w:lineRule="auto"/>
        <w:jc w:val="right"/>
        <w:outlineLvl w:val="9"/>
        <w:rPr>
          <w:rFonts w:hint="eastAsia" w:hAnsi="宋体" w:cs="宋体"/>
          <w:color w:val="auto"/>
          <w:sz w:val="24"/>
          <w:szCs w:val="24"/>
          <w:highlight w:val="none"/>
        </w:rPr>
        <w:sectPr>
          <w:footerReference r:id="rId7" w:type="default"/>
          <w:footerReference r:id="rId8" w:type="even"/>
          <w:pgSz w:w="11906" w:h="16838"/>
          <w:pgMar w:top="1417" w:right="1134" w:bottom="1134" w:left="1416" w:header="1418" w:footer="1134" w:gutter="0"/>
          <w:pgBorders>
            <w:top w:val="none" w:sz="0" w:space="0"/>
            <w:left w:val="none" w:sz="0" w:space="0"/>
            <w:bottom w:val="none" w:sz="0" w:space="0"/>
            <w:right w:val="none" w:sz="0" w:space="0"/>
          </w:pgBorders>
          <w:pgNumType w:fmt="upperRoman" w:start="1"/>
          <w:cols w:space="720" w:num="1"/>
          <w:docGrid w:type="lines" w:linePitch="312" w:charSpace="0"/>
        </w:sectPr>
      </w:pPr>
      <w:bookmarkStart w:id="20" w:name="_Toc19844"/>
      <w:bookmarkStart w:id="21" w:name="_Toc12648"/>
      <w:bookmarkStart w:id="22" w:name="_Toc13141"/>
      <w:r>
        <w:rPr>
          <w:rFonts w:hint="eastAsia" w:hAnsi="宋体" w:cs="宋体"/>
          <w:color w:val="auto"/>
          <w:sz w:val="24"/>
          <w:szCs w:val="24"/>
          <w:highlight w:val="none"/>
        </w:rPr>
        <w:t>20</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日</w:t>
      </w:r>
      <w:bookmarkEnd w:id="20"/>
      <w:bookmarkEnd w:id="21"/>
      <w:bookmarkEnd w:id="22"/>
    </w:p>
    <w:p w14:paraId="76965A5F">
      <w:pPr>
        <w:pStyle w:val="58"/>
        <w:spacing w:before="850" w:after="680"/>
        <w:outlineLvl w:val="9"/>
        <w:rPr>
          <w:rFonts w:hint="eastAsia" w:asciiTheme="majorEastAsia" w:hAnsiTheme="majorEastAsia" w:eastAsiaTheme="majorEastAsia" w:cstheme="majorEastAsia"/>
          <w:b/>
          <w:bCs/>
          <w:color w:val="auto"/>
          <w:sz w:val="28"/>
          <w:szCs w:val="28"/>
          <w:highlight w:val="none"/>
        </w:rPr>
      </w:pPr>
      <w:bookmarkStart w:id="23" w:name="_Toc24930"/>
      <w:bookmarkStart w:id="24" w:name="_Toc14492"/>
      <w:bookmarkStart w:id="25" w:name="_Toc25242"/>
      <w:bookmarkStart w:id="26" w:name="_Toc29747"/>
      <w:bookmarkStart w:id="27" w:name="_Toc29675"/>
      <w:r>
        <w:rPr>
          <w:rFonts w:hint="eastAsia" w:asciiTheme="majorEastAsia" w:hAnsiTheme="majorEastAsia" w:eastAsiaTheme="majorEastAsia" w:cstheme="majorEastAsia"/>
          <w:b/>
          <w:bCs/>
          <w:color w:val="auto"/>
          <w:sz w:val="28"/>
          <w:szCs w:val="28"/>
          <w:highlight w:val="none"/>
        </w:rPr>
        <w:t>前    言</w:t>
      </w:r>
      <w:bookmarkEnd w:id="23"/>
      <w:bookmarkEnd w:id="24"/>
      <w:bookmarkEnd w:id="25"/>
      <w:bookmarkEnd w:id="26"/>
      <w:bookmarkEnd w:id="27"/>
    </w:p>
    <w:p w14:paraId="7D60DFEA">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int="eastAsia" w:hAnsi="宋体" w:cs="宋体"/>
          <w:color w:val="auto"/>
          <w:sz w:val="24"/>
          <w:szCs w:val="24"/>
          <w:highlight w:val="none"/>
        </w:rPr>
      </w:pPr>
      <w:r>
        <w:rPr>
          <w:rFonts w:hint="eastAsia" w:hAnsi="宋体" w:cs="宋体"/>
          <w:color w:val="auto"/>
          <w:sz w:val="24"/>
          <w:szCs w:val="24"/>
          <w:highlight w:val="none"/>
        </w:rPr>
        <w:t>根据广东省市场监督管理局《关于批准下达2023年第二批广东省地方标准制修订计划的通知》</w:t>
      </w:r>
      <w:r>
        <w:rPr>
          <w:rFonts w:hint="eastAsia" w:hAnsi="宋体" w:cs="宋体"/>
          <w:color w:val="auto"/>
          <w:sz w:val="24"/>
          <w:szCs w:val="24"/>
          <w:highlight w:val="none"/>
          <w:lang w:eastAsia="zh-CN"/>
        </w:rPr>
        <w:t>（</w:t>
      </w:r>
      <w:r>
        <w:rPr>
          <w:rFonts w:hint="eastAsia" w:hAnsi="宋体" w:cs="宋体"/>
          <w:color w:val="auto"/>
          <w:sz w:val="24"/>
          <w:szCs w:val="24"/>
          <w:highlight w:val="none"/>
        </w:rPr>
        <w:t>粤市监标准〔2023〕591号</w:t>
      </w:r>
      <w:r>
        <w:rPr>
          <w:rFonts w:hint="eastAsia" w:hAnsi="宋体" w:cs="宋体"/>
          <w:color w:val="auto"/>
          <w:sz w:val="24"/>
          <w:szCs w:val="24"/>
          <w:highlight w:val="none"/>
          <w:lang w:eastAsia="zh-CN"/>
        </w:rPr>
        <w:t>）</w:t>
      </w:r>
      <w:r>
        <w:rPr>
          <w:rFonts w:hint="eastAsia" w:hAnsi="宋体" w:cs="宋体"/>
          <w:color w:val="auto"/>
          <w:sz w:val="24"/>
          <w:szCs w:val="24"/>
          <w:highlight w:val="none"/>
        </w:rPr>
        <w:t>文的要求，编制组经广泛调查研究，认真总结实践经验，参考有关国内外标准，并在广泛征求意见的基础上，制定了本</w:t>
      </w:r>
      <w:r>
        <w:rPr>
          <w:rFonts w:hint="eastAsia" w:hAnsi="宋体" w:cs="宋体"/>
          <w:color w:val="auto"/>
          <w:sz w:val="24"/>
          <w:szCs w:val="24"/>
          <w:highlight w:val="none"/>
          <w:lang w:eastAsia="zh-CN"/>
        </w:rPr>
        <w:t>标准</w:t>
      </w:r>
      <w:r>
        <w:rPr>
          <w:rFonts w:hint="eastAsia" w:hAnsi="宋体" w:cs="宋体"/>
          <w:color w:val="auto"/>
          <w:sz w:val="24"/>
          <w:szCs w:val="24"/>
          <w:highlight w:val="none"/>
        </w:rPr>
        <w:t>。</w:t>
      </w:r>
    </w:p>
    <w:p w14:paraId="03D69D31">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本</w:t>
      </w:r>
      <w:r>
        <w:rPr>
          <w:rFonts w:hint="eastAsia" w:ascii="宋体" w:hAnsi="宋体" w:eastAsia="宋体" w:cs="宋体"/>
          <w:color w:val="auto"/>
          <w:sz w:val="24"/>
          <w:szCs w:val="24"/>
          <w:highlight w:val="none"/>
          <w:lang w:val="en-US" w:eastAsia="zh-CN"/>
        </w:rPr>
        <w:t>标准</w:t>
      </w:r>
      <w:r>
        <w:rPr>
          <w:rFonts w:hint="eastAsia" w:hAnsi="宋体" w:cs="宋体"/>
          <w:color w:val="auto"/>
          <w:sz w:val="24"/>
          <w:szCs w:val="24"/>
          <w:highlight w:val="none"/>
        </w:rPr>
        <w:t>按</w:t>
      </w:r>
      <w:r>
        <w:rPr>
          <w:rFonts w:hAnsi="宋体" w:cs="宋体"/>
          <w:color w:val="auto"/>
          <w:sz w:val="24"/>
          <w:szCs w:val="24"/>
          <w:highlight w:val="none"/>
        </w:rPr>
        <w:t xml:space="preserve">照GB/T 1.1—2020《标准化工作导则 </w:t>
      </w:r>
      <w:r>
        <w:rPr>
          <w:rFonts w:hint="eastAsia" w:hAnsi="宋体" w:cs="宋体"/>
          <w:color w:val="auto"/>
          <w:sz w:val="24"/>
          <w:szCs w:val="24"/>
          <w:highlight w:val="none"/>
          <w:lang w:val="en-US" w:eastAsia="zh-CN"/>
        </w:rPr>
        <w:t xml:space="preserve"> </w:t>
      </w:r>
      <w:r>
        <w:rPr>
          <w:rFonts w:hAnsi="宋体" w:cs="宋体"/>
          <w:color w:val="auto"/>
          <w:sz w:val="24"/>
          <w:szCs w:val="24"/>
          <w:highlight w:val="none"/>
        </w:rPr>
        <w:t>第1部分</w:t>
      </w:r>
      <w:r>
        <w:rPr>
          <w:rFonts w:hint="eastAsia" w:hAnsi="宋体" w:cs="宋体"/>
          <w:color w:val="auto"/>
          <w:sz w:val="24"/>
          <w:szCs w:val="24"/>
          <w:highlight w:val="none"/>
          <w:lang w:eastAsia="zh-CN"/>
        </w:rPr>
        <w:t>：</w:t>
      </w:r>
      <w:r>
        <w:rPr>
          <w:rFonts w:hAnsi="宋体" w:cs="宋体"/>
          <w:color w:val="auto"/>
          <w:sz w:val="24"/>
          <w:szCs w:val="24"/>
          <w:highlight w:val="none"/>
        </w:rPr>
        <w:t>标准化文件的结构和起草规则》的</w:t>
      </w:r>
      <w:r>
        <w:rPr>
          <w:rFonts w:hint="eastAsia" w:hAnsi="宋体" w:cs="宋体"/>
          <w:color w:val="auto"/>
          <w:sz w:val="24"/>
          <w:szCs w:val="24"/>
          <w:highlight w:val="none"/>
        </w:rPr>
        <w:t>规定</w:t>
      </w:r>
      <w:r>
        <w:rPr>
          <w:rFonts w:hAnsi="宋体" w:cs="宋体"/>
          <w:color w:val="auto"/>
          <w:sz w:val="24"/>
          <w:szCs w:val="24"/>
          <w:highlight w:val="none"/>
        </w:rPr>
        <w:t>起草。</w:t>
      </w:r>
    </w:p>
    <w:p w14:paraId="490F9166">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本标准的主要内容：党政机关办公区物业服务的术语和定义、通用管理要求、综合服务要求、保洁服务、绿化养护、应急管理、房屋及设施设备管理、安全服务、餐饮服务、文娱活动场所服务、特约服务、服务监督与改进。</w:t>
      </w:r>
    </w:p>
    <w:p w14:paraId="3D8CE870">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hAnsi="宋体" w:cs="宋体"/>
          <w:color w:val="auto"/>
          <w:sz w:val="24"/>
          <w:szCs w:val="24"/>
          <w:highlight w:val="none"/>
        </w:rPr>
        <w:t>本</w:t>
      </w:r>
      <w:r>
        <w:rPr>
          <w:rFonts w:hint="eastAsia" w:hAnsi="宋体" w:cs="宋体"/>
          <w:color w:val="auto"/>
          <w:sz w:val="24"/>
          <w:szCs w:val="24"/>
          <w:highlight w:val="none"/>
          <w:lang w:eastAsia="zh-CN"/>
        </w:rPr>
        <w:t>标准</w:t>
      </w:r>
      <w:r>
        <w:rPr>
          <w:rFonts w:hint="eastAsia" w:hAnsi="宋体" w:cs="宋体"/>
          <w:color w:val="auto"/>
          <w:sz w:val="24"/>
          <w:szCs w:val="24"/>
          <w:highlight w:val="none"/>
        </w:rPr>
        <w:t>由广东省住房和城乡建设厅负责管理，由广东省物业管理行业协会负责具体技术内容的解释。执行过程中如有意见或建议，请寄送广东省</w:t>
      </w:r>
      <w:bookmarkStart w:id="599" w:name="_GoBack"/>
      <w:bookmarkEnd w:id="599"/>
      <w:r>
        <w:rPr>
          <w:rFonts w:hint="eastAsia" w:hAnsi="宋体" w:cs="宋体"/>
          <w:color w:val="auto"/>
          <w:sz w:val="24"/>
          <w:szCs w:val="24"/>
          <w:highlight w:val="none"/>
        </w:rPr>
        <w:t>物业管理行业协会</w:t>
      </w:r>
      <w:r>
        <w:rPr>
          <w:rFonts w:hint="eastAsia" w:hAnsi="宋体" w:cs="宋体"/>
          <w:color w:val="auto"/>
          <w:sz w:val="24"/>
          <w:szCs w:val="24"/>
          <w:highlight w:val="none"/>
          <w:lang w:eastAsia="zh-CN"/>
        </w:rPr>
        <w:t>（</w:t>
      </w:r>
      <w:r>
        <w:rPr>
          <w:rFonts w:hint="eastAsia" w:hAnsi="宋体" w:cs="宋体"/>
          <w:color w:val="auto"/>
          <w:sz w:val="24"/>
          <w:szCs w:val="24"/>
          <w:highlight w:val="none"/>
        </w:rPr>
        <w:t>地址</w:t>
      </w:r>
      <w:r>
        <w:rPr>
          <w:rFonts w:hint="eastAsia" w:hAnsi="宋体" w:cs="宋体"/>
          <w:color w:val="auto"/>
          <w:sz w:val="24"/>
          <w:szCs w:val="24"/>
          <w:highlight w:val="none"/>
          <w:lang w:eastAsia="zh-CN"/>
        </w:rPr>
        <w:t>：</w:t>
      </w:r>
      <w:r>
        <w:rPr>
          <w:rFonts w:hint="eastAsia" w:hAnsi="宋体" w:cs="宋体"/>
          <w:color w:val="auto"/>
          <w:sz w:val="24"/>
          <w:szCs w:val="24"/>
          <w:highlight w:val="none"/>
        </w:rPr>
        <w:t>广州市天河区黄埔大道西100号富力盈泰广场B座901室</w:t>
      </w:r>
      <w:r>
        <w:rPr>
          <w:rFonts w:hint="eastAsia"/>
          <w:color w:val="auto"/>
          <w:sz w:val="24"/>
          <w:szCs w:val="24"/>
          <w:highlight w:val="none"/>
        </w:rPr>
        <w:t>，邮编</w:t>
      </w:r>
      <w:r>
        <w:rPr>
          <w:rFonts w:hint="eastAsia"/>
          <w:color w:val="auto"/>
          <w:sz w:val="24"/>
          <w:szCs w:val="24"/>
          <w:highlight w:val="none"/>
          <w:lang w:eastAsia="zh-CN"/>
        </w:rPr>
        <w:t>：</w:t>
      </w:r>
      <w:r>
        <w:rPr>
          <w:rFonts w:hint="eastAsia"/>
          <w:color w:val="auto"/>
          <w:sz w:val="24"/>
          <w:szCs w:val="24"/>
          <w:highlight w:val="none"/>
        </w:rPr>
        <w:t>51</w:t>
      </w:r>
      <w:r>
        <w:rPr>
          <w:rFonts w:hint="eastAsia"/>
          <w:color w:val="auto"/>
          <w:sz w:val="24"/>
          <w:szCs w:val="24"/>
          <w:highlight w:val="none"/>
          <w:lang w:val="en-US" w:eastAsia="zh-CN"/>
        </w:rPr>
        <w:t>0040</w:t>
      </w:r>
      <w:r>
        <w:rPr>
          <w:rFonts w:hint="eastAsia"/>
          <w:color w:val="auto"/>
          <w:sz w:val="24"/>
          <w:szCs w:val="24"/>
          <w:highlight w:val="none"/>
        </w:rPr>
        <w:t>，邮箱</w:t>
      </w:r>
      <w:r>
        <w:rPr>
          <w:rFonts w:hint="eastAsia"/>
          <w:color w:val="auto"/>
          <w:sz w:val="24"/>
          <w:szCs w:val="24"/>
          <w:highlight w:val="none"/>
          <w:lang w:eastAsia="zh-CN"/>
        </w:rPr>
        <w:t>：</w:t>
      </w:r>
      <w:r>
        <w:rPr>
          <w:rFonts w:hint="eastAsia"/>
          <w:color w:val="auto"/>
          <w:sz w:val="24"/>
          <w:szCs w:val="24"/>
          <w:highlight w:val="none"/>
          <w:lang w:val="en-US" w:eastAsia="zh-CN"/>
        </w:rPr>
        <w:t>gpmi@163.com）</w:t>
      </w:r>
      <w:r>
        <w:rPr>
          <w:rFonts w:hint="eastAsia"/>
          <w:color w:val="auto"/>
          <w:sz w:val="24"/>
          <w:szCs w:val="24"/>
          <w:highlight w:val="none"/>
        </w:rPr>
        <w:t>。</w:t>
      </w:r>
    </w:p>
    <w:p w14:paraId="2602A41B">
      <w:pPr>
        <w:pStyle w:val="61"/>
        <w:keepNext w:val="0"/>
        <w:keepLines w:val="0"/>
        <w:pageBreakBefore w:val="0"/>
        <w:widowControl/>
        <w:kinsoku/>
        <w:wordWrap/>
        <w:overflowPunct/>
        <w:topLinePunct w:val="0"/>
        <w:bidi w:val="0"/>
        <w:adjustRightInd/>
        <w:snapToGrid/>
        <w:spacing w:line="360" w:lineRule="auto"/>
        <w:ind w:firstLine="420"/>
        <w:textAlignment w:val="auto"/>
        <w:rPr>
          <w:rFonts w:hint="eastAsia"/>
          <w:color w:val="auto"/>
          <w:sz w:val="24"/>
          <w:szCs w:val="24"/>
          <w:highlight w:val="none"/>
        </w:rPr>
      </w:pPr>
      <w:r>
        <w:rPr>
          <w:rFonts w:hint="eastAsia"/>
          <w:color w:val="auto"/>
          <w:sz w:val="24"/>
          <w:szCs w:val="24"/>
          <w:highlight w:val="none"/>
        </w:rPr>
        <w:t>本</w:t>
      </w:r>
      <w:r>
        <w:rPr>
          <w:rFonts w:hint="eastAsia"/>
          <w:color w:val="auto"/>
          <w:sz w:val="24"/>
          <w:szCs w:val="24"/>
          <w:highlight w:val="none"/>
          <w:lang w:eastAsia="zh-CN"/>
        </w:rPr>
        <w:t>标准</w:t>
      </w:r>
      <w:r>
        <w:rPr>
          <w:rFonts w:hint="eastAsia"/>
          <w:color w:val="auto"/>
          <w:sz w:val="24"/>
          <w:szCs w:val="24"/>
          <w:highlight w:val="none"/>
        </w:rPr>
        <w:t>主编单位</w:t>
      </w:r>
      <w:r>
        <w:rPr>
          <w:rFonts w:hint="eastAsia"/>
          <w:color w:val="auto"/>
          <w:sz w:val="24"/>
          <w:szCs w:val="24"/>
          <w:highlight w:val="none"/>
          <w:lang w:eastAsia="zh-CN"/>
        </w:rPr>
        <w:t>：</w:t>
      </w:r>
      <w:r>
        <w:rPr>
          <w:rFonts w:hint="eastAsia"/>
          <w:color w:val="auto"/>
          <w:sz w:val="24"/>
          <w:szCs w:val="24"/>
          <w:highlight w:val="none"/>
        </w:rPr>
        <w:t>广东省物业管理行业协会</w:t>
      </w:r>
    </w:p>
    <w:p w14:paraId="2A7FD724">
      <w:pPr>
        <w:pStyle w:val="61"/>
        <w:keepNext w:val="0"/>
        <w:keepLines w:val="0"/>
        <w:pageBreakBefore w:val="0"/>
        <w:widowControl/>
        <w:kinsoku/>
        <w:wordWrap/>
        <w:overflowPunct/>
        <w:topLinePunct w:val="0"/>
        <w:bidi w:val="0"/>
        <w:adjustRightInd/>
        <w:snapToGrid/>
        <w:spacing w:line="360" w:lineRule="auto"/>
        <w:textAlignment w:val="auto"/>
        <w:outlineLvl w:val="9"/>
        <w:rPr>
          <w:rFonts w:hint="eastAsia"/>
          <w:color w:val="auto"/>
          <w:sz w:val="24"/>
          <w:szCs w:val="24"/>
          <w:highlight w:val="none"/>
        </w:rPr>
      </w:pPr>
      <w:bookmarkStart w:id="28" w:name="_Toc13329"/>
      <w:bookmarkStart w:id="29" w:name="_Toc2844"/>
      <w:r>
        <w:rPr>
          <w:rFonts w:hint="eastAsia" w:ascii="宋体" w:hAnsi="宋体" w:cs="宋体"/>
          <w:color w:val="auto"/>
          <w:sz w:val="24"/>
          <w:szCs w:val="24"/>
          <w:highlight w:val="none"/>
          <w:lang w:eastAsia="zh-CN"/>
        </w:rPr>
        <w:t>本标准参编单位：</w:t>
      </w:r>
      <w:bookmarkEnd w:id="28"/>
      <w:r>
        <w:rPr>
          <w:rFonts w:hint="eastAsia"/>
          <w:color w:val="auto"/>
          <w:sz w:val="24"/>
          <w:szCs w:val="24"/>
          <w:highlight w:val="none"/>
        </w:rPr>
        <w:t>广东华信服务集团有限公司</w:t>
      </w:r>
      <w:bookmarkEnd w:id="29"/>
    </w:p>
    <w:p w14:paraId="6325EED7">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outlineLvl w:val="9"/>
        <w:rPr>
          <w:rFonts w:hint="eastAsia" w:ascii="宋体" w:hAnsi="宋体" w:cs="宋体"/>
          <w:color w:val="auto"/>
          <w:sz w:val="24"/>
          <w:szCs w:val="24"/>
          <w:highlight w:val="none"/>
          <w:lang w:eastAsia="zh-CN"/>
        </w:rPr>
      </w:pPr>
      <w:bookmarkStart w:id="30" w:name="_Toc3933"/>
      <w:bookmarkStart w:id="31" w:name="_Toc21245"/>
      <w:r>
        <w:rPr>
          <w:rFonts w:hint="eastAsia" w:ascii="宋体" w:hAnsi="宋体" w:cs="宋体"/>
          <w:color w:val="auto"/>
          <w:sz w:val="24"/>
          <w:szCs w:val="24"/>
          <w:highlight w:val="none"/>
          <w:lang w:eastAsia="zh-CN"/>
        </w:rPr>
        <w:t>广州珠江城市管理服务集团股份有限公司</w:t>
      </w:r>
      <w:bookmarkEnd w:id="30"/>
      <w:bookmarkEnd w:id="31"/>
    </w:p>
    <w:p w14:paraId="65F595E9">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outlineLvl w:val="9"/>
        <w:rPr>
          <w:rFonts w:hint="eastAsia" w:ascii="宋体" w:hAnsi="宋体" w:cs="宋体"/>
          <w:color w:val="auto"/>
          <w:sz w:val="24"/>
          <w:szCs w:val="24"/>
          <w:highlight w:val="none"/>
          <w:lang w:eastAsia="zh-CN"/>
        </w:rPr>
      </w:pPr>
      <w:bookmarkStart w:id="32" w:name="_Toc18975"/>
      <w:r>
        <w:rPr>
          <w:rFonts w:hint="eastAsia" w:ascii="宋体" w:hAnsi="宋体" w:cs="宋体"/>
          <w:color w:val="auto"/>
          <w:sz w:val="24"/>
          <w:szCs w:val="24"/>
          <w:highlight w:val="none"/>
          <w:lang w:eastAsia="zh-CN"/>
        </w:rPr>
        <w:t>广东省合景悠活控股集团有限公司</w:t>
      </w:r>
      <w:bookmarkEnd w:id="32"/>
    </w:p>
    <w:p w14:paraId="60603C3C">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广州市城投物业服务有限公司</w:t>
      </w:r>
    </w:p>
    <w:p w14:paraId="3D11E898">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outlineLvl w:val="9"/>
        <w:rPr>
          <w:rFonts w:hint="eastAsia" w:ascii="宋体" w:hAnsi="宋体" w:cs="宋体"/>
          <w:color w:val="auto"/>
          <w:sz w:val="24"/>
          <w:szCs w:val="24"/>
          <w:highlight w:val="none"/>
          <w:lang w:eastAsia="zh-CN"/>
        </w:rPr>
      </w:pPr>
      <w:bookmarkStart w:id="33" w:name="_Toc24220"/>
      <w:r>
        <w:rPr>
          <w:rFonts w:hint="eastAsia" w:ascii="宋体" w:hAnsi="宋体" w:cs="宋体"/>
          <w:color w:val="auto"/>
          <w:sz w:val="24"/>
          <w:szCs w:val="24"/>
          <w:highlight w:val="none"/>
          <w:lang w:eastAsia="zh-CN"/>
        </w:rPr>
        <w:t>中建四局城市运营服务有限公司</w:t>
      </w:r>
      <w:bookmarkEnd w:id="33"/>
    </w:p>
    <w:p w14:paraId="4F433B57">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rPr>
          <w:rFonts w:hint="eastAsia"/>
          <w:color w:val="auto"/>
          <w:sz w:val="24"/>
          <w:szCs w:val="24"/>
          <w:highlight w:val="none"/>
        </w:rPr>
      </w:pPr>
      <w:r>
        <w:rPr>
          <w:rFonts w:hint="eastAsia" w:ascii="宋体" w:hAnsi="宋体" w:cs="宋体"/>
          <w:color w:val="auto"/>
          <w:sz w:val="24"/>
          <w:szCs w:val="24"/>
          <w:highlight w:val="none"/>
          <w:lang w:eastAsia="zh-CN"/>
        </w:rPr>
        <w:t>中海物业管理有限公司</w:t>
      </w:r>
      <w:r>
        <w:rPr>
          <w:rFonts w:hint="eastAsia"/>
          <w:color w:val="auto"/>
          <w:sz w:val="24"/>
          <w:szCs w:val="24"/>
          <w:highlight w:val="none"/>
        </w:rPr>
        <w:t>。</w:t>
      </w:r>
    </w:p>
    <w:p w14:paraId="61C35EC0">
      <w:pPr>
        <w:pStyle w:val="61"/>
        <w:keepNext w:val="0"/>
        <w:keepLines w:val="0"/>
        <w:pageBreakBefore w:val="0"/>
        <w:widowControl/>
        <w:kinsoku/>
        <w:wordWrap/>
        <w:overflowPunct/>
        <w:topLinePunct w:val="0"/>
        <w:bidi w:val="0"/>
        <w:adjustRightInd/>
        <w:snapToGrid/>
        <w:spacing w:line="360" w:lineRule="auto"/>
        <w:ind w:left="2736" w:leftChars="200" w:hanging="2316" w:hangingChars="965"/>
        <w:textAlignment w:val="auto"/>
        <w:rPr>
          <w:color w:val="auto"/>
          <w:sz w:val="24"/>
          <w:szCs w:val="24"/>
          <w:highlight w:val="none"/>
        </w:rPr>
      </w:pPr>
      <w:r>
        <w:rPr>
          <w:rFonts w:hint="eastAsia"/>
          <w:color w:val="auto"/>
          <w:sz w:val="24"/>
          <w:szCs w:val="24"/>
          <w:highlight w:val="none"/>
        </w:rPr>
        <w:t>本</w:t>
      </w:r>
      <w:r>
        <w:rPr>
          <w:rFonts w:hint="eastAsia"/>
          <w:color w:val="auto"/>
          <w:sz w:val="24"/>
          <w:szCs w:val="24"/>
          <w:highlight w:val="none"/>
          <w:lang w:eastAsia="zh-CN"/>
        </w:rPr>
        <w:t>标准</w:t>
      </w:r>
      <w:r>
        <w:rPr>
          <w:rFonts w:hint="eastAsia"/>
          <w:color w:val="auto"/>
          <w:sz w:val="24"/>
          <w:szCs w:val="24"/>
          <w:highlight w:val="none"/>
        </w:rPr>
        <w:t>主要起草人员</w:t>
      </w:r>
      <w:r>
        <w:rPr>
          <w:rFonts w:hint="eastAsia"/>
          <w:color w:val="auto"/>
          <w:sz w:val="24"/>
          <w:szCs w:val="24"/>
          <w:highlight w:val="none"/>
          <w:lang w:eastAsia="zh-CN"/>
        </w:rPr>
        <w:t>：</w:t>
      </w:r>
      <w:r>
        <w:rPr>
          <w:rFonts w:hint="eastAsia"/>
          <w:color w:val="auto"/>
          <w:sz w:val="24"/>
          <w:szCs w:val="24"/>
          <w:highlight w:val="none"/>
          <w:lang w:val="en-US" w:eastAsia="zh-CN"/>
        </w:rPr>
        <w:t>杨国贤  贺栩模  李长江  肖智斌  高海峰  陈秀婷  卢志瑜廖惠敏  钟佃洲  张小红  周春英  王海涛  肖俊雯  李来妹 林进涛  彭涵江  钟佳锋  陈  静  易华平  门成太  蒋艳嫦。</w:t>
      </w:r>
    </w:p>
    <w:p w14:paraId="4E8B9B2D">
      <w:pPr>
        <w:pStyle w:val="61"/>
        <w:keepNext w:val="0"/>
        <w:keepLines w:val="0"/>
        <w:pageBreakBefore w:val="0"/>
        <w:widowControl/>
        <w:kinsoku/>
        <w:wordWrap/>
        <w:overflowPunct/>
        <w:topLinePunct w:val="0"/>
        <w:bidi w:val="0"/>
        <w:adjustRightInd/>
        <w:snapToGrid/>
        <w:spacing w:line="360" w:lineRule="auto"/>
        <w:ind w:firstLine="420"/>
        <w:textAlignment w:val="auto"/>
        <w:rPr>
          <w:color w:val="auto"/>
          <w:highlight w:val="none"/>
        </w:rPr>
      </w:pPr>
    </w:p>
    <w:p w14:paraId="366597F4">
      <w:pPr>
        <w:ind w:firstLine="420" w:firstLineChars="200"/>
        <w:rPr>
          <w:rFonts w:hint="eastAsia"/>
          <w:color w:val="auto"/>
          <w:highlight w:val="none"/>
        </w:rPr>
      </w:pPr>
    </w:p>
    <w:p w14:paraId="02DDCF55">
      <w:pPr>
        <w:ind w:firstLine="420" w:firstLineChars="200"/>
        <w:rPr>
          <w:rFonts w:hint="eastAsia"/>
          <w:color w:val="auto"/>
          <w:highlight w:val="none"/>
        </w:rPr>
      </w:pPr>
    </w:p>
    <w:p w14:paraId="2176BC10">
      <w:pPr>
        <w:ind w:firstLine="420" w:firstLineChars="200"/>
        <w:rPr>
          <w:rFonts w:hint="eastAsia"/>
          <w:color w:val="auto"/>
          <w:highlight w:val="none"/>
        </w:rPr>
      </w:pPr>
    </w:p>
    <w:p w14:paraId="2D850AAB">
      <w:pPr>
        <w:ind w:firstLine="420" w:firstLineChars="200"/>
        <w:rPr>
          <w:rFonts w:hint="eastAsia" w:ascii="宋体" w:hAnsi="宋体"/>
          <w:color w:val="auto"/>
          <w:highlight w:val="none"/>
        </w:rPr>
      </w:pPr>
    </w:p>
    <w:p w14:paraId="20B55AD7">
      <w:pPr>
        <w:pStyle w:val="60"/>
        <w:spacing w:before="850" w:after="680" w:line="240" w:lineRule="auto"/>
        <w:outlineLvl w:val="9"/>
        <w:rPr>
          <w:rFonts w:hint="eastAsia" w:ascii="仿宋" w:hAnsi="仿宋" w:eastAsia="仿宋" w:cs="仿宋"/>
          <w:b w:val="0"/>
          <w:bCs w:val="0"/>
          <w:color w:val="auto"/>
          <w:sz w:val="36"/>
          <w:szCs w:val="36"/>
          <w:highlight w:val="none"/>
          <w:lang w:val="en-US" w:eastAsia="zh-CN"/>
        </w:rPr>
      </w:pPr>
      <w:bookmarkStart w:id="34" w:name="_Toc16774"/>
      <w:bookmarkStart w:id="35" w:name="_Toc9663"/>
      <w:bookmarkStart w:id="36" w:name="_Toc16616"/>
      <w:bookmarkStart w:id="37" w:name="_Toc14000"/>
      <w:bookmarkStart w:id="38" w:name="_Toc6759"/>
      <w:r>
        <w:rPr>
          <w:rFonts w:hint="eastAsia" w:ascii="仿宋" w:hAnsi="仿宋" w:eastAsia="仿宋" w:cs="仿宋"/>
          <w:b w:val="0"/>
          <w:bCs w:val="0"/>
          <w:color w:val="auto"/>
          <w:sz w:val="36"/>
          <w:szCs w:val="36"/>
          <w:highlight w:val="none"/>
          <w:lang w:val="en-US" w:eastAsia="zh-CN"/>
        </w:rPr>
        <w:t>目  次</w:t>
      </w:r>
      <w:bookmarkEnd w:id="34"/>
      <w:bookmarkEnd w:id="35"/>
      <w:bookmarkEnd w:id="36"/>
      <w:bookmarkEnd w:id="37"/>
      <w:bookmarkEnd w:id="38"/>
    </w:p>
    <w:sdt>
      <w:sdtPr>
        <w:rPr>
          <w:rFonts w:hint="eastAsia" w:ascii="宋体" w:hAnsi="宋体" w:eastAsia="宋体" w:cs="宋体"/>
          <w:kern w:val="2"/>
          <w:sz w:val="24"/>
          <w:szCs w:val="24"/>
          <w:highlight w:val="none"/>
          <w:lang w:val="en-US" w:eastAsia="zh-CN" w:bidi="ar-SA"/>
        </w:rPr>
        <w:id w:val="147475502"/>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179BCEA9">
          <w:pPr>
            <w:pStyle w:val="29"/>
            <w:tabs>
              <w:tab w:val="right" w:leader="dot" w:pos="9241"/>
            </w:tabs>
            <w:spacing w:before="78" w:beforeLines="0" w:after="78" w:afterLines="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TOC \o "1-3" \h \u </w:instrText>
          </w:r>
          <w:r>
            <w:rPr>
              <w:rFonts w:hint="eastAsia" w:ascii="宋体" w:hAnsi="宋体" w:eastAsia="宋体" w:cs="宋体"/>
              <w:color w:val="auto"/>
              <w:sz w:val="24"/>
              <w:szCs w:val="24"/>
              <w:highlight w:val="none"/>
              <w:lang w:val="en-US" w:eastAsia="zh-CN"/>
            </w:rPr>
            <w:fldChar w:fldCharType="separate"/>
          </w:r>
        </w:p>
        <w:p w14:paraId="4F346EC7">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_Toc12095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 xml:space="preserve">1  </w:t>
          </w:r>
          <w:r>
            <w:rPr>
              <w:rFonts w:hint="eastAsia" w:ascii="宋体" w:hAnsi="宋体" w:eastAsia="宋体" w:cs="宋体"/>
              <w:bCs w:val="0"/>
              <w:sz w:val="24"/>
              <w:szCs w:val="24"/>
              <w:highlight w:val="none"/>
              <w:lang w:val="en-US" w:eastAsia="zh-CN"/>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_Toc12095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78CE2534">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_Toc10495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 xml:space="preserve">2  </w:t>
          </w:r>
          <w:r>
            <w:rPr>
              <w:rFonts w:hint="eastAsia" w:ascii="宋体" w:hAnsi="宋体" w:eastAsia="宋体" w:cs="宋体"/>
              <w:bCs w:val="0"/>
              <w:sz w:val="24"/>
              <w:szCs w:val="24"/>
              <w:highlight w:val="none"/>
            </w:rPr>
            <w:t>术语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_Toc10495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95E11CA">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_Toc21639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bCs w:val="0"/>
              <w:sz w:val="24"/>
              <w:szCs w:val="24"/>
              <w:highlight w:val="none"/>
              <w:lang w:val="en-US" w:eastAsia="zh-CN"/>
            </w:rPr>
            <w:t>通用管理要求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_Toc21639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130A67E4">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_Toc13700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lang w:val="en-US"/>
            </w:rPr>
            <w:t>.1</w:t>
          </w:r>
          <w:r>
            <w:rPr>
              <w:rFonts w:hint="eastAsia" w:ascii="宋体" w:hAnsi="宋体" w:eastAsia="宋体" w:cs="宋体"/>
              <w:bCs/>
              <w:sz w:val="24"/>
              <w:szCs w:val="24"/>
              <w:highlight w:val="none"/>
            </w:rPr>
            <w:t xml:space="preserve">  物业服务企业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_Toc13700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6C6DF195">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_Toc18304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3.2  服务分包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_Toc18304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2697B828">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_Toc5027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3.3  服务履约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_Toc5027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35ED4593">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_Toc1577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3.4  物业服务人员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7948B4AF">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_Toc21047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3.5  档案管理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_Toc21047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309ED005">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_Toc18904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3.6  标识管理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_Toc18904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27BE496C">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_Toc15237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 xml:space="preserve">3.7  </w:t>
          </w:r>
          <w:r>
            <w:rPr>
              <w:rFonts w:hint="eastAsia" w:ascii="宋体" w:hAnsi="宋体" w:eastAsia="宋体" w:cs="宋体"/>
              <w:bCs/>
              <w:kern w:val="2"/>
              <w:sz w:val="24"/>
              <w:szCs w:val="24"/>
              <w:highlight w:val="none"/>
              <w:lang w:val="en-US" w:eastAsia="zh-CN" w:bidi="ar-SA"/>
            </w:rPr>
            <w:t>安全生产</w:t>
          </w:r>
          <w:r>
            <w:rPr>
              <w:rFonts w:hint="eastAsia" w:ascii="宋体" w:hAnsi="宋体" w:eastAsia="宋体" w:cs="宋体"/>
              <w:bCs/>
              <w:sz w:val="24"/>
              <w:szCs w:val="24"/>
              <w:highlight w:val="none"/>
              <w:lang w:val="en-US" w:eastAsia="zh-CN"/>
            </w:rPr>
            <w:t>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_Toc15237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87DDA11">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_Toc22779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3.8  智慧管理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_Toc22779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7241FA47">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_Toc29846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3.9  节能降耗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_Toc29846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7411A3B">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_Toc9090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4  保密要求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_Toc9090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7C7F7155">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_Toc14455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4.1  基本要求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_Toc14455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6586B154">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_Toc24478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4.2  制度管理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_Toc24478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32B54805">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_Toc5770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4.3  人员要求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_Toc5770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6240130">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_Toc5195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4.4  物理安全要求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_Toc5195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26F18351">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_Toc22061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4.5  数据安全管理要求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_Toc22061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0FA82FED">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_Toc12425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5  综合服务要求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_Toc12425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27022E7D">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_Toc20608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5.1  客户服务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_Toc20608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15A6FC43">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_Toc30094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5.2  会务服务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_Toc30094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7022CD8E">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_Toc19896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6  保洁服务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_Toc19896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1CB372C2">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_Toc8614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6.1  基本要求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_Toc8614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EF22802">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_Toc18251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6.2  作业安全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_Toc18251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2704EDC0">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_Toc30662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6.3  办公室、会议室保洁服务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_Toc30662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894AFFA">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_Toc2832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6.4  室内保洁要求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1FB7709A">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_Toc7158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6.5  室外保洁要求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_Toc7158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61F02077">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_Toc7721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6.6  专项保洁要求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_Toc7721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381DB8C">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_Toc31054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6.7  高位保洁要求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_Toc31054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7B32C42">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_Toc8426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6.8  有害生物防制要求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_Toc8426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9A0B854">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_Toc20335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7  绿化养护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_Toc20335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6EEB6AA4">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_Toc16216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7.1  基本要求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_Toc16216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90CC94B">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_Toc21215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7.2  室外绿化养护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_Toc21215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2E27805">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_Toc11635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7.3  室内绿化养护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_Toc11635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3A07AC09">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_Toc24944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8  </w:t>
          </w:r>
          <w:r>
            <w:rPr>
              <w:rFonts w:hint="eastAsia" w:ascii="宋体" w:hAnsi="宋体" w:eastAsia="宋体" w:cs="宋体"/>
              <w:bCs/>
              <w:sz w:val="24"/>
              <w:szCs w:val="24"/>
              <w:highlight w:val="none"/>
              <w:lang w:val="en-US" w:eastAsia="zh-CN"/>
            </w:rPr>
            <w:t>房屋及设施设备管理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_Toc24944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151E25C7">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_Toc12473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8.1  基本要求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_Toc12473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6B84EDBE">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_Toc7634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8.2  房屋维护服务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_Toc7634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A570592">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_Toc12193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8.3  设施设备房管理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_Toc12193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26B1FF0A">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_Toc28946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8.4  供配电系统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_Toc28946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6E5BFE2A">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_Toc401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8.5  给排水系统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_Toc401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F5AE53D">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_Toc25937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8.6  消防设施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_Toc25937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613B1073">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_Toc32587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8.7  通风与空调系统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_Toc32587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7ADEB116">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_Toc4829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8.8  电梯系统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_Toc4829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F1F6000">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_Toc24599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8.9  智能化系统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_Toc24599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32C9A718">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_Toc6987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8.10  安全技术防范系统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_Toc6987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39E6B4E">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_Toc4342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8.11  会议设备设施、网络系统、电话系统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_Toc4342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73E92D42">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_Toc19025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8.12  公共照明系统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_Toc19025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EE96525">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_Toc24217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8.13  人防工程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_Toc24217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66A4E0C1">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_Toc29288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8.14  新能源汽车充电基础设施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_Toc29288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12B8E0B4">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_Toc20472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9  </w:t>
          </w:r>
          <w:r>
            <w:rPr>
              <w:rFonts w:hint="eastAsia" w:ascii="宋体" w:hAnsi="宋体" w:eastAsia="宋体" w:cs="宋体"/>
              <w:bCs/>
              <w:sz w:val="24"/>
              <w:szCs w:val="24"/>
              <w:highlight w:val="none"/>
              <w:lang w:val="en-US" w:eastAsia="zh-CN"/>
            </w:rPr>
            <w:t>安全服务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_Toc20472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C1972DC">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_Toc2941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9.1  基本要求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_Toc2941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DD67999">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_Toc16062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9.2  出入管理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_Toc16062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1FCF80A">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_Toc527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9.3  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604DDA36">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_Toc22474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9.4  车辆停放管理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_Toc22474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316BDA79">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_Toc25866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9.5  消防安全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_Toc25866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EFA7F17">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_Toc24356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10  </w:t>
          </w:r>
          <w:r>
            <w:rPr>
              <w:rFonts w:hint="eastAsia" w:ascii="宋体" w:hAnsi="宋体" w:eastAsia="宋体" w:cs="宋体"/>
              <w:bCs/>
              <w:sz w:val="24"/>
              <w:szCs w:val="24"/>
              <w:highlight w:val="none"/>
              <w:lang w:val="en-US" w:eastAsia="zh-CN"/>
            </w:rPr>
            <w:t>应急管理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_Toc24356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04E97057">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_Toc25525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10.1  公共卫生应急管理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_Toc25525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7399523C">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_Toc13334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10.2  应急响应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_Toc13334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1845361A">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_Toc17569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10.3  防恐应急防范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_Toc17569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1D632686">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_Toc31274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11  额外专业服务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_Toc31274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C5FEC59">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_Toc8068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11.1  餐饮服务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_Toc8068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1CC71ED0">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_Toc10809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11.2  公寓或招待所服务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_Toc10809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19388DA2">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_Toc22940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11.3  文娱活动场所服务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_Toc22940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7209D4F2">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_Toc21852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12  </w:t>
          </w:r>
          <w:r>
            <w:rPr>
              <w:rFonts w:hint="eastAsia" w:ascii="宋体" w:hAnsi="宋体" w:eastAsia="宋体" w:cs="宋体"/>
              <w:bCs/>
              <w:sz w:val="24"/>
              <w:szCs w:val="24"/>
              <w:highlight w:val="none"/>
              <w:lang w:val="en-US" w:eastAsia="zh-CN"/>
            </w:rPr>
            <w:t>特约服务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_Toc21852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A0AF023">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_Toc32402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13  </w:t>
          </w:r>
          <w:r>
            <w:rPr>
              <w:rFonts w:hint="eastAsia" w:ascii="宋体" w:hAnsi="宋体" w:eastAsia="宋体" w:cs="宋体"/>
              <w:bCs w:val="0"/>
              <w:sz w:val="24"/>
              <w:szCs w:val="24"/>
              <w:highlight w:val="none"/>
              <w:lang w:val="en-US" w:eastAsia="zh-CN"/>
            </w:rPr>
            <w:t>服务监督与改进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_Toc32402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097E73F9">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_Toc16128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13.1  投诉处理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_Toc16128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CE71D0A">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_Toc21815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13.2  满意度调查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_Toc21815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41BA1110">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_Toc10492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13.3  监督检查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_Toc10492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3F114034">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_Toc21411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13.4  持续改进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_Toc21411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105B809">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_Toc26170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引用标准名录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_Toc26170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3F32C814">
          <w:pPr>
            <w:pStyle w:val="32"/>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_Toc10624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附录</w:t>
          </w:r>
          <w:r>
            <w:rPr>
              <w:rFonts w:hint="eastAsia" w:ascii="宋体" w:hAnsi="宋体" w:eastAsia="宋体" w:cs="宋体"/>
              <w:sz w:val="24"/>
              <w:szCs w:val="24"/>
              <w:highlight w:val="none"/>
              <w:lang w:val="en-US" w:eastAsia="zh-CN"/>
            </w:rPr>
            <w:t>A  保洁服务内容及要求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_Toc10624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5DD2E366">
          <w:pPr>
            <w:pStyle w:val="29"/>
            <w:tabs>
              <w:tab w:val="right" w:leader="dot" w:pos="9354"/>
            </w:tabs>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_Toc5762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条文说明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_Toc5762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14:paraId="6B8AD073">
          <w:pPr>
            <w:pStyle w:val="29"/>
            <w:tabs>
              <w:tab w:val="right" w:leader="dot" w:pos="9354"/>
            </w:tabs>
          </w:pPr>
        </w:p>
        <w:p w14:paraId="28B9682D">
          <w:pPr>
            <w:pStyle w:val="29"/>
            <w:tabs>
              <w:tab w:val="right" w:leader="dot" w:pos="9241"/>
            </w:tabs>
            <w:spacing w:before="78" w:beforeLines="0" w:after="78" w:afterLines="0" w:line="240" w:lineRule="auto"/>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end"/>
          </w:r>
        </w:p>
      </w:sdtContent>
    </w:sdt>
    <w:p w14:paraId="643EF25B">
      <w:pPr>
        <w:rPr>
          <w:rFonts w:hint="eastAsia" w:ascii="宋体" w:hAnsi="宋体" w:eastAsia="宋体" w:cs="宋体"/>
          <w:color w:val="auto"/>
          <w:sz w:val="24"/>
          <w:szCs w:val="24"/>
          <w:highlight w:val="none"/>
          <w:lang w:val="en-US" w:eastAsia="zh-CN"/>
        </w:rPr>
      </w:pPr>
    </w:p>
    <w:p w14:paraId="531E9158">
      <w:pPr>
        <w:rPr>
          <w:rFonts w:hint="eastAsia" w:ascii="宋体" w:hAnsi="宋体" w:eastAsia="宋体" w:cs="宋体"/>
          <w:color w:val="auto"/>
          <w:sz w:val="24"/>
          <w:szCs w:val="24"/>
          <w:highlight w:val="none"/>
          <w:lang w:val="en-US" w:eastAsia="zh-CN"/>
        </w:rPr>
      </w:pPr>
    </w:p>
    <w:p w14:paraId="572BA339">
      <w:pPr>
        <w:rPr>
          <w:rFonts w:hint="eastAsia" w:ascii="宋体" w:hAnsi="宋体" w:eastAsia="宋体" w:cs="宋体"/>
          <w:color w:val="auto"/>
          <w:sz w:val="24"/>
          <w:szCs w:val="24"/>
          <w:highlight w:val="none"/>
          <w:lang w:val="en-US" w:eastAsia="zh-CN"/>
        </w:rPr>
      </w:pPr>
    </w:p>
    <w:p w14:paraId="7308D25C">
      <w:pPr>
        <w:rPr>
          <w:rFonts w:hint="eastAsia" w:ascii="宋体" w:hAnsi="宋体" w:eastAsia="宋体" w:cs="宋体"/>
          <w:color w:val="auto"/>
          <w:sz w:val="24"/>
          <w:szCs w:val="24"/>
          <w:highlight w:val="none"/>
          <w:lang w:val="en-US" w:eastAsia="zh-CN"/>
        </w:rPr>
      </w:pPr>
    </w:p>
    <w:p w14:paraId="4B16BE08">
      <w:pPr>
        <w:rPr>
          <w:rFonts w:hint="eastAsia" w:ascii="宋体" w:hAnsi="宋体" w:eastAsia="宋体" w:cs="宋体"/>
          <w:color w:val="auto"/>
          <w:sz w:val="24"/>
          <w:szCs w:val="24"/>
          <w:highlight w:val="none"/>
          <w:lang w:val="en-US" w:eastAsia="zh-CN"/>
        </w:rPr>
      </w:pPr>
    </w:p>
    <w:p w14:paraId="476ABCF0">
      <w:pPr>
        <w:pStyle w:val="20"/>
        <w:rPr>
          <w:rFonts w:hint="eastAsia" w:ascii="宋体" w:hAnsi="宋体" w:eastAsia="宋体" w:cs="宋体"/>
          <w:color w:val="auto"/>
          <w:sz w:val="24"/>
          <w:szCs w:val="24"/>
          <w:highlight w:val="none"/>
          <w:lang w:val="en-US" w:eastAsia="zh-CN"/>
        </w:rPr>
      </w:pPr>
    </w:p>
    <w:p w14:paraId="3573B2AC">
      <w:pPr>
        <w:rPr>
          <w:rFonts w:hint="eastAsia" w:ascii="宋体" w:hAnsi="宋体" w:eastAsia="宋体" w:cs="宋体"/>
          <w:color w:val="auto"/>
          <w:sz w:val="24"/>
          <w:szCs w:val="24"/>
          <w:highlight w:val="none"/>
          <w:lang w:val="en-US" w:eastAsia="zh-CN"/>
        </w:rPr>
      </w:pPr>
    </w:p>
    <w:p w14:paraId="769A1A79">
      <w:pPr>
        <w:pStyle w:val="20"/>
        <w:rPr>
          <w:rFonts w:hint="eastAsia" w:ascii="宋体" w:hAnsi="宋体" w:eastAsia="宋体" w:cs="宋体"/>
          <w:color w:val="auto"/>
          <w:sz w:val="24"/>
          <w:szCs w:val="24"/>
          <w:highlight w:val="none"/>
          <w:lang w:val="en-US" w:eastAsia="zh-CN"/>
        </w:rPr>
      </w:pPr>
    </w:p>
    <w:p w14:paraId="7AE95A4C">
      <w:pPr>
        <w:rPr>
          <w:rFonts w:hint="eastAsia" w:ascii="宋体" w:hAnsi="宋体" w:eastAsia="宋体" w:cs="宋体"/>
          <w:color w:val="auto"/>
          <w:sz w:val="24"/>
          <w:szCs w:val="24"/>
          <w:highlight w:val="none"/>
          <w:lang w:val="en-US" w:eastAsia="zh-CN"/>
        </w:rPr>
      </w:pPr>
    </w:p>
    <w:p w14:paraId="633F5240">
      <w:pPr>
        <w:pStyle w:val="20"/>
        <w:rPr>
          <w:rFonts w:hint="eastAsia"/>
          <w:highlight w:val="none"/>
          <w:lang w:val="en-US" w:eastAsia="zh-CN"/>
        </w:rPr>
      </w:pPr>
    </w:p>
    <w:p w14:paraId="1A66F3C9">
      <w:pPr>
        <w:pStyle w:val="20"/>
        <w:rPr>
          <w:rFonts w:hint="eastAsia" w:ascii="宋体" w:hAnsi="宋体" w:eastAsia="宋体" w:cs="宋体"/>
          <w:color w:val="auto"/>
          <w:sz w:val="24"/>
          <w:szCs w:val="24"/>
          <w:highlight w:val="none"/>
          <w:lang w:val="en-US" w:eastAsia="zh-CN"/>
        </w:rPr>
      </w:pPr>
    </w:p>
    <w:p w14:paraId="5405DF09">
      <w:pPr>
        <w:rPr>
          <w:rFonts w:hint="eastAsia" w:ascii="宋体" w:hAnsi="宋体" w:eastAsia="宋体" w:cs="宋体"/>
          <w:color w:val="auto"/>
          <w:sz w:val="24"/>
          <w:szCs w:val="24"/>
          <w:highlight w:val="none"/>
          <w:lang w:val="en-US" w:eastAsia="zh-CN"/>
        </w:rPr>
      </w:pPr>
    </w:p>
    <w:p w14:paraId="33D435E0">
      <w:pPr>
        <w:keepNext w:val="0"/>
        <w:keepLines w:val="0"/>
        <w:pageBreakBefore w:val="0"/>
        <w:tabs>
          <w:tab w:val="left" w:leader="dot" w:pos="10500"/>
        </w:tabs>
        <w:kinsoku/>
        <w:wordWrap/>
        <w:overflowPunct/>
        <w:topLinePunct w:val="0"/>
        <w:autoSpaceDE/>
        <w:autoSpaceDN/>
        <w:bidi w:val="0"/>
        <w:adjustRightInd/>
        <w:snapToGrid/>
        <w:jc w:val="center"/>
        <w:textAlignment w:val="auto"/>
        <w:rPr>
          <w:rFonts w:hint="default" w:ascii="Times New Roman" w:hAnsi="Times New Roman" w:cs="Times New Roman"/>
          <w:b/>
          <w:color w:val="auto"/>
          <w:sz w:val="36"/>
          <w:szCs w:val="36"/>
          <w:highlight w:val="none"/>
          <w:lang w:val="en-US" w:eastAsia="zh-CN"/>
        </w:rPr>
      </w:pPr>
      <w:r>
        <w:rPr>
          <w:rFonts w:hint="default" w:ascii="Times New Roman" w:hAnsi="Times New Roman" w:cs="Times New Roman"/>
          <w:b/>
          <w:color w:val="auto"/>
          <w:sz w:val="36"/>
          <w:szCs w:val="36"/>
          <w:highlight w:val="none"/>
          <w:lang w:val="en-US" w:eastAsia="zh-CN"/>
        </w:rPr>
        <w:t>Contents</w:t>
      </w:r>
    </w:p>
    <w:p w14:paraId="43C996CC">
      <w:pPr>
        <w:keepNext w:val="0"/>
        <w:keepLines w:val="0"/>
        <w:pageBreakBefore w:val="0"/>
        <w:tabs>
          <w:tab w:val="left" w:leader="dot" w:pos="10500"/>
        </w:tabs>
        <w:kinsoku/>
        <w:wordWrap/>
        <w:overflowPunct/>
        <w:topLinePunct w:val="0"/>
        <w:autoSpaceDE/>
        <w:autoSpaceDN/>
        <w:bidi w:val="0"/>
        <w:adjustRightInd/>
        <w:snapToGrid/>
        <w:jc w:val="center"/>
        <w:textAlignment w:val="auto"/>
        <w:rPr>
          <w:rFonts w:hint="default" w:ascii="Times New Roman" w:hAnsi="Times New Roman" w:cs="Times New Roman"/>
          <w:b/>
          <w:color w:val="auto"/>
          <w:sz w:val="36"/>
          <w:szCs w:val="36"/>
          <w:highlight w:val="none"/>
          <w:lang w:val="en-US" w:eastAsia="zh-CN"/>
        </w:rPr>
      </w:pPr>
    </w:p>
    <w:p w14:paraId="455BC380">
      <w:pPr>
        <w:pStyle w:val="29"/>
        <w:tabs>
          <w:tab w:val="right" w:leader="dot" w:pos="9354"/>
        </w:tabs>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_Toc8946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w:t>
      </w:r>
      <w:r>
        <w:rPr>
          <w:rFonts w:hint="eastAsia" w:hAnsi="宋体" w:cs="宋体"/>
          <w:bCs/>
          <w:sz w:val="24"/>
          <w:szCs w:val="24"/>
          <w:highlight w:val="none"/>
          <w:lang w:val="en-US" w:eastAsia="zh-CN"/>
        </w:rPr>
        <w:t xml:space="preserve">  </w:t>
      </w:r>
      <w:r>
        <w:rPr>
          <w:rFonts w:hint="eastAsia" w:ascii="宋体" w:hAnsi="宋体" w:eastAsia="宋体" w:cs="宋体"/>
          <w:bCs w:val="0"/>
          <w:sz w:val="24"/>
          <w:szCs w:val="24"/>
          <w:highlight w:val="none"/>
          <w:lang w:val="en-US" w:eastAsia="zh-CN"/>
        </w:rPr>
        <w:t>General provisions</w:t>
      </w:r>
      <w:r>
        <w:rPr>
          <w:rFonts w:hint="eastAsia" w:ascii="宋体" w:hAnsi="宋体" w:eastAsia="宋体" w:cs="宋体"/>
          <w:sz w:val="24"/>
          <w:szCs w:val="24"/>
          <w:highlight w:val="none"/>
        </w:rPr>
        <w:tab/>
      </w:r>
      <w:r>
        <w:rPr>
          <w:rFonts w:hint="eastAsia" w:hAnsi="宋体" w:cs="宋体"/>
          <w:sz w:val="24"/>
          <w:szCs w:val="24"/>
          <w:highlight w:val="none"/>
          <w:lang w:val="en-US" w:eastAsia="zh-CN"/>
        </w:rPr>
        <w:t>6</w:t>
      </w:r>
      <w:r>
        <w:rPr>
          <w:rFonts w:hint="eastAsia" w:ascii="宋体" w:hAnsi="宋体" w:eastAsia="宋体" w:cs="宋体"/>
          <w:color w:val="auto"/>
          <w:sz w:val="24"/>
          <w:szCs w:val="24"/>
          <w:highlight w:val="none"/>
          <w:lang w:val="en-US" w:eastAsia="zh-CN"/>
        </w:rPr>
        <w:fldChar w:fldCharType="end"/>
      </w:r>
    </w:p>
    <w:p w14:paraId="62C97E62">
      <w:pPr>
        <w:pStyle w:val="29"/>
        <w:tabs>
          <w:tab w:val="right" w:leader="dot" w:pos="9354"/>
        </w:tabs>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_Toc8361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 xml:space="preserve">2 </w:t>
      </w:r>
      <w:r>
        <w:rPr>
          <w:rFonts w:hint="eastAsia" w:hAnsi="宋体" w:cs="宋体"/>
          <w:bCs/>
          <w:sz w:val="24"/>
          <w:szCs w:val="24"/>
          <w:highlight w:val="none"/>
          <w:lang w:val="en-US" w:eastAsia="zh-CN"/>
        </w:rPr>
        <w:t xml:space="preserve"> </w:t>
      </w:r>
      <w:r>
        <w:rPr>
          <w:rFonts w:hint="default" w:ascii="宋体" w:hAnsi="宋体" w:eastAsia="宋体" w:cs="宋体"/>
          <w:bCs w:val="0"/>
          <w:sz w:val="24"/>
          <w:szCs w:val="24"/>
          <w:highlight w:val="none"/>
          <w:lang w:val="en-US" w:eastAsia="zh-CN"/>
        </w:rPr>
        <w:t>Terms and Definitions</w:t>
      </w:r>
      <w:r>
        <w:rPr>
          <w:rFonts w:hint="eastAsia" w:ascii="宋体" w:hAnsi="宋体" w:eastAsia="宋体" w:cs="宋体"/>
          <w:sz w:val="24"/>
          <w:szCs w:val="24"/>
          <w:highlight w:val="none"/>
        </w:rPr>
        <w:tab/>
      </w:r>
      <w:r>
        <w:rPr>
          <w:rFonts w:hint="eastAsia" w:hAnsi="宋体" w:cs="宋体"/>
          <w:sz w:val="24"/>
          <w:szCs w:val="24"/>
          <w:highlight w:val="none"/>
          <w:lang w:val="en-US" w:eastAsia="zh-CN"/>
        </w:rPr>
        <w:t>7</w:t>
      </w:r>
      <w:r>
        <w:rPr>
          <w:rFonts w:hint="eastAsia" w:ascii="宋体" w:hAnsi="宋体" w:eastAsia="宋体" w:cs="宋体"/>
          <w:color w:val="auto"/>
          <w:sz w:val="24"/>
          <w:szCs w:val="24"/>
          <w:highlight w:val="none"/>
          <w:lang w:val="en-US" w:eastAsia="zh-CN"/>
        </w:rPr>
        <w:fldChar w:fldCharType="end"/>
      </w:r>
    </w:p>
    <w:p w14:paraId="6AA34623">
      <w:pPr>
        <w:pStyle w:val="29"/>
        <w:tabs>
          <w:tab w:val="right" w:leader="dot" w:pos="9354"/>
        </w:tabs>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_Toc32300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w:t>
      </w:r>
      <w:r>
        <w:rPr>
          <w:rFonts w:hint="eastAsia" w:hAnsi="宋体" w:cs="宋体"/>
          <w:sz w:val="24"/>
          <w:szCs w:val="24"/>
          <w:highlight w:val="none"/>
          <w:lang w:val="en-US" w:eastAsia="zh-CN"/>
        </w:rPr>
        <w:t xml:space="preserve"> </w:t>
      </w:r>
      <w:r>
        <w:rPr>
          <w:rFonts w:hint="eastAsia" w:ascii="宋体" w:hAnsi="宋体" w:eastAsia="宋体" w:cs="宋体"/>
          <w:bCs w:val="0"/>
          <w:sz w:val="24"/>
          <w:szCs w:val="24"/>
          <w:highlight w:val="none"/>
          <w:lang w:val="en-US" w:eastAsia="zh-CN"/>
        </w:rPr>
        <w:t>General management requirements</w:t>
      </w:r>
      <w:r>
        <w:rPr>
          <w:rFonts w:hint="eastAsia" w:ascii="宋体" w:hAnsi="宋体" w:eastAsia="宋体" w:cs="宋体"/>
          <w:sz w:val="24"/>
          <w:szCs w:val="24"/>
          <w:highlight w:val="none"/>
        </w:rPr>
        <w:tab/>
      </w:r>
      <w:r>
        <w:rPr>
          <w:rFonts w:hint="eastAsia" w:hAnsi="宋体" w:cs="宋体"/>
          <w:sz w:val="24"/>
          <w:szCs w:val="24"/>
          <w:highlight w:val="none"/>
          <w:lang w:val="en-US" w:eastAsia="zh-CN"/>
        </w:rPr>
        <w:t>8</w:t>
      </w:r>
      <w:r>
        <w:rPr>
          <w:rFonts w:hint="eastAsia" w:ascii="宋体" w:hAnsi="宋体" w:eastAsia="宋体" w:cs="宋体"/>
          <w:color w:val="auto"/>
          <w:sz w:val="24"/>
          <w:szCs w:val="24"/>
          <w:highlight w:val="none"/>
          <w:lang w:val="en-US" w:eastAsia="zh-CN"/>
        </w:rPr>
        <w:fldChar w:fldCharType="end"/>
      </w:r>
    </w:p>
    <w:p w14:paraId="17B6BCB4">
      <w:pPr>
        <w:pStyle w:val="32"/>
        <w:tabs>
          <w:tab w:val="right" w:leader="dot" w:pos="9354"/>
        </w:tabs>
        <w:ind w:firstLine="240" w:firstLineChars="10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_Toc21848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lang w:val="en-US"/>
        </w:rPr>
        <w:t>.1</w:t>
      </w:r>
      <w:r>
        <w:rPr>
          <w:rFonts w:hint="eastAsia" w:ascii="宋体" w:hAnsi="宋体" w:eastAsia="宋体" w:cs="宋体"/>
          <w:bCs/>
          <w:sz w:val="24"/>
          <w:szCs w:val="24"/>
          <w:highlight w:val="none"/>
        </w:rPr>
        <w:t xml:space="preserve">  Property service enterprises</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8</w:t>
      </w:r>
      <w:r>
        <w:rPr>
          <w:rFonts w:hint="eastAsia" w:ascii="宋体" w:hAnsi="宋体" w:eastAsia="宋体" w:cs="宋体"/>
          <w:color w:val="auto"/>
          <w:sz w:val="24"/>
          <w:szCs w:val="24"/>
          <w:highlight w:val="none"/>
          <w:lang w:val="en-US" w:eastAsia="zh-CN"/>
        </w:rPr>
        <w:fldChar w:fldCharType="end"/>
      </w:r>
    </w:p>
    <w:p w14:paraId="33629E88">
      <w:pPr>
        <w:pStyle w:val="32"/>
        <w:tabs>
          <w:tab w:val="right" w:leader="dot" w:pos="9354"/>
        </w:tabs>
        <w:ind w:firstLine="240" w:firstLineChars="10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_Toc26024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3.2  Service subcontract</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8</w:t>
      </w:r>
      <w:r>
        <w:rPr>
          <w:rFonts w:hint="eastAsia" w:ascii="宋体" w:hAnsi="宋体" w:eastAsia="宋体" w:cs="宋体"/>
          <w:color w:val="auto"/>
          <w:sz w:val="24"/>
          <w:szCs w:val="24"/>
          <w:highlight w:val="none"/>
          <w:lang w:val="en-US" w:eastAsia="zh-CN"/>
        </w:rPr>
        <w:fldChar w:fldCharType="end"/>
      </w:r>
    </w:p>
    <w:p w14:paraId="323E8E4E">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_Toc1135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3.3  Service place</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9</w:t>
      </w:r>
    </w:p>
    <w:p w14:paraId="5270E01F">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_Toc17761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3.4  Property service personnel</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9</w:t>
      </w:r>
    </w:p>
    <w:p w14:paraId="67F59E5C">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_Toc17766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 xml:space="preserve">3.5  </w:t>
      </w:r>
      <w:r>
        <w:rPr>
          <w:rFonts w:hint="eastAsia" w:ascii="宋体" w:hAnsi="宋体" w:cs="宋体"/>
          <w:bCs/>
          <w:sz w:val="24"/>
          <w:szCs w:val="24"/>
          <w:highlight w:val="none"/>
          <w:lang w:val="en-US" w:eastAsia="zh-CN"/>
        </w:rPr>
        <w:t>F</w:t>
      </w:r>
      <w:r>
        <w:rPr>
          <w:rFonts w:hint="eastAsia" w:ascii="宋体" w:hAnsi="宋体" w:eastAsia="宋体" w:cs="宋体"/>
          <w:bCs/>
          <w:sz w:val="24"/>
          <w:szCs w:val="24"/>
          <w:highlight w:val="none"/>
          <w:lang w:val="en-US" w:eastAsia="zh-CN"/>
        </w:rPr>
        <w:t xml:space="preserve">ile management </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0</w:t>
      </w:r>
    </w:p>
    <w:p w14:paraId="56B70CFC">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_Toc27830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 xml:space="preserve">3.6  Identification management </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1</w:t>
      </w:r>
    </w:p>
    <w:p w14:paraId="026A1670">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_Toc28891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 xml:space="preserve">3.7  </w:t>
      </w:r>
      <w:r>
        <w:rPr>
          <w:rFonts w:hint="eastAsia" w:ascii="宋体" w:hAnsi="宋体" w:eastAsia="宋体" w:cs="宋体"/>
          <w:bCs/>
          <w:kern w:val="2"/>
          <w:sz w:val="24"/>
          <w:szCs w:val="24"/>
          <w:highlight w:val="none"/>
          <w:lang w:val="en-US" w:eastAsia="zh-CN" w:bidi="ar-SA"/>
        </w:rPr>
        <w:t>Safety production management</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1185B078">
      <w:pPr>
        <w:pStyle w:val="32"/>
        <w:tabs>
          <w:tab w:val="right" w:leader="dot" w:pos="9354"/>
        </w:tabs>
        <w:ind w:firstLine="240" w:firstLineChars="1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_Toc26012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 xml:space="preserve">3.8  </w:t>
      </w:r>
      <w:r>
        <w:rPr>
          <w:rFonts w:hint="eastAsia" w:ascii="宋体" w:hAnsi="宋体" w:eastAsia="宋体" w:cs="宋体"/>
          <w:bCs/>
          <w:kern w:val="2"/>
          <w:sz w:val="24"/>
          <w:szCs w:val="24"/>
          <w:highlight w:val="none"/>
          <w:lang w:val="en-US" w:eastAsia="zh-CN" w:bidi="ar-SA"/>
        </w:rPr>
        <w:t>Smart management</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38ACA6AC">
      <w:pPr>
        <w:pStyle w:val="32"/>
        <w:tabs>
          <w:tab w:val="right" w:leader="dot" w:pos="9354"/>
        </w:tabs>
        <w:ind w:firstLine="240" w:firstLineChars="100"/>
        <w:rPr>
          <w:rFonts w:hint="default"/>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_Toc26012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kern w:val="2"/>
          <w:sz w:val="24"/>
          <w:szCs w:val="24"/>
          <w:highlight w:val="none"/>
          <w:lang w:val="en-US" w:eastAsia="zh-CN" w:bidi="ar-SA"/>
        </w:rPr>
        <w:t xml:space="preserve">Energy saving and consumption reduction </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3</w:t>
      </w:r>
    </w:p>
    <w:p w14:paraId="658C93C0">
      <w:pPr>
        <w:pStyle w:val="29"/>
        <w:tabs>
          <w:tab w:val="right" w:leader="dot" w:pos="9354"/>
        </w:tabs>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_Toc32300 </w:instrText>
      </w:r>
      <w:r>
        <w:rPr>
          <w:rFonts w:hint="eastAsia" w:ascii="宋体" w:hAnsi="宋体" w:eastAsia="宋体" w:cs="宋体"/>
          <w:sz w:val="24"/>
          <w:szCs w:val="24"/>
          <w:highlight w:val="none"/>
          <w:lang w:val="en-US" w:eastAsia="zh-CN"/>
        </w:rPr>
        <w:fldChar w:fldCharType="separate"/>
      </w:r>
      <w:r>
        <w:rPr>
          <w:rFonts w:hint="eastAsia" w:hAnsi="宋体" w:cs="宋体"/>
          <w:sz w:val="24"/>
          <w:szCs w:val="24"/>
          <w:highlight w:val="none"/>
          <w:lang w:val="en-US" w:eastAsia="zh-CN"/>
        </w:rPr>
        <w:t>4</w:t>
      </w:r>
      <w:r>
        <w:rPr>
          <w:rFonts w:hint="eastAsia" w:ascii="宋体" w:hAnsi="宋体" w:eastAsia="宋体" w:cs="宋体"/>
          <w:sz w:val="24"/>
          <w:szCs w:val="24"/>
          <w:highlight w:val="none"/>
        </w:rPr>
        <w:t xml:space="preserve"> </w:t>
      </w:r>
      <w:r>
        <w:rPr>
          <w:rFonts w:hint="eastAsia" w:hAnsi="宋体" w:cs="宋体"/>
          <w:sz w:val="24"/>
          <w:szCs w:val="24"/>
          <w:highlight w:val="none"/>
          <w:lang w:val="en-US" w:eastAsia="zh-CN"/>
        </w:rPr>
        <w:t xml:space="preserve"> </w:t>
      </w:r>
      <w:r>
        <w:rPr>
          <w:rFonts w:hint="eastAsia" w:ascii="宋体" w:hAnsi="宋体" w:eastAsia="宋体" w:cs="宋体"/>
          <w:bCs w:val="0"/>
          <w:sz w:val="24"/>
          <w:szCs w:val="24"/>
          <w:highlight w:val="none"/>
          <w:lang w:val="en-US" w:eastAsia="zh-CN"/>
        </w:rPr>
        <w:t>Confidentiality requirements</w:t>
      </w:r>
      <w:r>
        <w:rPr>
          <w:rFonts w:hint="eastAsia" w:ascii="宋体" w:hAnsi="宋体" w:eastAsia="宋体" w:cs="宋体"/>
          <w:sz w:val="24"/>
          <w:szCs w:val="24"/>
          <w:highlight w:val="none"/>
        </w:rPr>
        <w:tab/>
      </w:r>
      <w:r>
        <w:rPr>
          <w:rFonts w:hint="eastAsia"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4</w:t>
      </w:r>
    </w:p>
    <w:p w14:paraId="23BFC41D">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_Toc21848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kern w:val="0"/>
          <w:sz w:val="24"/>
          <w:szCs w:val="24"/>
          <w:highlight w:val="none"/>
          <w:lang w:val="en-US" w:eastAsia="zh-CN"/>
        </w:rPr>
        <w:t>4</w:t>
      </w:r>
      <w:r>
        <w:rPr>
          <w:rFonts w:hint="eastAsia" w:ascii="宋体" w:hAnsi="宋体" w:eastAsia="宋体" w:cs="宋体"/>
          <w:bCs/>
          <w:kern w:val="0"/>
          <w:sz w:val="24"/>
          <w:szCs w:val="24"/>
          <w:highlight w:val="none"/>
          <w:lang w:val="en-US"/>
        </w:rPr>
        <w:t>.1</w:t>
      </w:r>
      <w:r>
        <w:rPr>
          <w:rFonts w:hint="eastAsia" w:ascii="宋体" w:hAnsi="宋体" w:eastAsia="宋体" w:cs="宋体"/>
          <w:bCs/>
          <w:sz w:val="24"/>
          <w:szCs w:val="24"/>
          <w:highlight w:val="none"/>
        </w:rPr>
        <w:t xml:space="preserve">  Basic Requirements</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142A550E">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_Toc26024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en-US" w:eastAsia="zh-CN"/>
        </w:rPr>
        <w:t>.2  System management</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08A958A9">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_Toc1135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en-US" w:eastAsia="zh-CN"/>
        </w:rPr>
        <w:t>.3  Personnel Requirements</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3FDF7A1C">
      <w:pPr>
        <w:pStyle w:val="29"/>
        <w:tabs>
          <w:tab w:val="right" w:leader="dot" w:pos="9354"/>
        </w:tabs>
        <w:ind w:firstLine="240" w:firstLineChars="100"/>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_Toc17761 </w:instrText>
      </w:r>
      <w:r>
        <w:rPr>
          <w:rFonts w:hint="eastAsia" w:ascii="宋体" w:hAnsi="宋体" w:eastAsia="宋体" w:cs="宋体"/>
          <w:sz w:val="24"/>
          <w:szCs w:val="24"/>
          <w:highlight w:val="none"/>
          <w:lang w:val="en-US" w:eastAsia="zh-CN"/>
        </w:rPr>
        <w:fldChar w:fldCharType="separate"/>
      </w:r>
      <w:r>
        <w:rPr>
          <w:rFonts w:hint="eastAsia" w:hAnsi="宋体" w:cs="宋体"/>
          <w:bCs/>
          <w:sz w:val="24"/>
          <w:szCs w:val="24"/>
          <w:highlight w:val="none"/>
          <w:lang w:val="en-US" w:eastAsia="zh-CN"/>
        </w:rPr>
        <w:t>4</w:t>
      </w:r>
      <w:r>
        <w:rPr>
          <w:rFonts w:hint="eastAsia" w:ascii="宋体" w:hAnsi="宋体" w:eastAsia="宋体" w:cs="宋体"/>
          <w:bCs/>
          <w:sz w:val="24"/>
          <w:szCs w:val="24"/>
          <w:highlight w:val="none"/>
          <w:lang w:val="en-US" w:eastAsia="zh-CN"/>
        </w:rPr>
        <w:t>.4  Physical safety requirements</w:t>
      </w:r>
      <w:r>
        <w:rPr>
          <w:rFonts w:hint="eastAsia" w:ascii="宋体" w:hAnsi="宋体" w:eastAsia="宋体" w:cs="宋体"/>
          <w:sz w:val="24"/>
          <w:szCs w:val="24"/>
          <w:highlight w:val="none"/>
        </w:rPr>
        <w:tab/>
      </w:r>
      <w:r>
        <w:rPr>
          <w:rFonts w:hint="eastAsia"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4</w:t>
      </w:r>
    </w:p>
    <w:p w14:paraId="60919ECB">
      <w:pPr>
        <w:pStyle w:val="29"/>
        <w:tabs>
          <w:tab w:val="right" w:leader="dot" w:pos="9354"/>
        </w:tabs>
        <w:ind w:firstLine="240" w:firstLineChars="100"/>
        <w:rPr>
          <w:rFonts w:hint="default"/>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_Toc17761 </w:instrText>
      </w:r>
      <w:r>
        <w:rPr>
          <w:rFonts w:hint="eastAsia" w:ascii="宋体" w:hAnsi="宋体" w:eastAsia="宋体" w:cs="宋体"/>
          <w:sz w:val="24"/>
          <w:szCs w:val="24"/>
          <w:highlight w:val="none"/>
          <w:lang w:val="en-US" w:eastAsia="zh-CN"/>
        </w:rPr>
        <w:fldChar w:fldCharType="separate"/>
      </w:r>
      <w:r>
        <w:rPr>
          <w:rFonts w:hint="eastAsia" w:hAnsi="宋体" w:cs="宋体"/>
          <w:bCs/>
          <w:sz w:val="24"/>
          <w:szCs w:val="24"/>
          <w:highlight w:val="none"/>
          <w:lang w:val="en-US" w:eastAsia="zh-CN"/>
        </w:rPr>
        <w:t>4</w:t>
      </w:r>
      <w:r>
        <w:rPr>
          <w:rFonts w:hint="eastAsia" w:ascii="宋体" w:hAnsi="宋体" w:eastAsia="宋体" w:cs="宋体"/>
          <w:bCs/>
          <w:sz w:val="24"/>
          <w:szCs w:val="24"/>
          <w:highlight w:val="none"/>
          <w:lang w:val="en-US" w:eastAsia="zh-CN"/>
        </w:rPr>
        <w:t>.</w:t>
      </w:r>
      <w:r>
        <w:rPr>
          <w:rFonts w:hint="eastAsia"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 xml:space="preserve">  Data security management requirements</w:t>
      </w:r>
      <w:r>
        <w:rPr>
          <w:rFonts w:hint="eastAsia" w:ascii="宋体" w:hAnsi="宋体" w:eastAsia="宋体" w:cs="宋体"/>
          <w:sz w:val="24"/>
          <w:szCs w:val="24"/>
          <w:highlight w:val="none"/>
        </w:rPr>
        <w:tab/>
      </w:r>
      <w:r>
        <w:rPr>
          <w:rFonts w:hint="eastAsia"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5</w:t>
      </w:r>
    </w:p>
    <w:p w14:paraId="48D64AC8">
      <w:pPr>
        <w:pStyle w:val="29"/>
        <w:tabs>
          <w:tab w:val="right" w:leader="dot" w:pos="9354"/>
        </w:tabs>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_Toc30072 </w:instrText>
      </w:r>
      <w:r>
        <w:rPr>
          <w:rFonts w:hint="eastAsia" w:ascii="宋体" w:hAnsi="宋体" w:eastAsia="宋体" w:cs="宋体"/>
          <w:sz w:val="24"/>
          <w:szCs w:val="24"/>
          <w:highlight w:val="none"/>
          <w:lang w:val="en-US" w:eastAsia="zh-CN"/>
        </w:rPr>
        <w:fldChar w:fldCharType="separate"/>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 xml:space="preserve"> </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Comprehensive service requirements</w:t>
      </w:r>
      <w:r>
        <w:rPr>
          <w:rFonts w:hint="eastAsia" w:ascii="宋体" w:hAnsi="宋体" w:eastAsia="宋体" w:cs="宋体"/>
          <w:sz w:val="24"/>
          <w:szCs w:val="24"/>
          <w:highlight w:val="none"/>
        </w:rPr>
        <w:tab/>
      </w:r>
      <w:r>
        <w:rPr>
          <w:rFonts w:hint="eastAsia"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6</w:t>
      </w:r>
    </w:p>
    <w:p w14:paraId="7AC4F6A5">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_Toc26234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 xml:space="preserve">.1  Customer service </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6</w:t>
      </w:r>
    </w:p>
    <w:p w14:paraId="186D74E9">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_Toc26716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.2  Conference service</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7</w:t>
      </w:r>
    </w:p>
    <w:p w14:paraId="12372452">
      <w:pPr>
        <w:pStyle w:val="29"/>
        <w:tabs>
          <w:tab w:val="right" w:leader="dot" w:pos="9354"/>
        </w:tabs>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_Toc24435 </w:instrText>
      </w:r>
      <w:r>
        <w:rPr>
          <w:rFonts w:hint="eastAsia" w:ascii="宋体" w:hAnsi="宋体" w:eastAsia="宋体" w:cs="宋体"/>
          <w:sz w:val="24"/>
          <w:szCs w:val="24"/>
          <w:highlight w:val="none"/>
          <w:lang w:val="en-US" w:eastAsia="zh-CN"/>
        </w:rPr>
        <w:fldChar w:fldCharType="separate"/>
      </w:r>
      <w:r>
        <w:rPr>
          <w:rFonts w:hint="eastAsia" w:hAnsi="宋体" w:cs="宋体"/>
          <w:sz w:val="24"/>
          <w:szCs w:val="24"/>
          <w:highlight w:val="none"/>
          <w:lang w:val="en-US" w:eastAsia="zh-CN"/>
        </w:rPr>
        <w:t>6</w:t>
      </w:r>
      <w:r>
        <w:rPr>
          <w:rFonts w:hint="eastAsia" w:ascii="宋体" w:hAnsi="宋体" w:eastAsia="宋体" w:cs="宋体"/>
          <w:sz w:val="24"/>
          <w:szCs w:val="24"/>
          <w:highlight w:val="none"/>
          <w:lang w:val="en-US" w:eastAsia="zh-CN"/>
        </w:rPr>
        <w:t xml:space="preserve"> </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Cleaning service</w:t>
      </w:r>
      <w:r>
        <w:rPr>
          <w:rFonts w:hint="eastAsia" w:ascii="宋体" w:hAnsi="宋体" w:eastAsia="宋体" w:cs="宋体"/>
          <w:sz w:val="24"/>
          <w:szCs w:val="24"/>
          <w:highlight w:val="none"/>
        </w:rPr>
        <w:tab/>
      </w:r>
      <w:r>
        <w:rPr>
          <w:rFonts w:hint="eastAsia"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9</w:t>
      </w:r>
    </w:p>
    <w:p w14:paraId="43C81247">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_Toc3928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lang w:val="en-US" w:eastAsia="zh-CN"/>
        </w:rPr>
        <w:t xml:space="preserve">.1  Basic Requirements </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9</w:t>
      </w:r>
    </w:p>
    <w:p w14:paraId="50B88860">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_Toc12141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lang w:val="en-US" w:eastAsia="zh-CN"/>
        </w:rPr>
        <w:t>.2  Work safety</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9</w:t>
      </w:r>
    </w:p>
    <w:p w14:paraId="2BEA8AFF">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_Toc3088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lang w:val="en-US" w:eastAsia="zh-CN"/>
        </w:rPr>
        <w:t>.3  Office meeting room cleaning service</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9</w:t>
      </w:r>
    </w:p>
    <w:p w14:paraId="70E6E3F7">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_Toc6901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lang w:val="en-US" w:eastAsia="zh-CN"/>
        </w:rPr>
        <w:t>.4  Indoor cleaning requirements</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20</w:t>
      </w:r>
    </w:p>
    <w:p w14:paraId="6C36165F">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_Toc11656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lang w:val="en-US" w:eastAsia="zh-CN"/>
        </w:rPr>
        <w:t>.5  Outdoor cleaning requirements</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20</w:t>
      </w:r>
    </w:p>
    <w:p w14:paraId="17B9F895">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_Toc28411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lang w:val="en-US" w:eastAsia="zh-CN"/>
        </w:rPr>
        <w:t>.6  Special cleaning requirements</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21</w:t>
      </w:r>
    </w:p>
    <w:p w14:paraId="47CA43EA">
      <w:pPr>
        <w:pStyle w:val="32"/>
        <w:tabs>
          <w:tab w:val="right" w:leader="dot" w:pos="9354"/>
        </w:tabs>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_Toc23116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lang w:val="en-US" w:eastAsia="zh-CN"/>
        </w:rPr>
        <w:t xml:space="preserve">.7  </w:t>
      </w:r>
      <w:r>
        <w:rPr>
          <w:rFonts w:hint="eastAsia" w:ascii="宋体" w:hAnsi="宋体" w:eastAsia="宋体" w:cs="宋体"/>
          <w:color w:val="auto"/>
          <w:sz w:val="24"/>
          <w:szCs w:val="24"/>
          <w:highlight w:val="none"/>
          <w:lang w:val="en-US" w:eastAsia="zh-CN"/>
        </w:rPr>
        <w:t>High-level cleaning requirements</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22</w:t>
      </w:r>
    </w:p>
    <w:p w14:paraId="3CF33C8A">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_Toc23116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 xml:space="preserve">  Pest control requirements</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22</w:t>
      </w:r>
    </w:p>
    <w:p w14:paraId="108BB3B1">
      <w:pPr>
        <w:pStyle w:val="29"/>
        <w:tabs>
          <w:tab w:val="right" w:leader="dot" w:pos="9354"/>
        </w:tabs>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_Toc30100 </w:instrText>
      </w:r>
      <w:r>
        <w:rPr>
          <w:rFonts w:hint="eastAsia" w:ascii="宋体" w:hAnsi="宋体" w:eastAsia="宋体" w:cs="宋体"/>
          <w:sz w:val="24"/>
          <w:szCs w:val="24"/>
          <w:highlight w:val="none"/>
          <w:lang w:val="en-US" w:eastAsia="zh-CN"/>
        </w:rPr>
        <w:fldChar w:fldCharType="separate"/>
      </w:r>
      <w:r>
        <w:rPr>
          <w:rFonts w:hint="eastAsia" w:hAnsi="宋体" w:cs="宋体"/>
          <w:sz w:val="24"/>
          <w:szCs w:val="24"/>
          <w:highlight w:val="none"/>
          <w:lang w:val="en-US" w:eastAsia="zh-CN"/>
        </w:rPr>
        <w:t>7</w:t>
      </w:r>
      <w:r>
        <w:rPr>
          <w:rFonts w:hint="eastAsia" w:ascii="宋体" w:hAnsi="宋体" w:eastAsia="宋体" w:cs="宋体"/>
          <w:sz w:val="24"/>
          <w:szCs w:val="24"/>
          <w:highlight w:val="none"/>
          <w:lang w:val="en-US" w:eastAsia="zh-CN"/>
        </w:rPr>
        <w:t xml:space="preserve"> </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Greening and maintenance</w:t>
      </w:r>
      <w:r>
        <w:rPr>
          <w:rFonts w:hint="eastAsia" w:ascii="宋体" w:hAnsi="宋体" w:eastAsia="宋体" w:cs="宋体"/>
          <w:sz w:val="24"/>
          <w:szCs w:val="24"/>
          <w:highlight w:val="none"/>
        </w:rPr>
        <w:tab/>
      </w:r>
      <w:r>
        <w:rPr>
          <w:rFonts w:hint="eastAsia"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4</w:t>
      </w:r>
    </w:p>
    <w:p w14:paraId="0F61DF6A">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_Toc23365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lang w:val="en-US" w:eastAsia="zh-CN"/>
        </w:rPr>
        <w:t>.1  Basic Requirements</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631A9D4E">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_Toc10080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lang w:val="en-US" w:eastAsia="zh-CN"/>
        </w:rPr>
        <w:t>.2  Outdoor greening maintenance</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67324B7B">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_Toc15606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lang w:val="en-US" w:eastAsia="zh-CN"/>
        </w:rPr>
        <w:t>.3  Indoor greening maintenance</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38B25932">
      <w:pPr>
        <w:pStyle w:val="29"/>
        <w:tabs>
          <w:tab w:val="right" w:leader="dot" w:pos="9354"/>
        </w:tabs>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_Toc31279 </w:instrText>
      </w:r>
      <w:r>
        <w:rPr>
          <w:rFonts w:hint="eastAsia" w:ascii="宋体" w:hAnsi="宋体" w:eastAsia="宋体" w:cs="宋体"/>
          <w:sz w:val="24"/>
          <w:szCs w:val="24"/>
          <w:highlight w:val="none"/>
          <w:lang w:val="en-US" w:eastAsia="zh-CN"/>
        </w:rPr>
        <w:fldChar w:fldCharType="separate"/>
      </w:r>
      <w:r>
        <w:rPr>
          <w:rFonts w:hint="eastAsia" w:hAnsi="宋体" w:cs="宋体"/>
          <w:sz w:val="24"/>
          <w:szCs w:val="24"/>
          <w:highlight w:val="none"/>
          <w:lang w:val="en-US" w:eastAsia="zh-CN"/>
        </w:rPr>
        <w:t>8</w:t>
      </w:r>
      <w:r>
        <w:rPr>
          <w:rFonts w:hint="eastAsia" w:ascii="宋体" w:hAnsi="宋体" w:eastAsia="宋体" w:cs="宋体"/>
          <w:sz w:val="24"/>
          <w:szCs w:val="24"/>
          <w:highlight w:val="none"/>
          <w:lang w:val="en-US" w:eastAsia="zh-CN"/>
        </w:rPr>
        <w:t xml:space="preserve"> </w:t>
      </w:r>
      <w:r>
        <w:rPr>
          <w:rFonts w:hint="eastAsia" w:hAnsi="宋体" w:cs="宋体"/>
          <w:sz w:val="24"/>
          <w:szCs w:val="24"/>
          <w:highlight w:val="none"/>
          <w:lang w:val="en-US" w:eastAsia="zh-CN"/>
        </w:rPr>
        <w:t xml:space="preserve"> </w:t>
      </w:r>
      <w:r>
        <w:rPr>
          <w:rFonts w:hint="eastAsia" w:ascii="宋体" w:hAnsi="宋体" w:eastAsia="宋体" w:cs="宋体"/>
          <w:bCs/>
          <w:sz w:val="24"/>
          <w:szCs w:val="24"/>
          <w:highlight w:val="none"/>
          <w:lang w:val="en-US" w:eastAsia="zh-CN"/>
        </w:rPr>
        <w:t>Housing and facilities and equipment management</w:t>
      </w:r>
      <w:r>
        <w:rPr>
          <w:rFonts w:hint="eastAsia" w:ascii="宋体" w:hAnsi="宋体" w:eastAsia="宋体" w:cs="宋体"/>
          <w:sz w:val="24"/>
          <w:szCs w:val="24"/>
          <w:highlight w:val="none"/>
        </w:rPr>
        <w:tab/>
      </w:r>
      <w:r>
        <w:rPr>
          <w:rFonts w:hint="eastAsia"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6</w:t>
      </w:r>
    </w:p>
    <w:p w14:paraId="54F85BE6">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_Toc17797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.1  Basic Requirements</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6</w:t>
      </w:r>
    </w:p>
    <w:p w14:paraId="21DFA8F3">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_Toc9137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.2  Housing maintenance services</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6</w:t>
      </w:r>
    </w:p>
    <w:p w14:paraId="167C4430">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_Toc11538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.3  Facilities and equipment room management</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6</w:t>
      </w:r>
    </w:p>
    <w:p w14:paraId="6B7CCC31">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_Toc14320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.4  Power supply and distribution system</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7</w:t>
      </w:r>
    </w:p>
    <w:p w14:paraId="09045850">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_Toc10818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.5  Water supply and drainage system</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8</w:t>
      </w:r>
    </w:p>
    <w:p w14:paraId="2AEF037D">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_Toc17081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 xml:space="preserve">.6  Fire fighting device </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8</w:t>
      </w:r>
    </w:p>
    <w:p w14:paraId="112EFA1C">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_Toc29314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.7  Ventilation and air-conditioning system</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9</w:t>
      </w:r>
    </w:p>
    <w:p w14:paraId="6CB9FD92">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_Toc24907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.8  Elevator system</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0</w:t>
      </w:r>
    </w:p>
    <w:p w14:paraId="76A138FB">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_Toc7539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.9  Intelligent system</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1</w:t>
      </w:r>
    </w:p>
    <w:p w14:paraId="708F6B4D">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_Toc1695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 xml:space="preserve">.10  Security system </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31</w:t>
      </w:r>
    </w:p>
    <w:p w14:paraId="6B22D68F">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_Toc3232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 xml:space="preserve">.11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lang w:val="en-US" w:eastAsia="zh-CN"/>
        </w:rPr>
        <w:t>Conference equipment and facilities,network system,telephone system</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1</w:t>
      </w:r>
    </w:p>
    <w:p w14:paraId="1B5CDB31">
      <w:pPr>
        <w:pStyle w:val="32"/>
        <w:tabs>
          <w:tab w:val="right" w:leader="dot" w:pos="9354"/>
        </w:tabs>
        <w:ind w:firstLine="240" w:firstLineChars="1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_Toc9920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.12  Public lighting system</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5FFD0843">
      <w:pPr>
        <w:pStyle w:val="32"/>
        <w:tabs>
          <w:tab w:val="right" w:leader="dot" w:pos="9354"/>
        </w:tabs>
        <w:ind w:firstLine="240" w:firstLineChars="1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_Toc9920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 xml:space="preserve">  </w:t>
      </w:r>
      <w:r>
        <w:rPr>
          <w:rFonts w:hint="eastAsia" w:ascii="宋体" w:hAnsi="宋体" w:cs="宋体"/>
          <w:bCs/>
          <w:sz w:val="24"/>
          <w:szCs w:val="24"/>
          <w:highlight w:val="none"/>
          <w:lang w:val="en-US" w:eastAsia="zh-CN"/>
        </w:rPr>
        <w:t>C</w:t>
      </w:r>
      <w:r>
        <w:rPr>
          <w:rFonts w:hint="eastAsia" w:ascii="宋体" w:hAnsi="宋体" w:eastAsia="宋体" w:cs="宋体"/>
          <w:bCs/>
          <w:sz w:val="24"/>
          <w:szCs w:val="24"/>
          <w:highlight w:val="none"/>
          <w:lang w:val="en-US" w:eastAsia="zh-CN"/>
        </w:rPr>
        <w:t>ivil air defense project</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670E6585">
      <w:pPr>
        <w:pStyle w:val="32"/>
        <w:tabs>
          <w:tab w:val="right" w:leader="dot" w:pos="9354"/>
        </w:tabs>
        <w:ind w:firstLine="240" w:firstLineChars="100"/>
        <w:rPr>
          <w:rFonts w:hint="default"/>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_Toc9920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en-US" w:eastAsia="zh-CN"/>
        </w:rPr>
        <w:t xml:space="preserve">  New energy vehicle charging infrastructure</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26B9A898">
      <w:pPr>
        <w:pStyle w:val="29"/>
        <w:tabs>
          <w:tab w:val="right" w:leader="dot" w:pos="9354"/>
        </w:tabs>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_Toc16871 </w:instrText>
      </w:r>
      <w:r>
        <w:rPr>
          <w:rFonts w:hint="eastAsia" w:ascii="宋体" w:hAnsi="宋体" w:eastAsia="宋体" w:cs="宋体"/>
          <w:sz w:val="24"/>
          <w:szCs w:val="24"/>
          <w:highlight w:val="none"/>
          <w:lang w:val="en-US" w:eastAsia="zh-CN"/>
        </w:rPr>
        <w:fldChar w:fldCharType="separate"/>
      </w:r>
      <w:r>
        <w:rPr>
          <w:rFonts w:hint="eastAsia" w:hAnsi="宋体" w:cs="宋体"/>
          <w:sz w:val="24"/>
          <w:szCs w:val="24"/>
          <w:highlight w:val="none"/>
          <w:lang w:val="en-US" w:eastAsia="zh-CN"/>
        </w:rPr>
        <w:t>9</w:t>
      </w:r>
      <w:r>
        <w:rPr>
          <w:rFonts w:hint="eastAsia" w:ascii="宋体" w:hAnsi="宋体" w:eastAsia="宋体" w:cs="宋体"/>
          <w:sz w:val="24"/>
          <w:szCs w:val="24"/>
          <w:highlight w:val="none"/>
          <w:lang w:val="en-US" w:eastAsia="zh-CN"/>
        </w:rPr>
        <w:t xml:space="preserve"> </w:t>
      </w:r>
      <w:r>
        <w:rPr>
          <w:rFonts w:hint="eastAsia" w:hAnsi="宋体" w:cs="宋体"/>
          <w:sz w:val="24"/>
          <w:szCs w:val="24"/>
          <w:highlight w:val="none"/>
          <w:lang w:val="en-US" w:eastAsia="zh-CN"/>
        </w:rPr>
        <w:t xml:space="preserve"> </w:t>
      </w:r>
      <w:r>
        <w:rPr>
          <w:rFonts w:hint="eastAsia" w:ascii="宋体" w:hAnsi="宋体" w:eastAsia="宋体" w:cs="宋体"/>
          <w:bCs/>
          <w:sz w:val="24"/>
          <w:szCs w:val="24"/>
          <w:highlight w:val="none"/>
          <w:lang w:val="en-US" w:eastAsia="zh-CN"/>
        </w:rPr>
        <w:t>Safety service</w:t>
      </w:r>
      <w:r>
        <w:rPr>
          <w:rFonts w:hint="eastAsia" w:ascii="宋体" w:hAnsi="宋体" w:eastAsia="宋体" w:cs="宋体"/>
          <w:sz w:val="24"/>
          <w:szCs w:val="24"/>
          <w:highlight w:val="none"/>
        </w:rPr>
        <w:tab/>
      </w:r>
      <w:r>
        <w:rPr>
          <w:rFonts w:hint="eastAsia"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4</w:t>
      </w:r>
    </w:p>
    <w:p w14:paraId="2A33592B">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_Toc10763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eastAsia="zh-CN"/>
        </w:rPr>
        <w:t>.1  Basic Requirements</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34</w:t>
      </w:r>
    </w:p>
    <w:p w14:paraId="2DE5239E">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_Toc8774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eastAsia="zh-CN"/>
        </w:rPr>
        <w:t>.2  Access management</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3C0FC372">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_Toc23953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eastAsia="zh-CN"/>
        </w:rPr>
        <w:t xml:space="preserve">.3  Make one's rounds </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5</w:t>
      </w:r>
    </w:p>
    <w:p w14:paraId="08834A9A">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_Toc13627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eastAsia="zh-CN"/>
        </w:rPr>
        <w:t>.4  Vehicle parking management</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5</w:t>
      </w:r>
    </w:p>
    <w:p w14:paraId="218D3BE2">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_Toc28431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eastAsia="zh-CN"/>
        </w:rPr>
        <w:t>.5  Fire safety</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6</w:t>
      </w:r>
    </w:p>
    <w:p w14:paraId="1841E384">
      <w:pPr>
        <w:pStyle w:val="29"/>
        <w:tabs>
          <w:tab w:val="right" w:leader="dot" w:pos="9354"/>
        </w:tabs>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_Toc843 </w:instrText>
      </w:r>
      <w:r>
        <w:rPr>
          <w:rFonts w:hint="eastAsia" w:ascii="宋体" w:hAnsi="宋体" w:eastAsia="宋体" w:cs="宋体"/>
          <w:sz w:val="24"/>
          <w:szCs w:val="24"/>
          <w:highlight w:val="none"/>
          <w:lang w:val="en-US" w:eastAsia="zh-CN"/>
        </w:rPr>
        <w:fldChar w:fldCharType="separate"/>
      </w:r>
      <w:r>
        <w:rPr>
          <w:rFonts w:hint="eastAsia" w:hAnsi="宋体" w:cs="宋体"/>
          <w:sz w:val="24"/>
          <w:szCs w:val="24"/>
          <w:highlight w:val="none"/>
          <w:lang w:val="en-US" w:eastAsia="zh-CN"/>
        </w:rPr>
        <w:t>10</w:t>
      </w:r>
      <w:r>
        <w:rPr>
          <w:rFonts w:hint="eastAsia" w:ascii="宋体" w:hAnsi="宋体" w:eastAsia="宋体" w:cs="宋体"/>
          <w:sz w:val="24"/>
          <w:szCs w:val="24"/>
          <w:highlight w:val="none"/>
          <w:lang w:val="en-US" w:eastAsia="zh-CN"/>
        </w:rPr>
        <w:t xml:space="preserve"> </w:t>
      </w:r>
      <w:r>
        <w:rPr>
          <w:rFonts w:hint="eastAsia" w:hAnsi="宋体" w:cs="宋体"/>
          <w:sz w:val="24"/>
          <w:szCs w:val="24"/>
          <w:highlight w:val="none"/>
          <w:lang w:val="en-US" w:eastAsia="zh-CN"/>
        </w:rPr>
        <w:t xml:space="preserve"> </w:t>
      </w:r>
      <w:r>
        <w:rPr>
          <w:rFonts w:hint="eastAsia" w:ascii="宋体" w:hAnsi="宋体" w:eastAsia="宋体" w:cs="宋体"/>
          <w:bCs/>
          <w:sz w:val="24"/>
          <w:szCs w:val="24"/>
          <w:highlight w:val="none"/>
          <w:lang w:val="en-US" w:eastAsia="zh-CN"/>
        </w:rPr>
        <w:t>Emergency management</w:t>
      </w:r>
      <w:r>
        <w:rPr>
          <w:rFonts w:hint="eastAsia" w:ascii="宋体" w:hAnsi="宋体" w:eastAsia="宋体" w:cs="宋体"/>
          <w:sz w:val="24"/>
          <w:szCs w:val="24"/>
          <w:highlight w:val="none"/>
        </w:rPr>
        <w:tab/>
      </w:r>
      <w:r>
        <w:rPr>
          <w:rFonts w:hint="eastAsia"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8</w:t>
      </w:r>
    </w:p>
    <w:p w14:paraId="20B1A300">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_Toc13540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lang w:val="en-US" w:eastAsia="zh-CN"/>
        </w:rPr>
        <w:t>.1  Public health emergency management</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8</w:t>
      </w:r>
    </w:p>
    <w:p w14:paraId="68760D66">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_Toc31454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lang w:val="en-US" w:eastAsia="zh-CN"/>
        </w:rPr>
        <w:t>.2  Emergency response</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8</w:t>
      </w:r>
    </w:p>
    <w:p w14:paraId="4B3DC478">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_Toc26507 </w:instrText>
      </w:r>
      <w:r>
        <w:rPr>
          <w:rFonts w:hint="eastAsia" w:ascii="宋体" w:hAnsi="宋体" w:eastAsia="宋体" w:cs="宋体"/>
          <w:sz w:val="24"/>
          <w:szCs w:val="24"/>
          <w:highlight w:val="none"/>
          <w:lang w:val="en-US" w:eastAsia="zh-CN"/>
        </w:rPr>
        <w:fldChar w:fldCharType="separate"/>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lang w:val="en-US" w:eastAsia="zh-CN"/>
        </w:rPr>
        <w:t>.3  Emergency prevention against terrorism</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8</w:t>
      </w:r>
    </w:p>
    <w:p w14:paraId="42C45506">
      <w:pPr>
        <w:pStyle w:val="29"/>
        <w:tabs>
          <w:tab w:val="right" w:leader="dot" w:pos="9354"/>
        </w:tabs>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_Toc14563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1</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Additional professional services</w:t>
      </w:r>
      <w:r>
        <w:rPr>
          <w:rFonts w:hint="eastAsia" w:ascii="宋体" w:hAnsi="宋体" w:eastAsia="宋体" w:cs="宋体"/>
          <w:sz w:val="24"/>
          <w:szCs w:val="24"/>
          <w:highlight w:val="none"/>
        </w:rPr>
        <w:tab/>
      </w:r>
      <w:r>
        <w:rPr>
          <w:rFonts w:hint="eastAsia" w:hAnsi="宋体" w:cs="宋体"/>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0</w:t>
      </w:r>
    </w:p>
    <w:p w14:paraId="4AC52ACE">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_Toc17712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.1  Catering services</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0</w:t>
      </w:r>
    </w:p>
    <w:p w14:paraId="4CA0BCEE">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_Toc3069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 xml:space="preserve">.2  </w:t>
      </w:r>
      <w:r>
        <w:rPr>
          <w:rFonts w:hint="eastAsia" w:ascii="宋体" w:hAnsi="宋体" w:eastAsia="宋体" w:cs="宋体"/>
          <w:sz w:val="24"/>
          <w:szCs w:val="24"/>
          <w:highlight w:val="none"/>
          <w:lang w:val="en-US" w:eastAsia="zh-CN"/>
        </w:rPr>
        <w:t>Apartment or hostel service</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0</w:t>
      </w:r>
    </w:p>
    <w:p w14:paraId="18BD7293">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_Toc28261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 xml:space="preserve">.3  </w:t>
      </w:r>
      <w:r>
        <w:rPr>
          <w:rFonts w:hint="eastAsia" w:ascii="宋体" w:hAnsi="宋体" w:eastAsia="宋体" w:cs="宋体"/>
          <w:sz w:val="24"/>
          <w:szCs w:val="24"/>
          <w:highlight w:val="none"/>
          <w:lang w:val="en-US" w:eastAsia="zh-CN"/>
        </w:rPr>
        <w:t>Service for cultural and recreational activities</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1</w:t>
      </w:r>
    </w:p>
    <w:p w14:paraId="5582B430">
      <w:pPr>
        <w:pStyle w:val="29"/>
        <w:tabs>
          <w:tab w:val="right" w:leader="dot" w:pos="9354"/>
        </w:tabs>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_Toc16172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1</w:t>
      </w:r>
      <w:r>
        <w:rPr>
          <w:rFonts w:hint="eastAsia" w:hAnsi="宋体" w:cs="宋体"/>
          <w:sz w:val="24"/>
          <w:szCs w:val="24"/>
          <w:highlight w:val="none"/>
          <w:lang w:val="en-US" w:eastAsia="zh-CN"/>
        </w:rPr>
        <w:t xml:space="preserve">2 </w:t>
      </w:r>
      <w:r>
        <w:rPr>
          <w:rFonts w:hint="eastAsia" w:ascii="宋体" w:hAnsi="宋体" w:eastAsia="宋体" w:cs="宋体"/>
          <w:sz w:val="24"/>
          <w:szCs w:val="24"/>
          <w:highlight w:val="none"/>
          <w:lang w:val="en-US" w:eastAsia="zh-CN"/>
        </w:rPr>
        <w:t xml:space="preserve"> </w:t>
      </w:r>
      <w:r>
        <w:rPr>
          <w:rFonts w:hint="eastAsia" w:ascii="宋体" w:hAnsi="宋体" w:eastAsia="宋体" w:cs="宋体"/>
          <w:bCs/>
          <w:sz w:val="24"/>
          <w:szCs w:val="24"/>
          <w:highlight w:val="none"/>
          <w:lang w:val="en-US" w:eastAsia="zh-CN"/>
        </w:rPr>
        <w:t>Special service</w:t>
      </w:r>
      <w:r>
        <w:rPr>
          <w:rFonts w:hint="eastAsia" w:ascii="宋体" w:hAnsi="宋体" w:eastAsia="宋体" w:cs="宋体"/>
          <w:sz w:val="24"/>
          <w:szCs w:val="24"/>
          <w:highlight w:val="none"/>
        </w:rPr>
        <w:tab/>
      </w:r>
      <w:r>
        <w:rPr>
          <w:rFonts w:hint="eastAsia" w:hAnsi="宋体" w:cs="宋体"/>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2</w:t>
      </w:r>
    </w:p>
    <w:p w14:paraId="0D1D5B8E">
      <w:pPr>
        <w:pStyle w:val="29"/>
        <w:tabs>
          <w:tab w:val="right" w:leader="dot" w:pos="9354"/>
        </w:tabs>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_Toc4400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1</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hAnsi="宋体" w:cs="宋体"/>
          <w:sz w:val="24"/>
          <w:szCs w:val="24"/>
          <w:highlight w:val="none"/>
          <w:lang w:val="en-US" w:eastAsia="zh-CN"/>
        </w:rPr>
        <w:t xml:space="preserve"> </w:t>
      </w:r>
      <w:r>
        <w:rPr>
          <w:rFonts w:hint="eastAsia" w:ascii="宋体" w:hAnsi="宋体" w:eastAsia="宋体" w:cs="宋体"/>
          <w:bCs w:val="0"/>
          <w:sz w:val="24"/>
          <w:szCs w:val="24"/>
          <w:highlight w:val="none"/>
          <w:lang w:val="en-US" w:eastAsia="zh-CN"/>
        </w:rPr>
        <w:t>Service supervision and improvement</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43</w:t>
      </w:r>
    </w:p>
    <w:p w14:paraId="7B929A80">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_Toc6858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.1  Complaint settling</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43</w:t>
      </w:r>
    </w:p>
    <w:p w14:paraId="42533E7C">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_Toc15231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.2  Satisfaction survey</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43</w:t>
      </w:r>
    </w:p>
    <w:p w14:paraId="23B9E9CB">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_Toc11142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.3  Supervision and inspection</w:t>
      </w:r>
      <w:r>
        <w:rPr>
          <w:rFonts w:hint="eastAsia" w:ascii="宋体" w:hAnsi="宋体" w:eastAsia="宋体" w:cs="宋体"/>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43</w:t>
      </w:r>
    </w:p>
    <w:p w14:paraId="0EC79DEB">
      <w:pPr>
        <w:pStyle w:val="32"/>
        <w:tabs>
          <w:tab w:val="right" w:leader="dot" w:pos="9354"/>
        </w:tabs>
        <w:ind w:firstLine="240" w:firstLineChars="100"/>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_Toc1260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.4  Continuous improvement</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03626A6E">
      <w:pPr>
        <w:pStyle w:val="29"/>
        <w:tabs>
          <w:tab w:val="right" w:leader="dot" w:pos="9354"/>
        </w:tabs>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_Toc23674 </w:instrText>
      </w:r>
      <w:r>
        <w:rPr>
          <w:rFonts w:hint="eastAsia" w:ascii="宋体" w:hAnsi="宋体" w:eastAsia="宋体" w:cs="宋体"/>
          <w:sz w:val="24"/>
          <w:szCs w:val="24"/>
          <w:highlight w:val="none"/>
          <w:lang w:val="en-US" w:eastAsia="zh-CN"/>
        </w:rPr>
        <w:fldChar w:fldCharType="separate"/>
      </w:r>
      <w:r>
        <w:rPr>
          <w:rFonts w:hint="default" w:ascii="宋体" w:hAnsi="宋体" w:eastAsia="宋体" w:cs="宋体"/>
          <w:bCs/>
          <w:kern w:val="2"/>
          <w:sz w:val="24"/>
          <w:szCs w:val="24"/>
          <w:highlight w:val="none"/>
          <w:lang w:val="en-US" w:eastAsia="zh-CN" w:bidi="ar-SA"/>
        </w:rPr>
        <w:t>List of Referenced Standards</w:t>
      </w:r>
      <w:r>
        <w:rPr>
          <w:rFonts w:hint="eastAsia" w:ascii="宋体" w:hAnsi="宋体" w:eastAsia="宋体" w:cs="宋体"/>
          <w:sz w:val="24"/>
          <w:szCs w:val="24"/>
          <w:highlight w:val="none"/>
        </w:rPr>
        <w:tab/>
      </w:r>
      <w:r>
        <w:rPr>
          <w:rFonts w:hint="eastAsia" w:hAnsi="宋体" w:cs="宋体"/>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6</w:t>
      </w:r>
    </w:p>
    <w:p w14:paraId="577F4743">
      <w:pPr>
        <w:pStyle w:val="29"/>
        <w:tabs>
          <w:tab w:val="right" w:leader="dot" w:pos="9354"/>
        </w:tabs>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_Toc23674 </w:instrText>
      </w:r>
      <w:r>
        <w:rPr>
          <w:rFonts w:hint="eastAsia" w:ascii="宋体" w:hAnsi="宋体" w:eastAsia="宋体" w:cs="宋体"/>
          <w:sz w:val="24"/>
          <w:szCs w:val="24"/>
          <w:highlight w:val="none"/>
          <w:lang w:val="en-US" w:eastAsia="zh-CN"/>
        </w:rPr>
        <w:fldChar w:fldCharType="separate"/>
      </w:r>
      <w:r>
        <w:rPr>
          <w:rFonts w:hint="default" w:ascii="宋体" w:hAnsi="宋体" w:eastAsia="宋体" w:cs="宋体"/>
          <w:bCs/>
          <w:kern w:val="2"/>
          <w:sz w:val="24"/>
          <w:szCs w:val="24"/>
          <w:highlight w:val="none"/>
          <w:lang w:val="en-US" w:eastAsia="zh-CN" w:bidi="ar-SA"/>
        </w:rPr>
        <w:t>Appendix A Cleaning service contents and requirements</w:t>
      </w:r>
      <w:r>
        <w:rPr>
          <w:rFonts w:hint="eastAsia" w:ascii="宋体" w:hAnsi="宋体" w:eastAsia="宋体" w:cs="宋体"/>
          <w:sz w:val="24"/>
          <w:szCs w:val="24"/>
          <w:highlight w:val="none"/>
        </w:rPr>
        <w:tab/>
      </w:r>
      <w:r>
        <w:rPr>
          <w:rFonts w:hint="eastAsia" w:hAnsi="宋体" w:cs="宋体"/>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7</w:t>
      </w:r>
    </w:p>
    <w:p w14:paraId="4089C78C">
      <w:pPr>
        <w:pStyle w:val="29"/>
        <w:tabs>
          <w:tab w:val="right" w:leader="dot" w:pos="9354"/>
        </w:tabs>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_Toc18941 </w:instrText>
      </w:r>
      <w:r>
        <w:rPr>
          <w:rFonts w:hint="eastAsia" w:ascii="宋体" w:hAnsi="宋体" w:eastAsia="宋体" w:cs="宋体"/>
          <w:sz w:val="24"/>
          <w:szCs w:val="24"/>
          <w:highlight w:val="none"/>
          <w:lang w:val="en-US" w:eastAsia="zh-CN"/>
        </w:rPr>
        <w:fldChar w:fldCharType="separate"/>
      </w:r>
      <w:r>
        <w:rPr>
          <w:rFonts w:hint="default" w:ascii="宋体" w:hAnsi="宋体" w:eastAsia="宋体" w:cs="宋体"/>
          <w:bCs/>
          <w:kern w:val="2"/>
          <w:sz w:val="24"/>
          <w:szCs w:val="24"/>
          <w:highlight w:val="none"/>
          <w:lang w:val="en-US" w:eastAsia="zh-CN" w:bidi="ar-SA"/>
        </w:rPr>
        <w:t>Explanation of Articles</w:t>
      </w:r>
      <w:r>
        <w:rPr>
          <w:rFonts w:hint="eastAsia" w:ascii="宋体" w:hAnsi="宋体" w:eastAsia="宋体" w:cs="宋体"/>
          <w:sz w:val="24"/>
          <w:szCs w:val="24"/>
          <w:highlight w:val="none"/>
        </w:rPr>
        <w:tab/>
      </w:r>
      <w:r>
        <w:rPr>
          <w:rFonts w:hint="eastAsia" w:hAnsi="宋体" w:cs="宋体"/>
          <w:sz w:val="24"/>
          <w:szCs w:val="24"/>
          <w:highlight w:val="none"/>
          <w:lang w:val="en-US" w:eastAsia="zh-CN"/>
        </w:rPr>
        <w:t>5</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0</w:t>
      </w:r>
    </w:p>
    <w:p w14:paraId="61BCA417">
      <w:pPr>
        <w:rPr>
          <w:rFonts w:hint="default"/>
          <w:highlight w:val="none"/>
          <w:lang w:val="en-US"/>
        </w:rPr>
      </w:pPr>
    </w:p>
    <w:p w14:paraId="769399C7">
      <w:pPr>
        <w:pStyle w:val="62"/>
        <w:numPr>
          <w:ilvl w:val="0"/>
          <w:numId w:val="0"/>
        </w:numPr>
        <w:spacing w:before="850" w:beforeLines="0" w:after="680" w:afterLines="0"/>
        <w:jc w:val="both"/>
        <w:outlineLvl w:val="9"/>
        <w:rPr>
          <w:rFonts w:hint="eastAsia"/>
          <w:color w:val="auto"/>
          <w:sz w:val="32"/>
          <w:szCs w:val="52"/>
          <w:highlight w:val="none"/>
          <w:lang w:eastAsia="zh-CN"/>
        </w:rPr>
      </w:pPr>
    </w:p>
    <w:p w14:paraId="7BB1FC5B">
      <w:pPr>
        <w:pStyle w:val="59"/>
        <w:keepNext w:val="0"/>
        <w:keepLines w:val="0"/>
        <w:pageBreakBefore w:val="0"/>
        <w:widowControl/>
        <w:kinsoku/>
        <w:wordWrap/>
        <w:overflowPunct/>
        <w:topLinePunct w:val="0"/>
        <w:autoSpaceDE w:val="0"/>
        <w:autoSpaceDN w:val="0"/>
        <w:bidi w:val="0"/>
        <w:adjustRightInd/>
        <w:snapToGrid/>
        <w:ind w:firstLine="0" w:firstLineChars="0"/>
        <w:jc w:val="both"/>
        <w:textAlignment w:val="auto"/>
        <w:rPr>
          <w:rFonts w:hint="eastAsia" w:hAnsi="宋体" w:cs="Arial"/>
          <w:b/>
          <w:bCs/>
          <w:color w:val="auto"/>
          <w:sz w:val="30"/>
          <w:szCs w:val="30"/>
          <w:highlight w:val="none"/>
          <w:lang w:val="en-US" w:eastAsia="zh-CN"/>
        </w:rPr>
        <w:sectPr>
          <w:footerReference r:id="rId9" w:type="default"/>
          <w:footerReference r:id="rId10" w:type="even"/>
          <w:pgSz w:w="11906" w:h="16838"/>
          <w:pgMar w:top="1417" w:right="1134" w:bottom="1134" w:left="1418" w:header="57" w:footer="737" w:gutter="0"/>
          <w:pgBorders>
            <w:top w:val="none" w:sz="0" w:space="0"/>
            <w:left w:val="none" w:sz="0" w:space="0"/>
            <w:bottom w:val="none" w:sz="0" w:space="0"/>
            <w:right w:val="none" w:sz="0" w:space="0"/>
          </w:pgBorders>
          <w:pgNumType w:fmt="decimal" w:start="1"/>
          <w:cols w:space="720" w:num="1"/>
          <w:formProt w:val="0"/>
          <w:docGrid w:type="linesAndChars" w:linePitch="312" w:charSpace="0"/>
        </w:sectPr>
      </w:pPr>
    </w:p>
    <w:p w14:paraId="544080B2">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0"/>
        <w:rPr>
          <w:rFonts w:hint="eastAsia" w:hAnsi="宋体" w:cs="Arial"/>
          <w:b/>
          <w:bCs/>
          <w:color w:val="auto"/>
          <w:sz w:val="30"/>
          <w:szCs w:val="30"/>
          <w:highlight w:val="none"/>
          <w:lang w:val="en-US" w:eastAsia="zh-CN"/>
        </w:rPr>
      </w:pPr>
      <w:bookmarkStart w:id="39" w:name="_Toc17007"/>
      <w:bookmarkStart w:id="40" w:name="_Toc26709"/>
      <w:bookmarkStart w:id="41" w:name="_Toc7655"/>
      <w:bookmarkStart w:id="42" w:name="_Toc21848"/>
      <w:bookmarkStart w:id="43" w:name="_Toc12095"/>
      <w:r>
        <w:rPr>
          <w:rFonts w:hint="default" w:ascii="Times New Roman" w:hAnsi="Times New Roman" w:cs="Times New Roman"/>
          <w:b/>
          <w:bCs/>
          <w:color w:val="auto"/>
          <w:sz w:val="30"/>
          <w:szCs w:val="30"/>
          <w:highlight w:val="none"/>
          <w:lang w:val="en-US" w:eastAsia="zh-CN"/>
        </w:rPr>
        <w:t xml:space="preserve">1 </w:t>
      </w:r>
      <w:r>
        <w:rPr>
          <w:rFonts w:hint="eastAsia" w:hAnsi="宋体" w:cs="Arial"/>
          <w:b w:val="0"/>
          <w:bCs w:val="0"/>
          <w:color w:val="auto"/>
          <w:sz w:val="30"/>
          <w:szCs w:val="30"/>
          <w:highlight w:val="none"/>
          <w:lang w:val="en-US" w:eastAsia="zh-CN"/>
        </w:rPr>
        <w:t>总  则</w:t>
      </w:r>
      <w:bookmarkEnd w:id="39"/>
      <w:bookmarkEnd w:id="40"/>
      <w:bookmarkEnd w:id="41"/>
      <w:bookmarkEnd w:id="42"/>
      <w:bookmarkEnd w:id="43"/>
    </w:p>
    <w:p w14:paraId="65636510">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hAnsi="宋体" w:cs="Arial"/>
          <w:b/>
          <w:bCs/>
          <w:color w:val="auto"/>
          <w:sz w:val="30"/>
          <w:szCs w:val="30"/>
          <w:highlight w:val="none"/>
          <w:lang w:val="en-US" w:eastAsia="zh-CN"/>
        </w:rPr>
      </w:pPr>
    </w:p>
    <w:p w14:paraId="1A4F79B0">
      <w:pPr>
        <w:pStyle w:val="129"/>
        <w:spacing w:before="156" w:after="156"/>
        <w:rPr>
          <w:rFonts w:hint="eastAsia" w:eastAsia="宋体" w:cs="Times New Roman"/>
          <w:sz w:val="24"/>
          <w:szCs w:val="24"/>
          <w:highlight w:val="none"/>
        </w:rPr>
      </w:pPr>
      <w:r>
        <w:rPr>
          <w:rFonts w:hint="default" w:ascii="宋体" w:hAnsi="宋体" w:eastAsia="宋体" w:cs="宋体"/>
          <w:sz w:val="24"/>
          <w:szCs w:val="24"/>
          <w:highlight w:val="none"/>
          <w:lang w:val="en-US" w:eastAsia="zh-CN"/>
        </w:rPr>
        <w:t>为进一步加强和规范</w:t>
      </w:r>
      <w:r>
        <w:rPr>
          <w:rFonts w:hint="eastAsia" w:ascii="宋体" w:hAnsi="宋体" w:cs="宋体"/>
          <w:sz w:val="24"/>
          <w:szCs w:val="24"/>
          <w:highlight w:val="none"/>
          <w:lang w:val="en-US" w:eastAsia="zh-CN"/>
        </w:rPr>
        <w:t>党政机关办公区</w:t>
      </w:r>
      <w:r>
        <w:rPr>
          <w:rFonts w:hint="default" w:ascii="宋体" w:hAnsi="宋体" w:eastAsia="宋体" w:cs="宋体"/>
          <w:sz w:val="24"/>
          <w:szCs w:val="24"/>
          <w:highlight w:val="none"/>
          <w:lang w:val="en-US" w:eastAsia="zh-CN"/>
        </w:rPr>
        <w:t>物业服务工作，</w:t>
      </w:r>
      <w:r>
        <w:rPr>
          <w:rFonts w:hint="eastAsia" w:ascii="宋体" w:hAnsi="宋体" w:cs="宋体"/>
          <w:sz w:val="24"/>
          <w:szCs w:val="24"/>
          <w:highlight w:val="none"/>
          <w:lang w:val="en-US" w:eastAsia="zh-CN"/>
        </w:rPr>
        <w:t>通过编制严谨且</w:t>
      </w:r>
      <w:r>
        <w:rPr>
          <w:rFonts w:hint="default" w:ascii="宋体" w:hAnsi="宋体" w:eastAsia="宋体" w:cs="宋体"/>
          <w:sz w:val="24"/>
          <w:szCs w:val="24"/>
          <w:highlight w:val="none"/>
          <w:lang w:val="en-US" w:eastAsia="zh-CN"/>
        </w:rPr>
        <w:t>全面的物业服务规范</w:t>
      </w:r>
      <w:r>
        <w:rPr>
          <w:rFonts w:hint="eastAsia" w:ascii="宋体" w:hAnsi="宋体" w:cs="宋体"/>
          <w:sz w:val="24"/>
          <w:szCs w:val="24"/>
          <w:highlight w:val="none"/>
          <w:lang w:val="en-US" w:eastAsia="zh-CN"/>
        </w:rPr>
        <w:t>，为项目</w:t>
      </w:r>
      <w:r>
        <w:rPr>
          <w:rFonts w:hint="default" w:ascii="宋体" w:hAnsi="宋体" w:eastAsia="宋体" w:cs="宋体"/>
          <w:sz w:val="24"/>
          <w:szCs w:val="24"/>
          <w:highlight w:val="none"/>
          <w:lang w:val="en-US" w:eastAsia="zh-CN"/>
        </w:rPr>
        <w:t>建立系统性、严密性、科学性的日常服务</w:t>
      </w:r>
      <w:r>
        <w:rPr>
          <w:rFonts w:hint="eastAsia" w:ascii="宋体" w:hAnsi="宋体" w:cs="宋体"/>
          <w:sz w:val="24"/>
          <w:szCs w:val="24"/>
          <w:highlight w:val="none"/>
          <w:lang w:val="en-US" w:eastAsia="zh-CN"/>
        </w:rPr>
        <w:t>运营体系提供依据</w:t>
      </w:r>
      <w:r>
        <w:rPr>
          <w:rFonts w:hint="default"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从而提升机关办公区域物业服务与管理标准化</w:t>
      </w:r>
      <w:r>
        <w:rPr>
          <w:rFonts w:hint="eastAsia" w:eastAsia="宋体" w:cs="Times New Roman"/>
          <w:sz w:val="24"/>
          <w:szCs w:val="24"/>
          <w:highlight w:val="none"/>
        </w:rPr>
        <w:t>。</w:t>
      </w:r>
    </w:p>
    <w:p w14:paraId="79A43671">
      <w:pPr>
        <w:pStyle w:val="129"/>
        <w:spacing w:before="156" w:after="156"/>
        <w:rPr>
          <w:rFonts w:hint="eastAsia" w:eastAsia="宋体" w:cs="Times New Roman"/>
          <w:sz w:val="24"/>
          <w:szCs w:val="24"/>
          <w:highlight w:val="none"/>
        </w:rPr>
      </w:pPr>
      <w:r>
        <w:rPr>
          <w:rFonts w:hint="eastAsia" w:eastAsia="宋体" w:cs="Times New Roman"/>
          <w:sz w:val="24"/>
          <w:szCs w:val="24"/>
          <w:highlight w:val="none"/>
        </w:rPr>
        <w:t>本</w:t>
      </w:r>
      <w:r>
        <w:rPr>
          <w:rFonts w:hint="eastAsia" w:eastAsia="宋体" w:cs="Times New Roman"/>
          <w:sz w:val="24"/>
          <w:szCs w:val="24"/>
          <w:highlight w:val="none"/>
          <w:lang w:val="en-US" w:eastAsia="zh-CN"/>
        </w:rPr>
        <w:t>文件</w:t>
      </w:r>
      <w:r>
        <w:rPr>
          <w:rFonts w:hint="eastAsia" w:eastAsia="宋体" w:cs="Times New Roman"/>
          <w:sz w:val="24"/>
          <w:szCs w:val="24"/>
          <w:highlight w:val="none"/>
        </w:rPr>
        <w:t>规定了</w:t>
      </w:r>
      <w:r>
        <w:rPr>
          <w:rFonts w:hint="eastAsia" w:eastAsia="宋体" w:cs="Times New Roman"/>
          <w:sz w:val="24"/>
          <w:szCs w:val="24"/>
          <w:highlight w:val="none"/>
          <w:lang w:eastAsia="zh-CN"/>
        </w:rPr>
        <w:t>党政机关办公区物业服务的术语和定义、通用管理要求、</w:t>
      </w:r>
      <w:r>
        <w:rPr>
          <w:rFonts w:hint="eastAsia" w:cs="Times New Roman"/>
          <w:sz w:val="24"/>
          <w:szCs w:val="24"/>
          <w:highlight w:val="none"/>
          <w:lang w:val="en-US" w:eastAsia="zh-CN"/>
        </w:rPr>
        <w:t>保密要求、</w:t>
      </w:r>
      <w:r>
        <w:rPr>
          <w:rFonts w:hint="eastAsia" w:eastAsia="宋体" w:cs="Times New Roman"/>
          <w:sz w:val="24"/>
          <w:szCs w:val="24"/>
          <w:highlight w:val="none"/>
          <w:lang w:eastAsia="zh-CN"/>
        </w:rPr>
        <w:t>综合服务要求、保洁服务、绿化养护、房屋及设施设备管理、安全服务、应急管理、餐饮服务、</w:t>
      </w:r>
      <w:r>
        <w:rPr>
          <w:rFonts w:hint="eastAsia" w:cs="Times New Roman"/>
          <w:sz w:val="24"/>
          <w:szCs w:val="24"/>
          <w:highlight w:val="none"/>
          <w:lang w:val="en-US" w:eastAsia="zh-CN"/>
        </w:rPr>
        <w:t>公寓或招待所服务、</w:t>
      </w:r>
      <w:r>
        <w:rPr>
          <w:rFonts w:hint="eastAsia" w:eastAsia="宋体" w:cs="Times New Roman"/>
          <w:sz w:val="24"/>
          <w:szCs w:val="24"/>
          <w:highlight w:val="none"/>
          <w:lang w:eastAsia="zh-CN"/>
        </w:rPr>
        <w:t>文娱活动场所服务、特约服务、服务监督与改进。</w:t>
      </w:r>
    </w:p>
    <w:p w14:paraId="26D95FE4">
      <w:pPr>
        <w:pStyle w:val="129"/>
        <w:spacing w:before="156" w:after="156"/>
        <w:rPr>
          <w:rFonts w:hint="eastAsia" w:eastAsia="宋体" w:cs="Times New Roman"/>
          <w:sz w:val="24"/>
          <w:szCs w:val="24"/>
          <w:highlight w:val="none"/>
        </w:rPr>
      </w:pPr>
      <w:r>
        <w:rPr>
          <w:rFonts w:hint="eastAsia" w:eastAsia="宋体" w:cs="Times New Roman"/>
          <w:sz w:val="24"/>
          <w:szCs w:val="24"/>
          <w:highlight w:val="none"/>
          <w:lang w:eastAsia="zh-CN"/>
        </w:rPr>
        <w:t>党政机关办公区物业服务</w:t>
      </w:r>
      <w:r>
        <w:rPr>
          <w:rFonts w:hint="eastAsia" w:eastAsia="宋体" w:cs="Times New Roman"/>
          <w:sz w:val="24"/>
          <w:szCs w:val="24"/>
          <w:highlight w:val="none"/>
          <w:lang w:val="en-US" w:eastAsia="zh-CN"/>
        </w:rPr>
        <w:t>的管理，</w:t>
      </w:r>
      <w:r>
        <w:rPr>
          <w:rFonts w:hint="eastAsia" w:eastAsia="宋体" w:cs="Times New Roman"/>
          <w:sz w:val="24"/>
          <w:szCs w:val="24"/>
          <w:highlight w:val="none"/>
        </w:rPr>
        <w:t>除应执行本规程外，尚应符合国家、行业及广东省现行有关标准的规定。</w:t>
      </w:r>
    </w:p>
    <w:p w14:paraId="68926DF3">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26B8AD25">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6E44E6F9">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640BD563">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38C6BDA2">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1789EA1E">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1318F167">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727B2E88">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47A9A65C">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1F96AEE3">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12AB3DE9">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366F331A">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3EC3873B">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4E9B1E60">
      <w:pPr>
        <w:pStyle w:val="62"/>
        <w:numPr>
          <w:ilvl w:val="0"/>
          <w:numId w:val="0"/>
        </w:numPr>
        <w:spacing w:before="312" w:beforeLines="100" w:after="312" w:afterLines="100"/>
        <w:jc w:val="center"/>
        <w:outlineLvl w:val="0"/>
        <w:rPr>
          <w:rFonts w:hint="eastAsia" w:ascii="宋体" w:hAnsi="宋体" w:eastAsia="宋体" w:cs="宋体"/>
          <w:b/>
          <w:bCs/>
          <w:color w:val="auto"/>
          <w:sz w:val="30"/>
          <w:szCs w:val="30"/>
          <w:highlight w:val="none"/>
        </w:rPr>
      </w:pPr>
      <w:bookmarkStart w:id="44" w:name="_Toc24775"/>
      <w:bookmarkStart w:id="45" w:name="_Toc28989"/>
      <w:bookmarkStart w:id="46" w:name="_Toc18294"/>
      <w:bookmarkStart w:id="47" w:name="_Toc30798"/>
      <w:bookmarkStart w:id="48" w:name="_Toc10495"/>
      <w:r>
        <w:rPr>
          <w:rFonts w:hint="eastAsia" w:ascii="宋体" w:hAnsi="宋体" w:eastAsia="宋体" w:cs="宋体"/>
          <w:b/>
          <w:bCs/>
          <w:color w:val="auto"/>
          <w:sz w:val="30"/>
          <w:szCs w:val="30"/>
          <w:highlight w:val="none"/>
          <w:lang w:val="en-US" w:eastAsia="zh-CN"/>
        </w:rPr>
        <w:t xml:space="preserve">2 </w:t>
      </w:r>
      <w:r>
        <w:rPr>
          <w:rFonts w:hint="eastAsia" w:ascii="宋体" w:hAnsi="宋体" w:eastAsia="宋体" w:cs="宋体"/>
          <w:b w:val="0"/>
          <w:bCs w:val="0"/>
          <w:color w:val="auto"/>
          <w:sz w:val="30"/>
          <w:szCs w:val="30"/>
          <w:highlight w:val="none"/>
        </w:rPr>
        <w:t>术</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eastAsia="宋体" w:cs="宋体"/>
          <w:b w:val="0"/>
          <w:bCs w:val="0"/>
          <w:color w:val="auto"/>
          <w:sz w:val="30"/>
          <w:szCs w:val="30"/>
          <w:highlight w:val="none"/>
        </w:rPr>
        <w:t>语</w:t>
      </w:r>
      <w:bookmarkEnd w:id="44"/>
      <w:bookmarkEnd w:id="45"/>
      <w:bookmarkEnd w:id="46"/>
      <w:bookmarkEnd w:id="47"/>
      <w:bookmarkEnd w:id="48"/>
    </w:p>
    <w:p w14:paraId="3C813051">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9"/>
        <w:rPr>
          <w:rFonts w:hint="eastAsia" w:ascii="宋体" w:hAnsi="宋体" w:eastAsia="宋体" w:cs="宋体"/>
          <w:color w:val="auto"/>
          <w:sz w:val="24"/>
          <w:szCs w:val="24"/>
          <w:highlight w:val="none"/>
          <w:lang w:eastAsia="zh-CN"/>
        </w:rPr>
      </w:pPr>
      <w:bookmarkStart w:id="49" w:name="_Toc19614"/>
      <w:bookmarkStart w:id="50" w:name="_Toc4257"/>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物业服务 </w:t>
      </w:r>
      <w:r>
        <w:rPr>
          <w:rFonts w:hint="eastAsia" w:ascii="宋体" w:hAnsi="宋体" w:eastAsia="宋体" w:cs="宋体"/>
          <w:color w:val="auto"/>
          <w:sz w:val="24"/>
          <w:szCs w:val="24"/>
          <w:highlight w:val="none"/>
          <w:lang w:val="en-US" w:eastAsia="zh-CN"/>
        </w:rPr>
        <w:t xml:space="preserve"> </w:t>
      </w:r>
      <w:bookmarkEnd w:id="49"/>
      <w:r>
        <w:rPr>
          <w:rFonts w:hint="default" w:ascii="Times New Roman" w:hAnsi="Times New Roman" w:eastAsia="宋体" w:cs="Times New Roman"/>
          <w:color w:val="auto"/>
          <w:sz w:val="24"/>
          <w:szCs w:val="24"/>
          <w:highlight w:val="none"/>
          <w:lang w:eastAsia="zh-CN"/>
        </w:rPr>
        <w:t>property service</w:t>
      </w:r>
      <w:bookmarkEnd w:id="50"/>
    </w:p>
    <w:p w14:paraId="7507D016">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对物业管理服务区域内的建筑物、构筑物及其配套的设施设备和相关场地进行维修、养护、管理，维护环境卫生和相关秩序的活动。</w:t>
      </w:r>
    </w:p>
    <w:p w14:paraId="7AA73C7B">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 xml:space="preserve">2.0.2  </w:t>
      </w:r>
      <w:r>
        <w:rPr>
          <w:rFonts w:hint="eastAsia" w:ascii="宋体" w:hAnsi="宋体" w:eastAsia="宋体" w:cs="宋体"/>
          <w:color w:val="auto"/>
          <w:sz w:val="24"/>
          <w:szCs w:val="24"/>
          <w:highlight w:val="none"/>
        </w:rPr>
        <w:t>党政机关办公区</w:t>
      </w:r>
      <w:r>
        <w:rPr>
          <w:rFonts w:hint="eastAsia" w:ascii="宋体" w:hAnsi="宋体" w:eastAsia="宋体" w:cs="宋体"/>
          <w:color w:val="auto"/>
          <w:sz w:val="24"/>
          <w:szCs w:val="24"/>
          <w:highlight w:val="none"/>
          <w:lang w:val="en-US" w:eastAsia="zh-CN"/>
        </w:rPr>
        <w:t xml:space="preserve">  </w:t>
      </w:r>
      <w:r>
        <w:rPr>
          <w:rFonts w:hint="eastAsia" w:ascii="Times New Roman" w:cs="Times New Roman"/>
          <w:color w:val="auto"/>
          <w:sz w:val="24"/>
          <w:szCs w:val="24"/>
          <w:highlight w:val="none"/>
          <w:lang w:val="en-US" w:eastAsia="zh-CN"/>
        </w:rPr>
        <w:t>p</w:t>
      </w:r>
      <w:r>
        <w:rPr>
          <w:rFonts w:hint="eastAsia" w:ascii="Times New Roman" w:hAnsi="Times New Roman" w:eastAsia="宋体" w:cs="Times New Roman"/>
          <w:color w:val="auto"/>
          <w:sz w:val="24"/>
          <w:szCs w:val="24"/>
          <w:highlight w:val="none"/>
          <w:lang w:eastAsia="zh-CN"/>
        </w:rPr>
        <w:t>arty and government offices</w:t>
      </w:r>
    </w:p>
    <w:p w14:paraId="727DFCBC">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党政机关占有、使用或者可以确认属于机关资产的，为保障党政机关正常运行需要设置的办公场所。</w:t>
      </w:r>
    </w:p>
    <w:p w14:paraId="647B3729">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9"/>
        <w:rPr>
          <w:rFonts w:hint="eastAsia" w:ascii="宋体" w:hAnsi="宋体" w:eastAsia="宋体" w:cs="宋体"/>
          <w:color w:val="auto"/>
          <w:kern w:val="0"/>
          <w:sz w:val="24"/>
          <w:szCs w:val="24"/>
          <w:highlight w:val="none"/>
          <w:lang w:val="en-US" w:eastAsia="zh-CN"/>
        </w:rPr>
      </w:pPr>
      <w:bookmarkStart w:id="51" w:name="_Toc25530"/>
      <w:bookmarkStart w:id="52" w:name="_Toc15885"/>
      <w:r>
        <w:rPr>
          <w:rFonts w:hint="eastAsia" w:ascii="Times New Roman" w:hAnsi="Times New Roman" w:eastAsia="宋体" w:cs="Times New Roman"/>
          <w:b/>
          <w:bCs/>
          <w:color w:val="auto"/>
          <w:sz w:val="24"/>
          <w:szCs w:val="24"/>
          <w:highlight w:val="none"/>
          <w:lang w:val="en-US" w:eastAsia="zh-CN"/>
        </w:rPr>
        <w:t xml:space="preserve">2.0.3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 xml:space="preserve">物业使用单位  </w:t>
      </w:r>
      <w:bookmarkEnd w:id="51"/>
      <w:r>
        <w:rPr>
          <w:rFonts w:hint="eastAsia" w:ascii="Times New Roman" w:hAnsi="Times New Roman" w:eastAsia="宋体" w:cs="Times New Roman"/>
          <w:color w:val="auto"/>
          <w:sz w:val="24"/>
          <w:szCs w:val="24"/>
          <w:highlight w:val="none"/>
          <w:lang w:val="en-US" w:eastAsia="zh-CN"/>
        </w:rPr>
        <w:t>department of property use</w:t>
      </w:r>
      <w:bookmarkEnd w:id="52"/>
    </w:p>
    <w:p w14:paraId="0B058297">
      <w:pPr>
        <w:pStyle w:val="59"/>
        <w:keepNext w:val="0"/>
        <w:keepLines w:val="0"/>
        <w:pageBreakBefore w:val="0"/>
        <w:kinsoku/>
        <w:wordWrap/>
        <w:overflowPunct/>
        <w:topLinePunct w:val="0"/>
        <w:bidi w:val="0"/>
        <w:adjustRightInd/>
        <w:snapToGrid/>
        <w:spacing w:line="360" w:lineRule="auto"/>
        <w:ind w:firstLine="420" w:firstLineChars="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党政机关办公楼</w:t>
      </w:r>
      <w:r>
        <w:rPr>
          <w:rFonts w:hint="eastAsia"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区</w:t>
      </w:r>
      <w:r>
        <w:rPr>
          <w:rFonts w:hint="eastAsia"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的使用单位。</w:t>
      </w:r>
    </w:p>
    <w:p w14:paraId="3EF0023A">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9"/>
        <w:rPr>
          <w:rFonts w:hint="eastAsia" w:ascii="宋体" w:hAnsi="宋体" w:eastAsia="宋体" w:cs="宋体"/>
          <w:color w:val="auto"/>
          <w:kern w:val="2"/>
          <w:sz w:val="24"/>
          <w:szCs w:val="24"/>
          <w:highlight w:val="none"/>
          <w:lang w:val="en-US" w:eastAsia="zh-CN"/>
        </w:rPr>
      </w:pPr>
      <w:bookmarkStart w:id="53" w:name="_Toc11581"/>
      <w:bookmarkStart w:id="54" w:name="_Toc25722"/>
      <w:r>
        <w:rPr>
          <w:rFonts w:hint="eastAsia" w:ascii="Times New Roman" w:hAnsi="Times New Roman" w:eastAsia="宋体" w:cs="Times New Roman"/>
          <w:b/>
          <w:bCs/>
          <w:color w:val="auto"/>
          <w:sz w:val="24"/>
          <w:szCs w:val="24"/>
          <w:highlight w:val="none"/>
          <w:lang w:val="en-US" w:eastAsia="zh-CN"/>
        </w:rPr>
        <w:t xml:space="preserve">2.0.4  </w:t>
      </w:r>
      <w:r>
        <w:rPr>
          <w:rFonts w:hint="eastAsia" w:ascii="宋体" w:hAnsi="宋体" w:eastAsia="宋体" w:cs="宋体"/>
          <w:color w:val="auto"/>
          <w:kern w:val="2"/>
          <w:sz w:val="24"/>
          <w:szCs w:val="24"/>
          <w:highlight w:val="none"/>
          <w:lang w:val="en-US" w:eastAsia="zh-CN"/>
        </w:rPr>
        <w:t xml:space="preserve">消防设施  </w:t>
      </w:r>
      <w:bookmarkEnd w:id="53"/>
      <w:r>
        <w:rPr>
          <w:rFonts w:hint="eastAsia" w:ascii="Times New Roman" w:hAnsi="Times New Roman" w:eastAsia="宋体" w:cs="Times New Roman"/>
          <w:color w:val="auto"/>
          <w:sz w:val="24"/>
          <w:szCs w:val="24"/>
          <w:highlight w:val="none"/>
          <w:lang w:val="en-US" w:eastAsia="zh-CN"/>
        </w:rPr>
        <w:t>firefighting facilities</w:t>
      </w:r>
      <w:bookmarkEnd w:id="54"/>
    </w:p>
    <w:p w14:paraId="1E6F608F">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为保障防护对象的消防安全所配置的火灾自动报警系统、自动灭火系统、消火栓系统、防烟排烟系统以及应急广播和应急照明、安全疏散设施等。</w:t>
      </w:r>
    </w:p>
    <w:p w14:paraId="6D08B9F0">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9"/>
        <w:rPr>
          <w:rFonts w:hint="eastAsia" w:ascii="宋体" w:hAnsi="宋体" w:eastAsia="宋体" w:cs="宋体"/>
          <w:color w:val="auto"/>
          <w:kern w:val="2"/>
          <w:sz w:val="24"/>
          <w:szCs w:val="24"/>
          <w:highlight w:val="none"/>
          <w:lang w:val="en-US" w:eastAsia="zh-CN"/>
        </w:rPr>
      </w:pPr>
      <w:bookmarkStart w:id="55" w:name="_Toc13787"/>
      <w:bookmarkStart w:id="56" w:name="_Toc20883"/>
      <w:r>
        <w:rPr>
          <w:rFonts w:hint="eastAsia" w:ascii="Times New Roman" w:hAnsi="Times New Roman" w:eastAsia="宋体" w:cs="Times New Roman"/>
          <w:b/>
          <w:bCs/>
          <w:color w:val="auto"/>
          <w:sz w:val="24"/>
          <w:szCs w:val="24"/>
          <w:highlight w:val="none"/>
          <w:lang w:val="en-US" w:eastAsia="zh-CN"/>
        </w:rPr>
        <w:t xml:space="preserve">2.0.5  </w:t>
      </w:r>
      <w:r>
        <w:rPr>
          <w:rFonts w:hint="eastAsia" w:hAnsi="宋体" w:cs="宋体"/>
          <w:color w:val="auto"/>
          <w:kern w:val="2"/>
          <w:sz w:val="24"/>
          <w:szCs w:val="24"/>
          <w:highlight w:val="none"/>
          <w:lang w:val="en-US" w:eastAsia="zh-CN"/>
        </w:rPr>
        <w:t>安全技术防范系统</w:t>
      </w:r>
      <w:r>
        <w:rPr>
          <w:rFonts w:hint="eastAsia" w:ascii="宋体" w:hAnsi="宋体" w:eastAsia="宋体" w:cs="宋体"/>
          <w:color w:val="auto"/>
          <w:kern w:val="2"/>
          <w:sz w:val="24"/>
          <w:szCs w:val="24"/>
          <w:highlight w:val="none"/>
          <w:lang w:val="en-US" w:eastAsia="zh-CN"/>
        </w:rPr>
        <w:t xml:space="preserve">  </w:t>
      </w:r>
      <w:bookmarkEnd w:id="55"/>
      <w:r>
        <w:rPr>
          <w:rFonts w:hint="eastAsia" w:ascii="Times New Roman" w:hAnsi="Times New Roman" w:eastAsia="宋体" w:cs="Times New Roman"/>
          <w:color w:val="auto"/>
          <w:sz w:val="24"/>
          <w:szCs w:val="24"/>
          <w:highlight w:val="none"/>
          <w:lang w:val="en-US" w:eastAsia="zh-CN"/>
        </w:rPr>
        <w:t>security system</w:t>
      </w:r>
      <w:bookmarkEnd w:id="56"/>
    </w:p>
    <w:p w14:paraId="6CB8DDDD">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以公共安全为目的，综合运用实体防护、电子防护等技术构成的防范系统。</w:t>
      </w:r>
    </w:p>
    <w:p w14:paraId="41F1F3F7">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由安防综合管理系统（对各子系统进行管理和控制的系统）和相关子系统组成，子系统包括但不仅限于入侵报警系统、视频监控系统、出入口控制系统、电子巡查系统、停车库（场）管理系统、楼宇对讲系统。[来源</w:t>
      </w:r>
      <w:r>
        <w:rPr>
          <w:rFonts w:hint="eastAsia"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GB 50348-2018,2.0.5条和GB 51348-2019，14.1.2条,有修改]</w:t>
      </w:r>
    </w:p>
    <w:p w14:paraId="172A2158">
      <w:pPr>
        <w:pStyle w:val="59"/>
        <w:ind w:left="0" w:leftChars="0" w:firstLine="420" w:firstLineChars="200"/>
        <w:rPr>
          <w:rFonts w:hint="default" w:hAnsi="宋体" w:eastAsia="宋体" w:cs="Times New Roman"/>
          <w:color w:val="auto"/>
          <w:kern w:val="2"/>
          <w:sz w:val="21"/>
          <w:szCs w:val="21"/>
          <w:highlight w:val="none"/>
          <w:lang w:val="en-US" w:eastAsia="zh-CN"/>
        </w:rPr>
      </w:pPr>
    </w:p>
    <w:p w14:paraId="69F85570">
      <w:pPr>
        <w:pStyle w:val="59"/>
        <w:ind w:left="0" w:leftChars="0" w:firstLine="420" w:firstLineChars="200"/>
        <w:rPr>
          <w:rFonts w:hint="default" w:hAnsi="宋体" w:eastAsia="宋体" w:cs="Times New Roman"/>
          <w:color w:val="auto"/>
          <w:kern w:val="2"/>
          <w:sz w:val="21"/>
          <w:szCs w:val="21"/>
          <w:highlight w:val="none"/>
          <w:lang w:val="en-US" w:eastAsia="zh-CN"/>
        </w:rPr>
      </w:pPr>
    </w:p>
    <w:p w14:paraId="255363CA">
      <w:pPr>
        <w:pStyle w:val="59"/>
        <w:ind w:left="0" w:leftChars="0" w:firstLine="420" w:firstLineChars="200"/>
        <w:rPr>
          <w:rFonts w:hint="default" w:hAnsi="宋体" w:eastAsia="宋体" w:cs="Times New Roman"/>
          <w:color w:val="auto"/>
          <w:kern w:val="2"/>
          <w:sz w:val="21"/>
          <w:szCs w:val="21"/>
          <w:highlight w:val="none"/>
          <w:lang w:val="en-US" w:eastAsia="zh-CN"/>
        </w:rPr>
      </w:pPr>
    </w:p>
    <w:p w14:paraId="1B90314E">
      <w:pPr>
        <w:pStyle w:val="2"/>
        <w:keepNext w:val="0"/>
        <w:keepLines w:val="0"/>
        <w:pageBreakBefore/>
        <w:spacing w:line="240" w:lineRule="auto"/>
        <w:jc w:val="center"/>
        <w:rPr>
          <w:rFonts w:hint="eastAsia" w:eastAsia="宋体"/>
          <w:b w:val="0"/>
          <w:bCs w:val="0"/>
          <w:sz w:val="30"/>
          <w:highlight w:val="none"/>
        </w:rPr>
      </w:pPr>
      <w:bookmarkStart w:id="57" w:name="_Toc21639"/>
      <w:bookmarkStart w:id="58" w:name="_Toc25550"/>
      <w:bookmarkStart w:id="59" w:name="_Toc7287"/>
      <w:bookmarkStart w:id="60" w:name="_Toc28592"/>
      <w:bookmarkStart w:id="61" w:name="_Toc20947"/>
      <w:r>
        <w:rPr>
          <w:rFonts w:hint="eastAsia" w:eastAsia="宋体"/>
          <w:sz w:val="30"/>
          <w:highlight w:val="none"/>
          <w:lang w:val="en-US" w:eastAsia="zh-CN"/>
        </w:rPr>
        <w:t>3</w:t>
      </w:r>
      <w:r>
        <w:rPr>
          <w:rFonts w:hint="eastAsia" w:eastAsia="宋体"/>
          <w:sz w:val="30"/>
          <w:highlight w:val="none"/>
        </w:rPr>
        <w:t xml:space="preserve"> </w:t>
      </w:r>
      <w:r>
        <w:rPr>
          <w:rFonts w:hint="eastAsia" w:eastAsia="宋体"/>
          <w:b w:val="0"/>
          <w:bCs w:val="0"/>
          <w:sz w:val="30"/>
          <w:highlight w:val="none"/>
          <w:lang w:val="en-US" w:eastAsia="zh-CN"/>
        </w:rPr>
        <w:t>通用管理要求</w:t>
      </w:r>
      <w:bookmarkEnd w:id="57"/>
      <w:bookmarkEnd w:id="58"/>
      <w:bookmarkEnd w:id="59"/>
      <w:bookmarkEnd w:id="60"/>
      <w:bookmarkEnd w:id="61"/>
    </w:p>
    <w:p w14:paraId="6E80C44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rPr>
      </w:pPr>
      <w:bookmarkStart w:id="62" w:name="_Toc18269"/>
      <w:bookmarkStart w:id="63" w:name="_Toc21516"/>
      <w:bookmarkStart w:id="64" w:name="_Toc30041"/>
      <w:bookmarkStart w:id="65" w:name="_Toc28182"/>
      <w:bookmarkStart w:id="66" w:name="_Toc13700"/>
      <w:r>
        <w:rPr>
          <w:rFonts w:hint="default" w:ascii="Times New Roman" w:hAnsi="Times New Roman" w:eastAsia="宋体" w:cs="Times New Roman"/>
          <w:b/>
          <w:bCs/>
          <w:color w:val="auto"/>
          <w:kern w:val="0"/>
          <w:sz w:val="24"/>
          <w:szCs w:val="24"/>
          <w:highlight w:val="none"/>
          <w:lang w:val="en-US" w:eastAsia="zh-CN"/>
        </w:rPr>
        <w:t>3</w:t>
      </w:r>
      <w:r>
        <w:rPr>
          <w:rFonts w:hint="default" w:ascii="Times New Roman" w:hAnsi="Times New Roman" w:eastAsia="宋体" w:cs="Times New Roman"/>
          <w:b/>
          <w:bCs/>
          <w:color w:val="auto"/>
          <w:kern w:val="0"/>
          <w:sz w:val="24"/>
          <w:szCs w:val="24"/>
          <w:highlight w:val="none"/>
          <w:lang w:val="en-US"/>
        </w:rPr>
        <w:t>.1</w:t>
      </w:r>
      <w:r>
        <w:rPr>
          <w:rFonts w:hint="default" w:ascii="Times New Roman" w:hAnsi="Times New Roman" w:eastAsia="宋体" w:cs="Times New Roman"/>
          <w:b/>
          <w:bCs/>
          <w:color w:val="auto"/>
          <w:sz w:val="24"/>
          <w:szCs w:val="24"/>
          <w:highlight w:val="none"/>
        </w:rPr>
        <w:t xml:space="preserve">  </w:t>
      </w:r>
      <w:r>
        <w:rPr>
          <w:rFonts w:hint="eastAsia" w:ascii="宋体" w:hAnsi="宋体" w:eastAsia="宋体" w:cs="宋体"/>
          <w:b/>
          <w:bCs/>
          <w:color w:val="auto"/>
          <w:sz w:val="24"/>
          <w:szCs w:val="24"/>
          <w:highlight w:val="none"/>
        </w:rPr>
        <w:t>物业服务企业</w:t>
      </w:r>
      <w:bookmarkEnd w:id="62"/>
      <w:bookmarkEnd w:id="63"/>
      <w:bookmarkEnd w:id="64"/>
      <w:bookmarkEnd w:id="65"/>
      <w:bookmarkEnd w:id="66"/>
    </w:p>
    <w:p w14:paraId="61C619ED">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val="en-US" w:eastAsia="zh-CN"/>
        </w:rPr>
      </w:pPr>
      <w:r>
        <w:rPr>
          <w:rFonts w:hint="default" w:ascii="Times New Roman" w:hAnsi="Times New Roman" w:eastAsia="黑体" w:cs="Times New Roman"/>
          <w:b/>
          <w:bCs/>
          <w:color w:val="auto"/>
          <w:sz w:val="24"/>
          <w:szCs w:val="24"/>
          <w:highlight w:val="none"/>
          <w:lang w:val="en-US" w:eastAsia="zh-CN"/>
        </w:rPr>
        <w:t>3.1.1</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val="en-US" w:eastAsia="zh-CN"/>
        </w:rPr>
        <w:t xml:space="preserve"> </w:t>
      </w:r>
      <w:r>
        <w:rPr>
          <w:rFonts w:hint="eastAsia" w:hAnsi="宋体" w:cs="Arial"/>
          <w:color w:val="auto"/>
          <w:sz w:val="24"/>
          <w:szCs w:val="24"/>
          <w:highlight w:val="none"/>
        </w:rPr>
        <w:t>应与物业使用单位签订合法、规范的物业服务合同，明确双方</w:t>
      </w:r>
      <w:r>
        <w:rPr>
          <w:rFonts w:hint="eastAsia" w:hAnsi="宋体" w:cs="Arial"/>
          <w:color w:val="auto"/>
          <w:sz w:val="24"/>
          <w:szCs w:val="24"/>
          <w:highlight w:val="none"/>
          <w:lang w:val="en-US" w:eastAsia="zh-CN"/>
        </w:rPr>
        <w:t>义务与</w:t>
      </w:r>
      <w:r>
        <w:rPr>
          <w:rFonts w:hint="eastAsia" w:hAnsi="宋体" w:cs="Arial"/>
          <w:color w:val="auto"/>
          <w:sz w:val="24"/>
          <w:szCs w:val="24"/>
          <w:highlight w:val="none"/>
        </w:rPr>
        <w:t>责任</w:t>
      </w:r>
      <w:r>
        <w:rPr>
          <w:rFonts w:hint="eastAsia" w:ascii="宋体" w:hAnsi="宋体"/>
          <w:color w:val="auto"/>
          <w:sz w:val="24"/>
          <w:szCs w:val="24"/>
          <w:highlight w:val="none"/>
        </w:rPr>
        <w:t>。</w:t>
      </w:r>
    </w:p>
    <w:p w14:paraId="26F3A48A">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eastAsia="zh-CN"/>
        </w:rPr>
      </w:pPr>
      <w:r>
        <w:rPr>
          <w:rFonts w:hint="eastAsia" w:ascii="Times New Roman" w:hAnsi="Times New Roman" w:eastAsia="黑体" w:cs="Times New Roman"/>
          <w:b/>
          <w:bCs/>
          <w:color w:val="auto"/>
          <w:sz w:val="24"/>
          <w:szCs w:val="24"/>
          <w:highlight w:val="none"/>
          <w:lang w:val="en-US" w:eastAsia="zh-CN"/>
        </w:rPr>
        <w:t>3.1.2</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应具有承担党政机关相关活动及接待工作的能力。应具备综合管理、沟通协调以及突发事件应急处置能力，及时响应甲方布置的临时任务或紧急任务。配合甲方开展各类大型活动，安排合理的人手支援。</w:t>
      </w:r>
    </w:p>
    <w:p w14:paraId="797E67EC">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eastAsia="zh-CN"/>
        </w:rPr>
      </w:pPr>
      <w:r>
        <w:rPr>
          <w:rFonts w:hint="eastAsia" w:ascii="Times New Roman" w:hAnsi="Times New Roman" w:eastAsia="黑体" w:cs="Times New Roman"/>
          <w:b/>
          <w:bCs/>
          <w:color w:val="auto"/>
          <w:sz w:val="24"/>
          <w:szCs w:val="24"/>
          <w:highlight w:val="none"/>
          <w:lang w:val="en-US" w:eastAsia="zh-CN"/>
        </w:rPr>
        <w:t xml:space="preserve">3.1.3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应</w:t>
      </w:r>
      <w:r>
        <w:rPr>
          <w:rFonts w:hint="eastAsia" w:ascii="宋体" w:hAnsi="宋体"/>
          <w:color w:val="auto"/>
          <w:sz w:val="24"/>
          <w:szCs w:val="24"/>
          <w:highlight w:val="none"/>
          <w:lang w:val="en-US" w:eastAsia="zh-CN"/>
        </w:rPr>
        <w:t>根据项目实际情况建立</w:t>
      </w:r>
      <w:r>
        <w:rPr>
          <w:rFonts w:hint="eastAsia" w:ascii="宋体" w:hAnsi="宋体"/>
          <w:color w:val="auto"/>
          <w:sz w:val="24"/>
          <w:szCs w:val="24"/>
          <w:highlight w:val="none"/>
          <w:lang w:eastAsia="zh-CN"/>
        </w:rPr>
        <w:t>完善的物业服务管理体系</w:t>
      </w:r>
      <w:r>
        <w:rPr>
          <w:rFonts w:hint="eastAsia" w:ascii="宋体" w:hAnsi="宋体"/>
          <w:color w:val="auto"/>
          <w:sz w:val="24"/>
          <w:szCs w:val="24"/>
          <w:highlight w:val="none"/>
          <w:lang w:val="en-US" w:eastAsia="zh-CN"/>
        </w:rPr>
        <w:t>和</w:t>
      </w:r>
      <w:r>
        <w:rPr>
          <w:rFonts w:hint="eastAsia" w:ascii="宋体" w:hAnsi="宋体"/>
          <w:color w:val="auto"/>
          <w:sz w:val="24"/>
          <w:szCs w:val="24"/>
          <w:highlight w:val="none"/>
          <w:lang w:eastAsia="zh-CN"/>
        </w:rPr>
        <w:t>管理架构，职责清晰。各项工作程序、服务规范、服务方案、岗位工作标准、内控管理制度和检查考核制度等管理体系文件完备，能有效控制服务提供的过程和活动。</w:t>
      </w:r>
    </w:p>
    <w:p w14:paraId="4FD3F938">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3.1.4 </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应建立内部、外部良好沟通机制，激励员工提高服务质量以满足物业使用单位的需求和期望。</w:t>
      </w:r>
    </w:p>
    <w:p w14:paraId="6665FF38">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3.1.5</w:t>
      </w:r>
      <w:r>
        <w:rPr>
          <w:rFonts w:hint="eastAsia" w:ascii="宋体" w:hAnsi="宋体" w:eastAsia="宋体" w:cs="Times New Roman"/>
          <w:color w:val="auto"/>
          <w:sz w:val="24"/>
          <w:szCs w:val="24"/>
          <w:highlight w:val="none"/>
          <w:lang w:val="en-US" w:eastAsia="zh-CN"/>
        </w:rPr>
        <w:t xml:space="preserve">  应根据物业使用单位需求确定物业服务人员的类别、数量、资质和能力要求，有特殊安全保密等方面要求的岗位应明确服务人员的资质和资历要求并进行背景审查。</w:t>
      </w:r>
    </w:p>
    <w:p w14:paraId="16EB8A61">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3.1.6</w:t>
      </w:r>
      <w:r>
        <w:rPr>
          <w:rFonts w:hint="eastAsia" w:ascii="宋体" w:hAnsi="宋体" w:eastAsia="宋体" w:cs="Times New Roman"/>
          <w:color w:val="auto"/>
          <w:sz w:val="24"/>
          <w:szCs w:val="24"/>
          <w:highlight w:val="none"/>
          <w:lang w:val="en-US" w:eastAsia="zh-CN"/>
        </w:rPr>
        <w:t xml:space="preserve">  应每月≥</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2 次组织项目服务质量自查自检工作，重大节假日前组织安全检查，工作记录清晰齐备。</w:t>
      </w:r>
    </w:p>
    <w:p w14:paraId="4B1803F2">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3.1.7</w:t>
      </w:r>
      <w:r>
        <w:rPr>
          <w:rFonts w:hint="eastAsia" w:ascii="宋体" w:hAnsi="宋体" w:eastAsia="宋体" w:cs="Times New Roman"/>
          <w:color w:val="auto"/>
          <w:sz w:val="24"/>
          <w:szCs w:val="24"/>
          <w:highlight w:val="none"/>
          <w:lang w:val="en-US" w:eastAsia="zh-CN"/>
        </w:rPr>
        <w:t xml:space="preserve">  项目负责人</w:t>
      </w:r>
      <w:r>
        <w:rPr>
          <w:rFonts w:hint="eastAsia" w:ascii="宋体" w:hAnsi="宋体" w:cs="Times New Roman"/>
          <w:color w:val="auto"/>
          <w:sz w:val="24"/>
          <w:szCs w:val="24"/>
          <w:highlight w:val="none"/>
          <w:lang w:val="en-US" w:eastAsia="zh-CN"/>
        </w:rPr>
        <w:t>应</w:t>
      </w:r>
      <w:r>
        <w:rPr>
          <w:rFonts w:hint="eastAsia" w:ascii="宋体" w:hAnsi="宋体" w:eastAsia="宋体" w:cs="Times New Roman"/>
          <w:color w:val="auto"/>
          <w:sz w:val="24"/>
          <w:szCs w:val="24"/>
          <w:highlight w:val="none"/>
          <w:lang w:val="en-US" w:eastAsia="zh-CN"/>
        </w:rPr>
        <w:t>每周≥</w:t>
      </w:r>
      <w:r>
        <w:rPr>
          <w:rFonts w:hint="eastAsia" w:ascii="宋体" w:hAnsi="宋体" w:cs="Times New Roman"/>
          <w:color w:val="auto"/>
          <w:sz w:val="24"/>
          <w:szCs w:val="24"/>
          <w:highlight w:val="none"/>
          <w:lang w:val="en-US" w:eastAsia="zh-CN"/>
        </w:rPr>
        <w:t xml:space="preserve"> 1</w:t>
      </w:r>
      <w:r>
        <w:rPr>
          <w:rFonts w:hint="eastAsia" w:ascii="宋体" w:hAnsi="宋体" w:eastAsia="宋体" w:cs="Times New Roman"/>
          <w:color w:val="auto"/>
          <w:sz w:val="24"/>
          <w:szCs w:val="24"/>
          <w:highlight w:val="none"/>
          <w:lang w:val="en-US" w:eastAsia="zh-CN"/>
        </w:rPr>
        <w:t xml:space="preserve"> 次</w:t>
      </w:r>
      <w:r>
        <w:rPr>
          <w:rFonts w:hint="eastAsia" w:ascii="宋体" w:hAnsi="宋体" w:cs="Times New Roman"/>
          <w:color w:val="auto"/>
          <w:sz w:val="24"/>
          <w:szCs w:val="24"/>
          <w:highlight w:val="none"/>
          <w:lang w:val="en-US" w:eastAsia="zh-CN"/>
        </w:rPr>
        <w:t>拜访</w:t>
      </w:r>
      <w:r>
        <w:rPr>
          <w:rFonts w:hint="eastAsia" w:hAnsi="宋体" w:cs="Arial"/>
          <w:color w:val="auto"/>
          <w:sz w:val="24"/>
          <w:szCs w:val="24"/>
          <w:highlight w:val="none"/>
        </w:rPr>
        <w:t>物业使用单位</w:t>
      </w:r>
      <w:r>
        <w:rPr>
          <w:rFonts w:hint="eastAsia" w:ascii="宋体" w:hAnsi="宋体" w:cs="Times New Roman"/>
          <w:color w:val="auto"/>
          <w:sz w:val="24"/>
          <w:szCs w:val="24"/>
          <w:highlight w:val="none"/>
          <w:lang w:val="en-US" w:eastAsia="zh-CN"/>
        </w:rPr>
        <w:t>对接人</w:t>
      </w:r>
      <w:r>
        <w:rPr>
          <w:rFonts w:hint="eastAsia" w:ascii="宋体" w:hAnsi="宋体" w:eastAsia="宋体" w:cs="Times New Roman"/>
          <w:color w:val="auto"/>
          <w:sz w:val="24"/>
          <w:szCs w:val="24"/>
          <w:highlight w:val="none"/>
          <w:lang w:val="en-US" w:eastAsia="zh-CN"/>
        </w:rPr>
        <w:t>了解情况，与</w:t>
      </w:r>
      <w:r>
        <w:rPr>
          <w:rFonts w:hint="eastAsia" w:hAnsi="宋体" w:cs="Arial"/>
          <w:color w:val="auto"/>
          <w:sz w:val="24"/>
          <w:szCs w:val="24"/>
          <w:highlight w:val="none"/>
        </w:rPr>
        <w:t>物业使用单位</w:t>
      </w:r>
      <w:r>
        <w:rPr>
          <w:rFonts w:hint="eastAsia" w:ascii="宋体" w:hAnsi="宋体" w:cs="Times New Roman"/>
          <w:color w:val="auto"/>
          <w:sz w:val="24"/>
          <w:szCs w:val="24"/>
          <w:highlight w:val="none"/>
          <w:lang w:val="en-US" w:eastAsia="zh-CN"/>
        </w:rPr>
        <w:t>对接人</w:t>
      </w:r>
      <w:r>
        <w:rPr>
          <w:rFonts w:hint="eastAsia" w:ascii="宋体" w:hAnsi="宋体" w:eastAsia="宋体" w:cs="Times New Roman"/>
          <w:color w:val="auto"/>
          <w:sz w:val="24"/>
          <w:szCs w:val="24"/>
          <w:highlight w:val="none"/>
          <w:lang w:val="en-US" w:eastAsia="zh-CN"/>
        </w:rPr>
        <w:t>密切沟通</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汇报工作</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及时解决各类问题。</w:t>
      </w:r>
    </w:p>
    <w:p w14:paraId="4B3B866A">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highlight w:val="none"/>
          <w:lang w:val="en-US" w:eastAsia="zh-CN"/>
        </w:rPr>
      </w:pPr>
      <w:r>
        <w:rPr>
          <w:rFonts w:hint="eastAsia" w:ascii="Times New Roman" w:hAnsi="Times New Roman" w:eastAsia="黑体" w:cs="Times New Roman"/>
          <w:b/>
          <w:bCs/>
          <w:color w:val="auto"/>
          <w:sz w:val="24"/>
          <w:szCs w:val="24"/>
          <w:highlight w:val="none"/>
          <w:lang w:val="en-US" w:eastAsia="zh-CN"/>
        </w:rPr>
        <w:t>3.1.6</w:t>
      </w:r>
      <w:r>
        <w:rPr>
          <w:rFonts w:hint="eastAsia" w:ascii="宋体" w:hAnsi="宋体" w:eastAsia="宋体" w:cs="Times New Roman"/>
          <w:color w:val="auto"/>
          <w:sz w:val="24"/>
          <w:szCs w:val="24"/>
          <w:highlight w:val="none"/>
          <w:lang w:val="en-US" w:eastAsia="zh-CN"/>
        </w:rPr>
        <w:t xml:space="preserve">  物业服务合同终止后</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新物业服务合同生效前，原物业服务企业退出物业服务区域应向物业使用单位移交资料和财物，物业使用单位和新物业服务企业对共用部位、共用</w:t>
      </w:r>
      <w:r>
        <w:rPr>
          <w:rFonts w:hint="eastAsia" w:ascii="宋体" w:hAnsi="宋体" w:cs="Times New Roman"/>
          <w:color w:val="auto"/>
          <w:sz w:val="24"/>
          <w:szCs w:val="24"/>
          <w:highlight w:val="none"/>
          <w:lang w:val="en-US" w:eastAsia="zh-CN"/>
        </w:rPr>
        <w:t>设备</w:t>
      </w:r>
      <w:r>
        <w:rPr>
          <w:rFonts w:hint="eastAsia" w:ascii="宋体" w:hAnsi="宋体" w:eastAsia="宋体" w:cs="Times New Roman"/>
          <w:color w:val="auto"/>
          <w:sz w:val="24"/>
          <w:szCs w:val="24"/>
          <w:highlight w:val="none"/>
          <w:lang w:val="en-US" w:eastAsia="zh-CN"/>
        </w:rPr>
        <w:t>进行</w:t>
      </w:r>
      <w:r>
        <w:rPr>
          <w:rFonts w:hint="eastAsia" w:ascii="宋体" w:hAnsi="宋体" w:cs="Times New Roman"/>
          <w:color w:val="auto"/>
          <w:sz w:val="24"/>
          <w:szCs w:val="24"/>
          <w:highlight w:val="none"/>
          <w:lang w:val="en-US" w:eastAsia="zh-CN"/>
        </w:rPr>
        <w:t>承接</w:t>
      </w:r>
      <w:r>
        <w:rPr>
          <w:rFonts w:hint="eastAsia" w:ascii="宋体" w:hAnsi="宋体" w:eastAsia="宋体" w:cs="Times New Roman"/>
          <w:color w:val="auto"/>
          <w:sz w:val="24"/>
          <w:szCs w:val="24"/>
          <w:highlight w:val="none"/>
          <w:lang w:val="en-US" w:eastAsia="zh-CN"/>
        </w:rPr>
        <w:t xml:space="preserve">查验。  </w:t>
      </w:r>
    </w:p>
    <w:p w14:paraId="2A578FB1">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67" w:name="_Toc19414"/>
      <w:bookmarkStart w:id="68" w:name="_Toc24695"/>
      <w:bookmarkStart w:id="69" w:name="_Toc15412"/>
      <w:bookmarkStart w:id="70" w:name="_Toc10999"/>
      <w:bookmarkStart w:id="71" w:name="_Toc18304"/>
      <w:r>
        <w:rPr>
          <w:rFonts w:hint="eastAsia" w:ascii="宋体" w:hAnsi="宋体" w:eastAsia="宋体" w:cs="宋体"/>
          <w:b/>
          <w:bCs/>
          <w:color w:val="auto"/>
          <w:sz w:val="24"/>
          <w:szCs w:val="24"/>
          <w:highlight w:val="none"/>
          <w:lang w:val="en-US" w:eastAsia="zh-CN"/>
        </w:rPr>
        <w:t>3.2  服务分包</w:t>
      </w:r>
      <w:bookmarkEnd w:id="67"/>
      <w:bookmarkEnd w:id="68"/>
      <w:bookmarkEnd w:id="69"/>
      <w:bookmarkEnd w:id="70"/>
      <w:bookmarkEnd w:id="71"/>
    </w:p>
    <w:p w14:paraId="022BBCAA">
      <w:pPr>
        <w:pStyle w:val="20"/>
        <w:keepNext w:val="0"/>
        <w:keepLines w:val="0"/>
        <w:pageBreakBefore w:val="0"/>
        <w:widowControl w:val="0"/>
        <w:kinsoku/>
        <w:overflowPunct/>
        <w:autoSpaceDE/>
        <w:autoSpaceDN/>
        <w:bidi w:val="0"/>
        <w:adjustRightInd/>
        <w:snapToGrid/>
        <w:spacing w:after="0" w:line="360" w:lineRule="auto"/>
        <w:textAlignment w:val="auto"/>
        <w:rPr>
          <w:rFonts w:hint="eastAsia"/>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3.2.1</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有特定要求的专业物业服务项目，可由物业服务企业分包专业服务供应商，专业服务供应商应接受物业服务企业和物业使用单位的监督管理</w:t>
      </w:r>
      <w:r>
        <w:rPr>
          <w:rFonts w:hint="eastAsia" w:ascii="宋体" w:hAnsi="宋体" w:eastAsia="宋体" w:cs="Times New Roman"/>
          <w:color w:val="auto"/>
          <w:sz w:val="24"/>
          <w:szCs w:val="24"/>
          <w:highlight w:val="none"/>
          <w:lang w:eastAsia="zh-CN"/>
        </w:rPr>
        <w:t>。</w:t>
      </w:r>
    </w:p>
    <w:p w14:paraId="6CD163F3">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b/>
          <w:bCs/>
          <w:color w:val="auto"/>
          <w:kern w:val="2"/>
          <w:sz w:val="24"/>
          <w:szCs w:val="24"/>
          <w:highlight w:val="none"/>
          <w:lang w:val="en-US" w:eastAsia="zh-CN" w:bidi="ar-SA"/>
        </w:rPr>
        <w:t>3.2.2</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专业服务供应商应具有独立法人资格，具有相应的资质或资格许可，其中包括但不限于</w:t>
      </w:r>
      <w:r>
        <w:rPr>
          <w:rFonts w:hint="eastAsia" w:ascii="宋体" w:hAnsi="宋体" w:cs="Times New Roman"/>
          <w:color w:val="auto"/>
          <w:sz w:val="24"/>
          <w:szCs w:val="24"/>
          <w:highlight w:val="none"/>
          <w:lang w:eastAsia="zh-CN"/>
        </w:rPr>
        <w:t>：</w:t>
      </w:r>
    </w:p>
    <w:p w14:paraId="173FDEB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电梯日常维修保养单位应取得电梯维修的资格许可；</w:t>
      </w:r>
    </w:p>
    <w:p w14:paraId="1F4345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eastAsia="宋体" w:cs="Times New Roman"/>
          <w:color w:val="auto"/>
          <w:sz w:val="24"/>
          <w:szCs w:val="24"/>
          <w:highlight w:val="none"/>
          <w:lang w:val="en-US" w:eastAsia="zh-CN"/>
        </w:rPr>
        <w:t xml:space="preserve">  消防维保机构应取得消防设施维修保养资质</w:t>
      </w:r>
      <w:r>
        <w:rPr>
          <w:rFonts w:hint="eastAsia" w:ascii="宋体" w:hAnsi="宋体" w:eastAsia="宋体" w:cs="宋体"/>
          <w:color w:val="auto"/>
          <w:sz w:val="24"/>
          <w:szCs w:val="24"/>
          <w:highlight w:val="none"/>
          <w:lang w:val="en-US" w:eastAsia="zh-CN"/>
        </w:rPr>
        <w:t>；</w:t>
      </w:r>
    </w:p>
    <w:p w14:paraId="12DC3EE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化粪池清掏、外墙清洗、防雷检测、有害生物防制、垃圾清运等单位应取得相应的资格许可。</w:t>
      </w:r>
    </w:p>
    <w:p w14:paraId="45E8FF0E">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eastAsia="zh-CN"/>
        </w:rPr>
      </w:pPr>
      <w:r>
        <w:rPr>
          <w:rFonts w:hint="eastAsia" w:ascii="Times New Roman" w:hAnsi="Times New Roman" w:eastAsia="黑体" w:cs="Times New Roman"/>
          <w:b/>
          <w:bCs/>
          <w:color w:val="auto"/>
          <w:sz w:val="24"/>
          <w:szCs w:val="24"/>
          <w:highlight w:val="none"/>
          <w:lang w:val="en-US" w:eastAsia="zh-CN"/>
        </w:rPr>
        <w:t>3.2.3</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物业服务企业应提供与专业服务供应商签订的分包意向书、分包方资格许可、分包方服务能力及服务经历介绍，交由物业使用单位审核。审核通过后再与分包方签订分包合同。</w:t>
      </w:r>
    </w:p>
    <w:p w14:paraId="64B40AEF">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b/>
          <w:bCs/>
          <w:color w:val="auto"/>
          <w:kern w:val="2"/>
          <w:sz w:val="24"/>
          <w:szCs w:val="24"/>
          <w:highlight w:val="none"/>
          <w:lang w:val="en-US" w:eastAsia="zh-CN" w:bidi="ar-SA"/>
        </w:rPr>
        <w:t>3.2.4</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物业服务企业应建立供应商评价机制，按合同约定，通过检查、</w:t>
      </w:r>
      <w:r>
        <w:rPr>
          <w:rFonts w:hint="eastAsia" w:ascii="宋体" w:hAnsi="宋体" w:cs="Times New Roman"/>
          <w:color w:val="auto"/>
          <w:sz w:val="24"/>
          <w:szCs w:val="24"/>
          <w:highlight w:val="none"/>
          <w:lang w:val="en-US" w:eastAsia="zh-CN"/>
        </w:rPr>
        <w:t>考核、</w:t>
      </w:r>
      <w:r>
        <w:rPr>
          <w:rFonts w:hint="eastAsia" w:ascii="宋体" w:hAnsi="宋体" w:eastAsia="宋体" w:cs="Times New Roman"/>
          <w:color w:val="auto"/>
          <w:sz w:val="24"/>
          <w:szCs w:val="24"/>
          <w:highlight w:val="none"/>
          <w:lang w:eastAsia="zh-CN"/>
        </w:rPr>
        <w:t>督促整改等</w:t>
      </w:r>
      <w:r>
        <w:rPr>
          <w:rFonts w:hint="eastAsia" w:ascii="宋体" w:hAnsi="宋体" w:cs="Times New Roman"/>
          <w:color w:val="auto"/>
          <w:sz w:val="24"/>
          <w:szCs w:val="24"/>
          <w:highlight w:val="none"/>
          <w:lang w:val="en-US" w:eastAsia="zh-CN"/>
        </w:rPr>
        <w:t>方式</w:t>
      </w:r>
      <w:r>
        <w:rPr>
          <w:rFonts w:hint="eastAsia" w:ascii="宋体" w:hAnsi="宋体" w:eastAsia="宋体" w:cs="Times New Roman"/>
          <w:color w:val="auto"/>
          <w:sz w:val="24"/>
          <w:szCs w:val="24"/>
          <w:highlight w:val="none"/>
          <w:lang w:eastAsia="zh-CN"/>
        </w:rPr>
        <w:t>对专业服务供应商进行管理。</w:t>
      </w:r>
    </w:p>
    <w:p w14:paraId="3867C6F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72" w:name="_Toc21816"/>
      <w:bookmarkStart w:id="73" w:name="_Toc22722"/>
      <w:bookmarkStart w:id="74" w:name="_Toc935"/>
      <w:bookmarkStart w:id="75" w:name="_Toc10124"/>
      <w:bookmarkStart w:id="76" w:name="_Toc5027"/>
      <w:r>
        <w:rPr>
          <w:rFonts w:hint="eastAsia" w:ascii="宋体" w:hAnsi="宋体" w:eastAsia="宋体" w:cs="宋体"/>
          <w:b/>
          <w:bCs/>
          <w:color w:val="auto"/>
          <w:sz w:val="24"/>
          <w:szCs w:val="24"/>
          <w:highlight w:val="none"/>
          <w:lang w:val="en-US" w:eastAsia="zh-CN"/>
        </w:rPr>
        <w:t>3.3  服务</w:t>
      </w:r>
      <w:bookmarkEnd w:id="72"/>
      <w:bookmarkEnd w:id="73"/>
      <w:bookmarkEnd w:id="74"/>
      <w:bookmarkEnd w:id="75"/>
      <w:r>
        <w:rPr>
          <w:rFonts w:hint="eastAsia" w:ascii="宋体" w:hAnsi="宋体" w:cs="宋体"/>
          <w:b/>
          <w:bCs/>
          <w:color w:val="auto"/>
          <w:sz w:val="24"/>
          <w:szCs w:val="24"/>
          <w:highlight w:val="none"/>
          <w:lang w:val="en-US" w:eastAsia="zh-CN"/>
        </w:rPr>
        <w:t>履约</w:t>
      </w:r>
      <w:bookmarkEnd w:id="76"/>
    </w:p>
    <w:p w14:paraId="4EAD331C">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3.</w:t>
      </w: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lang w:val="en-US" w:eastAsia="zh-CN"/>
        </w:rPr>
        <w:t>.1</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rPr>
        <w:t>应根据</w:t>
      </w:r>
      <w:r>
        <w:rPr>
          <w:rFonts w:hint="eastAsia" w:ascii="宋体" w:hAnsi="宋体" w:cs="Times New Roman"/>
          <w:color w:val="auto"/>
          <w:sz w:val="24"/>
          <w:szCs w:val="24"/>
          <w:highlight w:val="none"/>
          <w:lang w:val="en-US" w:eastAsia="zh-CN"/>
        </w:rPr>
        <w:t>《中华人民共和国民法典》要求及</w:t>
      </w:r>
      <w:r>
        <w:rPr>
          <w:rFonts w:hint="eastAsia" w:ascii="宋体" w:hAnsi="宋体" w:eastAsia="宋体" w:cs="Times New Roman"/>
          <w:color w:val="auto"/>
          <w:sz w:val="24"/>
          <w:szCs w:val="24"/>
          <w:highlight w:val="none"/>
        </w:rPr>
        <w:t>物业服务合同约定，物业服务</w:t>
      </w:r>
      <w:r>
        <w:rPr>
          <w:rFonts w:hint="eastAsia" w:ascii="宋体" w:hAnsi="宋体" w:cs="Times New Roman"/>
          <w:color w:val="auto"/>
          <w:sz w:val="24"/>
          <w:szCs w:val="24"/>
          <w:highlight w:val="none"/>
          <w:lang w:val="en-US" w:eastAsia="zh-CN"/>
        </w:rPr>
        <w:t>企业</w:t>
      </w:r>
      <w:r>
        <w:rPr>
          <w:rFonts w:hint="eastAsia" w:ascii="宋体" w:hAnsi="宋体" w:eastAsia="宋体" w:cs="Times New Roman"/>
          <w:color w:val="auto"/>
          <w:sz w:val="24"/>
          <w:szCs w:val="24"/>
          <w:highlight w:val="none"/>
        </w:rPr>
        <w:t>应当</w:t>
      </w:r>
      <w:r>
        <w:rPr>
          <w:rFonts w:hint="eastAsia" w:ascii="宋体" w:hAnsi="宋体" w:cs="Times New Roman"/>
          <w:color w:val="auto"/>
          <w:sz w:val="24"/>
          <w:szCs w:val="24"/>
          <w:highlight w:val="none"/>
          <w:lang w:val="en-US" w:eastAsia="zh-CN"/>
        </w:rPr>
        <w:t>每年</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 xml:space="preserve"> 1</w:t>
      </w:r>
      <w:r>
        <w:rPr>
          <w:rFonts w:hint="eastAsia" w:ascii="宋体" w:hAnsi="宋体" w:eastAsia="宋体" w:cs="Times New Roman"/>
          <w:color w:val="auto"/>
          <w:sz w:val="24"/>
          <w:szCs w:val="24"/>
          <w:highlight w:val="none"/>
          <w:lang w:val="en-US" w:eastAsia="zh-CN"/>
        </w:rPr>
        <w:t xml:space="preserve"> 次</w:t>
      </w:r>
      <w:r>
        <w:rPr>
          <w:rFonts w:hint="eastAsia" w:ascii="宋体" w:hAnsi="宋体" w:eastAsia="宋体" w:cs="Times New Roman"/>
          <w:color w:val="auto"/>
          <w:sz w:val="24"/>
          <w:szCs w:val="24"/>
          <w:highlight w:val="none"/>
        </w:rPr>
        <w:t>将服务的事项、负责人员、质量要求、履行情况以</w:t>
      </w:r>
      <w:r>
        <w:rPr>
          <w:rFonts w:hint="eastAsia" w:ascii="宋体" w:hAnsi="宋体" w:cs="Times New Roman"/>
          <w:color w:val="auto"/>
          <w:sz w:val="24"/>
          <w:szCs w:val="24"/>
          <w:highlight w:val="none"/>
          <w:lang w:val="en-US" w:eastAsia="zh-CN"/>
        </w:rPr>
        <w:t>书面形式</w:t>
      </w:r>
      <w:r>
        <w:rPr>
          <w:rFonts w:hint="eastAsia" w:ascii="宋体" w:hAnsi="宋体" w:eastAsia="宋体" w:cs="Times New Roman"/>
          <w:color w:val="auto"/>
          <w:sz w:val="24"/>
          <w:szCs w:val="24"/>
          <w:highlight w:val="none"/>
        </w:rPr>
        <w:t>向业主公开并向</w:t>
      </w:r>
      <w:r>
        <w:rPr>
          <w:rFonts w:hint="eastAsia" w:hAnsi="宋体" w:cs="Arial"/>
          <w:color w:val="auto"/>
          <w:sz w:val="24"/>
          <w:szCs w:val="24"/>
          <w:highlight w:val="none"/>
        </w:rPr>
        <w:t>物业使用单位</w:t>
      </w:r>
      <w:r>
        <w:rPr>
          <w:rFonts w:hint="eastAsia" w:ascii="宋体" w:hAnsi="宋体" w:eastAsia="宋体" w:cs="Times New Roman"/>
          <w:color w:val="auto"/>
          <w:sz w:val="24"/>
          <w:szCs w:val="24"/>
          <w:highlight w:val="none"/>
        </w:rPr>
        <w:t>报告。</w:t>
      </w:r>
    </w:p>
    <w:p w14:paraId="6EA8C0E6">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3.3.2</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物业服务企业应在适当位置公示相关服务信息，包括但不限于营业执照、服务时间、服务人员、服务电话、咨询</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lang w:eastAsia="zh-CN"/>
        </w:rPr>
        <w:t>投诉处理电话和服务响应时间等。</w:t>
      </w:r>
    </w:p>
    <w:p w14:paraId="09BE964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77" w:name="_Toc18555"/>
      <w:bookmarkStart w:id="78" w:name="_Toc22650"/>
      <w:bookmarkStart w:id="79" w:name="_Toc31663"/>
      <w:bookmarkStart w:id="80" w:name="_Toc11172"/>
      <w:bookmarkStart w:id="81" w:name="_Toc1577"/>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物业服务人员</w:t>
      </w:r>
      <w:bookmarkEnd w:id="77"/>
      <w:bookmarkEnd w:id="78"/>
      <w:bookmarkEnd w:id="79"/>
      <w:bookmarkEnd w:id="80"/>
      <w:bookmarkEnd w:id="81"/>
    </w:p>
    <w:p w14:paraId="0651965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9"/>
        <w:rPr>
          <w:rFonts w:hint="eastAsia" w:ascii="宋体" w:hAnsi="宋体" w:eastAsia="宋体" w:cs="宋体"/>
          <w:b/>
          <w:bCs/>
          <w:color w:val="auto"/>
          <w:sz w:val="24"/>
          <w:szCs w:val="24"/>
          <w:highlight w:val="none"/>
          <w:lang w:val="en-US" w:eastAsia="zh-CN"/>
        </w:rPr>
      </w:pPr>
      <w:bookmarkStart w:id="82" w:name="_Toc17890"/>
      <w:r>
        <w:rPr>
          <w:rFonts w:hint="eastAsia" w:ascii="宋体" w:hAnsi="宋体" w:eastAsia="宋体" w:cs="宋体"/>
          <w:b/>
          <w:bCs/>
          <w:color w:val="auto"/>
          <w:sz w:val="24"/>
          <w:szCs w:val="24"/>
          <w:highlight w:val="none"/>
          <w:lang w:val="en-US" w:eastAsia="zh-CN"/>
        </w:rPr>
        <w:t>Ⅰ  基本要求</w:t>
      </w:r>
      <w:bookmarkEnd w:id="82"/>
    </w:p>
    <w:p w14:paraId="1082E80B">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.1</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物业服务人员包括物业现场管理、设施设备维修保养、礼宾接待、会议服务、秩序维护、保洁服务、绿化养护、食堂管理等各专业领域的服务人员</w:t>
      </w:r>
      <w:r>
        <w:rPr>
          <w:rFonts w:hint="eastAsia" w:ascii="宋体" w:hAnsi="宋体" w:eastAsia="宋体" w:cs="Times New Roman"/>
          <w:color w:val="auto"/>
          <w:sz w:val="24"/>
          <w:szCs w:val="24"/>
          <w:highlight w:val="none"/>
          <w:lang w:eastAsia="zh-CN"/>
        </w:rPr>
        <w:t>。</w:t>
      </w:r>
    </w:p>
    <w:p w14:paraId="45C73DF1">
      <w:pPr>
        <w:bidi w:val="0"/>
        <w:spacing w:line="360" w:lineRule="auto"/>
        <w:jc w:val="left"/>
        <w:rPr>
          <w:rFonts w:hint="eastAsia" w:ascii="宋体" w:hAnsi="宋体" w:eastAsia="宋体" w:cs="Times New Roman"/>
          <w:color w:val="auto"/>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项目负责人应持有二级以上（含二级）物业管理师职业技能等级证书</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项目现场管理人员（各部门负责人）应持有三级以上（含三级）物业管理师职业技能等级证书</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从事专业技术岗位的人员应取得相应专业技术人员职业资格证书或职业技能等级证书，从事特种设备作业岗位的人员应取得特种作业资格证书。</w:t>
      </w:r>
    </w:p>
    <w:p w14:paraId="31D9A627">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服务人员应符合如下通用素质要求</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 xml:space="preserve">  </w:t>
      </w:r>
    </w:p>
    <w:p w14:paraId="55031E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遵守国家法律法规及物业服务企业和物业使用单位的各项规章制度；</w:t>
      </w:r>
    </w:p>
    <w:p w14:paraId="2C0D0C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具有良好的职业道德，具备所需的专业技能和理论知识；</w:t>
      </w:r>
    </w:p>
    <w:p w14:paraId="40FD636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具备良好的沟通和表达能力；</w:t>
      </w:r>
    </w:p>
    <w:p w14:paraId="0FAE69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经过法律法规、专业技能、安全、保密、服务规范、礼仪礼貌等培训；</w:t>
      </w:r>
    </w:p>
    <w:p w14:paraId="412EA88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 </w:t>
      </w:r>
      <w:r>
        <w:rPr>
          <w:rFonts w:hint="eastAsia" w:eastAsia="宋体" w:cs="Times New Roman"/>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持卫生健康管理部门认可的体检机构出具的体检报告方可上岗。</w:t>
      </w:r>
    </w:p>
    <w:p w14:paraId="7B5BCBA6">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4</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服务过程中，应统一着装，佩戴明显标志，仪容仪表整洁；头发不染自然发色以外的颜色，饰物佩戴应得当，不得佩戴夸张饰物。应遵循服务礼仪，保持良好的精神状态，举止大方有礼，用语文明规范；应主动、热情、耐心、周到、及时提供服务</w:t>
      </w:r>
      <w:r>
        <w:rPr>
          <w:rFonts w:hint="eastAsia" w:ascii="宋体" w:hAnsi="宋体" w:eastAsia="宋体" w:cs="Times New Roman"/>
          <w:color w:val="auto"/>
          <w:sz w:val="24"/>
          <w:szCs w:val="24"/>
          <w:highlight w:val="none"/>
          <w:lang w:eastAsia="zh-CN"/>
        </w:rPr>
        <w:t>。</w:t>
      </w:r>
    </w:p>
    <w:p w14:paraId="283CD1DB">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年度服务人员流动率</w:t>
      </w:r>
      <w:r>
        <w:rPr>
          <w:rFonts w:hint="default" w:ascii="Arial" w:hAnsi="Arial"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10% ；</w:t>
      </w:r>
      <w:r>
        <w:rPr>
          <w:rFonts w:hint="eastAsia" w:ascii="宋体" w:hAnsi="宋体" w:eastAsia="宋体" w:cs="Times New Roman"/>
          <w:color w:val="auto"/>
          <w:sz w:val="24"/>
          <w:szCs w:val="24"/>
          <w:highlight w:val="none"/>
          <w:lang w:eastAsia="zh-CN"/>
        </w:rPr>
        <w:t>专用办公室、会议室和接待室的保洁服务人员，应由相对稳定的专人负责，确保环境卫生符合要求，宜实行双人上岗制。</w:t>
      </w:r>
    </w:p>
    <w:p w14:paraId="741F24D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9"/>
        <w:rPr>
          <w:rFonts w:hint="eastAsia" w:ascii="宋体" w:hAnsi="宋体" w:eastAsia="宋体" w:cs="宋体"/>
          <w:b/>
          <w:bCs/>
          <w:color w:val="auto"/>
          <w:sz w:val="24"/>
          <w:szCs w:val="24"/>
          <w:highlight w:val="none"/>
          <w:lang w:val="en-US" w:eastAsia="zh-CN"/>
        </w:rPr>
      </w:pPr>
      <w:bookmarkStart w:id="83" w:name="_Toc23657"/>
      <w:r>
        <w:rPr>
          <w:rFonts w:hint="eastAsia" w:ascii="宋体" w:hAnsi="宋体" w:eastAsia="宋体" w:cs="宋体"/>
          <w:b/>
          <w:bCs/>
          <w:color w:val="auto"/>
          <w:sz w:val="24"/>
          <w:szCs w:val="24"/>
          <w:highlight w:val="none"/>
          <w:lang w:val="en-US" w:eastAsia="zh-CN"/>
        </w:rPr>
        <w:t>Ⅱ  会务服务人员</w:t>
      </w:r>
      <w:bookmarkEnd w:id="83"/>
    </w:p>
    <w:p w14:paraId="30452C26">
      <w:pPr>
        <w:pStyle w:val="20"/>
        <w:rPr>
          <w:rFonts w:hint="eastAsia" w:ascii="宋体" w:hAnsi="宋体"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会务服务人员除满足服务人员应具备的通用素质要求，还应符合以下要求</w:t>
      </w:r>
      <w:r>
        <w:rPr>
          <w:rFonts w:hint="eastAsia" w:ascii="宋体" w:hAnsi="宋体" w:cs="Times New Roman"/>
          <w:color w:val="auto"/>
          <w:sz w:val="24"/>
          <w:szCs w:val="24"/>
          <w:highlight w:val="none"/>
          <w:lang w:eastAsia="zh-CN"/>
        </w:rPr>
        <w:t>：</w:t>
      </w:r>
    </w:p>
    <w:p w14:paraId="218E392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应具会务服务知识、技能，具备服务多种类型</w:t>
      </w:r>
      <w:r>
        <w:rPr>
          <w:rFonts w:hint="eastAsia" w:ascii="宋体" w:hAnsi="宋体" w:cs="宋体"/>
          <w:color w:val="auto"/>
          <w:sz w:val="24"/>
          <w:szCs w:val="24"/>
          <w:highlight w:val="none"/>
          <w:lang w:val="en-US" w:eastAsia="zh-CN"/>
        </w:rPr>
        <w:t>会议服务</w:t>
      </w:r>
      <w:r>
        <w:rPr>
          <w:rFonts w:hint="eastAsia" w:ascii="宋体" w:hAnsi="宋体" w:eastAsia="宋体" w:cs="宋体"/>
          <w:color w:val="auto"/>
          <w:sz w:val="24"/>
          <w:szCs w:val="24"/>
          <w:highlight w:val="none"/>
          <w:lang w:val="en-US" w:eastAsia="zh-CN"/>
        </w:rPr>
        <w:t>的经验；</w:t>
      </w:r>
    </w:p>
    <w:p w14:paraId="484633D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应熟悉会务各项管理制度和操作规范以及各种</w:t>
      </w:r>
      <w:r>
        <w:rPr>
          <w:rFonts w:hint="eastAsia" w:ascii="宋体" w:hAnsi="宋体" w:cs="宋体"/>
          <w:color w:val="auto"/>
          <w:sz w:val="24"/>
          <w:szCs w:val="24"/>
          <w:highlight w:val="none"/>
          <w:lang w:val="en-US" w:eastAsia="zh-CN"/>
        </w:rPr>
        <w:t>会议</w:t>
      </w:r>
      <w:r>
        <w:rPr>
          <w:rFonts w:hint="eastAsia" w:ascii="宋体" w:hAnsi="宋体" w:eastAsia="宋体" w:cs="宋体"/>
          <w:color w:val="auto"/>
          <w:sz w:val="24"/>
          <w:szCs w:val="24"/>
          <w:highlight w:val="none"/>
          <w:lang w:val="en-US" w:eastAsia="zh-CN"/>
        </w:rPr>
        <w:t>流程；</w:t>
      </w:r>
    </w:p>
    <w:p w14:paraId="0FBA111B">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应熟悉</w:t>
      </w:r>
      <w:r>
        <w:rPr>
          <w:rFonts w:hint="eastAsia" w:ascii="宋体" w:hAnsi="宋体" w:cs="宋体"/>
          <w:color w:val="auto"/>
          <w:sz w:val="24"/>
          <w:szCs w:val="24"/>
          <w:highlight w:val="none"/>
          <w:lang w:val="en-US" w:eastAsia="zh-CN"/>
        </w:rPr>
        <w:t>会议</w:t>
      </w:r>
      <w:r>
        <w:rPr>
          <w:rFonts w:hint="eastAsia" w:ascii="宋体" w:hAnsi="宋体" w:eastAsia="宋体" w:cs="宋体"/>
          <w:color w:val="auto"/>
          <w:sz w:val="24"/>
          <w:szCs w:val="24"/>
          <w:highlight w:val="none"/>
          <w:lang w:val="en-US" w:eastAsia="zh-CN"/>
        </w:rPr>
        <w:t>现场环境，熟练使用</w:t>
      </w:r>
      <w:r>
        <w:rPr>
          <w:rFonts w:hint="eastAsia" w:ascii="宋体" w:hAnsi="宋体" w:cs="宋体"/>
          <w:color w:val="auto"/>
          <w:sz w:val="24"/>
          <w:szCs w:val="24"/>
          <w:highlight w:val="none"/>
          <w:lang w:val="en-US" w:eastAsia="zh-CN"/>
        </w:rPr>
        <w:t>会议场地</w:t>
      </w:r>
      <w:r>
        <w:rPr>
          <w:rFonts w:hint="eastAsia" w:ascii="宋体" w:hAnsi="宋体" w:eastAsia="宋体" w:cs="宋体"/>
          <w:color w:val="auto"/>
          <w:sz w:val="24"/>
          <w:szCs w:val="24"/>
          <w:highlight w:val="none"/>
          <w:lang w:val="en-US" w:eastAsia="zh-CN"/>
        </w:rPr>
        <w:t>现场设备；</w:t>
      </w:r>
    </w:p>
    <w:p w14:paraId="1B74BA9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应具有妥善处理突发事件的能力；</w:t>
      </w:r>
    </w:p>
    <w:p w14:paraId="0A9A84D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应做到专注、沉稳、有耐性，行为大方得体并具有较强的观察能力和沟通能力；</w:t>
      </w:r>
    </w:p>
    <w:p w14:paraId="75B6F68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  </w:t>
      </w:r>
      <w:r>
        <w:rPr>
          <w:rFonts w:hint="eastAsia" w:eastAsia="宋体" w:cs="Times New Roman"/>
          <w:color w:val="auto"/>
          <w:sz w:val="24"/>
          <w:szCs w:val="24"/>
          <w:highlight w:val="none"/>
          <w:lang w:val="en-US" w:eastAsia="zh-CN"/>
        </w:rPr>
        <w:t>应遵守保密要求，</w:t>
      </w:r>
      <w:r>
        <w:rPr>
          <w:rFonts w:hint="eastAsia" w:cs="Times New Roman"/>
          <w:color w:val="auto"/>
          <w:sz w:val="24"/>
          <w:szCs w:val="24"/>
          <w:highlight w:val="none"/>
          <w:lang w:val="en-US" w:eastAsia="zh-CN"/>
        </w:rPr>
        <w:t>不得</w:t>
      </w:r>
      <w:r>
        <w:rPr>
          <w:rFonts w:hint="eastAsia" w:eastAsia="宋体" w:cs="Times New Roman"/>
          <w:color w:val="auto"/>
          <w:sz w:val="24"/>
          <w:szCs w:val="24"/>
          <w:highlight w:val="none"/>
          <w:lang w:val="en-US" w:eastAsia="zh-CN"/>
        </w:rPr>
        <w:t>在任何场所透</w:t>
      </w:r>
      <w:r>
        <w:rPr>
          <w:rFonts w:hint="eastAsia" w:cs="Times New Roman"/>
          <w:color w:val="auto"/>
          <w:sz w:val="24"/>
          <w:szCs w:val="24"/>
          <w:highlight w:val="none"/>
          <w:lang w:val="en-US" w:eastAsia="zh-CN"/>
        </w:rPr>
        <w:t>露</w:t>
      </w:r>
      <w:r>
        <w:rPr>
          <w:rFonts w:hint="eastAsia" w:eastAsia="宋体" w:cs="Times New Roman"/>
          <w:color w:val="auto"/>
          <w:sz w:val="24"/>
          <w:szCs w:val="24"/>
          <w:highlight w:val="none"/>
          <w:lang w:val="en-US" w:eastAsia="zh-CN"/>
        </w:rPr>
        <w:t>与会议有关的内容、随意翻阅会议资料。</w:t>
      </w:r>
    </w:p>
    <w:p w14:paraId="34AF6CCC">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9"/>
        <w:rPr>
          <w:rFonts w:hint="eastAsia" w:ascii="宋体" w:hAnsi="宋体" w:eastAsia="宋体" w:cs="宋体"/>
          <w:b/>
          <w:bCs/>
          <w:color w:val="auto"/>
          <w:sz w:val="24"/>
          <w:szCs w:val="24"/>
          <w:highlight w:val="none"/>
          <w:lang w:val="en-US" w:eastAsia="zh-CN"/>
        </w:rPr>
      </w:pPr>
      <w:bookmarkStart w:id="84" w:name="_Toc28878"/>
      <w:r>
        <w:rPr>
          <w:rFonts w:hint="eastAsia" w:ascii="宋体" w:hAnsi="宋体" w:eastAsia="宋体" w:cs="宋体"/>
          <w:b/>
          <w:bCs/>
          <w:color w:val="auto"/>
          <w:sz w:val="24"/>
          <w:szCs w:val="24"/>
          <w:highlight w:val="none"/>
          <w:lang w:val="en-US" w:eastAsia="zh-CN"/>
        </w:rPr>
        <w:t>Ⅲ 保安人员</w:t>
      </w:r>
      <w:bookmarkEnd w:id="84"/>
    </w:p>
    <w:p w14:paraId="60002EA5">
      <w:pPr>
        <w:pStyle w:val="20"/>
        <w:rPr>
          <w:rFonts w:hint="eastAsia" w:ascii="宋体" w:hAnsi="宋体"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保安人员除满足服务人员应具备的通用素质要求，还应符合以下要求</w:t>
      </w:r>
      <w:r>
        <w:rPr>
          <w:rFonts w:hint="eastAsia" w:ascii="宋体" w:hAnsi="宋体" w:cs="Times New Roman"/>
          <w:color w:val="auto"/>
          <w:sz w:val="24"/>
          <w:szCs w:val="24"/>
          <w:highlight w:val="none"/>
          <w:lang w:eastAsia="zh-CN"/>
        </w:rPr>
        <w:t>：</w:t>
      </w:r>
    </w:p>
    <w:p w14:paraId="3CBE08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保安员应符合现行</w:t>
      </w:r>
      <w:r>
        <w:rPr>
          <w:rFonts w:hint="eastAsia" w:ascii="宋体" w:hAnsi="宋体" w:cs="宋体"/>
          <w:color w:val="auto"/>
          <w:sz w:val="24"/>
          <w:szCs w:val="24"/>
          <w:highlight w:val="none"/>
          <w:lang w:val="en-US" w:eastAsia="zh-CN"/>
        </w:rPr>
        <w:t>行业标准《保安服务操作规程与质量控制》</w:t>
      </w:r>
      <w:r>
        <w:rPr>
          <w:rFonts w:hint="eastAsia" w:ascii="宋体" w:hAnsi="宋体" w:eastAsia="宋体" w:cs="宋体"/>
          <w:color w:val="auto"/>
          <w:sz w:val="24"/>
          <w:szCs w:val="24"/>
          <w:highlight w:val="none"/>
          <w:lang w:val="en-US" w:eastAsia="zh-CN"/>
        </w:rPr>
        <w:t>GA/T 594和相关保安服务法规的要求持证上岗，承担保安职责；</w:t>
      </w:r>
    </w:p>
    <w:p w14:paraId="3CEC7C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应重点关注物业使用单位重要部位的地理环境特征和主要设施布局特征，熟悉服务场所及周边环境和各类疏散途径；</w:t>
      </w:r>
    </w:p>
    <w:p w14:paraId="3F73FA89">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宋体" w:hAnsi="宋体" w:cs="宋体"/>
          <w:highlight w:val="none"/>
          <w:lang w:eastAsia="zh-CN"/>
        </w:rPr>
      </w:pPr>
      <w:bookmarkStart w:id="85" w:name="_Toc4383"/>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应具有妥善处理突发事件的能力。</w:t>
      </w:r>
      <w:bookmarkEnd w:id="85"/>
    </w:p>
    <w:p w14:paraId="5EE8A2B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86" w:name="_Toc5310"/>
      <w:bookmarkStart w:id="87" w:name="_Toc1302"/>
      <w:bookmarkStart w:id="88" w:name="_Toc21047"/>
      <w:bookmarkStart w:id="89" w:name="_Toc16758"/>
      <w:bookmarkStart w:id="90" w:name="_Toc32249"/>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 xml:space="preserve">  档案管理</w:t>
      </w:r>
      <w:bookmarkEnd w:id="86"/>
      <w:bookmarkEnd w:id="87"/>
      <w:bookmarkEnd w:id="88"/>
      <w:bookmarkEnd w:id="89"/>
      <w:bookmarkEnd w:id="90"/>
    </w:p>
    <w:p w14:paraId="57B08CEA">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1</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物业档案分为技术类档案和管理类档案</w:t>
      </w:r>
      <w:r>
        <w:rPr>
          <w:rFonts w:hint="eastAsia" w:ascii="宋体" w:hAnsi="宋体" w:eastAsia="宋体" w:cs="Times New Roman"/>
          <w:color w:val="auto"/>
          <w:sz w:val="24"/>
          <w:szCs w:val="24"/>
          <w:highlight w:val="none"/>
          <w:lang w:eastAsia="zh-CN"/>
        </w:rPr>
        <w:t>。</w:t>
      </w:r>
    </w:p>
    <w:p w14:paraId="5411A137">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技术类档案包括</w:t>
      </w:r>
      <w:r>
        <w:rPr>
          <w:rFonts w:hint="eastAsia" w:ascii="宋体" w:hAnsi="宋体" w:cs="Times New Roman"/>
          <w:color w:val="auto"/>
          <w:sz w:val="24"/>
          <w:szCs w:val="24"/>
          <w:highlight w:val="none"/>
          <w:lang w:val="en-US" w:eastAsia="zh-CN"/>
        </w:rPr>
        <w:t>但不仅限于</w:t>
      </w:r>
      <w:r>
        <w:rPr>
          <w:rFonts w:hint="eastAsia" w:ascii="宋体" w:hAnsi="宋体" w:eastAsia="宋体" w:cs="Times New Roman"/>
          <w:color w:val="auto"/>
          <w:sz w:val="24"/>
          <w:szCs w:val="24"/>
          <w:highlight w:val="none"/>
          <w:lang w:eastAsia="zh-CN"/>
        </w:rPr>
        <w:t>：</w:t>
      </w:r>
    </w:p>
    <w:p w14:paraId="2F660C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物业竣工验收资料；</w:t>
      </w:r>
    </w:p>
    <w:p w14:paraId="76C4074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物业权属资料；</w:t>
      </w:r>
    </w:p>
    <w:p w14:paraId="1314C68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物业承接查验资料；</w:t>
      </w:r>
    </w:p>
    <w:p w14:paraId="77BB3F9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设施设备档案等。</w:t>
      </w:r>
    </w:p>
    <w:p w14:paraId="7E56A9DE">
      <w:pPr>
        <w:pStyle w:val="20"/>
        <w:keepNext w:val="0"/>
        <w:keepLines w:val="0"/>
        <w:pageBreakBefore w:val="0"/>
        <w:widowControl w:val="0"/>
        <w:kinsoku/>
        <w:overflowPunct/>
        <w:autoSpaceDE/>
        <w:autoSpaceDN/>
        <w:bidi w:val="0"/>
        <w:adjustRightInd/>
        <w:snapToGrid/>
        <w:spacing w:after="0" w:line="360" w:lineRule="auto"/>
        <w:textAlignment w:val="auto"/>
        <w:outlineLvl w:val="9"/>
        <w:rPr>
          <w:rFonts w:hint="eastAsia" w:ascii="宋体" w:hAnsi="宋体" w:eastAsia="宋体" w:cs="Times New Roman"/>
          <w:color w:val="auto"/>
          <w:sz w:val="24"/>
          <w:szCs w:val="24"/>
          <w:highlight w:val="none"/>
          <w:lang w:eastAsia="zh-CN"/>
        </w:rPr>
      </w:pPr>
      <w:bookmarkStart w:id="91" w:name="_Toc4102"/>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管理类档案包括</w:t>
      </w:r>
      <w:r>
        <w:rPr>
          <w:rFonts w:hint="eastAsia" w:ascii="宋体" w:hAnsi="宋体" w:cs="Times New Roman"/>
          <w:color w:val="auto"/>
          <w:sz w:val="24"/>
          <w:szCs w:val="24"/>
          <w:highlight w:val="none"/>
          <w:lang w:val="en-US" w:eastAsia="zh-CN"/>
        </w:rPr>
        <w:t>但不仅限于</w:t>
      </w:r>
      <w:r>
        <w:rPr>
          <w:rFonts w:hint="eastAsia" w:ascii="宋体" w:hAnsi="宋体" w:eastAsia="宋体" w:cs="Times New Roman"/>
          <w:color w:val="auto"/>
          <w:sz w:val="24"/>
          <w:szCs w:val="24"/>
          <w:highlight w:val="none"/>
          <w:lang w:eastAsia="zh-CN"/>
        </w:rPr>
        <w:t>以下内容：</w:t>
      </w:r>
      <w:bookmarkEnd w:id="91"/>
    </w:p>
    <w:p w14:paraId="76C0A32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服务人员档案；</w:t>
      </w:r>
    </w:p>
    <w:p w14:paraId="21A744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管理制度档案；</w:t>
      </w:r>
    </w:p>
    <w:p w14:paraId="53A34AA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eastAsia="宋体" w:cs="Times New Roman"/>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eastAsia="宋体" w:cs="Times New Roman"/>
          <w:color w:val="auto"/>
          <w:sz w:val="24"/>
          <w:szCs w:val="24"/>
          <w:highlight w:val="none"/>
          <w:lang w:val="en-US" w:eastAsia="zh-CN"/>
        </w:rPr>
        <w:t>管理与服务过程中形成的文件记录：</w:t>
      </w:r>
    </w:p>
    <w:p w14:paraId="683F6765">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cs="宋体"/>
          <w:highlight w:val="none"/>
          <w:lang w:val="en-US" w:eastAsia="zh-CN"/>
        </w:rPr>
      </w:pPr>
      <w:r>
        <w:rPr>
          <w:rFonts w:hint="eastAsia" w:ascii="宋体" w:hAnsi="宋体" w:eastAsia="宋体" w:cs="宋体"/>
          <w:color w:val="auto"/>
          <w:sz w:val="24"/>
          <w:szCs w:val="24"/>
          <w:highlight w:val="none"/>
          <w:lang w:val="en-US" w:eastAsia="zh-CN"/>
        </w:rPr>
        <w:t>客户服务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客户资料、客户建议与投诉等；</w:t>
      </w:r>
    </w:p>
    <w:p w14:paraId="79121E02">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cs="宋体"/>
          <w:highlight w:val="none"/>
          <w:lang w:val="en-US" w:eastAsia="zh-CN"/>
        </w:rPr>
      </w:pPr>
      <w:r>
        <w:rPr>
          <w:rFonts w:hint="eastAsia" w:ascii="宋体" w:hAnsi="宋体" w:eastAsia="宋体" w:cs="宋体"/>
          <w:color w:val="auto"/>
          <w:sz w:val="24"/>
          <w:szCs w:val="24"/>
          <w:highlight w:val="none"/>
          <w:lang w:val="en-US" w:eastAsia="zh-CN"/>
        </w:rPr>
        <w:t>房屋维护服务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房屋台账、使用说明、房屋装修、维保记录等；</w:t>
      </w:r>
    </w:p>
    <w:p w14:paraId="08A4D9C7">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cs="宋体"/>
          <w:highlight w:val="none"/>
          <w:lang w:val="en-US" w:eastAsia="zh-CN"/>
        </w:rPr>
      </w:pPr>
      <w:r>
        <w:rPr>
          <w:rFonts w:hint="eastAsia" w:ascii="宋体" w:hAnsi="宋体" w:eastAsia="宋体" w:cs="宋体"/>
          <w:color w:val="auto"/>
          <w:sz w:val="24"/>
          <w:szCs w:val="24"/>
          <w:highlight w:val="none"/>
          <w:lang w:val="en-US" w:eastAsia="zh-CN"/>
        </w:rPr>
        <w:t>公用设施设备维护服务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设备台账、设备卡、使用说明、维保记录等；</w:t>
      </w:r>
    </w:p>
    <w:p w14:paraId="2D98A642">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公共秩序维护服务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监控记录、突发事件演习与处置记录等；</w:t>
      </w:r>
    </w:p>
    <w:p w14:paraId="5083B594">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工作日志、清洁检查表、用品清单、客户反馈表等；</w:t>
      </w:r>
    </w:p>
    <w:p w14:paraId="7D458C92">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绿化总平面图、清洁整改记录、消杀记录等；</w:t>
      </w:r>
    </w:p>
    <w:p w14:paraId="28147BF7">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客户信息、财务明细、合同协议等。</w:t>
      </w:r>
    </w:p>
    <w:p w14:paraId="0FD9EC57">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档案应规范管理，资料齐全、分类成册、查阅方便。技术类档案应根据</w:t>
      </w:r>
      <w:r>
        <w:rPr>
          <w:rFonts w:hint="eastAsia" w:ascii="宋体" w:hAnsi="宋体" w:eastAsia="宋体" w:cs="Times New Roman"/>
          <w:color w:val="auto"/>
          <w:sz w:val="24"/>
          <w:szCs w:val="24"/>
          <w:highlight w:val="none"/>
          <w:lang w:val="en-US" w:eastAsia="zh-CN"/>
        </w:rPr>
        <w:t>物业服务合同约定进行管理及查阅，管理类档案应确保内容完整、准确。</w:t>
      </w:r>
    </w:p>
    <w:p w14:paraId="14D3E4DE">
      <w:pPr>
        <w:pStyle w:val="20"/>
        <w:keepNext w:val="0"/>
        <w:keepLines w:val="0"/>
        <w:pageBreakBefore w:val="0"/>
        <w:widowControl w:val="0"/>
        <w:kinsoku/>
        <w:overflowPunct/>
        <w:autoSpaceDE/>
        <w:autoSpaceDN/>
        <w:bidi w:val="0"/>
        <w:adjustRightInd/>
        <w:snapToGrid/>
        <w:spacing w:after="0" w:line="360" w:lineRule="auto"/>
        <w:textAlignment w:val="auto"/>
        <w:rPr>
          <w:rFonts w:hint="default"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.5</w:t>
      </w:r>
      <w:r>
        <w:rPr>
          <w:rFonts w:hint="default" w:ascii="宋体" w:hAnsi="宋体" w:eastAsia="宋体" w:cs="Times New Roman"/>
          <w:color w:val="auto"/>
          <w:sz w:val="24"/>
          <w:szCs w:val="24"/>
          <w:highlight w:val="none"/>
          <w:lang w:val="en-US" w:eastAsia="zh-CN"/>
        </w:rPr>
        <w:t xml:space="preserve">  物业档案保存时间应符合相关法律法规的要求。技术类档案，合同期满应交还物业使用单位；管理类档案保存时间≥ 2</w:t>
      </w:r>
      <w:r>
        <w:rPr>
          <w:rFonts w:hint="eastAsia" w:ascii="宋体" w:hAnsi="宋体" w:cs="Times New Roman"/>
          <w:color w:val="auto"/>
          <w:sz w:val="24"/>
          <w:szCs w:val="24"/>
          <w:highlight w:val="none"/>
          <w:lang w:val="en-US" w:eastAsia="zh-CN"/>
        </w:rPr>
        <w:t xml:space="preserve">y </w:t>
      </w:r>
      <w:r>
        <w:rPr>
          <w:rFonts w:hint="default" w:ascii="宋体" w:hAnsi="宋体" w:eastAsia="宋体" w:cs="Times New Roman"/>
          <w:color w:val="auto"/>
          <w:sz w:val="24"/>
          <w:szCs w:val="24"/>
          <w:highlight w:val="none"/>
          <w:lang w:val="en-US" w:eastAsia="zh-CN"/>
        </w:rPr>
        <w:t>。</w:t>
      </w:r>
    </w:p>
    <w:p w14:paraId="7D82D4A5">
      <w:pPr>
        <w:pStyle w:val="20"/>
        <w:keepNext w:val="0"/>
        <w:keepLines w:val="0"/>
        <w:pageBreakBefore w:val="0"/>
        <w:widowControl w:val="0"/>
        <w:kinsoku/>
        <w:overflowPunct/>
        <w:autoSpaceDE/>
        <w:autoSpaceDN/>
        <w:bidi w:val="0"/>
        <w:adjustRightInd/>
        <w:snapToGrid/>
        <w:spacing w:after="0" w:line="360" w:lineRule="auto"/>
        <w:textAlignment w:val="auto"/>
        <w:rPr>
          <w:rFonts w:hint="default"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.6</w:t>
      </w:r>
      <w:r>
        <w:rPr>
          <w:rFonts w:hint="default" w:ascii="宋体" w:hAnsi="宋体" w:eastAsia="宋体" w:cs="Times New Roman"/>
          <w:color w:val="auto"/>
          <w:sz w:val="24"/>
          <w:szCs w:val="24"/>
          <w:highlight w:val="none"/>
          <w:lang w:val="en-US" w:eastAsia="zh-CN"/>
        </w:rPr>
        <w:t xml:space="preserve">  应建立档案管理制度，专人管理、专属场所存放，规范借阅、复制等相关流程。按制度做好借阅登记，使用涉密档案应行规范的审批手续，未经许可，不得将涉密资料转作其他用途。</w:t>
      </w:r>
    </w:p>
    <w:p w14:paraId="4BA6FC43">
      <w:pPr>
        <w:pStyle w:val="20"/>
        <w:keepNext w:val="0"/>
        <w:keepLines w:val="0"/>
        <w:pageBreakBefore w:val="0"/>
        <w:widowControl w:val="0"/>
        <w:kinsoku/>
        <w:overflowPunct/>
        <w:autoSpaceDE/>
        <w:autoSpaceDN/>
        <w:bidi w:val="0"/>
        <w:adjustRightInd/>
        <w:snapToGrid/>
        <w:spacing w:after="0" w:line="360" w:lineRule="auto"/>
        <w:textAlignment w:val="auto"/>
        <w:rPr>
          <w:rFonts w:hint="default"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 xml:space="preserve">.7 </w:t>
      </w:r>
      <w:r>
        <w:rPr>
          <w:rFonts w:hint="default" w:ascii="宋体" w:hAnsi="宋体" w:eastAsia="宋体" w:cs="Times New Roman"/>
          <w:color w:val="auto"/>
          <w:sz w:val="24"/>
          <w:szCs w:val="24"/>
          <w:highlight w:val="none"/>
          <w:lang w:val="en-US" w:eastAsia="zh-CN"/>
        </w:rPr>
        <w:t xml:space="preserve"> 电子档案应及时更新维护档案数据，设置文件密码，定期拷贝储存，及时移交物业使用单位备份。</w:t>
      </w:r>
    </w:p>
    <w:p w14:paraId="03AF792C">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92" w:name="_Toc18904"/>
      <w:bookmarkStart w:id="93" w:name="_Toc26315"/>
      <w:bookmarkStart w:id="94" w:name="_Toc8778"/>
      <w:bookmarkStart w:id="95" w:name="_Toc19047"/>
      <w:bookmarkStart w:id="96" w:name="_Toc23284"/>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标识管理</w:t>
      </w:r>
      <w:bookmarkEnd w:id="92"/>
      <w:bookmarkEnd w:id="93"/>
      <w:bookmarkEnd w:id="94"/>
      <w:bookmarkEnd w:id="95"/>
      <w:bookmarkEnd w:id="96"/>
    </w:p>
    <w:p w14:paraId="6E0C0929">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 xml:space="preserve">.1  </w:t>
      </w:r>
      <w:r>
        <w:rPr>
          <w:rFonts w:hint="eastAsia" w:ascii="宋体" w:hAnsi="宋体" w:eastAsia="宋体" w:cs="Times New Roman"/>
          <w:color w:val="auto"/>
          <w:sz w:val="24"/>
          <w:szCs w:val="24"/>
          <w:highlight w:val="none"/>
          <w:lang w:val="en-US" w:eastAsia="zh-CN"/>
        </w:rPr>
        <w:t>应建立标识标牌巡查维护制度，根据物业使用单位运营的需要，协商</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补充</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制作相应标识及费用承担事宜，统一标识风格，做好</w:t>
      </w:r>
      <w:r>
        <w:rPr>
          <w:rFonts w:hint="eastAsia" w:ascii="宋体" w:hAnsi="宋体" w:cs="Times New Roman"/>
          <w:color w:val="auto"/>
          <w:sz w:val="24"/>
          <w:szCs w:val="24"/>
          <w:highlight w:val="none"/>
          <w:lang w:val="en-US" w:eastAsia="zh-CN"/>
        </w:rPr>
        <w:t>标识</w:t>
      </w:r>
      <w:r>
        <w:rPr>
          <w:rFonts w:hint="eastAsia" w:ascii="宋体" w:hAnsi="宋体" w:eastAsia="宋体" w:cs="Times New Roman"/>
          <w:color w:val="auto"/>
          <w:sz w:val="24"/>
          <w:szCs w:val="24"/>
          <w:highlight w:val="none"/>
          <w:lang w:val="en-US" w:eastAsia="zh-CN"/>
        </w:rPr>
        <w:t>分类和使用管理工作。</w:t>
      </w:r>
    </w:p>
    <w:p w14:paraId="1F825F2D">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 xml:space="preserve">  物业服务企业应对以下服务场所和设施设备相关标识标牌定期查验和维护，确保标识标牌规范清晰、安装稳固：</w:t>
      </w:r>
    </w:p>
    <w:p w14:paraId="515F11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eastAsia="宋体" w:cs="Times New Roman"/>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 xml:space="preserve"> 平面路线图、平面疏散示意图、指引标识、楼层标识、各功能区标识；</w:t>
      </w:r>
    </w:p>
    <w:p w14:paraId="3551D76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供配电系统模拟示意图、电气开关状态标识、主要供水阀门、主要管线流向标识；</w:t>
      </w:r>
    </w:p>
    <w:p w14:paraId="06C9800B">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设备房门、配电箱、通电设施设备、特种设备以及危及人身安全区域的禁止标志和警告标志；</w:t>
      </w:r>
    </w:p>
    <w:p w14:paraId="49B4835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公共健身设施、管道井门、消火栓箱、灭火器箱、电气竖井门、消防通道门等的指令标志和使用提示标志；</w:t>
      </w:r>
    </w:p>
    <w:p w14:paraId="38D391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主要通道、公告栏等显著位置的垃圾分类收集设施引导标识，垃圾收集、处理的容器和场所的生活垃圾分类标识；服务提示性标识；</w:t>
      </w:r>
    </w:p>
    <w:p w14:paraId="65DA0B5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消防车通道、消防车登高操作场地、灭火救援窗、灭火救援破拆口、消防车取水口、室外消火栓、消防水泵接合器、常闭式防火门等的提示性、警示性标识；</w:t>
      </w:r>
    </w:p>
    <w:p w14:paraId="65C9D66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  消防安全重点部位（变配电室、消防水泵房、空调机房、自备发电机房、储油间等）防火标志；</w:t>
      </w:r>
    </w:p>
    <w:p w14:paraId="2C17D84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lang w:val="en-US" w:eastAsia="zh-CN"/>
        </w:rPr>
        <w:t>消防车通道、消防车登高操作场地、防火卷帘下方的地面禁止占用的区域范围标识。</w:t>
      </w:r>
    </w:p>
    <w:p w14:paraId="5549FC12">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 xml:space="preserve">.3  </w:t>
      </w:r>
      <w:r>
        <w:rPr>
          <w:rFonts w:hint="eastAsia" w:ascii="宋体" w:hAnsi="宋体" w:eastAsia="宋体" w:cs="Times New Roman"/>
          <w:color w:val="auto"/>
          <w:sz w:val="24"/>
          <w:szCs w:val="24"/>
          <w:highlight w:val="none"/>
          <w:lang w:val="en-US" w:eastAsia="zh-CN"/>
        </w:rPr>
        <w:t>安全标志的颜色、图形标志和设置要求应符合现行国家标准《安全色</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GB 2893和《安全标志及其使用导则</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GB 2894的相关规定，消防安全标志及设置要求应符合现行国家标准《消防安全标志</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第</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1</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部分：标志</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GB 13495.1和《消防安全标志设置要求</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GB 15630的相关规定。</w:t>
      </w:r>
    </w:p>
    <w:p w14:paraId="74E715C0">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 xml:space="preserve">  道路交通指引标识应符合现行国家标准《道路交通标志和标线 第 2 部分：道路交通标志》GB 5768.2的相关规定。公共信息标识应符合现行国家标准《公共信息图形符号 第 1 部分：通用符号》GB/T 10001.1和《公共信息图形符号 第7部分：办公教学符号》GB/T10001.7的相关规定。</w:t>
      </w:r>
    </w:p>
    <w:p w14:paraId="43383B5E">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 xml:space="preserve">  生活垃圾分类标识应符合现行国家标准《生活垃圾分类标志</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GB/T 19095和物业使用单位所在城市的要求。</w:t>
      </w:r>
    </w:p>
    <w:p w14:paraId="1D205508">
      <w:pPr>
        <w:pStyle w:val="20"/>
        <w:keepNext w:val="0"/>
        <w:keepLines w:val="0"/>
        <w:pageBreakBefore w:val="0"/>
        <w:widowControl w:val="0"/>
        <w:kinsoku/>
        <w:overflowPunct/>
        <w:autoSpaceDE/>
        <w:autoSpaceDN/>
        <w:bidi w:val="0"/>
        <w:adjustRightInd/>
        <w:snapToGrid/>
        <w:spacing w:after="0" w:line="360" w:lineRule="auto"/>
        <w:textAlignment w:val="auto"/>
        <w:rPr>
          <w:rFonts w:hint="eastAsia"/>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 xml:space="preserve">  物业服务企业应要求作业方在设施设备施工、检查维修、卫生消杀、</w:t>
      </w:r>
      <w:r>
        <w:rPr>
          <w:rFonts w:hint="eastAsia" w:ascii="宋体" w:hAnsi="宋体" w:cs="Times New Roman"/>
          <w:color w:val="auto"/>
          <w:sz w:val="24"/>
          <w:szCs w:val="24"/>
          <w:highlight w:val="none"/>
          <w:lang w:val="en-US" w:eastAsia="zh-CN"/>
        </w:rPr>
        <w:t>有害生物防制</w:t>
      </w:r>
      <w:r>
        <w:rPr>
          <w:rFonts w:hint="eastAsia" w:ascii="宋体" w:hAnsi="宋体" w:eastAsia="宋体" w:cs="Times New Roman"/>
          <w:color w:val="auto"/>
          <w:sz w:val="24"/>
          <w:szCs w:val="24"/>
          <w:highlight w:val="none"/>
          <w:lang w:val="en-US" w:eastAsia="zh-CN"/>
        </w:rPr>
        <w:t>、大型树木修剪等作业现场，</w:t>
      </w:r>
      <w:r>
        <w:rPr>
          <w:rFonts w:hint="eastAsia" w:ascii="宋体" w:hAnsi="宋体" w:cs="Times New Roman"/>
          <w:color w:val="auto"/>
          <w:sz w:val="24"/>
          <w:szCs w:val="24"/>
          <w:highlight w:val="none"/>
          <w:lang w:val="en-US" w:eastAsia="zh-CN"/>
        </w:rPr>
        <w:t>对作业</w:t>
      </w:r>
      <w:r>
        <w:rPr>
          <w:rFonts w:hint="eastAsia" w:ascii="宋体" w:hAnsi="宋体" w:eastAsia="宋体" w:cs="Times New Roman"/>
          <w:color w:val="auto"/>
          <w:sz w:val="24"/>
          <w:szCs w:val="24"/>
          <w:highlight w:val="none"/>
          <w:lang w:val="en-US" w:eastAsia="zh-CN"/>
        </w:rPr>
        <w:t>检现场</w:t>
      </w:r>
      <w:r>
        <w:rPr>
          <w:rFonts w:hint="eastAsia" w:ascii="宋体" w:hAnsi="宋体" w:cs="Times New Roman"/>
          <w:color w:val="auto"/>
          <w:sz w:val="24"/>
          <w:szCs w:val="24"/>
          <w:highlight w:val="none"/>
          <w:lang w:val="en-US" w:eastAsia="zh-CN"/>
        </w:rPr>
        <w:t>周边</w:t>
      </w:r>
      <w:r>
        <w:rPr>
          <w:rFonts w:hint="eastAsia" w:ascii="宋体" w:hAnsi="宋体" w:eastAsia="宋体" w:cs="Times New Roman"/>
          <w:color w:val="auto"/>
          <w:sz w:val="24"/>
          <w:szCs w:val="24"/>
          <w:highlight w:val="none"/>
          <w:lang w:val="en-US" w:eastAsia="zh-CN"/>
        </w:rPr>
        <w:t>的坑、井、渠、沟、陡坡等场所设置禁止标志和警告标志。</w:t>
      </w:r>
    </w:p>
    <w:p w14:paraId="7EA9334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97" w:name="_Toc7877"/>
      <w:bookmarkStart w:id="98" w:name="_Toc28643"/>
      <w:bookmarkStart w:id="99" w:name="_Toc29678"/>
      <w:bookmarkStart w:id="100" w:name="_Toc15237"/>
      <w:bookmarkStart w:id="101" w:name="_Toc11014"/>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kern w:val="2"/>
          <w:sz w:val="24"/>
          <w:szCs w:val="24"/>
          <w:highlight w:val="none"/>
          <w:lang w:val="en-US" w:eastAsia="zh-CN" w:bidi="ar-SA"/>
        </w:rPr>
        <w:t>安全生产</w:t>
      </w:r>
      <w:r>
        <w:rPr>
          <w:rFonts w:hint="eastAsia" w:ascii="宋体" w:hAnsi="宋体" w:eastAsia="宋体" w:cs="宋体"/>
          <w:b/>
          <w:bCs/>
          <w:color w:val="auto"/>
          <w:sz w:val="24"/>
          <w:szCs w:val="24"/>
          <w:highlight w:val="none"/>
          <w:lang w:val="en-US" w:eastAsia="zh-CN"/>
        </w:rPr>
        <w:t>管理</w:t>
      </w:r>
      <w:bookmarkEnd w:id="97"/>
      <w:bookmarkEnd w:id="98"/>
      <w:bookmarkEnd w:id="99"/>
      <w:bookmarkEnd w:id="100"/>
      <w:bookmarkEnd w:id="101"/>
    </w:p>
    <w:p w14:paraId="6F8855EA">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 xml:space="preserve">  应建立健全安全生产管理制度和操作规程，完整的安全生产责任和监督</w:t>
      </w:r>
      <w:r>
        <w:rPr>
          <w:rFonts w:hint="eastAsia" w:ascii="宋体" w:hAnsi="宋体" w:cs="Times New Roman"/>
          <w:color w:val="auto"/>
          <w:sz w:val="24"/>
          <w:szCs w:val="24"/>
          <w:highlight w:val="none"/>
          <w:lang w:val="en-US" w:eastAsia="zh-CN"/>
        </w:rPr>
        <w:t>管理</w:t>
      </w:r>
      <w:r>
        <w:rPr>
          <w:rFonts w:hint="eastAsia" w:ascii="宋体" w:hAnsi="宋体" w:eastAsia="宋体" w:cs="Times New Roman"/>
          <w:color w:val="auto"/>
          <w:sz w:val="24"/>
          <w:szCs w:val="24"/>
          <w:highlight w:val="none"/>
          <w:lang w:val="en-US" w:eastAsia="zh-CN"/>
        </w:rPr>
        <w:t>制度。</w:t>
      </w:r>
    </w:p>
    <w:p w14:paraId="50AF67B4">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 xml:space="preserve">  应建设完善的安全生产管理组织机构和人员，定期开展安全生产教育与培训。</w:t>
      </w:r>
    </w:p>
    <w:p w14:paraId="092C8325">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 xml:space="preserve">  应制定各类应急处理预案</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lang w:val="en-US" w:eastAsia="zh-CN"/>
        </w:rPr>
        <w:t>全年应急演练计划</w:t>
      </w:r>
      <w:r>
        <w:rPr>
          <w:rFonts w:hint="eastAsia" w:ascii="宋体" w:hAnsi="宋体" w:cs="Times New Roman"/>
          <w:color w:val="auto"/>
          <w:sz w:val="24"/>
          <w:szCs w:val="24"/>
          <w:highlight w:val="none"/>
          <w:lang w:val="en-US" w:eastAsia="zh-CN"/>
        </w:rPr>
        <w:t>，定期进行安全</w:t>
      </w:r>
      <w:r>
        <w:rPr>
          <w:rFonts w:hint="eastAsia" w:ascii="宋体" w:hAnsi="宋体" w:eastAsia="宋体" w:cs="Times New Roman"/>
          <w:color w:val="auto"/>
          <w:sz w:val="24"/>
          <w:szCs w:val="24"/>
          <w:highlight w:val="none"/>
          <w:lang w:val="en-US" w:eastAsia="zh-CN"/>
        </w:rPr>
        <w:t>演练</w:t>
      </w:r>
      <w:r>
        <w:rPr>
          <w:rFonts w:hint="eastAsia" w:ascii="宋体" w:hAnsi="宋体" w:cs="Times New Roman"/>
          <w:color w:val="auto"/>
          <w:sz w:val="24"/>
          <w:szCs w:val="24"/>
          <w:highlight w:val="none"/>
          <w:lang w:val="en-US" w:eastAsia="zh-CN"/>
        </w:rPr>
        <w:t>如</w:t>
      </w:r>
      <w:r>
        <w:rPr>
          <w:rFonts w:hint="eastAsia" w:ascii="宋体" w:hAnsi="宋体" w:eastAsia="宋体" w:cs="Times New Roman"/>
          <w:color w:val="auto"/>
          <w:sz w:val="24"/>
          <w:szCs w:val="24"/>
          <w:highlight w:val="none"/>
          <w:lang w:val="en-US" w:eastAsia="zh-CN"/>
        </w:rPr>
        <w:t>电梯困人、火警、台风等。</w:t>
      </w:r>
    </w:p>
    <w:p w14:paraId="0381F4A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02" w:name="_Toc28885"/>
      <w:bookmarkStart w:id="103" w:name="_Toc2473"/>
      <w:bookmarkStart w:id="104" w:name="_Toc22779"/>
      <w:bookmarkStart w:id="105" w:name="_Toc29193"/>
      <w:bookmarkStart w:id="106" w:name="_Toc630"/>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智慧</w:t>
      </w:r>
      <w:r>
        <w:rPr>
          <w:rFonts w:hint="eastAsia" w:ascii="宋体" w:hAnsi="宋体" w:eastAsia="宋体" w:cs="宋体"/>
          <w:b/>
          <w:bCs/>
          <w:color w:val="auto"/>
          <w:sz w:val="24"/>
          <w:szCs w:val="24"/>
          <w:highlight w:val="none"/>
          <w:lang w:val="en-US" w:eastAsia="zh-CN"/>
        </w:rPr>
        <w:t>管理</w:t>
      </w:r>
      <w:bookmarkEnd w:id="102"/>
      <w:bookmarkEnd w:id="103"/>
      <w:bookmarkEnd w:id="104"/>
      <w:bookmarkEnd w:id="105"/>
      <w:bookmarkEnd w:id="106"/>
    </w:p>
    <w:p w14:paraId="42EBE982">
      <w:pPr>
        <w:pStyle w:val="20"/>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8.1</w:t>
      </w:r>
      <w:r>
        <w:rPr>
          <w:rFonts w:hint="eastAsia" w:ascii="Times New Roman" w:hAnsi="Times New Roman" w:eastAsia="宋体" w:cs="Times New Roman"/>
          <w:b/>
          <w:bCs/>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宜采用智慧化、数字化技术和工具为物业使用人提供优质服务。</w:t>
      </w:r>
    </w:p>
    <w:p w14:paraId="06B7C3ED">
      <w:pPr>
        <w:pStyle w:val="20"/>
        <w:rPr>
          <w:rFonts w:hint="default"/>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8.2</w:t>
      </w:r>
      <w:r>
        <w:rPr>
          <w:rFonts w:hint="eastAsia" w:ascii="Times New Roman" w:hAnsi="Times New Roman" w:eastAsia="宋体" w:cs="Times New Roman"/>
          <w:b/>
          <w:bCs/>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宜</w:t>
      </w:r>
      <w:r>
        <w:rPr>
          <w:rFonts w:hint="eastAsia" w:ascii="宋体" w:hAnsi="宋体" w:eastAsia="宋体" w:cs="宋体"/>
          <w:vanish w:val="0"/>
          <w:color w:val="auto"/>
          <w:sz w:val="24"/>
          <w:szCs w:val="24"/>
          <w:highlight w:val="none"/>
          <w:lang w:val="en-US" w:eastAsia="zh-CN"/>
        </w:rPr>
        <w:t>建立信息化系统平台，实现远程处理访客进出管理，停车缴费，快递配送通知，收费管理等。</w:t>
      </w:r>
    </w:p>
    <w:p w14:paraId="60543FD1">
      <w:pPr>
        <w:spacing w:before="157" w:beforeLines="50" w:after="157" w:afterLines="50"/>
        <w:jc w:val="center"/>
        <w:outlineLvl w:val="1"/>
        <w:rPr>
          <w:rFonts w:hint="eastAsia" w:ascii="宋体" w:hAnsi="宋体" w:cs="宋体"/>
          <w:b/>
          <w:bCs/>
          <w:color w:val="auto"/>
          <w:sz w:val="24"/>
          <w:szCs w:val="24"/>
          <w:highlight w:val="none"/>
          <w:lang w:val="en-US" w:eastAsia="zh-CN"/>
        </w:rPr>
      </w:pPr>
      <w:bookmarkStart w:id="107" w:name="_Toc23512"/>
      <w:bookmarkStart w:id="108" w:name="_Toc29846"/>
      <w:bookmarkStart w:id="109" w:name="_Toc30949"/>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 xml:space="preserve">  节能降耗</w:t>
      </w:r>
      <w:bookmarkEnd w:id="107"/>
      <w:bookmarkEnd w:id="108"/>
      <w:bookmarkEnd w:id="109"/>
    </w:p>
    <w:p w14:paraId="687274EB">
      <w:pPr>
        <w:spacing w:line="360" w:lineRule="auto"/>
        <w:rPr>
          <w:rFonts w:hint="default"/>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3.</w:t>
      </w:r>
      <w:r>
        <w:rPr>
          <w:rFonts w:hint="eastAsia" w:cs="Times New Roman"/>
          <w:b/>
          <w:bCs/>
          <w:color w:val="auto"/>
          <w:sz w:val="24"/>
          <w:szCs w:val="24"/>
          <w:highlight w:val="none"/>
          <w:u w:val="none"/>
          <w:lang w:val="en-US" w:eastAsia="zh-CN"/>
        </w:rPr>
        <w:t>9.1</w:t>
      </w:r>
      <w:r>
        <w:rPr>
          <w:rFonts w:hint="eastAsia" w:ascii="Times New Roman" w:hAnsi="Times New Roman" w:eastAsia="宋体" w:cs="Times New Roman"/>
          <w:b/>
          <w:bCs/>
          <w:color w:val="auto"/>
          <w:sz w:val="24"/>
          <w:szCs w:val="24"/>
          <w:highlight w:val="none"/>
          <w:u w:val="none"/>
          <w:lang w:val="en-US" w:eastAsia="zh-CN"/>
        </w:rPr>
        <w:t xml:space="preserve">  </w:t>
      </w:r>
      <w:r>
        <w:rPr>
          <w:rFonts w:hint="default"/>
          <w:sz w:val="24"/>
          <w:szCs w:val="24"/>
          <w:highlight w:val="none"/>
          <w:u w:val="none"/>
          <w:lang w:val="en-US" w:eastAsia="zh-CN"/>
        </w:rPr>
        <w:t>应根据不同类型、不同寿命周期物业特点，编制绿色物业管理方案，方案包括但不限于以下内容:</w:t>
      </w:r>
    </w:p>
    <w:p w14:paraId="765C886E">
      <w:pPr>
        <w:spacing w:line="360" w:lineRule="auto"/>
        <w:ind w:firstLine="480" w:firstLineChars="200"/>
        <w:rPr>
          <w:rFonts w:hint="default"/>
          <w:sz w:val="24"/>
          <w:szCs w:val="24"/>
          <w:highlight w:val="none"/>
          <w:u w:val="none"/>
          <w:lang w:val="en-US" w:eastAsia="zh-CN"/>
        </w:rPr>
      </w:pPr>
      <w:r>
        <w:rPr>
          <w:rFonts w:hint="eastAsia"/>
          <w:sz w:val="24"/>
          <w:szCs w:val="24"/>
          <w:highlight w:val="none"/>
          <w:u w:val="none"/>
          <w:lang w:val="en-US" w:eastAsia="zh-CN"/>
        </w:rPr>
        <w:t xml:space="preserve">1  </w:t>
      </w:r>
      <w:r>
        <w:rPr>
          <w:rFonts w:hint="default"/>
          <w:sz w:val="24"/>
          <w:szCs w:val="24"/>
          <w:highlight w:val="none"/>
          <w:u w:val="none"/>
          <w:lang w:val="en-US" w:eastAsia="zh-CN"/>
        </w:rPr>
        <w:t>房屋维护绿色管理；</w:t>
      </w:r>
    </w:p>
    <w:p w14:paraId="6CF1C460">
      <w:pPr>
        <w:spacing w:line="360" w:lineRule="auto"/>
        <w:ind w:firstLine="480" w:firstLineChars="200"/>
        <w:rPr>
          <w:rFonts w:hint="default"/>
          <w:sz w:val="24"/>
          <w:szCs w:val="24"/>
          <w:highlight w:val="none"/>
          <w:u w:val="none"/>
          <w:lang w:val="en-US" w:eastAsia="zh-CN"/>
        </w:rPr>
      </w:pPr>
      <w:r>
        <w:rPr>
          <w:rFonts w:hint="eastAsia"/>
          <w:sz w:val="24"/>
          <w:szCs w:val="24"/>
          <w:highlight w:val="none"/>
          <w:u w:val="none"/>
          <w:lang w:val="en-US" w:eastAsia="zh-CN"/>
        </w:rPr>
        <w:t xml:space="preserve">2  </w:t>
      </w:r>
      <w:r>
        <w:rPr>
          <w:rFonts w:hint="default"/>
          <w:sz w:val="24"/>
          <w:szCs w:val="24"/>
          <w:highlight w:val="none"/>
          <w:u w:val="none"/>
          <w:lang w:val="en-US" w:eastAsia="zh-CN"/>
        </w:rPr>
        <w:t>共用设施设备维护绿色管理；</w:t>
      </w:r>
    </w:p>
    <w:p w14:paraId="64CAD9FC">
      <w:pPr>
        <w:spacing w:line="360" w:lineRule="auto"/>
        <w:ind w:firstLine="480" w:firstLineChars="200"/>
        <w:rPr>
          <w:rFonts w:hint="default"/>
          <w:sz w:val="24"/>
          <w:szCs w:val="24"/>
          <w:highlight w:val="none"/>
          <w:u w:val="none"/>
          <w:lang w:val="en-US" w:eastAsia="zh-CN"/>
        </w:rPr>
      </w:pPr>
      <w:r>
        <w:rPr>
          <w:rFonts w:hint="eastAsia"/>
          <w:sz w:val="24"/>
          <w:szCs w:val="24"/>
          <w:highlight w:val="none"/>
          <w:u w:val="none"/>
          <w:lang w:val="en-US" w:eastAsia="zh-CN"/>
        </w:rPr>
        <w:t xml:space="preserve">3  </w:t>
      </w:r>
      <w:r>
        <w:rPr>
          <w:rFonts w:hint="default"/>
          <w:sz w:val="24"/>
          <w:szCs w:val="24"/>
          <w:highlight w:val="none"/>
          <w:u w:val="none"/>
          <w:lang w:val="en-US" w:eastAsia="zh-CN"/>
        </w:rPr>
        <w:t>秩序维护绿色管理；</w:t>
      </w:r>
    </w:p>
    <w:p w14:paraId="3E532054">
      <w:pPr>
        <w:spacing w:line="360" w:lineRule="auto"/>
        <w:ind w:firstLine="480" w:firstLineChars="200"/>
        <w:rPr>
          <w:rFonts w:hint="default"/>
          <w:sz w:val="24"/>
          <w:szCs w:val="24"/>
          <w:highlight w:val="none"/>
          <w:u w:val="none"/>
          <w:lang w:val="en-US" w:eastAsia="zh-CN"/>
        </w:rPr>
      </w:pPr>
      <w:r>
        <w:rPr>
          <w:rFonts w:hint="eastAsia"/>
          <w:sz w:val="24"/>
          <w:szCs w:val="24"/>
          <w:highlight w:val="none"/>
          <w:u w:val="none"/>
          <w:lang w:val="en-US" w:eastAsia="zh-CN"/>
        </w:rPr>
        <w:t xml:space="preserve">4  </w:t>
      </w:r>
      <w:r>
        <w:rPr>
          <w:rFonts w:hint="default"/>
          <w:sz w:val="24"/>
          <w:szCs w:val="24"/>
          <w:highlight w:val="none"/>
          <w:u w:val="none"/>
          <w:lang w:val="en-US" w:eastAsia="zh-CN"/>
        </w:rPr>
        <w:t>环境维护绿色管理。</w:t>
      </w:r>
    </w:p>
    <w:p w14:paraId="7FE73CF2">
      <w:pPr>
        <w:spacing w:line="360" w:lineRule="auto"/>
        <w:ind w:firstLine="0" w:firstLineChars="0"/>
        <w:rPr>
          <w:rFonts w:hint="eastAsia" w:ascii="宋体" w:hAnsi="宋体" w:eastAsia="宋体" w:cs="宋体"/>
          <w:strike w:val="0"/>
          <w:sz w:val="24"/>
          <w:szCs w:val="24"/>
          <w:highlight w:val="none"/>
          <w:u w:val="none"/>
        </w:rPr>
      </w:pPr>
      <w:r>
        <w:rPr>
          <w:rFonts w:hint="eastAsia" w:ascii="Times New Roman" w:hAnsi="Times New Roman" w:eastAsia="宋体" w:cs="Times New Roman"/>
          <w:b/>
          <w:bCs/>
          <w:color w:val="auto"/>
          <w:sz w:val="24"/>
          <w:szCs w:val="24"/>
          <w:highlight w:val="none"/>
          <w:u w:val="none"/>
          <w:lang w:val="en-US" w:eastAsia="zh-CN"/>
        </w:rPr>
        <w:t>3.</w:t>
      </w:r>
      <w:r>
        <w:rPr>
          <w:rFonts w:hint="eastAsia" w:cs="Times New Roman"/>
          <w:b/>
          <w:bCs/>
          <w:color w:val="auto"/>
          <w:sz w:val="24"/>
          <w:szCs w:val="24"/>
          <w:highlight w:val="none"/>
          <w:u w:val="none"/>
          <w:lang w:val="en-US" w:eastAsia="zh-CN"/>
        </w:rPr>
        <w:t>9.2</w:t>
      </w:r>
      <w:r>
        <w:rPr>
          <w:rFonts w:hint="eastAsia" w:ascii="Times New Roman" w:hAnsi="Times New Roman" w:eastAsia="宋体" w:cs="Times New Roman"/>
          <w:b/>
          <w:bCs/>
          <w:color w:val="auto"/>
          <w:sz w:val="24"/>
          <w:szCs w:val="24"/>
          <w:highlight w:val="none"/>
          <w:u w:val="none"/>
          <w:lang w:val="en-US" w:eastAsia="zh-CN"/>
        </w:rPr>
        <w:t xml:space="preserve">  </w:t>
      </w:r>
      <w:r>
        <w:rPr>
          <w:rFonts w:hint="eastAsia" w:ascii="宋体" w:hAnsi="宋体" w:eastAsia="宋体" w:cs="宋体"/>
          <w:strike w:val="0"/>
          <w:sz w:val="24"/>
          <w:szCs w:val="24"/>
          <w:highlight w:val="none"/>
          <w:u w:val="none"/>
          <w:lang w:val="en-US" w:eastAsia="zh-CN"/>
        </w:rPr>
        <w:t>应</w:t>
      </w:r>
      <w:r>
        <w:rPr>
          <w:rFonts w:hint="eastAsia" w:ascii="宋体" w:hAnsi="宋体" w:eastAsia="宋体" w:cs="宋体"/>
          <w:strike w:val="0"/>
          <w:sz w:val="24"/>
          <w:szCs w:val="24"/>
          <w:highlight w:val="none"/>
          <w:u w:val="none"/>
        </w:rPr>
        <w:t>建立设施设备绿色维护管理制度，制定节能节水等操作规程</w:t>
      </w:r>
      <w:r>
        <w:rPr>
          <w:rFonts w:hint="eastAsia" w:ascii="宋体" w:hAnsi="宋体" w:eastAsia="宋体" w:cs="宋体"/>
          <w:strike w:val="0"/>
          <w:sz w:val="24"/>
          <w:szCs w:val="24"/>
          <w:highlight w:val="none"/>
          <w:u w:val="none"/>
          <w:lang w:eastAsia="zh-CN"/>
        </w:rPr>
        <w:t>。</w:t>
      </w:r>
      <w:r>
        <w:rPr>
          <w:rFonts w:hint="eastAsia" w:ascii="宋体" w:hAnsi="宋体" w:eastAsia="宋体" w:cs="宋体"/>
          <w:strike w:val="0"/>
          <w:dstrike w:val="0"/>
          <w:sz w:val="24"/>
          <w:szCs w:val="24"/>
          <w:highlight w:val="none"/>
          <w:u w:val="none"/>
          <w:lang w:val="en-US" w:eastAsia="zh-CN"/>
        </w:rPr>
        <w:t>定期对</w:t>
      </w:r>
      <w:r>
        <w:rPr>
          <w:rFonts w:hint="eastAsia" w:ascii="宋体" w:hAnsi="宋体" w:cs="宋体"/>
          <w:strike w:val="0"/>
          <w:dstrike w:val="0"/>
          <w:sz w:val="24"/>
          <w:szCs w:val="24"/>
          <w:highlight w:val="none"/>
          <w:u w:val="none"/>
          <w:lang w:val="en-US" w:eastAsia="zh-CN"/>
        </w:rPr>
        <w:t>公共</w:t>
      </w:r>
      <w:r>
        <w:rPr>
          <w:rFonts w:hint="eastAsia" w:ascii="宋体" w:hAnsi="宋体" w:eastAsia="宋体" w:cs="宋体"/>
          <w:strike w:val="0"/>
          <w:dstrike w:val="0"/>
          <w:sz w:val="24"/>
          <w:szCs w:val="24"/>
          <w:highlight w:val="none"/>
          <w:u w:val="none"/>
          <w:lang w:val="en-US" w:eastAsia="zh-CN"/>
        </w:rPr>
        <w:t>能耗进行分析</w:t>
      </w:r>
      <w:r>
        <w:rPr>
          <w:rFonts w:hint="eastAsia" w:ascii="宋体" w:hAnsi="宋体" w:cs="宋体"/>
          <w:strike w:val="0"/>
          <w:dstrike w:val="0"/>
          <w:sz w:val="24"/>
          <w:szCs w:val="24"/>
          <w:highlight w:val="none"/>
          <w:u w:val="none"/>
          <w:lang w:val="en-US" w:eastAsia="zh-CN"/>
        </w:rPr>
        <w:t>，并</w:t>
      </w:r>
      <w:r>
        <w:rPr>
          <w:rFonts w:hint="eastAsia" w:ascii="宋体" w:hAnsi="宋体" w:eastAsia="宋体" w:cs="宋体"/>
          <w:strike w:val="0"/>
          <w:dstrike w:val="0"/>
          <w:sz w:val="24"/>
          <w:szCs w:val="24"/>
          <w:highlight w:val="none"/>
          <w:u w:val="none"/>
          <w:lang w:val="en-US" w:eastAsia="zh-CN"/>
        </w:rPr>
        <w:t>制定相应工作计划</w:t>
      </w:r>
      <w:r>
        <w:rPr>
          <w:rFonts w:hint="eastAsia" w:ascii="宋体" w:hAnsi="宋体" w:cs="宋体"/>
          <w:strike w:val="0"/>
          <w:dstrike w:val="0"/>
          <w:sz w:val="24"/>
          <w:szCs w:val="24"/>
          <w:highlight w:val="none"/>
          <w:u w:val="none"/>
          <w:lang w:val="en-US" w:eastAsia="zh-CN"/>
        </w:rPr>
        <w:t>，</w:t>
      </w:r>
      <w:r>
        <w:rPr>
          <w:rFonts w:hint="eastAsia" w:ascii="宋体" w:hAnsi="宋体" w:eastAsia="宋体" w:cs="宋体"/>
          <w:strike w:val="0"/>
          <w:sz w:val="24"/>
          <w:szCs w:val="24"/>
          <w:highlight w:val="none"/>
          <w:u w:val="none"/>
        </w:rPr>
        <w:t>开展日常运行、巡检、保养、维修等相关工作，</w:t>
      </w:r>
      <w:r>
        <w:rPr>
          <w:rFonts w:hint="eastAsia" w:ascii="宋体" w:hAnsi="宋体" w:eastAsia="宋体" w:cs="宋体"/>
          <w:strike w:val="0"/>
          <w:sz w:val="24"/>
          <w:szCs w:val="24"/>
          <w:highlight w:val="none"/>
          <w:u w:val="none"/>
          <w:lang w:val="en-US" w:eastAsia="zh-CN"/>
        </w:rPr>
        <w:t>相关工作记录完整</w:t>
      </w:r>
      <w:r>
        <w:rPr>
          <w:rFonts w:hint="eastAsia" w:ascii="宋体" w:hAnsi="宋体" w:eastAsia="宋体" w:cs="宋体"/>
          <w:strike w:val="0"/>
          <w:sz w:val="24"/>
          <w:szCs w:val="24"/>
          <w:highlight w:val="none"/>
          <w:u w:val="none"/>
        </w:rPr>
        <w:t>。</w:t>
      </w:r>
    </w:p>
    <w:p w14:paraId="74CCF533">
      <w:pPr>
        <w:spacing w:line="360" w:lineRule="auto"/>
        <w:ind w:firstLine="0" w:firstLineChars="0"/>
        <w:rPr>
          <w:rFonts w:hint="eastAsia" w:ascii="宋体" w:hAnsi="宋体" w:eastAsia="宋体" w:cs="宋体"/>
          <w:strike w:val="0"/>
          <w:sz w:val="24"/>
          <w:szCs w:val="24"/>
          <w:highlight w:val="none"/>
          <w:u w:val="none"/>
        </w:rPr>
      </w:pPr>
      <w:r>
        <w:rPr>
          <w:rFonts w:hint="eastAsia" w:ascii="Times New Roman" w:hAnsi="Times New Roman" w:eastAsia="宋体" w:cs="Times New Roman"/>
          <w:b/>
          <w:bCs/>
          <w:color w:val="auto"/>
          <w:sz w:val="24"/>
          <w:szCs w:val="24"/>
          <w:highlight w:val="none"/>
          <w:u w:val="none"/>
          <w:lang w:val="en-US" w:eastAsia="zh-CN"/>
        </w:rPr>
        <w:t>3.</w:t>
      </w:r>
      <w:r>
        <w:rPr>
          <w:rFonts w:hint="eastAsia" w:cs="Times New Roman"/>
          <w:b/>
          <w:bCs/>
          <w:color w:val="auto"/>
          <w:sz w:val="24"/>
          <w:szCs w:val="24"/>
          <w:highlight w:val="none"/>
          <w:u w:val="none"/>
          <w:lang w:val="en-US" w:eastAsia="zh-CN"/>
        </w:rPr>
        <w:t xml:space="preserve">9.3  </w:t>
      </w:r>
      <w:r>
        <w:rPr>
          <w:rFonts w:hint="eastAsia" w:ascii="宋体" w:hAnsi="宋体" w:eastAsia="宋体" w:cs="宋体"/>
          <w:strike w:val="0"/>
          <w:sz w:val="24"/>
          <w:szCs w:val="24"/>
          <w:highlight w:val="none"/>
          <w:u w:val="none"/>
        </w:rPr>
        <w:t>应在设施设备开关、洗手池等位置明示或张贴节能节水标识标牌。</w:t>
      </w:r>
    </w:p>
    <w:p w14:paraId="6D1CBC24">
      <w:pPr>
        <w:spacing w:line="360" w:lineRule="auto"/>
        <w:ind w:firstLine="0" w:firstLineChars="0"/>
        <w:rPr>
          <w:rFonts w:hint="eastAsia" w:ascii="Times New Roman" w:hAnsi="Times New Roman" w:eastAsia="宋体" w:cs="Times New Roman"/>
          <w:b/>
          <w:bCs/>
          <w:color w:val="auto"/>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3.</w:t>
      </w:r>
      <w:r>
        <w:rPr>
          <w:rFonts w:hint="eastAsia" w:cs="Times New Roman"/>
          <w:b/>
          <w:bCs/>
          <w:color w:val="auto"/>
          <w:sz w:val="24"/>
          <w:szCs w:val="24"/>
          <w:highlight w:val="none"/>
          <w:u w:val="none"/>
          <w:lang w:val="en-US" w:eastAsia="zh-CN"/>
        </w:rPr>
        <w:t xml:space="preserve">9.4  </w:t>
      </w:r>
      <w:r>
        <w:rPr>
          <w:rFonts w:hint="eastAsia" w:ascii="宋体" w:hAnsi="宋体" w:eastAsia="宋体" w:cs="宋体"/>
          <w:sz w:val="24"/>
          <w:szCs w:val="24"/>
          <w:highlight w:val="none"/>
          <w:u w:val="none"/>
        </w:rPr>
        <w:t>按 GB 50034 的相关规定调整</w:t>
      </w:r>
      <w:r>
        <w:rPr>
          <w:rFonts w:hint="eastAsia" w:ascii="宋体" w:hAnsi="宋体" w:eastAsia="宋体" w:cs="宋体"/>
          <w:sz w:val="24"/>
          <w:szCs w:val="24"/>
          <w:highlight w:val="none"/>
          <w:u w:val="none"/>
          <w:lang w:val="en-US" w:eastAsia="zh-CN"/>
        </w:rPr>
        <w:t>公共区域</w:t>
      </w:r>
      <w:r>
        <w:rPr>
          <w:rFonts w:hint="eastAsia" w:ascii="宋体" w:hAnsi="宋体" w:eastAsia="宋体" w:cs="宋体"/>
          <w:sz w:val="24"/>
          <w:szCs w:val="24"/>
          <w:highlight w:val="none"/>
          <w:u w:val="none"/>
        </w:rPr>
        <w:t>室内照度和照明时间，</w:t>
      </w:r>
      <w:r>
        <w:rPr>
          <w:rFonts w:hint="eastAsia" w:ascii="宋体" w:hAnsi="宋体" w:eastAsia="宋体" w:cs="宋体"/>
          <w:sz w:val="24"/>
          <w:szCs w:val="24"/>
          <w:highlight w:val="none"/>
          <w:u w:val="none"/>
          <w:lang w:val="en-US" w:eastAsia="zh-CN"/>
        </w:rPr>
        <w:t>应</w:t>
      </w:r>
      <w:r>
        <w:rPr>
          <w:rFonts w:hint="eastAsia" w:ascii="宋体" w:hAnsi="宋体" w:eastAsia="宋体" w:cs="宋体"/>
          <w:sz w:val="24"/>
          <w:szCs w:val="24"/>
          <w:highlight w:val="none"/>
          <w:u w:val="none"/>
        </w:rPr>
        <w:t>采用减少照明灯具数量、使用高效节能照明灯具、安装智能调控装置等方式。</w:t>
      </w:r>
      <w:r>
        <w:rPr>
          <w:rFonts w:hint="eastAsia" w:ascii="Times New Roman" w:hAnsi="Times New Roman" w:eastAsia="宋体" w:cs="Times New Roman"/>
          <w:b/>
          <w:bCs/>
          <w:color w:val="auto"/>
          <w:sz w:val="24"/>
          <w:szCs w:val="24"/>
          <w:highlight w:val="none"/>
          <w:u w:val="none"/>
          <w:lang w:val="en-US" w:eastAsia="zh-CN"/>
        </w:rPr>
        <w:t xml:space="preserve">  </w:t>
      </w:r>
    </w:p>
    <w:p w14:paraId="2445B679">
      <w:pPr>
        <w:spacing w:line="360" w:lineRule="auto"/>
        <w:ind w:firstLine="0" w:firstLineChars="0"/>
        <w:rPr>
          <w:rFonts w:hint="eastAsia" w:ascii="宋体" w:hAnsi="宋体" w:eastAsia="宋体" w:cs="宋体"/>
          <w:b w:val="0"/>
          <w:bCs w:val="0"/>
          <w:i w:val="0"/>
          <w:iCs w:val="0"/>
          <w:color w:val="000000"/>
          <w:kern w:val="2"/>
          <w:sz w:val="24"/>
          <w:szCs w:val="24"/>
          <w:highlight w:val="none"/>
          <w:u w:val="none"/>
          <w:lang w:val="en-US" w:eastAsia="zh-CN" w:bidi="ar"/>
        </w:rPr>
      </w:pPr>
      <w:r>
        <w:rPr>
          <w:rFonts w:hint="eastAsia" w:ascii="Times New Roman" w:hAnsi="Times New Roman" w:eastAsia="宋体" w:cs="Times New Roman"/>
          <w:b/>
          <w:bCs/>
          <w:color w:val="auto"/>
          <w:sz w:val="24"/>
          <w:szCs w:val="24"/>
          <w:highlight w:val="none"/>
          <w:u w:val="none"/>
          <w:lang w:val="en-US" w:eastAsia="zh-CN"/>
        </w:rPr>
        <w:t>3.</w:t>
      </w:r>
      <w:r>
        <w:rPr>
          <w:rFonts w:hint="eastAsia" w:cs="Times New Roman"/>
          <w:b/>
          <w:bCs/>
          <w:color w:val="auto"/>
          <w:sz w:val="24"/>
          <w:szCs w:val="24"/>
          <w:highlight w:val="none"/>
          <w:u w:val="none"/>
          <w:lang w:val="en-US" w:eastAsia="zh-CN"/>
        </w:rPr>
        <w:t xml:space="preserve">9.5  </w:t>
      </w:r>
      <w:r>
        <w:rPr>
          <w:rFonts w:hint="eastAsia" w:ascii="宋体" w:hAnsi="宋体" w:eastAsia="宋体" w:cs="宋体"/>
          <w:sz w:val="24"/>
          <w:szCs w:val="24"/>
          <w:highlight w:val="none"/>
          <w:u w:val="none"/>
          <w:lang w:val="en-US" w:eastAsia="zh-CN"/>
        </w:rPr>
        <w:t>公共区域设置</w:t>
      </w:r>
      <w:r>
        <w:rPr>
          <w:rFonts w:hint="eastAsia" w:ascii="宋体" w:hAnsi="宋体" w:eastAsia="宋体" w:cs="宋体"/>
          <w:sz w:val="24"/>
          <w:szCs w:val="24"/>
          <w:highlight w:val="none"/>
          <w:u w:val="none"/>
        </w:rPr>
        <w:t>暖通空调系统</w:t>
      </w:r>
      <w:r>
        <w:rPr>
          <w:rFonts w:hint="eastAsia" w:ascii="宋体" w:hAnsi="宋体" w:eastAsia="宋体" w:cs="宋体"/>
          <w:sz w:val="24"/>
          <w:szCs w:val="24"/>
          <w:highlight w:val="none"/>
          <w:u w:val="none"/>
          <w:lang w:eastAsia="zh-CN"/>
        </w:rPr>
        <w:t>的，</w:t>
      </w:r>
      <w:r>
        <w:rPr>
          <w:rFonts w:hint="eastAsia" w:ascii="宋体" w:hAnsi="宋体" w:eastAsia="宋体" w:cs="宋体"/>
          <w:sz w:val="24"/>
          <w:szCs w:val="24"/>
          <w:highlight w:val="none"/>
          <w:u w:val="none"/>
          <w:lang w:val="en-US" w:eastAsia="zh-CN"/>
        </w:rPr>
        <w:t>应</w:t>
      </w:r>
      <w:r>
        <w:rPr>
          <w:rFonts w:hint="eastAsia" w:ascii="宋体" w:hAnsi="宋体" w:eastAsia="宋体" w:cs="宋体"/>
          <w:sz w:val="24"/>
          <w:szCs w:val="24"/>
          <w:highlight w:val="none"/>
          <w:u w:val="none"/>
        </w:rPr>
        <w:t>设定室内温度冬季不宜高于 20℃，夏季不宜低于 26℃</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并</w:t>
      </w:r>
      <w:r>
        <w:rPr>
          <w:rFonts w:hint="eastAsia" w:ascii="宋体" w:hAnsi="宋体" w:eastAsia="宋体" w:cs="宋体"/>
          <w:b w:val="0"/>
          <w:bCs w:val="0"/>
          <w:i w:val="0"/>
          <w:iCs w:val="0"/>
          <w:color w:val="000000"/>
          <w:kern w:val="2"/>
          <w:sz w:val="24"/>
          <w:szCs w:val="24"/>
          <w:highlight w:val="none"/>
          <w:u w:val="none"/>
          <w:lang w:val="en-US" w:eastAsia="zh-CN" w:bidi="ar"/>
        </w:rPr>
        <w:t>根据使用区域性质的要求和外界气温变化，适当调节风机和水泵的运转台数。</w:t>
      </w:r>
    </w:p>
    <w:p w14:paraId="3CB4BA5D">
      <w:pPr>
        <w:ind w:firstLine="0" w:firstLineChars="0"/>
        <w:rPr>
          <w:rFonts w:hint="default" w:ascii="宋体" w:hAnsi="宋体" w:eastAsia="宋体" w:cs="宋体"/>
          <w:b w:val="0"/>
          <w:bCs w:val="0"/>
          <w:i w:val="0"/>
          <w:iCs w:val="0"/>
          <w:color w:val="000000"/>
          <w:kern w:val="2"/>
          <w:sz w:val="21"/>
          <w:szCs w:val="21"/>
          <w:highlight w:val="none"/>
          <w:u w:val="none"/>
          <w:lang w:val="en-US" w:eastAsia="zh-CN" w:bidi="ar"/>
        </w:rPr>
      </w:pPr>
    </w:p>
    <w:p w14:paraId="4A50610C">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110" w:name="_Toc12082"/>
      <w:bookmarkStart w:id="111" w:name="_Toc25256"/>
      <w:bookmarkStart w:id="112" w:name="_Toc14644"/>
      <w:bookmarkStart w:id="113" w:name="_Toc19226"/>
      <w:bookmarkStart w:id="114" w:name="_Toc9090"/>
      <w:r>
        <w:rPr>
          <w:rFonts w:hint="eastAsia" w:ascii="Times New Roman" w:hAnsi="Times New Roman" w:eastAsia="宋体" w:cs="Times New Roman"/>
          <w:sz w:val="30"/>
          <w:highlight w:val="none"/>
          <w:lang w:val="en-US" w:eastAsia="zh-CN"/>
        </w:rPr>
        <w:t xml:space="preserve">4 </w:t>
      </w:r>
      <w:r>
        <w:rPr>
          <w:rFonts w:hint="eastAsia" w:cs="Times New Roman"/>
          <w:sz w:val="30"/>
          <w:highlight w:val="none"/>
          <w:lang w:val="en-US" w:eastAsia="zh-CN"/>
        </w:rPr>
        <w:t>保密</w:t>
      </w:r>
      <w:r>
        <w:rPr>
          <w:rFonts w:hint="eastAsia" w:ascii="Times New Roman" w:hAnsi="Times New Roman" w:eastAsia="宋体" w:cs="Times New Roman"/>
          <w:sz w:val="30"/>
          <w:highlight w:val="none"/>
          <w:lang w:val="en-US" w:eastAsia="zh-CN"/>
        </w:rPr>
        <w:t>要求</w:t>
      </w:r>
      <w:bookmarkEnd w:id="110"/>
      <w:bookmarkEnd w:id="111"/>
      <w:bookmarkEnd w:id="112"/>
      <w:bookmarkEnd w:id="113"/>
      <w:bookmarkEnd w:id="114"/>
    </w:p>
    <w:p w14:paraId="4E702AFC">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115" w:name="_Toc26984"/>
      <w:bookmarkStart w:id="116" w:name="_Toc3978"/>
      <w:bookmarkStart w:id="117" w:name="_Toc29063"/>
      <w:bookmarkStart w:id="118" w:name="_Toc11296"/>
      <w:bookmarkStart w:id="119" w:name="_Toc14455"/>
      <w:r>
        <w:rPr>
          <w:rFonts w:hint="eastAsia" w:ascii="宋体" w:hAnsi="宋体" w:eastAsia="宋体" w:cs="宋体"/>
          <w:b/>
          <w:bCs/>
          <w:color w:val="auto"/>
          <w:sz w:val="24"/>
          <w:szCs w:val="24"/>
          <w:highlight w:val="none"/>
          <w:lang w:val="en-US" w:eastAsia="zh-CN"/>
        </w:rPr>
        <w:t xml:space="preserve">4.1  </w:t>
      </w:r>
      <w:r>
        <w:rPr>
          <w:rFonts w:hint="eastAsia" w:ascii="宋体" w:hAnsi="宋体" w:cs="宋体"/>
          <w:b/>
          <w:bCs/>
          <w:color w:val="auto"/>
          <w:sz w:val="24"/>
          <w:szCs w:val="24"/>
          <w:highlight w:val="none"/>
          <w:lang w:val="en-US" w:eastAsia="zh-CN"/>
        </w:rPr>
        <w:t>基本要求</w:t>
      </w:r>
      <w:bookmarkEnd w:id="115"/>
      <w:bookmarkEnd w:id="116"/>
      <w:bookmarkEnd w:id="117"/>
      <w:bookmarkEnd w:id="118"/>
      <w:bookmarkEnd w:id="119"/>
    </w:p>
    <w:p w14:paraId="585EFC85">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.1.1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应与物业使用单位签订保密协议并严格遵守。</w:t>
      </w:r>
    </w:p>
    <w:p w14:paraId="68FD3218">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.1.</w:t>
      </w:r>
      <w:r>
        <w:rPr>
          <w:rFonts w:hint="eastAsia" w:ascii="Times New Roman" w:hAnsi="Times New Roman"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应与项目的</w:t>
      </w:r>
      <w:r>
        <w:rPr>
          <w:rFonts w:hint="eastAsia" w:ascii="宋体" w:hAnsi="宋体" w:cs="宋体"/>
          <w:color w:val="auto"/>
          <w:sz w:val="24"/>
          <w:szCs w:val="24"/>
          <w:highlight w:val="none"/>
          <w:lang w:val="en-US" w:eastAsia="zh-CN"/>
        </w:rPr>
        <w:t>服务人员、服务分包</w:t>
      </w:r>
      <w:r>
        <w:rPr>
          <w:rFonts w:hint="eastAsia" w:ascii="宋体" w:hAnsi="宋体" w:eastAsia="宋体" w:cs="宋体"/>
          <w:color w:val="auto"/>
          <w:sz w:val="24"/>
          <w:szCs w:val="24"/>
          <w:highlight w:val="none"/>
          <w:lang w:val="en-US" w:eastAsia="zh-CN"/>
        </w:rPr>
        <w:t>单位或个人签订保密协议</w:t>
      </w:r>
      <w:r>
        <w:rPr>
          <w:rFonts w:hint="eastAsia" w:ascii="宋体" w:hAnsi="宋体" w:cs="宋体"/>
          <w:color w:val="auto"/>
          <w:sz w:val="24"/>
          <w:szCs w:val="24"/>
          <w:highlight w:val="none"/>
          <w:lang w:val="en-US" w:eastAsia="zh-CN"/>
        </w:rPr>
        <w:t>，严格遵守《保守国家秘密法》相关规定</w:t>
      </w:r>
      <w:r>
        <w:rPr>
          <w:rFonts w:hint="eastAsia" w:ascii="宋体" w:hAnsi="宋体" w:eastAsia="宋体" w:cs="宋体"/>
          <w:color w:val="auto"/>
          <w:sz w:val="24"/>
          <w:szCs w:val="24"/>
          <w:highlight w:val="none"/>
          <w:lang w:val="en-US" w:eastAsia="zh-CN"/>
        </w:rPr>
        <w:t>。</w:t>
      </w:r>
    </w:p>
    <w:p w14:paraId="1CDB9C3F">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120" w:name="_Toc32156"/>
      <w:bookmarkStart w:id="121" w:name="_Toc24478"/>
      <w:bookmarkStart w:id="122" w:name="_Toc2801"/>
      <w:bookmarkStart w:id="123" w:name="_Toc2494"/>
      <w:bookmarkStart w:id="124" w:name="_Toc27610"/>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制度管理</w:t>
      </w:r>
      <w:bookmarkEnd w:id="120"/>
      <w:bookmarkEnd w:id="121"/>
      <w:bookmarkEnd w:id="122"/>
      <w:bookmarkEnd w:id="123"/>
      <w:bookmarkEnd w:id="124"/>
    </w:p>
    <w:p w14:paraId="1074A6C2">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2</w:t>
      </w:r>
      <w:r>
        <w:rPr>
          <w:rFonts w:hint="default" w:ascii="Times New Roman" w:hAnsi="Times New Roman" w:eastAsia="黑体" w:cs="Times New Roman"/>
          <w:b/>
          <w:bCs/>
          <w:color w:val="auto"/>
          <w:sz w:val="24"/>
          <w:szCs w:val="24"/>
          <w:highlight w:val="none"/>
          <w:lang w:val="en-US" w:eastAsia="zh-CN"/>
        </w:rPr>
        <w:t>.1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应根据物业使用单位的保密需求，制定并执行完善的保密制度，包括但不限于信息存储、传输、销毁及备份等措施，确保物业使用单位信息的安全。</w:t>
      </w:r>
    </w:p>
    <w:p w14:paraId="03BD36E3">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2</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应建立健全涉密人员管理制度并设立专门的保密责任人或机构，负责保密工作的日常管理和监督。</w:t>
      </w:r>
    </w:p>
    <w:p w14:paraId="6AEA36ED">
      <w:pPr>
        <w:pStyle w:val="20"/>
        <w:rPr>
          <w:rFonts w:hint="eastAsia" w:ascii="宋体" w:hAnsi="宋体" w:eastAsia="宋体" w:cs="Times New Roman"/>
          <w:color w:val="auto"/>
          <w:kern w:val="2"/>
          <w:sz w:val="24"/>
          <w:szCs w:val="24"/>
          <w:highlight w:val="none"/>
          <w:lang w:val="en-US" w:eastAsia="zh-CN" w:bidi="ar-SA"/>
        </w:rPr>
      </w:pPr>
      <w:r>
        <w:rPr>
          <w:rFonts w:hint="eastAsia" w:ascii="Times New Roman" w:hAnsi="Times New Roman" w:eastAsia="黑体" w:cs="Times New Roman"/>
          <w:b/>
          <w:bCs/>
          <w:color w:val="auto"/>
          <w:sz w:val="24"/>
          <w:szCs w:val="24"/>
          <w:highlight w:val="none"/>
          <w:lang w:val="en-US" w:eastAsia="zh-CN"/>
        </w:rPr>
        <w:t>4.</w:t>
      </w:r>
      <w:r>
        <w:rPr>
          <w:rFonts w:hint="eastAsia" w:eastAsia="黑体" w:cs="Times New Roman"/>
          <w:b/>
          <w:bCs/>
          <w:color w:val="auto"/>
          <w:sz w:val="24"/>
          <w:szCs w:val="24"/>
          <w:highlight w:val="none"/>
          <w:lang w:val="en-US" w:eastAsia="zh-CN"/>
        </w:rPr>
        <w:t>2</w:t>
      </w:r>
      <w:r>
        <w:rPr>
          <w:rFonts w:hint="eastAsia" w:ascii="Times New Roman" w:hAnsi="Times New Roman" w:eastAsia="黑体" w:cs="Times New Roman"/>
          <w:b/>
          <w:bCs/>
          <w:color w:val="auto"/>
          <w:sz w:val="24"/>
          <w:szCs w:val="24"/>
          <w:highlight w:val="none"/>
          <w:lang w:val="en-US" w:eastAsia="zh-CN"/>
        </w:rPr>
        <w:t xml:space="preserve">.3  </w:t>
      </w:r>
      <w:r>
        <w:rPr>
          <w:rFonts w:hint="eastAsia" w:ascii="宋体" w:hAnsi="宋体" w:eastAsia="宋体" w:cs="Times New Roman"/>
          <w:color w:val="auto"/>
          <w:kern w:val="2"/>
          <w:sz w:val="24"/>
          <w:szCs w:val="24"/>
          <w:highlight w:val="none"/>
          <w:lang w:val="en-US" w:eastAsia="zh-CN" w:bidi="ar-SA"/>
        </w:rPr>
        <w:t>应建立严格的信息使用和访问制度，对各类信息系统进行安全管理和访问控制</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确保只有经过授权的人员才能查看、使用</w:t>
      </w:r>
      <w:r>
        <w:rPr>
          <w:rFonts w:hint="eastAsia" w:ascii="宋体" w:hAnsi="宋体" w:eastAsia="宋体" w:cs="Times New Roman"/>
          <w:color w:val="auto"/>
          <w:sz w:val="24"/>
          <w:szCs w:val="24"/>
          <w:highlight w:val="none"/>
        </w:rPr>
        <w:t>物业使用</w:t>
      </w:r>
      <w:r>
        <w:rPr>
          <w:rFonts w:hint="eastAsia" w:ascii="宋体" w:hAnsi="宋体" w:eastAsia="宋体" w:cs="Times New Roman"/>
          <w:color w:val="auto"/>
          <w:kern w:val="2"/>
          <w:sz w:val="24"/>
          <w:szCs w:val="24"/>
          <w:highlight w:val="none"/>
          <w:lang w:val="en-US" w:eastAsia="zh-CN" w:bidi="ar-SA"/>
        </w:rPr>
        <w:t>单位</w:t>
      </w:r>
      <w:r>
        <w:rPr>
          <w:rFonts w:hint="eastAsia" w:ascii="宋体" w:hAnsi="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信息。</w:t>
      </w:r>
    </w:p>
    <w:p w14:paraId="467E0DB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125" w:name="_Toc18665"/>
      <w:bookmarkStart w:id="126" w:name="_Toc26799"/>
      <w:bookmarkStart w:id="127" w:name="_Toc10268"/>
      <w:bookmarkStart w:id="128" w:name="_Toc5770"/>
      <w:bookmarkStart w:id="129" w:name="_Toc22451"/>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人员要求</w:t>
      </w:r>
      <w:bookmarkEnd w:id="125"/>
      <w:bookmarkEnd w:id="126"/>
      <w:bookmarkEnd w:id="127"/>
      <w:bookmarkEnd w:id="128"/>
      <w:bookmarkEnd w:id="129"/>
    </w:p>
    <w:p w14:paraId="6A19DAFC">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3</w:t>
      </w:r>
      <w:r>
        <w:rPr>
          <w:rFonts w:hint="default" w:ascii="Times New Roman" w:hAnsi="Times New Roman" w:eastAsia="黑体" w:cs="Times New Roman"/>
          <w:b/>
          <w:bCs/>
          <w:color w:val="auto"/>
          <w:sz w:val="24"/>
          <w:szCs w:val="24"/>
          <w:highlight w:val="none"/>
          <w:lang w:val="en-US" w:eastAsia="zh-CN"/>
        </w:rPr>
        <w:t>.1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对涉及特殊安全保密要求的岗位，应配合物业使用单位进行必要的背景调查和政审且应与涉密岗位的服务人员签订保密协议。</w:t>
      </w:r>
    </w:p>
    <w:p w14:paraId="23815F62">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3</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应定期对项目内的服务人员</w:t>
      </w:r>
      <w:r>
        <w:rPr>
          <w:rFonts w:hint="eastAsia" w:ascii="宋体" w:hAnsi="宋体" w:eastAsia="宋体" w:cs="Times New Roman"/>
          <w:color w:val="auto"/>
          <w:sz w:val="24"/>
          <w:szCs w:val="24"/>
          <w:highlight w:val="none"/>
          <w:lang w:eastAsia="zh-CN"/>
        </w:rPr>
        <w:t>进行保密教育和培训</w:t>
      </w:r>
      <w:r>
        <w:rPr>
          <w:rFonts w:hint="eastAsia" w:ascii="宋体" w:hAnsi="宋体" w:cs="Times New Roman"/>
          <w:color w:val="auto"/>
          <w:sz w:val="24"/>
          <w:szCs w:val="24"/>
          <w:highlight w:val="none"/>
          <w:lang w:val="en-US" w:eastAsia="zh-CN"/>
        </w:rPr>
        <w:t>并进行考核，提高服务人员的保密意识</w:t>
      </w:r>
      <w:r>
        <w:rPr>
          <w:rFonts w:hint="eastAsia" w:ascii="宋体" w:hAnsi="宋体" w:eastAsia="宋体" w:cs="Times New Roman"/>
          <w:color w:val="auto"/>
          <w:sz w:val="24"/>
          <w:szCs w:val="24"/>
          <w:highlight w:val="none"/>
          <w:lang w:eastAsia="zh-CN"/>
        </w:rPr>
        <w:t>。</w:t>
      </w:r>
    </w:p>
    <w:p w14:paraId="2D3735D2">
      <w:pPr>
        <w:pStyle w:val="20"/>
        <w:keepNext w:val="0"/>
        <w:keepLines w:val="0"/>
        <w:pageBreakBefore w:val="0"/>
        <w:widowControl w:val="0"/>
        <w:kinsoku/>
        <w:overflowPunct/>
        <w:autoSpaceDE/>
        <w:autoSpaceDN/>
        <w:bidi w:val="0"/>
        <w:adjustRightInd/>
        <w:snapToGrid/>
        <w:spacing w:after="0" w:line="360" w:lineRule="auto"/>
        <w:textAlignment w:val="auto"/>
        <w:outlineLvl w:val="9"/>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eastAsia" w:eastAsia="黑体" w:cs="Times New Roman"/>
          <w:b/>
          <w:bCs/>
          <w:color w:val="auto"/>
          <w:sz w:val="24"/>
          <w:szCs w:val="24"/>
          <w:highlight w:val="none"/>
          <w:lang w:val="en-US" w:eastAsia="zh-CN"/>
        </w:rPr>
        <w:t>3</w:t>
      </w:r>
      <w:r>
        <w:rPr>
          <w:rFonts w:hint="eastAsia" w:ascii="Times New Roman" w:hAnsi="Times New Roman" w:eastAsia="黑体" w:cs="Times New Roman"/>
          <w:b/>
          <w:bCs/>
          <w:color w:val="auto"/>
          <w:sz w:val="24"/>
          <w:szCs w:val="24"/>
          <w:highlight w:val="none"/>
          <w:lang w:val="en-US" w:eastAsia="zh-CN"/>
        </w:rPr>
        <w:t xml:space="preserve">.3  </w:t>
      </w:r>
      <w:bookmarkStart w:id="130" w:name="_Toc10165"/>
      <w:r>
        <w:rPr>
          <w:rFonts w:hint="eastAsia" w:ascii="宋体" w:hAnsi="宋体" w:eastAsia="宋体" w:cs="Times New Roman"/>
          <w:color w:val="auto"/>
          <w:sz w:val="24"/>
          <w:szCs w:val="24"/>
          <w:highlight w:val="none"/>
          <w:lang w:eastAsia="zh-CN"/>
        </w:rPr>
        <w:t>服务人员应履行保密职责并符合以下规定</w:t>
      </w:r>
      <w:r>
        <w:rPr>
          <w:rFonts w:hint="eastAsia" w:ascii="宋体" w:hAnsi="宋体" w:cs="Times New Roman"/>
          <w:color w:val="auto"/>
          <w:sz w:val="24"/>
          <w:szCs w:val="24"/>
          <w:highlight w:val="none"/>
          <w:lang w:eastAsia="zh-CN"/>
        </w:rPr>
        <w:t>：</w:t>
      </w:r>
      <w:bookmarkEnd w:id="130"/>
      <w:r>
        <w:rPr>
          <w:rFonts w:hint="eastAsia" w:ascii="宋体" w:hAnsi="宋体" w:eastAsia="宋体" w:cs="Times New Roman"/>
          <w:color w:val="auto"/>
          <w:sz w:val="24"/>
          <w:szCs w:val="24"/>
          <w:highlight w:val="none"/>
          <w:lang w:val="en-US" w:eastAsia="zh-CN"/>
        </w:rPr>
        <w:t xml:space="preserve">  </w:t>
      </w:r>
    </w:p>
    <w:p w14:paraId="2FF1A9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不应翻阅、拍照、复制、抄录文件、资料；</w:t>
      </w:r>
    </w:p>
    <w:p w14:paraId="4D5078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不以任何形式传播、泄露服务过程中接触的信息资讯；</w:t>
      </w:r>
    </w:p>
    <w:p w14:paraId="47E84342">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特定场合应有监督人员陪同，未经允许，不应携带手机或其他电子产品进入特定作业场所；</w:t>
      </w:r>
    </w:p>
    <w:p w14:paraId="3714EE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未经确认，不得私自处理属于物业使用人的印刷品、纸制品和其他物件；</w:t>
      </w:r>
    </w:p>
    <w:p w14:paraId="694B39DD">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bookmarkStart w:id="131" w:name="_Toc1195"/>
      <w:r>
        <w:rPr>
          <w:rFonts w:hint="eastAsia" w:ascii="宋体" w:hAnsi="宋体" w:eastAsia="宋体" w:cs="宋体"/>
          <w:color w:val="auto"/>
          <w:sz w:val="24"/>
          <w:szCs w:val="24"/>
          <w:highlight w:val="none"/>
          <w:lang w:val="en-US" w:eastAsia="zh-CN"/>
        </w:rPr>
        <w:t>5  工作中捡获的文件资料，应做好登记并及时报告上交；</w:t>
      </w:r>
      <w:bookmarkEnd w:id="131"/>
    </w:p>
    <w:p w14:paraId="4D33139F">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应按规定保管办公区钥匙，不应私自</w:t>
      </w:r>
      <w:r>
        <w:rPr>
          <w:rFonts w:hint="eastAsia" w:ascii="宋体" w:hAnsi="宋体" w:cs="宋体"/>
          <w:color w:val="auto"/>
          <w:sz w:val="24"/>
          <w:szCs w:val="24"/>
          <w:highlight w:val="none"/>
          <w:lang w:val="en-US" w:eastAsia="zh-CN"/>
        </w:rPr>
        <w:t>配置</w:t>
      </w:r>
      <w:r>
        <w:rPr>
          <w:rFonts w:hint="eastAsia" w:ascii="宋体" w:hAnsi="宋体" w:eastAsia="宋体" w:cs="宋体"/>
          <w:color w:val="auto"/>
          <w:sz w:val="24"/>
          <w:szCs w:val="24"/>
          <w:highlight w:val="none"/>
          <w:lang w:val="en-US" w:eastAsia="zh-CN"/>
        </w:rPr>
        <w:t>，不应交由非授权人保管和使用。</w:t>
      </w:r>
    </w:p>
    <w:p w14:paraId="5E8CDFDC">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132" w:name="_Toc25623"/>
      <w:bookmarkStart w:id="133" w:name="_Toc17917"/>
      <w:bookmarkStart w:id="134" w:name="_Toc5195"/>
      <w:bookmarkStart w:id="135" w:name="_Toc4432"/>
      <w:bookmarkStart w:id="136" w:name="_Toc12565"/>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物理安全要求</w:t>
      </w:r>
      <w:bookmarkEnd w:id="132"/>
      <w:bookmarkEnd w:id="133"/>
      <w:bookmarkEnd w:id="134"/>
      <w:bookmarkEnd w:id="135"/>
      <w:bookmarkEnd w:id="136"/>
    </w:p>
    <w:p w14:paraId="0C5B1877">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.1</w:t>
      </w:r>
      <w:r>
        <w:rPr>
          <w:rFonts w:hint="eastAsia" w:ascii="黑体" w:hAnsi="黑体" w:eastAsia="黑体" w:cs="黑体"/>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应确保</w:t>
      </w:r>
      <w:r>
        <w:rPr>
          <w:rFonts w:hint="eastAsia" w:ascii="宋体" w:hAnsi="宋体" w:eastAsia="宋体" w:cs="Times New Roman"/>
          <w:color w:val="auto"/>
          <w:sz w:val="24"/>
          <w:szCs w:val="24"/>
          <w:highlight w:val="none"/>
          <w:lang w:eastAsia="zh-CN"/>
        </w:rPr>
        <w:t>物业使用</w:t>
      </w:r>
      <w:r>
        <w:rPr>
          <w:rFonts w:hint="eastAsia" w:ascii="宋体" w:hAnsi="宋体" w:cs="Times New Roman"/>
          <w:color w:val="auto"/>
          <w:sz w:val="24"/>
          <w:szCs w:val="24"/>
          <w:highlight w:val="none"/>
          <w:lang w:val="en-US" w:eastAsia="zh-CN"/>
        </w:rPr>
        <w:t>单位所在建筑物或场所的物理安全，包括但不限于门禁系统、监控摄像头等安全设施的安装和维护</w:t>
      </w:r>
      <w:r>
        <w:rPr>
          <w:rFonts w:hint="eastAsia" w:ascii="宋体" w:hAnsi="宋体" w:eastAsia="宋体" w:cs="Times New Roman"/>
          <w:color w:val="auto"/>
          <w:kern w:val="2"/>
          <w:sz w:val="24"/>
          <w:szCs w:val="24"/>
          <w:highlight w:val="none"/>
          <w:lang w:val="en-US" w:eastAsia="zh-CN" w:bidi="ar-SA"/>
        </w:rPr>
        <w:t>。</w:t>
      </w:r>
    </w:p>
    <w:p w14:paraId="6EF91390">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严格控制外来人员的进出，对进入敏感区域的人员进行身份验证和登记，留存归档。</w:t>
      </w:r>
    </w:p>
    <w:p w14:paraId="68CD6FAD">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应</w:t>
      </w:r>
      <w:r>
        <w:rPr>
          <w:rFonts w:hint="eastAsia" w:ascii="宋体" w:hAnsi="宋体" w:cs="Times New Roman"/>
          <w:color w:val="auto"/>
          <w:sz w:val="24"/>
          <w:szCs w:val="24"/>
          <w:highlight w:val="none"/>
          <w:lang w:val="en-US" w:eastAsia="zh-CN"/>
        </w:rPr>
        <w:t>确保信息设备所在环境的安全，包含但不限于：防火、防水、防静电、防雷击、防电磁波干扰等物理措施。设备房应具备这些安全措施，并配备火灾报警及消防设备、安全的供配电系统、空调系统等‌。</w:t>
      </w:r>
    </w:p>
    <w:p w14:paraId="27A03D4F">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应</w:t>
      </w:r>
      <w:r>
        <w:rPr>
          <w:rFonts w:hint="eastAsia" w:ascii="宋体" w:hAnsi="宋体" w:cs="Times New Roman"/>
          <w:color w:val="auto"/>
          <w:sz w:val="24"/>
          <w:szCs w:val="24"/>
          <w:highlight w:val="none"/>
          <w:lang w:val="en-US" w:eastAsia="zh-CN"/>
        </w:rPr>
        <w:t>对各类信息设备进行安全保护，包含但不限于：设备的防盗、防毁、电源保护、防止电磁泄漏（屏蔽）、防线路截获和抗电磁干扰等。</w:t>
      </w:r>
    </w:p>
    <w:p w14:paraId="0261EE2C">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应</w:t>
      </w:r>
      <w:r>
        <w:rPr>
          <w:rFonts w:hint="eastAsia" w:ascii="宋体" w:hAnsi="宋体" w:cs="Times New Roman"/>
          <w:color w:val="auto"/>
          <w:sz w:val="24"/>
          <w:szCs w:val="24"/>
          <w:highlight w:val="none"/>
          <w:lang w:val="en-US" w:eastAsia="zh-CN"/>
        </w:rPr>
        <w:t>对信息存储介质进行安全管理，保证存储在介质中的信息完整性和有效性。</w:t>
      </w:r>
    </w:p>
    <w:p w14:paraId="115E8442">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cs="宋体"/>
          <w:b/>
          <w:bCs/>
          <w:color w:val="auto"/>
          <w:sz w:val="24"/>
          <w:szCs w:val="24"/>
          <w:highlight w:val="none"/>
          <w:lang w:val="en-US" w:eastAsia="zh-CN"/>
        </w:rPr>
      </w:pPr>
      <w:bookmarkStart w:id="137" w:name="_Toc143"/>
      <w:bookmarkStart w:id="138" w:name="_Toc2337"/>
      <w:bookmarkStart w:id="139" w:name="_Toc22061"/>
      <w:bookmarkStart w:id="140" w:name="_Toc13563"/>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数据安全管理要求</w:t>
      </w:r>
      <w:bookmarkEnd w:id="137"/>
      <w:bookmarkEnd w:id="138"/>
      <w:bookmarkEnd w:id="139"/>
      <w:bookmarkEnd w:id="140"/>
    </w:p>
    <w:p w14:paraId="585AEBCD">
      <w:pPr>
        <w:pStyle w:val="20"/>
        <w:spacing w:line="360" w:lineRule="auto"/>
        <w:rPr>
          <w:rFonts w:hint="eastAsia" w:ascii="宋体" w:hAnsi="宋体" w:eastAsia="宋体" w:cs="Times New Roman"/>
          <w:color w:val="auto"/>
          <w:sz w:val="24"/>
          <w:szCs w:val="24"/>
          <w:highlight w:val="none"/>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Times New Roman"/>
          <w:color w:val="auto"/>
          <w:sz w:val="24"/>
          <w:szCs w:val="24"/>
          <w:highlight w:val="none"/>
        </w:rPr>
        <w:t>应</w:t>
      </w:r>
      <w:r>
        <w:rPr>
          <w:rFonts w:hint="eastAsia" w:ascii="宋体" w:hAnsi="宋体" w:cs="Times New Roman"/>
          <w:color w:val="auto"/>
          <w:sz w:val="24"/>
          <w:szCs w:val="24"/>
          <w:highlight w:val="none"/>
          <w:lang w:val="en-US" w:eastAsia="zh-CN"/>
        </w:rPr>
        <w:t>根据</w:t>
      </w:r>
      <w:r>
        <w:rPr>
          <w:rFonts w:hint="eastAsia" w:ascii="宋体" w:hAnsi="宋体" w:eastAsia="宋体" w:cs="Times New Roman"/>
          <w:i w:val="0"/>
          <w:iCs w:val="0"/>
          <w:caps w:val="0"/>
          <w:color w:val="auto"/>
          <w:spacing w:val="0"/>
          <w:sz w:val="24"/>
          <w:szCs w:val="24"/>
          <w:highlight w:val="none"/>
          <w:shd w:val="clear" w:fill="auto"/>
        </w:rPr>
        <w:t>《数据安全管理办法》</w:t>
      </w:r>
      <w:r>
        <w:rPr>
          <w:rFonts w:hint="eastAsia" w:ascii="宋体" w:hAnsi="宋体" w:cs="Times New Roman"/>
          <w:i w:val="0"/>
          <w:iCs w:val="0"/>
          <w:caps w:val="0"/>
          <w:color w:val="auto"/>
          <w:spacing w:val="0"/>
          <w:sz w:val="24"/>
          <w:szCs w:val="24"/>
          <w:highlight w:val="none"/>
          <w:shd w:val="clear"/>
          <w:lang w:eastAsia="zh-CN"/>
        </w:rPr>
        <w:t>，</w:t>
      </w:r>
      <w:r>
        <w:rPr>
          <w:rFonts w:hint="eastAsia" w:ascii="宋体" w:hAnsi="宋体" w:eastAsia="宋体" w:cs="Times New Roman"/>
          <w:color w:val="auto"/>
          <w:sz w:val="24"/>
          <w:szCs w:val="24"/>
          <w:highlight w:val="none"/>
        </w:rPr>
        <w:t>建立完整的数据库管理制度，对应用计算机管理基本信息、基础资料、维修养护资料、收费资料等数据定期进行备份，确保业户的信息安全。</w:t>
      </w:r>
    </w:p>
    <w:p w14:paraId="4B14BBAA">
      <w:pPr>
        <w:pStyle w:val="20"/>
        <w:spacing w:line="360" w:lineRule="auto"/>
        <w:rPr>
          <w:rFonts w:hint="eastAsia" w:ascii="宋体" w:hAnsi="宋体" w:eastAsia="宋体" w:cs="Times New Roman"/>
          <w:i w:val="0"/>
          <w:iCs w:val="0"/>
          <w:caps w:val="0"/>
          <w:color w:val="auto"/>
          <w:spacing w:val="0"/>
          <w:sz w:val="24"/>
          <w:szCs w:val="24"/>
          <w:highlight w:val="none"/>
          <w:shd w:val="clear" w:fill="auto"/>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cs="Times New Roman"/>
          <w:i w:val="0"/>
          <w:iCs w:val="0"/>
          <w:caps w:val="0"/>
          <w:color w:val="auto"/>
          <w:spacing w:val="0"/>
          <w:sz w:val="24"/>
          <w:szCs w:val="24"/>
          <w:highlight w:val="none"/>
          <w:shd w:val="clear"/>
          <w:lang w:val="en-US" w:eastAsia="zh-CN"/>
        </w:rPr>
        <w:t>应</w:t>
      </w:r>
      <w:r>
        <w:rPr>
          <w:rFonts w:hint="eastAsia" w:ascii="宋体" w:hAnsi="宋体" w:eastAsia="宋体" w:cs="Times New Roman"/>
          <w:i w:val="0"/>
          <w:iCs w:val="0"/>
          <w:caps w:val="0"/>
          <w:color w:val="auto"/>
          <w:spacing w:val="0"/>
          <w:sz w:val="24"/>
          <w:szCs w:val="24"/>
          <w:highlight w:val="none"/>
          <w:shd w:val="clear" w:fill="auto"/>
        </w:rPr>
        <w:t>履行数据安全保护义务，建立数据安全管理责任和评价考核制度，制定数据安全计划，实施数据安全技术防护，开展数据安全风险评估，制定网络安全事件应急预案，及时处置安全事件，组织数据安全教育、培训。</w:t>
      </w:r>
    </w:p>
    <w:p w14:paraId="7CF1FFE2">
      <w:pPr>
        <w:pStyle w:val="20"/>
        <w:spacing w:line="360" w:lineRule="auto"/>
        <w:rPr>
          <w:rFonts w:hint="eastAsia" w:ascii="宋体" w:hAnsi="宋体" w:eastAsia="宋体" w:cs="Times New Roman"/>
          <w:i w:val="0"/>
          <w:iCs w:val="0"/>
          <w:caps w:val="0"/>
          <w:color w:val="auto"/>
          <w:spacing w:val="0"/>
          <w:sz w:val="24"/>
          <w:szCs w:val="24"/>
          <w:highlight w:val="none"/>
          <w:shd w:val="clear" w:fill="auto"/>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不</w:t>
      </w:r>
      <w:r>
        <w:rPr>
          <w:rFonts w:hint="eastAsia" w:ascii="宋体" w:hAnsi="宋体" w:cs="Times New Roman"/>
          <w:i w:val="0"/>
          <w:iCs w:val="0"/>
          <w:caps w:val="0"/>
          <w:color w:val="auto"/>
          <w:spacing w:val="0"/>
          <w:sz w:val="24"/>
          <w:szCs w:val="24"/>
          <w:highlight w:val="none"/>
          <w:shd w:val="clear"/>
          <w:lang w:val="en-US" w:eastAsia="zh-CN"/>
        </w:rPr>
        <w:t>应</w:t>
      </w:r>
      <w:r>
        <w:rPr>
          <w:rFonts w:hint="eastAsia" w:ascii="宋体" w:hAnsi="宋体" w:cs="Times New Roman"/>
          <w:i w:val="0"/>
          <w:iCs w:val="0"/>
          <w:caps w:val="0"/>
          <w:color w:val="auto"/>
          <w:spacing w:val="0"/>
          <w:sz w:val="24"/>
          <w:szCs w:val="24"/>
          <w:highlight w:val="none"/>
          <w:shd w:val="clear" w:fill="auto"/>
          <w:lang w:val="en-US" w:eastAsia="zh-CN"/>
        </w:rPr>
        <w:t>将</w:t>
      </w:r>
      <w:r>
        <w:rPr>
          <w:rFonts w:hint="eastAsia" w:ascii="宋体" w:hAnsi="宋体" w:eastAsia="宋体" w:cs="Times New Roman"/>
          <w:i w:val="0"/>
          <w:iCs w:val="0"/>
          <w:caps w:val="0"/>
          <w:color w:val="auto"/>
          <w:spacing w:val="0"/>
          <w:sz w:val="24"/>
          <w:szCs w:val="24"/>
          <w:highlight w:val="none"/>
          <w:shd w:val="clear" w:fill="auto"/>
        </w:rPr>
        <w:t>涉密素材和涉密文件内容通过云助手、图片识别小程序、AI写作、工作群组等网</w:t>
      </w:r>
      <w:r>
        <w:rPr>
          <w:rFonts w:hint="eastAsia" w:ascii="宋体" w:hAnsi="宋体" w:cs="Times New Roman"/>
          <w:i w:val="0"/>
          <w:iCs w:val="0"/>
          <w:caps w:val="0"/>
          <w:color w:val="auto"/>
          <w:spacing w:val="0"/>
          <w:sz w:val="24"/>
          <w:szCs w:val="24"/>
          <w:highlight w:val="none"/>
          <w:shd w:val="clear" w:fill="auto"/>
          <w:lang w:val="en-US" w:eastAsia="zh-CN"/>
        </w:rPr>
        <w:t>上办公</w:t>
      </w:r>
      <w:r>
        <w:rPr>
          <w:rFonts w:hint="eastAsia" w:ascii="宋体" w:hAnsi="宋体" w:eastAsia="宋体" w:cs="Times New Roman"/>
          <w:i w:val="0"/>
          <w:iCs w:val="0"/>
          <w:caps w:val="0"/>
          <w:color w:val="auto"/>
          <w:spacing w:val="0"/>
          <w:sz w:val="24"/>
          <w:szCs w:val="24"/>
          <w:highlight w:val="none"/>
          <w:shd w:val="clear" w:fill="auto"/>
        </w:rPr>
        <w:t>软件</w:t>
      </w:r>
      <w:r>
        <w:rPr>
          <w:rFonts w:hint="eastAsia" w:ascii="宋体" w:hAnsi="宋体" w:cs="Times New Roman"/>
          <w:i w:val="0"/>
          <w:iCs w:val="0"/>
          <w:caps w:val="0"/>
          <w:color w:val="auto"/>
          <w:spacing w:val="0"/>
          <w:sz w:val="24"/>
          <w:szCs w:val="24"/>
          <w:highlight w:val="none"/>
          <w:shd w:val="clear" w:fill="auto"/>
          <w:lang w:val="en-US" w:eastAsia="zh-CN"/>
        </w:rPr>
        <w:t>或小</w:t>
      </w:r>
      <w:r>
        <w:rPr>
          <w:rFonts w:hint="eastAsia" w:ascii="宋体" w:hAnsi="宋体" w:eastAsia="宋体" w:cs="Times New Roman"/>
          <w:i w:val="0"/>
          <w:iCs w:val="0"/>
          <w:caps w:val="0"/>
          <w:color w:val="auto"/>
          <w:spacing w:val="0"/>
          <w:sz w:val="24"/>
          <w:szCs w:val="24"/>
          <w:highlight w:val="none"/>
          <w:shd w:val="clear" w:fill="auto"/>
        </w:rPr>
        <w:t>程序进行上传、编辑、讨论等，造成相关涉密数据被窃取，泄露国家机密。</w:t>
      </w:r>
    </w:p>
    <w:p w14:paraId="6D2F7D10">
      <w:pPr>
        <w:pStyle w:val="20"/>
        <w:spacing w:line="360" w:lineRule="auto"/>
        <w:rPr>
          <w:rFonts w:hint="eastAsia" w:ascii="宋体" w:hAnsi="宋体" w:eastAsia="宋体" w:cs="Times New Roman"/>
          <w:i w:val="0"/>
          <w:iCs w:val="0"/>
          <w:caps w:val="0"/>
          <w:color w:val="auto"/>
          <w:spacing w:val="0"/>
          <w:sz w:val="24"/>
          <w:szCs w:val="24"/>
          <w:highlight w:val="none"/>
          <w:shd w:val="clear" w:fill="auto"/>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从事涉密岗位、有机会接触到涉密内容的物业服务人员应定期对手机、电脑等私人电子设备开展自查，杜绝用互联网设备处理涉密信息，同时也要及时对涉密电脑开展病毒自检，防止境外间谍情报机关植入病毒窃取数据。</w:t>
      </w:r>
    </w:p>
    <w:p w14:paraId="0272D191">
      <w:pPr>
        <w:rPr>
          <w:rFonts w:hint="eastAsia"/>
          <w:highlight w:val="none"/>
        </w:rPr>
      </w:pPr>
    </w:p>
    <w:p w14:paraId="70B252D2">
      <w:pPr>
        <w:rPr>
          <w:rFonts w:hint="eastAsia"/>
          <w:highlight w:val="none"/>
        </w:rPr>
      </w:pPr>
    </w:p>
    <w:p w14:paraId="1E3BADD2">
      <w:pPr>
        <w:rPr>
          <w:rFonts w:hint="eastAsia"/>
          <w:highlight w:val="none"/>
          <w:lang w:val="en-US" w:eastAsia="zh-CN"/>
        </w:rPr>
      </w:pPr>
    </w:p>
    <w:p w14:paraId="5C1D3004">
      <w:pPr>
        <w:rPr>
          <w:rFonts w:hint="default"/>
          <w:highlight w:val="none"/>
          <w:lang w:val="en-US" w:eastAsia="zh-CN"/>
        </w:rPr>
      </w:pPr>
    </w:p>
    <w:p w14:paraId="0FA1D029">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141" w:name="_Toc12425"/>
      <w:bookmarkStart w:id="142" w:name="_Toc12958"/>
      <w:bookmarkStart w:id="143" w:name="_Toc17243"/>
      <w:bookmarkStart w:id="144" w:name="_Toc11193"/>
      <w:bookmarkStart w:id="145" w:name="_Toc18064"/>
      <w:r>
        <w:rPr>
          <w:rFonts w:hint="eastAsia" w:cs="Times New Roman"/>
          <w:sz w:val="30"/>
          <w:highlight w:val="none"/>
          <w:lang w:val="en-US" w:eastAsia="zh-CN"/>
        </w:rPr>
        <w:t>5</w:t>
      </w:r>
      <w:r>
        <w:rPr>
          <w:rFonts w:hint="eastAsia" w:ascii="Times New Roman" w:hAnsi="Times New Roman" w:eastAsia="宋体" w:cs="Times New Roman"/>
          <w:sz w:val="30"/>
          <w:highlight w:val="none"/>
          <w:lang w:val="en-US" w:eastAsia="zh-CN"/>
        </w:rPr>
        <w:t xml:space="preserve"> </w:t>
      </w:r>
      <w:bookmarkStart w:id="146" w:name="_Toc16432"/>
      <w:r>
        <w:rPr>
          <w:rFonts w:hint="eastAsia" w:ascii="Times New Roman" w:hAnsi="Times New Roman" w:eastAsia="宋体" w:cs="Times New Roman"/>
          <w:sz w:val="30"/>
          <w:highlight w:val="none"/>
          <w:lang w:val="en-US" w:eastAsia="zh-CN"/>
        </w:rPr>
        <w:t>综合服务要求</w:t>
      </w:r>
      <w:bookmarkEnd w:id="141"/>
      <w:bookmarkEnd w:id="142"/>
      <w:bookmarkEnd w:id="143"/>
      <w:bookmarkEnd w:id="144"/>
      <w:bookmarkEnd w:id="145"/>
    </w:p>
    <w:p w14:paraId="29EFACD2">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cs="宋体"/>
          <w:b/>
          <w:bCs/>
          <w:color w:val="auto"/>
          <w:sz w:val="24"/>
          <w:szCs w:val="24"/>
          <w:highlight w:val="none"/>
          <w:lang w:val="en-US" w:eastAsia="zh-CN"/>
        </w:rPr>
      </w:pPr>
      <w:bookmarkStart w:id="147" w:name="_Toc9611"/>
      <w:bookmarkStart w:id="148" w:name="_Toc18076"/>
      <w:bookmarkStart w:id="149" w:name="_Toc22811"/>
      <w:bookmarkStart w:id="150" w:name="_Toc25051"/>
      <w:bookmarkStart w:id="151" w:name="_Toc20608"/>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 xml:space="preserve">.1  </w:t>
      </w:r>
      <w:bookmarkEnd w:id="146"/>
      <w:r>
        <w:rPr>
          <w:rFonts w:hint="eastAsia" w:ascii="宋体" w:hAnsi="宋体" w:cs="宋体"/>
          <w:b/>
          <w:bCs/>
          <w:color w:val="auto"/>
          <w:sz w:val="24"/>
          <w:szCs w:val="24"/>
          <w:highlight w:val="none"/>
          <w:lang w:val="en-US" w:eastAsia="zh-CN"/>
        </w:rPr>
        <w:t>客户服务</w:t>
      </w:r>
      <w:bookmarkEnd w:id="147"/>
      <w:bookmarkEnd w:id="148"/>
      <w:bookmarkEnd w:id="149"/>
      <w:bookmarkEnd w:id="150"/>
      <w:bookmarkEnd w:id="151"/>
    </w:p>
    <w:p w14:paraId="0608251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highlight w:val="none"/>
          <w:lang w:val="en-US" w:eastAsia="zh-CN"/>
        </w:rPr>
      </w:pPr>
      <w:bookmarkStart w:id="152" w:name="_Toc12515"/>
      <w:bookmarkStart w:id="153" w:name="_Toc4461"/>
      <w:bookmarkStart w:id="154" w:name="_Toc20923"/>
      <w:bookmarkStart w:id="155" w:name="_Toc23984"/>
      <w:bookmarkStart w:id="156" w:name="_Toc24634"/>
      <w:bookmarkStart w:id="157" w:name="_Toc10927"/>
      <w:bookmarkStart w:id="158" w:name="_Toc4434"/>
      <w:bookmarkStart w:id="159" w:name="_Toc23717"/>
      <w:bookmarkStart w:id="160" w:name="_Toc30215"/>
      <w:r>
        <w:rPr>
          <w:rFonts w:hint="eastAsia" w:ascii="宋体" w:hAnsi="宋体" w:eastAsia="宋体" w:cs="宋体"/>
          <w:b/>
          <w:bCs/>
          <w:color w:val="auto"/>
          <w:sz w:val="24"/>
          <w:szCs w:val="24"/>
          <w:highlight w:val="none"/>
          <w:lang w:val="en-US" w:eastAsia="zh-CN"/>
        </w:rPr>
        <w:t>Ⅰ  基本要求</w:t>
      </w:r>
      <w:bookmarkEnd w:id="152"/>
      <w:bookmarkEnd w:id="153"/>
      <w:bookmarkEnd w:id="154"/>
      <w:bookmarkEnd w:id="155"/>
      <w:bookmarkEnd w:id="156"/>
      <w:bookmarkEnd w:id="157"/>
      <w:bookmarkEnd w:id="158"/>
      <w:bookmarkEnd w:id="159"/>
      <w:bookmarkEnd w:id="160"/>
    </w:p>
    <w:p w14:paraId="2E2372DB">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bookmarkStart w:id="161" w:name="_Toc32490"/>
      <w:r>
        <w:rPr>
          <w:rFonts w:hint="eastAsia" w:ascii="Times New Roman" w:hAnsi="Times New Roman"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.1.1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应设置专用的服务场所，物业服务中心工作人员通过现场办公或线上方式（微信、QQ、APP等）提供服务，24h响应物业使用人诉求。</w:t>
      </w:r>
      <w:bookmarkEnd w:id="161"/>
    </w:p>
    <w:p w14:paraId="3E884C61">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bookmarkStart w:id="162" w:name="_Toc10321"/>
      <w:r>
        <w:rPr>
          <w:rFonts w:hint="eastAsia" w:ascii="Times New Roman" w:hAnsi="Times New Roman"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.1.</w:t>
      </w:r>
      <w:r>
        <w:rPr>
          <w:rFonts w:hint="eastAsia" w:ascii="Times New Roman" w:hAnsi="Times New Roman"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应有健全的物业使用人求助、建议、问询和维修等报事报修响应反馈制度。在工作时间内，应按合同约定对物业使用人报事报修进行响应；如无合同约定的，应在30min内响应。当日的维修及返单销项情况应进行记录并保存归档。</w:t>
      </w:r>
      <w:bookmarkEnd w:id="162"/>
    </w:p>
    <w:p w14:paraId="7A7E6075">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bookmarkStart w:id="163" w:name="_Toc12962"/>
      <w:r>
        <w:rPr>
          <w:rFonts w:hint="eastAsia" w:ascii="Times New Roman" w:hAnsi="Times New Roman" w:eastAsia="黑体" w:cs="Times New Roman"/>
          <w:b/>
          <w:bCs/>
          <w:color w:val="auto"/>
          <w:sz w:val="24"/>
          <w:szCs w:val="24"/>
          <w:highlight w:val="none"/>
          <w:lang w:val="en-US" w:eastAsia="zh-CN"/>
        </w:rPr>
        <w:t xml:space="preserve">5.1.3  </w:t>
      </w:r>
      <w:r>
        <w:rPr>
          <w:rFonts w:hint="eastAsia" w:ascii="宋体" w:hAnsi="宋体" w:eastAsia="宋体" w:cs="宋体"/>
          <w:color w:val="auto"/>
          <w:sz w:val="24"/>
          <w:szCs w:val="24"/>
          <w:highlight w:val="none"/>
          <w:lang w:val="en-US" w:eastAsia="zh-CN"/>
        </w:rPr>
        <w:t>服务人员应仪容仪表整洁，举止端庄得体，语言精练准确，服务礼仪规范；态度热情、礼貌、耐心。</w:t>
      </w:r>
      <w:bookmarkEnd w:id="163"/>
    </w:p>
    <w:p w14:paraId="20FB2E8A">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5.1.4  </w:t>
      </w:r>
      <w:r>
        <w:rPr>
          <w:rFonts w:hint="eastAsia" w:ascii="宋体" w:hAnsi="宋体" w:eastAsia="宋体" w:cs="宋体"/>
          <w:color w:val="auto"/>
          <w:sz w:val="24"/>
          <w:szCs w:val="24"/>
          <w:highlight w:val="none"/>
          <w:lang w:val="en-US" w:eastAsia="zh-CN"/>
        </w:rPr>
        <w:t>每季度应开展≥ 1 次满意率调查，调查数量为项目内所有物业使用单位，满意率应达到90%，并主动向物业使用单位提交满意率调查结果、服务质量整改计划和问题处理完成情况。</w:t>
      </w:r>
    </w:p>
    <w:p w14:paraId="335A4E5F">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p>
    <w:p w14:paraId="37DD9B07">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164" w:name="_Toc15309"/>
      <w:bookmarkStart w:id="165" w:name="_Toc18569"/>
      <w:bookmarkStart w:id="166" w:name="_Toc15560"/>
      <w:bookmarkStart w:id="167" w:name="_Toc7435"/>
      <w:bookmarkStart w:id="168" w:name="_Toc2055"/>
      <w:bookmarkStart w:id="169" w:name="_Toc7977"/>
      <w:bookmarkStart w:id="170" w:name="_Toc21978"/>
      <w:bookmarkStart w:id="171" w:name="_Toc20989"/>
      <w:bookmarkStart w:id="172" w:name="_Toc31569"/>
      <w:r>
        <w:rPr>
          <w:rFonts w:hint="eastAsia" w:ascii="宋体" w:hAnsi="宋体" w:eastAsia="宋体" w:cs="宋体"/>
          <w:b/>
          <w:bCs/>
          <w:color w:val="auto"/>
          <w:sz w:val="24"/>
          <w:szCs w:val="24"/>
          <w:highlight w:val="none"/>
          <w:lang w:val="en-US" w:eastAsia="zh-CN"/>
        </w:rPr>
        <w:t>Ⅱ  接待服务</w:t>
      </w:r>
      <w:bookmarkEnd w:id="164"/>
      <w:bookmarkEnd w:id="165"/>
      <w:bookmarkEnd w:id="166"/>
      <w:bookmarkEnd w:id="167"/>
      <w:bookmarkEnd w:id="168"/>
      <w:bookmarkEnd w:id="169"/>
      <w:bookmarkEnd w:id="170"/>
      <w:bookmarkEnd w:id="171"/>
      <w:bookmarkEnd w:id="172"/>
    </w:p>
    <w:p w14:paraId="4601641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bookmarkStart w:id="173" w:name="_Toc14543"/>
      <w:r>
        <w:rPr>
          <w:rFonts w:hint="eastAsia" w:ascii="Times New Roman" w:hAnsi="Times New Roman" w:eastAsia="黑体" w:cs="Times New Roman"/>
          <w:b/>
          <w:bCs/>
          <w:color w:val="auto"/>
          <w:sz w:val="24"/>
          <w:szCs w:val="24"/>
          <w:highlight w:val="none"/>
          <w:lang w:val="en-US" w:eastAsia="zh-CN"/>
        </w:rPr>
        <w:t xml:space="preserve">5.1.5  </w:t>
      </w:r>
      <w:r>
        <w:rPr>
          <w:rFonts w:hint="eastAsia" w:ascii="宋体" w:hAnsi="宋体" w:eastAsia="宋体" w:cs="宋体"/>
          <w:color w:val="auto"/>
          <w:sz w:val="24"/>
          <w:szCs w:val="24"/>
          <w:highlight w:val="none"/>
          <w:lang w:val="en-US" w:eastAsia="zh-CN"/>
        </w:rPr>
        <w:t>接待服务应符合以下要求：</w:t>
      </w:r>
      <w:bookmarkEnd w:id="173"/>
    </w:p>
    <w:p w14:paraId="60345EC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在办公楼（区）大厅或公共区域需设立接待服务台的，应配置专职服务人员，接受来访人员咨询和登记；</w:t>
      </w:r>
    </w:p>
    <w:p w14:paraId="2229C7A2">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接待服务工作时间应覆盖物业使用单位工作时间，非工作时间设值班人员并公布值班电话；</w:t>
      </w:r>
    </w:p>
    <w:p w14:paraId="5605016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宜提供多种接待途径，包括但不限于现场接待、办证业务指引、接听电话及收发传真；</w:t>
      </w:r>
    </w:p>
    <w:p w14:paraId="2CEBF62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对咨询、建议、求助等事项，应及时处理或答复并做好记录；</w:t>
      </w:r>
    </w:p>
    <w:p w14:paraId="54D60C8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对受理服务事项应进行记录并存档。</w:t>
      </w:r>
    </w:p>
    <w:p w14:paraId="5A449BB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174" w:name="_Toc21837"/>
      <w:bookmarkStart w:id="175" w:name="_Toc8912"/>
      <w:bookmarkStart w:id="176" w:name="_Toc25743"/>
      <w:bookmarkStart w:id="177" w:name="_Toc5785"/>
      <w:bookmarkStart w:id="178" w:name="_Toc28778"/>
      <w:bookmarkStart w:id="179" w:name="_Toc11145"/>
      <w:bookmarkStart w:id="180" w:name="_Toc32361"/>
      <w:bookmarkStart w:id="181" w:name="_Toc9760"/>
      <w:r>
        <w:rPr>
          <w:rFonts w:hint="eastAsia" w:ascii="宋体" w:hAnsi="宋体" w:eastAsia="宋体" w:cs="宋体"/>
          <w:b/>
          <w:bCs/>
          <w:color w:val="auto"/>
          <w:sz w:val="24"/>
          <w:szCs w:val="24"/>
          <w:highlight w:val="none"/>
          <w:lang w:val="en-US" w:eastAsia="zh-CN"/>
        </w:rPr>
        <w:t>Ⅲ  信报服务</w:t>
      </w:r>
      <w:bookmarkEnd w:id="174"/>
      <w:bookmarkEnd w:id="175"/>
      <w:bookmarkEnd w:id="176"/>
      <w:bookmarkEnd w:id="177"/>
      <w:bookmarkEnd w:id="178"/>
      <w:bookmarkEnd w:id="179"/>
      <w:bookmarkEnd w:id="180"/>
      <w:bookmarkEnd w:id="181"/>
    </w:p>
    <w:p w14:paraId="62F05A6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5.1.6  </w:t>
      </w:r>
      <w:r>
        <w:rPr>
          <w:rFonts w:hint="eastAsia" w:ascii="宋体" w:hAnsi="宋体" w:eastAsia="宋体" w:cs="宋体"/>
          <w:color w:val="auto"/>
          <w:sz w:val="24"/>
          <w:szCs w:val="24"/>
          <w:highlight w:val="none"/>
          <w:lang w:val="en-US" w:eastAsia="zh-CN"/>
        </w:rPr>
        <w:t>信报服务应符合以下要求：</w:t>
      </w:r>
    </w:p>
    <w:p w14:paraId="244B7C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正确分理邮件、包裹单和挂号信等各类信报并做好记录，妥善保管；</w:t>
      </w:r>
    </w:p>
    <w:p w14:paraId="78CBD0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对代收的邮件、包裹进行登记，及时投送或通知收件人领取，送达或领取时做好相关记录；</w:t>
      </w:r>
    </w:p>
    <w:p w14:paraId="7A226C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highlight w:val="none"/>
          <w:lang w:val="en-US" w:eastAsia="zh-CN"/>
        </w:rPr>
      </w:pPr>
      <w:r>
        <w:rPr>
          <w:rFonts w:hint="eastAsia" w:ascii="宋体" w:hAnsi="宋体" w:eastAsia="宋体" w:cs="宋体"/>
          <w:color w:val="auto"/>
          <w:sz w:val="24"/>
          <w:szCs w:val="24"/>
          <w:highlight w:val="none"/>
          <w:lang w:val="en-US" w:eastAsia="zh-CN"/>
        </w:rPr>
        <w:t>3  对代寄的邮件、包裹应妥善保管，确认收件快递公司，核对取件码等；邮件、包裹寄出前有任何问题应及时通知当事人</w:t>
      </w:r>
      <w:r>
        <w:rPr>
          <w:rFonts w:hint="eastAsia"/>
          <w:highlight w:val="none"/>
          <w:lang w:val="en-US" w:eastAsia="zh-CN"/>
        </w:rPr>
        <w:t>；</w:t>
      </w:r>
    </w:p>
    <w:p w14:paraId="6A8A08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特殊信件、物品应由收件人凭有效证件亲自领取并签收，不得代领、代收。</w:t>
      </w:r>
    </w:p>
    <w:p w14:paraId="7EF5567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182" w:name="_Toc28909"/>
      <w:bookmarkStart w:id="183" w:name="_Toc28450"/>
      <w:bookmarkStart w:id="184" w:name="_Toc27480"/>
      <w:bookmarkStart w:id="185" w:name="_Toc22731"/>
      <w:bookmarkStart w:id="186" w:name="_Toc32275"/>
      <w:bookmarkStart w:id="187" w:name="_Toc28520"/>
      <w:bookmarkStart w:id="188" w:name="_Toc20503"/>
      <w:bookmarkStart w:id="189" w:name="_Toc12295"/>
      <w:r>
        <w:rPr>
          <w:rFonts w:hint="eastAsia" w:ascii="宋体" w:hAnsi="宋体" w:eastAsia="宋体" w:cs="宋体"/>
          <w:b/>
          <w:bCs/>
          <w:color w:val="auto"/>
          <w:sz w:val="24"/>
          <w:szCs w:val="24"/>
          <w:highlight w:val="none"/>
          <w:lang w:val="en-US" w:eastAsia="zh-CN"/>
        </w:rPr>
        <w:t>Ⅳ  报事报修服务</w:t>
      </w:r>
      <w:bookmarkEnd w:id="182"/>
      <w:bookmarkEnd w:id="183"/>
      <w:bookmarkEnd w:id="184"/>
      <w:bookmarkEnd w:id="185"/>
      <w:bookmarkEnd w:id="186"/>
      <w:bookmarkEnd w:id="187"/>
      <w:bookmarkEnd w:id="188"/>
      <w:bookmarkEnd w:id="189"/>
    </w:p>
    <w:p w14:paraId="224D24D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5.1.7  </w:t>
      </w:r>
      <w:r>
        <w:rPr>
          <w:rFonts w:hint="eastAsia" w:ascii="宋体" w:hAnsi="宋体" w:eastAsia="宋体" w:cs="宋体"/>
          <w:color w:val="auto"/>
          <w:sz w:val="24"/>
          <w:szCs w:val="24"/>
          <w:highlight w:val="none"/>
          <w:lang w:val="en-US" w:eastAsia="zh-CN"/>
        </w:rPr>
        <w:t>报事报修服务应符合以下要求：</w:t>
      </w:r>
    </w:p>
    <w:p w14:paraId="538576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在约定时限内处理物业使用单位的报事报修，维修应及时到位；</w:t>
      </w:r>
    </w:p>
    <w:p w14:paraId="3EA732A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报事、报修、维修应做好记录；</w:t>
      </w:r>
    </w:p>
    <w:p w14:paraId="561DCB8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对维修项目应进行回访并做好回访记录。</w:t>
      </w:r>
    </w:p>
    <w:p w14:paraId="54ABC5B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5.1.8  </w:t>
      </w:r>
      <w:r>
        <w:rPr>
          <w:rFonts w:hint="eastAsia" w:ascii="宋体" w:hAnsi="宋体" w:eastAsia="宋体" w:cs="宋体"/>
          <w:color w:val="auto"/>
          <w:sz w:val="24"/>
          <w:szCs w:val="24"/>
          <w:highlight w:val="none"/>
          <w:lang w:val="en-US" w:eastAsia="zh-CN"/>
        </w:rPr>
        <w:t>对咨询、建议、求助等事项,及时处理或答复,处理和答复率100%,并做好记录。记录填写规范,保存完好</w:t>
      </w:r>
      <w:r>
        <w:rPr>
          <w:rFonts w:hint="eastAsia" w:ascii="宋体" w:hAnsi="宋体" w:cs="宋体"/>
          <w:color w:val="auto"/>
          <w:sz w:val="24"/>
          <w:szCs w:val="24"/>
          <w:highlight w:val="none"/>
          <w:lang w:val="en-US" w:eastAsia="zh-CN"/>
        </w:rPr>
        <w:t>。</w:t>
      </w:r>
    </w:p>
    <w:p w14:paraId="6EA5879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5.1.9  </w:t>
      </w:r>
      <w:r>
        <w:rPr>
          <w:rFonts w:hint="eastAsia" w:ascii="宋体" w:hAnsi="宋体" w:eastAsia="宋体" w:cs="宋体"/>
          <w:color w:val="auto"/>
          <w:sz w:val="24"/>
          <w:szCs w:val="24"/>
          <w:highlight w:val="none"/>
          <w:lang w:val="en-US" w:eastAsia="zh-CN"/>
        </w:rPr>
        <w:t>对重要场所、重要设备维修进行100%回访,对小修、零修按照用户评价确认回访率</w:t>
      </w:r>
      <w:r>
        <w:rPr>
          <w:rFonts w:hint="eastAsia" w:ascii="宋体" w:hAnsi="宋体" w:cs="宋体"/>
          <w:color w:val="auto"/>
          <w:sz w:val="24"/>
          <w:szCs w:val="24"/>
          <w:highlight w:val="none"/>
          <w:lang w:val="en-US" w:eastAsia="zh-CN"/>
        </w:rPr>
        <w:t>。</w:t>
      </w:r>
    </w:p>
    <w:p w14:paraId="2CB29AE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5.1.10  </w:t>
      </w:r>
      <w:r>
        <w:rPr>
          <w:rFonts w:hint="eastAsia" w:ascii="宋体" w:hAnsi="宋体" w:eastAsia="宋体" w:cs="宋体"/>
          <w:color w:val="auto"/>
          <w:sz w:val="24"/>
          <w:szCs w:val="24"/>
          <w:highlight w:val="none"/>
          <w:lang w:val="en-US" w:eastAsia="zh-CN"/>
        </w:rPr>
        <w:t>维修满意率为</w:t>
      </w:r>
      <w:r>
        <w:rPr>
          <w:rFonts w:hint="default" w:ascii="Arial" w:hAnsi="Arial" w:eastAsia="宋体" w:cs="Arial"/>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95%</w:t>
      </w:r>
      <w:r>
        <w:rPr>
          <w:rFonts w:hint="eastAsia" w:ascii="宋体" w:hAnsi="宋体" w:cs="宋体"/>
          <w:color w:val="auto"/>
          <w:sz w:val="24"/>
          <w:szCs w:val="24"/>
          <w:highlight w:val="none"/>
          <w:lang w:val="en-US" w:eastAsia="zh-CN"/>
        </w:rPr>
        <w:t xml:space="preserve"> 。</w:t>
      </w:r>
    </w:p>
    <w:p w14:paraId="21BFD0D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90" w:name="_Toc30730"/>
      <w:bookmarkStart w:id="191" w:name="_Toc31263"/>
      <w:bookmarkStart w:id="192" w:name="_Toc30094"/>
      <w:bookmarkStart w:id="193" w:name="_Toc24420"/>
      <w:bookmarkStart w:id="194" w:name="_Toc2308"/>
      <w:bookmarkStart w:id="195" w:name="_Toc11291"/>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.2  会务服务</w:t>
      </w:r>
      <w:bookmarkEnd w:id="190"/>
      <w:bookmarkEnd w:id="191"/>
      <w:bookmarkEnd w:id="192"/>
      <w:bookmarkEnd w:id="193"/>
      <w:bookmarkEnd w:id="194"/>
      <w:bookmarkEnd w:id="195"/>
    </w:p>
    <w:p w14:paraId="0ADC437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196" w:name="_Toc22299"/>
      <w:bookmarkStart w:id="197" w:name="_Toc8876"/>
      <w:bookmarkStart w:id="198" w:name="_Toc5787"/>
      <w:bookmarkStart w:id="199" w:name="_Toc29379"/>
      <w:bookmarkStart w:id="200" w:name="_Toc19503"/>
      <w:bookmarkStart w:id="201" w:name="_Toc27459"/>
      <w:bookmarkStart w:id="202" w:name="_Toc27043"/>
      <w:bookmarkStart w:id="203" w:name="_Toc5667"/>
      <w:r>
        <w:rPr>
          <w:rFonts w:hint="eastAsia" w:ascii="宋体" w:hAnsi="宋体" w:eastAsia="宋体" w:cs="宋体"/>
          <w:b/>
          <w:bCs/>
          <w:color w:val="auto"/>
          <w:sz w:val="24"/>
          <w:szCs w:val="24"/>
          <w:highlight w:val="none"/>
          <w:lang w:val="en-US" w:eastAsia="zh-CN"/>
        </w:rPr>
        <w:t>Ⅰ  确认需求</w:t>
      </w:r>
      <w:bookmarkEnd w:id="196"/>
      <w:bookmarkEnd w:id="197"/>
      <w:bookmarkEnd w:id="198"/>
      <w:bookmarkEnd w:id="199"/>
      <w:bookmarkEnd w:id="200"/>
      <w:bookmarkEnd w:id="201"/>
      <w:bookmarkEnd w:id="202"/>
      <w:bookmarkEnd w:id="203"/>
    </w:p>
    <w:p w14:paraId="1E28D912">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5.2.1  </w:t>
      </w:r>
      <w:r>
        <w:rPr>
          <w:rFonts w:hint="eastAsia" w:ascii="宋体" w:hAnsi="宋体" w:eastAsia="宋体" w:cs="宋体"/>
          <w:color w:val="auto"/>
          <w:sz w:val="24"/>
          <w:szCs w:val="24"/>
          <w:highlight w:val="none"/>
          <w:lang w:val="en-US" w:eastAsia="zh-CN"/>
        </w:rPr>
        <w:t>应建立会议需求及相关信息登记制度，包括但不限于会议名称、会议类型、会议地点、会议时间、参会人员及人数、特别安保及车位需求、设施设备需求、物品需求。</w:t>
      </w:r>
    </w:p>
    <w:p w14:paraId="5A97AFDA">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5.2.2</w:t>
      </w:r>
      <w:r>
        <w:rPr>
          <w:rFonts w:hint="eastAsia" w:ascii="宋体" w:hAnsi="宋体" w:eastAsia="宋体" w:cs="宋体"/>
          <w:color w:val="auto"/>
          <w:sz w:val="24"/>
          <w:szCs w:val="24"/>
          <w:highlight w:val="none"/>
          <w:lang w:val="en-US" w:eastAsia="zh-CN"/>
        </w:rPr>
        <w:t xml:space="preserve">  应根据会议要求制定实施方案，明确责任分工，包括但不限于停车管理、安全管理、会场布置、卫生清洁、会场服务、设施设备调试。</w:t>
      </w:r>
    </w:p>
    <w:p w14:paraId="78D1BE0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04" w:name="_Toc3105"/>
      <w:bookmarkStart w:id="205" w:name="_Toc1912"/>
      <w:bookmarkStart w:id="206" w:name="_Toc4358"/>
      <w:bookmarkStart w:id="207" w:name="_Toc22693"/>
      <w:bookmarkStart w:id="208" w:name="_Toc26477"/>
      <w:bookmarkStart w:id="209" w:name="_Toc14906"/>
      <w:bookmarkStart w:id="210" w:name="_Toc23918"/>
      <w:bookmarkStart w:id="211" w:name="_Toc3717"/>
      <w:r>
        <w:rPr>
          <w:rFonts w:hint="eastAsia" w:ascii="宋体" w:hAnsi="宋体" w:eastAsia="宋体" w:cs="宋体"/>
          <w:b/>
          <w:bCs/>
          <w:color w:val="auto"/>
          <w:sz w:val="24"/>
          <w:szCs w:val="24"/>
          <w:highlight w:val="none"/>
          <w:lang w:val="en-US" w:eastAsia="zh-CN"/>
        </w:rPr>
        <w:t>Ⅱ  会前准备</w:t>
      </w:r>
      <w:bookmarkEnd w:id="204"/>
      <w:bookmarkEnd w:id="205"/>
      <w:bookmarkEnd w:id="206"/>
      <w:bookmarkEnd w:id="207"/>
      <w:bookmarkEnd w:id="208"/>
      <w:bookmarkEnd w:id="209"/>
      <w:bookmarkEnd w:id="210"/>
      <w:bookmarkEnd w:id="211"/>
    </w:p>
    <w:p w14:paraId="147FB31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5.2.3</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会前准备应符合以下要求：</w:t>
      </w:r>
    </w:p>
    <w:p w14:paraId="3BEE6F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  </w:t>
      </w:r>
      <w:r>
        <w:rPr>
          <w:rFonts w:hint="default" w:ascii="宋体" w:hAnsi="宋体" w:eastAsia="宋体" w:cs="宋体"/>
          <w:color w:val="auto"/>
          <w:sz w:val="24"/>
          <w:szCs w:val="24"/>
          <w:highlight w:val="none"/>
          <w:lang w:val="en-US" w:eastAsia="zh-CN"/>
        </w:rPr>
        <w:t>服务人员</w:t>
      </w:r>
      <w:r>
        <w:rPr>
          <w:rFonts w:hint="eastAsia" w:ascii="宋体" w:hAnsi="宋体" w:eastAsia="宋体" w:cs="宋体"/>
          <w:color w:val="auto"/>
          <w:sz w:val="24"/>
          <w:szCs w:val="24"/>
          <w:highlight w:val="none"/>
          <w:lang w:val="en-US" w:eastAsia="zh-CN"/>
        </w:rPr>
        <w:t>应</w:t>
      </w:r>
      <w:r>
        <w:rPr>
          <w:rFonts w:hint="default" w:ascii="宋体" w:hAnsi="宋体" w:eastAsia="宋体" w:cs="宋体"/>
          <w:color w:val="auto"/>
          <w:sz w:val="24"/>
          <w:szCs w:val="24"/>
          <w:highlight w:val="none"/>
          <w:lang w:val="en-US" w:eastAsia="zh-CN"/>
        </w:rPr>
        <w:t>根据会议需求及标准等级，提前布置会场，准备会务设施设备及物品，包括会议主席台和参会人员</w:t>
      </w:r>
      <w:r>
        <w:rPr>
          <w:rFonts w:hint="eastAsia" w:ascii="宋体" w:hAnsi="宋体" w:cs="宋体"/>
          <w:color w:val="auto"/>
          <w:sz w:val="24"/>
          <w:szCs w:val="24"/>
          <w:highlight w:val="none"/>
          <w:lang w:val="en-US" w:eastAsia="zh-CN"/>
        </w:rPr>
        <w:t>座席</w:t>
      </w:r>
      <w:r>
        <w:rPr>
          <w:rFonts w:hint="default" w:ascii="宋体" w:hAnsi="宋体" w:eastAsia="宋体" w:cs="宋体"/>
          <w:color w:val="auto"/>
          <w:sz w:val="24"/>
          <w:szCs w:val="24"/>
          <w:highlight w:val="none"/>
          <w:lang w:val="en-US" w:eastAsia="zh-CN"/>
        </w:rPr>
        <w:t>牌放置、会议会标、饮水、设备调试、室温调节等；</w:t>
      </w:r>
    </w:p>
    <w:p w14:paraId="53E33BB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应</w:t>
      </w:r>
      <w:r>
        <w:rPr>
          <w:rFonts w:hint="default" w:ascii="宋体" w:hAnsi="宋体" w:eastAsia="宋体" w:cs="宋体"/>
          <w:color w:val="auto"/>
          <w:sz w:val="24"/>
          <w:szCs w:val="24"/>
          <w:highlight w:val="none"/>
          <w:lang w:val="en-US" w:eastAsia="zh-CN"/>
        </w:rPr>
        <w:t>保证灯光、音响、空调、电脑、投影、视频音频等设施</w:t>
      </w:r>
      <w:r>
        <w:rPr>
          <w:rFonts w:hint="eastAsia" w:ascii="宋体" w:hAnsi="宋体" w:cs="宋体"/>
          <w:color w:val="auto"/>
          <w:sz w:val="24"/>
          <w:szCs w:val="24"/>
          <w:highlight w:val="none"/>
          <w:lang w:val="en-US" w:eastAsia="zh-CN"/>
        </w:rPr>
        <w:t>设备</w:t>
      </w:r>
      <w:r>
        <w:rPr>
          <w:rFonts w:hint="default" w:ascii="宋体" w:hAnsi="宋体" w:eastAsia="宋体" w:cs="宋体"/>
          <w:color w:val="auto"/>
          <w:sz w:val="24"/>
          <w:szCs w:val="24"/>
          <w:highlight w:val="none"/>
          <w:lang w:val="en-US" w:eastAsia="zh-CN"/>
        </w:rPr>
        <w:t>正常使用；</w:t>
      </w:r>
    </w:p>
    <w:p w14:paraId="6F789F4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宜</w:t>
      </w:r>
      <w:r>
        <w:rPr>
          <w:rFonts w:hint="default" w:ascii="宋体" w:hAnsi="宋体" w:eastAsia="宋体" w:cs="宋体"/>
          <w:color w:val="auto"/>
          <w:sz w:val="24"/>
          <w:szCs w:val="24"/>
          <w:highlight w:val="none"/>
          <w:lang w:val="en-US" w:eastAsia="zh-CN"/>
        </w:rPr>
        <w:t>有专人负责会场服务及安全巡查，主要出入口（大堂出入口、电梯门口、会议室门口等）及过道拐弯处应设置会议入场指示牌</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安全提示和消防疏散路径指示</w:t>
      </w:r>
      <w:r>
        <w:rPr>
          <w:rFonts w:hint="eastAsia" w:ascii="宋体" w:hAnsi="宋体" w:eastAsia="宋体" w:cs="宋体"/>
          <w:color w:val="auto"/>
          <w:sz w:val="24"/>
          <w:szCs w:val="24"/>
          <w:highlight w:val="none"/>
          <w:lang w:val="en-US" w:eastAsia="zh-CN"/>
        </w:rPr>
        <w:t>；</w:t>
      </w:r>
    </w:p>
    <w:p w14:paraId="36408FD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物业使用人的</w:t>
      </w:r>
      <w:r>
        <w:rPr>
          <w:rFonts w:hint="default" w:ascii="宋体" w:hAnsi="宋体" w:eastAsia="宋体" w:cs="宋体"/>
          <w:color w:val="auto"/>
          <w:sz w:val="24"/>
          <w:szCs w:val="24"/>
          <w:highlight w:val="none"/>
          <w:lang w:val="en-US" w:eastAsia="zh-CN"/>
        </w:rPr>
        <w:t>重要</w:t>
      </w:r>
      <w:r>
        <w:rPr>
          <w:rFonts w:hint="eastAsia" w:ascii="宋体" w:hAnsi="宋体" w:eastAsia="宋体" w:cs="宋体"/>
          <w:color w:val="auto"/>
          <w:sz w:val="24"/>
          <w:szCs w:val="24"/>
          <w:highlight w:val="none"/>
          <w:lang w:val="en-US" w:eastAsia="zh-CN"/>
        </w:rPr>
        <w:t>级别</w:t>
      </w:r>
      <w:r>
        <w:rPr>
          <w:rFonts w:hint="default" w:ascii="宋体" w:hAnsi="宋体" w:eastAsia="宋体" w:cs="宋体"/>
          <w:color w:val="auto"/>
          <w:sz w:val="24"/>
          <w:szCs w:val="24"/>
          <w:highlight w:val="none"/>
          <w:lang w:val="en-US" w:eastAsia="zh-CN"/>
        </w:rPr>
        <w:t>会议应有专人提前</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h</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进行特别安全巡查，提前</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h</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确保设施设备的正常使用，确保无可疑物体或不明物体，无安全隐患，避免无关人员进入会场。</w:t>
      </w:r>
    </w:p>
    <w:p w14:paraId="46262E0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12" w:name="_Toc14678"/>
      <w:bookmarkStart w:id="213" w:name="_Toc20937"/>
      <w:bookmarkStart w:id="214" w:name="_Toc10255"/>
      <w:bookmarkStart w:id="215" w:name="_Toc747"/>
      <w:bookmarkStart w:id="216" w:name="_Toc1754"/>
      <w:bookmarkStart w:id="217" w:name="_Toc21207"/>
      <w:bookmarkStart w:id="218" w:name="_Toc16871"/>
      <w:bookmarkStart w:id="219" w:name="_Toc30892"/>
      <w:r>
        <w:rPr>
          <w:rFonts w:hint="eastAsia" w:ascii="宋体" w:hAnsi="宋体" w:eastAsia="宋体" w:cs="宋体"/>
          <w:b/>
          <w:bCs/>
          <w:color w:val="auto"/>
          <w:sz w:val="24"/>
          <w:szCs w:val="24"/>
          <w:highlight w:val="none"/>
          <w:lang w:val="en-US" w:eastAsia="zh-CN"/>
        </w:rPr>
        <w:t>Ⅲ  会中服务</w:t>
      </w:r>
      <w:bookmarkEnd w:id="212"/>
      <w:bookmarkEnd w:id="213"/>
      <w:bookmarkEnd w:id="214"/>
      <w:bookmarkEnd w:id="215"/>
      <w:bookmarkEnd w:id="216"/>
      <w:bookmarkEnd w:id="217"/>
      <w:bookmarkEnd w:id="218"/>
      <w:bookmarkEnd w:id="219"/>
    </w:p>
    <w:p w14:paraId="1891025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5.2.4</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会中服务应符合以下要求：</w:t>
      </w:r>
    </w:p>
    <w:p w14:paraId="2FFE21B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  </w:t>
      </w:r>
      <w:r>
        <w:rPr>
          <w:rFonts w:hint="default" w:ascii="宋体" w:hAnsi="宋体" w:eastAsia="宋体" w:cs="宋体"/>
          <w:color w:val="auto"/>
          <w:sz w:val="24"/>
          <w:szCs w:val="24"/>
          <w:highlight w:val="none"/>
          <w:lang w:val="en-US" w:eastAsia="zh-CN"/>
        </w:rPr>
        <w:t>会务服务人员应提前</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min</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到达会场，指引参会人员入座并根据实际需求，提供茶水服务等；</w:t>
      </w:r>
    </w:p>
    <w:p w14:paraId="480ED8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default" w:ascii="宋体" w:hAnsi="宋体" w:eastAsia="宋体" w:cs="宋体"/>
          <w:color w:val="auto"/>
          <w:sz w:val="24"/>
          <w:szCs w:val="24"/>
          <w:highlight w:val="none"/>
          <w:lang w:val="en-US" w:eastAsia="zh-CN"/>
        </w:rPr>
        <w:t>会议进行时，宜每隔</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20min</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左右，为参会人员添加茶水，对主席台或主宾位客人要视情况及时补水，加水过程中应做到走路轻</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讲话轻、动作轻，确保加水时无茶水滴漏，避免影响会议；</w:t>
      </w:r>
    </w:p>
    <w:p w14:paraId="5AC7319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  </w:t>
      </w:r>
      <w:r>
        <w:rPr>
          <w:rFonts w:hint="default" w:ascii="宋体" w:hAnsi="宋体" w:eastAsia="宋体" w:cs="宋体"/>
          <w:color w:val="auto"/>
          <w:sz w:val="24"/>
          <w:szCs w:val="24"/>
          <w:highlight w:val="none"/>
          <w:lang w:val="en-US" w:eastAsia="zh-CN"/>
        </w:rPr>
        <w:t>会议中应加强安全保卫及巡视工作，防止无关人员进入会议室扰乱会议；</w:t>
      </w:r>
    </w:p>
    <w:p w14:paraId="51B19C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  </w:t>
      </w:r>
      <w:r>
        <w:rPr>
          <w:rFonts w:hint="default" w:ascii="宋体" w:hAnsi="宋体" w:eastAsia="宋体" w:cs="宋体"/>
          <w:color w:val="auto"/>
          <w:sz w:val="24"/>
          <w:szCs w:val="24"/>
          <w:highlight w:val="none"/>
          <w:lang w:val="en-US" w:eastAsia="zh-CN"/>
        </w:rPr>
        <w:t>中途休会的会场整理工作，应根据会议需要更换矿泉水、</w:t>
      </w:r>
      <w:r>
        <w:rPr>
          <w:rFonts w:hint="eastAsia" w:ascii="宋体" w:hAnsi="宋体" w:cs="宋体"/>
          <w:color w:val="auto"/>
          <w:sz w:val="24"/>
          <w:szCs w:val="24"/>
          <w:highlight w:val="none"/>
          <w:lang w:val="en-US" w:eastAsia="zh-CN"/>
        </w:rPr>
        <w:t>茶</w:t>
      </w:r>
      <w:r>
        <w:rPr>
          <w:rFonts w:hint="default" w:ascii="宋体" w:hAnsi="宋体" w:eastAsia="宋体" w:cs="宋体"/>
          <w:color w:val="auto"/>
          <w:sz w:val="24"/>
          <w:szCs w:val="24"/>
          <w:highlight w:val="none"/>
          <w:lang w:val="en-US" w:eastAsia="zh-CN"/>
        </w:rPr>
        <w:t>杯、</w:t>
      </w:r>
      <w:r>
        <w:rPr>
          <w:rFonts w:hint="eastAsia" w:ascii="宋体" w:hAnsi="宋体" w:cs="宋体"/>
          <w:color w:val="auto"/>
          <w:sz w:val="24"/>
          <w:szCs w:val="24"/>
          <w:highlight w:val="none"/>
          <w:lang w:val="en-US" w:eastAsia="zh-CN"/>
        </w:rPr>
        <w:t>座席</w:t>
      </w:r>
      <w:r>
        <w:rPr>
          <w:rFonts w:hint="default" w:ascii="宋体" w:hAnsi="宋体" w:eastAsia="宋体" w:cs="宋体"/>
          <w:color w:val="auto"/>
          <w:sz w:val="24"/>
          <w:szCs w:val="24"/>
          <w:highlight w:val="none"/>
          <w:lang w:val="en-US" w:eastAsia="zh-CN"/>
        </w:rPr>
        <w:t>牌等物品；不应随意翻动参会人员物品；</w:t>
      </w:r>
    </w:p>
    <w:p w14:paraId="7B44B7E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  </w:t>
      </w:r>
      <w:r>
        <w:rPr>
          <w:rFonts w:hint="default" w:ascii="宋体" w:hAnsi="宋体" w:eastAsia="宋体" w:cs="宋体"/>
          <w:color w:val="auto"/>
          <w:sz w:val="24"/>
          <w:szCs w:val="24"/>
          <w:highlight w:val="none"/>
          <w:lang w:val="en-US" w:eastAsia="zh-CN"/>
        </w:rPr>
        <w:t>会务服务人员不应随意离岗、串岗、聊天，手机应保持静音；</w:t>
      </w:r>
    </w:p>
    <w:p w14:paraId="457251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  </w:t>
      </w:r>
      <w:r>
        <w:rPr>
          <w:rFonts w:hint="default" w:ascii="宋体" w:hAnsi="宋体" w:eastAsia="宋体" w:cs="宋体"/>
          <w:color w:val="auto"/>
          <w:sz w:val="24"/>
          <w:szCs w:val="24"/>
          <w:highlight w:val="none"/>
          <w:lang w:val="en-US" w:eastAsia="zh-CN"/>
        </w:rPr>
        <w:t>会议期间应全程监视设备的运行情况，出现异常及时应对、快速处理，确保会议正常进行。</w:t>
      </w:r>
    </w:p>
    <w:p w14:paraId="20C8A67B">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20" w:name="_Toc4713"/>
      <w:bookmarkStart w:id="221" w:name="_Toc11792"/>
      <w:bookmarkStart w:id="222" w:name="_Toc1656"/>
      <w:bookmarkStart w:id="223" w:name="_Toc27234"/>
      <w:bookmarkStart w:id="224" w:name="_Toc30279"/>
      <w:bookmarkStart w:id="225" w:name="_Toc4019"/>
      <w:bookmarkStart w:id="226" w:name="_Toc13378"/>
      <w:bookmarkStart w:id="227" w:name="_Toc23613"/>
      <w:r>
        <w:rPr>
          <w:rFonts w:hint="eastAsia" w:ascii="宋体" w:hAnsi="宋体" w:eastAsia="宋体" w:cs="宋体"/>
          <w:b/>
          <w:bCs/>
          <w:color w:val="auto"/>
          <w:sz w:val="24"/>
          <w:szCs w:val="24"/>
          <w:highlight w:val="none"/>
          <w:lang w:val="en-US" w:eastAsia="zh-CN"/>
        </w:rPr>
        <w:t>Ⅳ  会后服务</w:t>
      </w:r>
      <w:bookmarkEnd w:id="220"/>
      <w:bookmarkEnd w:id="221"/>
      <w:bookmarkEnd w:id="222"/>
      <w:bookmarkEnd w:id="223"/>
      <w:bookmarkEnd w:id="224"/>
      <w:bookmarkEnd w:id="225"/>
      <w:bookmarkEnd w:id="226"/>
      <w:bookmarkEnd w:id="227"/>
    </w:p>
    <w:p w14:paraId="6716C27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5.2.5</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会后服务应符合以下要求：</w:t>
      </w:r>
    </w:p>
    <w:p w14:paraId="25BCB5A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  </w:t>
      </w:r>
      <w:r>
        <w:rPr>
          <w:rFonts w:hint="default" w:ascii="宋体" w:hAnsi="宋体" w:eastAsia="宋体" w:cs="宋体"/>
          <w:color w:val="auto"/>
          <w:sz w:val="24"/>
          <w:szCs w:val="24"/>
          <w:highlight w:val="none"/>
          <w:lang w:val="en-US" w:eastAsia="zh-CN"/>
        </w:rPr>
        <w:t>会后应指引人员和车辆有序疏散，无拥堵现象；</w:t>
      </w:r>
    </w:p>
    <w:p w14:paraId="0531D1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default" w:ascii="宋体" w:hAnsi="宋体" w:eastAsia="宋体" w:cs="宋体"/>
          <w:color w:val="auto"/>
          <w:sz w:val="24"/>
          <w:szCs w:val="24"/>
          <w:highlight w:val="none"/>
          <w:lang w:val="en-US" w:eastAsia="zh-CN"/>
        </w:rPr>
        <w:t xml:space="preserve">应在参会人员离场后 10 </w:t>
      </w:r>
      <w:r>
        <w:rPr>
          <w:rFonts w:hint="eastAsia" w:ascii="宋体" w:hAnsi="宋体" w:eastAsia="宋体" w:cs="宋体"/>
          <w:color w:val="auto"/>
          <w:sz w:val="24"/>
          <w:szCs w:val="24"/>
          <w:highlight w:val="none"/>
          <w:lang w:val="en-US" w:eastAsia="zh-CN"/>
        </w:rPr>
        <w:t>min</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内开始会场清洁和整理服务，桌椅摆放有序，回收会务用品，</w:t>
      </w:r>
      <w:r>
        <w:rPr>
          <w:rFonts w:hint="eastAsia" w:ascii="宋体" w:hAnsi="宋体" w:eastAsia="宋体" w:cs="宋体"/>
          <w:color w:val="auto"/>
          <w:sz w:val="24"/>
          <w:szCs w:val="24"/>
          <w:highlight w:val="none"/>
          <w:lang w:val="en-US" w:eastAsia="zh-CN"/>
        </w:rPr>
        <w:t>保</w:t>
      </w:r>
      <w:r>
        <w:rPr>
          <w:rFonts w:hint="default" w:ascii="宋体" w:hAnsi="宋体" w:eastAsia="宋体" w:cs="宋体"/>
          <w:color w:val="auto"/>
          <w:sz w:val="24"/>
          <w:szCs w:val="24"/>
          <w:highlight w:val="none"/>
          <w:lang w:val="en-US" w:eastAsia="zh-CN"/>
        </w:rPr>
        <w:t xml:space="preserve">持会场干净、无污迹、无灰尘、无手印、无文件遗漏，关闭门窗及设施设备； </w:t>
      </w:r>
    </w:p>
    <w:p w14:paraId="689FEA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  </w:t>
      </w:r>
      <w:r>
        <w:rPr>
          <w:rFonts w:hint="default" w:ascii="宋体" w:hAnsi="宋体" w:eastAsia="宋体" w:cs="宋体"/>
          <w:color w:val="auto"/>
          <w:sz w:val="24"/>
          <w:szCs w:val="24"/>
          <w:highlight w:val="none"/>
          <w:lang w:val="en-US" w:eastAsia="zh-CN"/>
        </w:rPr>
        <w:t>应做好会议服务记录归档工作</w:t>
      </w:r>
      <w:r>
        <w:rPr>
          <w:rFonts w:hint="eastAsia" w:ascii="宋体" w:hAnsi="宋体" w:eastAsia="宋体" w:cs="宋体"/>
          <w:color w:val="auto"/>
          <w:sz w:val="24"/>
          <w:szCs w:val="24"/>
          <w:highlight w:val="none"/>
          <w:lang w:val="en-US" w:eastAsia="zh-CN"/>
        </w:rPr>
        <w:t>；</w:t>
      </w:r>
    </w:p>
    <w:p w14:paraId="5B6700C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  </w:t>
      </w:r>
      <w:r>
        <w:rPr>
          <w:rFonts w:hint="default" w:ascii="宋体" w:hAnsi="宋体" w:eastAsia="宋体" w:cs="宋体"/>
          <w:color w:val="auto"/>
          <w:sz w:val="24"/>
          <w:szCs w:val="24"/>
          <w:highlight w:val="none"/>
          <w:lang w:val="en-US" w:eastAsia="zh-CN"/>
        </w:rPr>
        <w:t>如发现有遗忘物品，应第一时间交至会议主办</w:t>
      </w:r>
      <w:r>
        <w:rPr>
          <w:rFonts w:hint="eastAsia" w:ascii="宋体" w:hAnsi="宋体" w:eastAsia="宋体" w:cs="宋体"/>
          <w:color w:val="auto"/>
          <w:sz w:val="24"/>
          <w:szCs w:val="24"/>
          <w:highlight w:val="none"/>
          <w:lang w:val="en-US" w:eastAsia="zh-CN"/>
        </w:rPr>
        <w:t>方</w:t>
      </w:r>
      <w:r>
        <w:rPr>
          <w:rFonts w:hint="default" w:ascii="宋体" w:hAnsi="宋体" w:eastAsia="宋体" w:cs="宋体"/>
          <w:color w:val="auto"/>
          <w:sz w:val="24"/>
          <w:szCs w:val="24"/>
          <w:highlight w:val="none"/>
          <w:lang w:val="en-US" w:eastAsia="zh-CN"/>
        </w:rPr>
        <w:t>，做好登记</w:t>
      </w:r>
      <w:r>
        <w:rPr>
          <w:rFonts w:hint="eastAsia" w:ascii="宋体" w:hAnsi="宋体" w:eastAsia="宋体" w:cs="宋体"/>
          <w:color w:val="auto"/>
          <w:sz w:val="24"/>
          <w:szCs w:val="24"/>
          <w:highlight w:val="none"/>
          <w:lang w:val="en-US" w:eastAsia="zh-CN"/>
        </w:rPr>
        <w:t>保存归档</w:t>
      </w:r>
      <w:r>
        <w:rPr>
          <w:rFonts w:hint="default" w:ascii="宋体" w:hAnsi="宋体" w:eastAsia="宋体" w:cs="宋体"/>
          <w:color w:val="auto"/>
          <w:sz w:val="24"/>
          <w:szCs w:val="24"/>
          <w:highlight w:val="none"/>
          <w:lang w:val="en-US" w:eastAsia="zh-CN"/>
        </w:rPr>
        <w:t>。</w:t>
      </w:r>
    </w:p>
    <w:p w14:paraId="47909E46">
      <w:pPr>
        <w:pStyle w:val="20"/>
        <w:rPr>
          <w:rFonts w:hint="default" w:ascii="宋体" w:hAnsi="宋体" w:eastAsia="宋体" w:cs="宋体"/>
          <w:color w:val="auto"/>
          <w:sz w:val="24"/>
          <w:szCs w:val="24"/>
          <w:highlight w:val="none"/>
          <w:lang w:val="en-US" w:eastAsia="zh-CN"/>
        </w:rPr>
      </w:pPr>
    </w:p>
    <w:p w14:paraId="236AA0BD">
      <w:pPr>
        <w:rPr>
          <w:rFonts w:hint="default" w:ascii="宋体" w:hAnsi="宋体" w:eastAsia="宋体" w:cs="宋体"/>
          <w:color w:val="auto"/>
          <w:sz w:val="24"/>
          <w:szCs w:val="24"/>
          <w:highlight w:val="none"/>
          <w:lang w:val="en-US" w:eastAsia="zh-CN"/>
        </w:rPr>
      </w:pPr>
    </w:p>
    <w:p w14:paraId="698545E9">
      <w:pPr>
        <w:pStyle w:val="20"/>
        <w:rPr>
          <w:rFonts w:hint="default" w:ascii="宋体" w:hAnsi="宋体" w:eastAsia="宋体" w:cs="宋体"/>
          <w:color w:val="auto"/>
          <w:sz w:val="24"/>
          <w:szCs w:val="24"/>
          <w:highlight w:val="none"/>
          <w:lang w:val="en-US" w:eastAsia="zh-CN"/>
        </w:rPr>
      </w:pPr>
    </w:p>
    <w:p w14:paraId="10CD57DC">
      <w:pPr>
        <w:rPr>
          <w:rFonts w:hint="default" w:ascii="宋体" w:hAnsi="宋体" w:eastAsia="宋体" w:cs="宋体"/>
          <w:color w:val="auto"/>
          <w:sz w:val="24"/>
          <w:szCs w:val="24"/>
          <w:highlight w:val="none"/>
          <w:lang w:val="en-US" w:eastAsia="zh-CN"/>
        </w:rPr>
      </w:pPr>
    </w:p>
    <w:p w14:paraId="5E965FA4">
      <w:pPr>
        <w:pStyle w:val="20"/>
        <w:rPr>
          <w:rFonts w:hint="default" w:ascii="宋体" w:hAnsi="宋体" w:eastAsia="宋体" w:cs="宋体"/>
          <w:color w:val="auto"/>
          <w:sz w:val="24"/>
          <w:szCs w:val="24"/>
          <w:highlight w:val="none"/>
          <w:lang w:val="en-US" w:eastAsia="zh-CN"/>
        </w:rPr>
      </w:pPr>
    </w:p>
    <w:p w14:paraId="79818DEF">
      <w:pPr>
        <w:rPr>
          <w:rFonts w:hint="default" w:ascii="宋体" w:hAnsi="宋体" w:eastAsia="宋体" w:cs="宋体"/>
          <w:color w:val="auto"/>
          <w:sz w:val="24"/>
          <w:szCs w:val="24"/>
          <w:highlight w:val="none"/>
          <w:lang w:val="en-US" w:eastAsia="zh-CN"/>
        </w:rPr>
      </w:pPr>
    </w:p>
    <w:p w14:paraId="0AB792F7">
      <w:pPr>
        <w:pStyle w:val="20"/>
        <w:rPr>
          <w:rFonts w:hint="default" w:ascii="宋体" w:hAnsi="宋体" w:eastAsia="宋体" w:cs="宋体"/>
          <w:color w:val="auto"/>
          <w:sz w:val="24"/>
          <w:szCs w:val="24"/>
          <w:highlight w:val="none"/>
          <w:lang w:val="en-US" w:eastAsia="zh-CN"/>
        </w:rPr>
      </w:pPr>
    </w:p>
    <w:p w14:paraId="6486A68D">
      <w:pPr>
        <w:pStyle w:val="20"/>
        <w:rPr>
          <w:rFonts w:hint="eastAsia"/>
          <w:highlight w:val="none"/>
          <w:lang w:val="en-US" w:eastAsia="zh-CN"/>
        </w:rPr>
      </w:pPr>
    </w:p>
    <w:p w14:paraId="329766B8">
      <w:pPr>
        <w:pStyle w:val="2"/>
        <w:keepNext w:val="0"/>
        <w:keepLines w:val="0"/>
        <w:pageBreakBefore/>
        <w:spacing w:line="240" w:lineRule="auto"/>
        <w:jc w:val="center"/>
        <w:rPr>
          <w:rFonts w:hint="default" w:ascii="Times New Roman" w:hAnsi="Times New Roman" w:eastAsia="宋体" w:cs="Times New Roman"/>
          <w:sz w:val="30"/>
          <w:highlight w:val="none"/>
          <w:lang w:val="en-US" w:eastAsia="zh-CN"/>
        </w:rPr>
      </w:pPr>
      <w:bookmarkStart w:id="228" w:name="_Toc15473"/>
      <w:bookmarkStart w:id="229" w:name="_Toc27411"/>
      <w:bookmarkStart w:id="230" w:name="_Toc18254"/>
      <w:bookmarkStart w:id="231" w:name="_Toc19896"/>
      <w:bookmarkStart w:id="232" w:name="_Toc12945"/>
      <w:r>
        <w:rPr>
          <w:rFonts w:hint="eastAsia" w:cs="Times New Roman"/>
          <w:sz w:val="30"/>
          <w:highlight w:val="none"/>
          <w:lang w:val="en-US" w:eastAsia="zh-CN"/>
        </w:rPr>
        <w:t>6</w:t>
      </w:r>
      <w:r>
        <w:rPr>
          <w:rFonts w:hint="eastAsia" w:ascii="Times New Roman" w:hAnsi="Times New Roman" w:eastAsia="宋体" w:cs="Times New Roman"/>
          <w:sz w:val="30"/>
          <w:highlight w:val="none"/>
          <w:lang w:val="en-US" w:eastAsia="zh-CN"/>
        </w:rPr>
        <w:t xml:space="preserve"> 保  洁  服  务</w:t>
      </w:r>
      <w:bookmarkEnd w:id="228"/>
      <w:bookmarkEnd w:id="229"/>
      <w:bookmarkEnd w:id="230"/>
      <w:bookmarkEnd w:id="231"/>
      <w:bookmarkEnd w:id="232"/>
    </w:p>
    <w:p w14:paraId="3E49FA2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233" w:name="_Toc2372"/>
      <w:bookmarkStart w:id="234" w:name="_Toc14955"/>
      <w:bookmarkStart w:id="235" w:name="_Toc29484"/>
      <w:bookmarkStart w:id="236" w:name="_Toc15046"/>
      <w:bookmarkStart w:id="237" w:name="_Toc8614"/>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.1  </w:t>
      </w:r>
      <w:r>
        <w:rPr>
          <w:rFonts w:hint="eastAsia" w:ascii="宋体" w:hAnsi="宋体" w:cs="宋体"/>
          <w:b/>
          <w:bCs/>
          <w:color w:val="auto"/>
          <w:sz w:val="24"/>
          <w:szCs w:val="24"/>
          <w:highlight w:val="none"/>
          <w:lang w:val="en-US" w:eastAsia="zh-CN"/>
        </w:rPr>
        <w:t>基本要求</w:t>
      </w:r>
      <w:bookmarkEnd w:id="233"/>
      <w:bookmarkEnd w:id="234"/>
      <w:bookmarkEnd w:id="235"/>
      <w:bookmarkEnd w:id="236"/>
      <w:bookmarkEnd w:id="237"/>
    </w:p>
    <w:p w14:paraId="50424DA5">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bookmarkStart w:id="238" w:name="_Toc24920"/>
      <w:r>
        <w:rPr>
          <w:rFonts w:hint="eastAsia" w:ascii="Times New Roman" w:hAnsi="Times New Roman" w:eastAsia="黑体" w:cs="Times New Roman"/>
          <w:b/>
          <w:bCs/>
          <w:color w:val="auto"/>
          <w:sz w:val="24"/>
          <w:szCs w:val="24"/>
          <w:highlight w:val="none"/>
          <w:lang w:val="en-US" w:eastAsia="zh-CN"/>
        </w:rPr>
        <w:t>6.1.1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应建立环境卫生、垃圾分类、病媒生物防制等管理制度，明确责任范围。清洁卫生、病媒生物防制等工作记录清晰齐备。</w:t>
      </w:r>
      <w:bookmarkEnd w:id="238"/>
    </w:p>
    <w:p w14:paraId="3795EF8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both"/>
        <w:textAlignment w:val="auto"/>
        <w:rPr>
          <w:rFonts w:hint="eastAsia"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w:t>
      </w:r>
      <w:r>
        <w:rPr>
          <w:rFonts w:hint="default" w:ascii="Times New Roman" w:hAnsi="Times New Roman" w:eastAsia="黑体" w:cs="Times New Roman"/>
          <w:b/>
          <w:bCs/>
          <w:color w:val="auto"/>
          <w:sz w:val="24"/>
          <w:szCs w:val="24"/>
          <w:highlight w:val="none"/>
          <w:lang w:val="en-US" w:eastAsia="zh-CN"/>
        </w:rPr>
        <w:t>.1.</w:t>
      </w:r>
      <w:r>
        <w:rPr>
          <w:rFonts w:hint="eastAsia" w:ascii="Times New Roman" w:hAnsi="Times New Roman" w:eastAsia="黑体" w:cs="Times New Roman"/>
          <w:b/>
          <w:bCs/>
          <w:color w:val="auto"/>
          <w:sz w:val="24"/>
          <w:szCs w:val="24"/>
          <w:highlight w:val="none"/>
          <w:lang w:val="en-US" w:eastAsia="zh-CN"/>
        </w:rPr>
        <w:t>2</w:t>
      </w:r>
      <w:r>
        <w:rPr>
          <w:rFonts w:hint="eastAsia" w:ascii="黑体" w:hAnsi="黑体" w:eastAsia="黑体" w:cs="黑体"/>
          <w:color w:val="auto"/>
          <w:sz w:val="24"/>
          <w:szCs w:val="24"/>
          <w:highlight w:val="none"/>
          <w:lang w:val="en-US" w:eastAsia="zh-CN"/>
        </w:rPr>
        <w:t xml:space="preserve">  </w:t>
      </w:r>
      <w:r>
        <w:rPr>
          <w:rFonts w:hint="eastAsia" w:eastAsia="宋体" w:cs="Times New Roman"/>
          <w:color w:val="auto"/>
          <w:sz w:val="24"/>
          <w:szCs w:val="24"/>
          <w:highlight w:val="none"/>
          <w:lang w:val="en-US" w:eastAsia="zh-CN"/>
        </w:rPr>
        <w:t>采用日常保洁和专项保洁相结合的方式提供服务，每年</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eastAsia="宋体" w:cs="Times New Roman"/>
          <w:color w:val="auto"/>
          <w:sz w:val="24"/>
          <w:szCs w:val="24"/>
          <w:highlight w:val="none"/>
          <w:lang w:val="en-US" w:eastAsia="zh-CN"/>
        </w:rPr>
        <w:t>1次对保洁员进行保洁的专业知识和技能培训。</w:t>
      </w:r>
    </w:p>
    <w:p w14:paraId="0A1DB6C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both"/>
        <w:textAlignment w:val="auto"/>
        <w:rPr>
          <w:rFonts w:hint="eastAsia"/>
          <w:highlight w:val="none"/>
          <w:lang w:val="en-US" w:eastAsia="zh-CN"/>
        </w:rPr>
      </w:pPr>
      <w:r>
        <w:rPr>
          <w:rFonts w:hint="eastAsia" w:ascii="Times New Roman" w:hAnsi="Times New Roman" w:eastAsia="黑体" w:cs="Times New Roman"/>
          <w:b/>
          <w:bCs/>
          <w:color w:val="auto"/>
          <w:sz w:val="24"/>
          <w:szCs w:val="24"/>
          <w:highlight w:val="none"/>
          <w:lang w:val="en-US" w:eastAsia="zh-CN"/>
        </w:rPr>
        <w:t>6</w:t>
      </w:r>
      <w:r>
        <w:rPr>
          <w:rFonts w:hint="default" w:ascii="Times New Roman" w:hAnsi="Times New Roman" w:eastAsia="黑体" w:cs="Times New Roman"/>
          <w:b/>
          <w:bCs/>
          <w:color w:val="auto"/>
          <w:sz w:val="24"/>
          <w:szCs w:val="24"/>
          <w:highlight w:val="none"/>
          <w:lang w:val="en-US" w:eastAsia="zh-CN"/>
        </w:rPr>
        <w:t>.1.</w:t>
      </w:r>
      <w:r>
        <w:rPr>
          <w:rFonts w:hint="eastAsia" w:ascii="Times New Roman" w:hAnsi="Times New Roman" w:eastAsia="黑体" w:cs="Times New Roman"/>
          <w:b/>
          <w:bCs/>
          <w:color w:val="auto"/>
          <w:sz w:val="24"/>
          <w:szCs w:val="24"/>
          <w:highlight w:val="none"/>
          <w:lang w:val="en-US" w:eastAsia="zh-CN"/>
        </w:rPr>
        <w:t>3</w:t>
      </w:r>
      <w:r>
        <w:rPr>
          <w:rFonts w:hint="eastAsia" w:ascii="黑体" w:hAnsi="黑体" w:eastAsia="黑体" w:cs="黑体"/>
          <w:color w:val="auto"/>
          <w:sz w:val="24"/>
          <w:szCs w:val="24"/>
          <w:highlight w:val="none"/>
          <w:lang w:val="en-US" w:eastAsia="zh-CN"/>
        </w:rPr>
        <w:t xml:space="preserve">  </w:t>
      </w:r>
      <w:r>
        <w:rPr>
          <w:rFonts w:hint="eastAsia" w:eastAsia="宋体" w:cs="Times New Roman"/>
          <w:color w:val="auto"/>
          <w:sz w:val="24"/>
          <w:szCs w:val="24"/>
          <w:highlight w:val="none"/>
          <w:lang w:val="en-US" w:eastAsia="zh-CN"/>
        </w:rPr>
        <w:t>保洁服务</w:t>
      </w:r>
      <w:r>
        <w:rPr>
          <w:rFonts w:hint="eastAsia" w:cs="Times New Roman"/>
          <w:color w:val="auto"/>
          <w:sz w:val="24"/>
          <w:szCs w:val="24"/>
          <w:highlight w:val="none"/>
          <w:lang w:val="en-US" w:eastAsia="zh-CN"/>
        </w:rPr>
        <w:t>内容及要求按附录表A执行</w:t>
      </w:r>
      <w:r>
        <w:rPr>
          <w:rFonts w:hint="eastAsia" w:eastAsia="宋体" w:cs="Times New Roman"/>
          <w:color w:val="auto"/>
          <w:sz w:val="24"/>
          <w:szCs w:val="24"/>
          <w:highlight w:val="none"/>
          <w:lang w:val="en-US" w:eastAsia="zh-CN"/>
        </w:rPr>
        <w:t>。</w:t>
      </w:r>
    </w:p>
    <w:p w14:paraId="1FABBF67">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39" w:name="_Toc20239"/>
      <w:bookmarkStart w:id="240" w:name="_Toc28698"/>
      <w:bookmarkStart w:id="241" w:name="_Toc23580"/>
      <w:bookmarkStart w:id="242" w:name="_Toc18251"/>
      <w:bookmarkStart w:id="243" w:name="_Toc7895"/>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.2  作业安全</w:t>
      </w:r>
      <w:bookmarkEnd w:id="239"/>
      <w:bookmarkEnd w:id="240"/>
      <w:bookmarkEnd w:id="241"/>
      <w:bookmarkEnd w:id="242"/>
      <w:bookmarkEnd w:id="243"/>
    </w:p>
    <w:p w14:paraId="7165B7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6.2.1</w:t>
      </w:r>
      <w:r>
        <w:rPr>
          <w:rFonts w:hint="eastAsia" w:ascii="宋体" w:hAnsi="宋体" w:eastAsia="宋体" w:cs="宋体"/>
          <w:color w:val="auto"/>
          <w:sz w:val="24"/>
          <w:szCs w:val="24"/>
          <w:highlight w:val="none"/>
          <w:lang w:val="en-US" w:eastAsia="zh-CN"/>
        </w:rPr>
        <w:t xml:space="preserve">  保洁作业时，应采取必要的安全防护措施，防止对作业人员或他人造成伤害。</w:t>
      </w:r>
    </w:p>
    <w:p w14:paraId="5571150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bookmarkStart w:id="244" w:name="_Toc17402"/>
      <w:r>
        <w:rPr>
          <w:rFonts w:hint="eastAsia" w:ascii="Times New Roman" w:hAnsi="Times New Roman" w:eastAsia="黑体" w:cs="Times New Roman"/>
          <w:b/>
          <w:bCs/>
          <w:color w:val="auto"/>
          <w:sz w:val="24"/>
          <w:szCs w:val="24"/>
          <w:highlight w:val="none"/>
          <w:lang w:val="en-US" w:eastAsia="zh-CN"/>
        </w:rPr>
        <w:t>6.2.2</w:t>
      </w:r>
      <w:r>
        <w:rPr>
          <w:rFonts w:hint="eastAsia" w:ascii="宋体" w:hAnsi="宋体" w:eastAsia="宋体" w:cs="宋体"/>
          <w:color w:val="auto"/>
          <w:sz w:val="24"/>
          <w:szCs w:val="24"/>
          <w:highlight w:val="none"/>
          <w:lang w:val="en-US" w:eastAsia="zh-CN"/>
        </w:rPr>
        <w:t xml:space="preserve">  雨天和潮湿天气应在通道、台阶、出入口设置“注意防滑”等安全警示标识，采取除水、铺设防滑垫等相应的安全防护措施。</w:t>
      </w:r>
      <w:bookmarkEnd w:id="244"/>
    </w:p>
    <w:p w14:paraId="500A738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6.2.3</w:t>
      </w:r>
      <w:r>
        <w:rPr>
          <w:rFonts w:hint="eastAsia" w:ascii="宋体" w:hAnsi="宋体" w:eastAsia="宋体" w:cs="宋体"/>
          <w:color w:val="auto"/>
          <w:sz w:val="24"/>
          <w:szCs w:val="24"/>
          <w:highlight w:val="none"/>
          <w:lang w:val="en-US" w:eastAsia="zh-CN"/>
        </w:rPr>
        <w:t xml:space="preserve">  保洁冲洗建筑物公共场所、过道、楼梯和大堂等地面时，宜安排在非上下班高峰期作业，现场应设置“注意防滑”等安全警示标识。</w:t>
      </w:r>
    </w:p>
    <w:p w14:paraId="577303D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6.2.4 </w:t>
      </w:r>
      <w:r>
        <w:rPr>
          <w:rFonts w:hint="eastAsia" w:ascii="宋体" w:hAnsi="宋体" w:eastAsia="宋体" w:cs="宋体"/>
          <w:color w:val="auto"/>
          <w:sz w:val="24"/>
          <w:szCs w:val="24"/>
          <w:highlight w:val="none"/>
          <w:lang w:val="en-US" w:eastAsia="zh-CN"/>
        </w:rPr>
        <w:t xml:space="preserve"> 应正确使用保洁工具用品，严格遵守安全操作规程。</w:t>
      </w:r>
    </w:p>
    <w:p w14:paraId="3FFA146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6.2.5</w:t>
      </w:r>
      <w:r>
        <w:rPr>
          <w:rFonts w:hint="eastAsia" w:ascii="宋体" w:hAnsi="宋体" w:eastAsia="宋体" w:cs="宋体"/>
          <w:color w:val="auto"/>
          <w:sz w:val="24"/>
          <w:szCs w:val="24"/>
          <w:highlight w:val="none"/>
          <w:lang w:val="en-US" w:eastAsia="zh-CN"/>
        </w:rPr>
        <w:t xml:space="preserve">  应使用符合环保要求的清洁剂。物业管理区域禁止有污染物和污染源的物品存放。</w:t>
      </w:r>
    </w:p>
    <w:p w14:paraId="3990FCF9">
      <w:pPr>
        <w:pStyle w:val="20"/>
        <w:spacing w:line="360" w:lineRule="auto"/>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6.2.</w:t>
      </w:r>
      <w:r>
        <w:rPr>
          <w:rFonts w:hint="eastAsia" w:eastAsia="黑体" w:cs="Times New Roman"/>
          <w:b/>
          <w:bCs/>
          <w:color w:val="auto"/>
          <w:sz w:val="24"/>
          <w:szCs w:val="24"/>
          <w:highlight w:val="none"/>
          <w:lang w:val="en-US" w:eastAsia="zh-CN"/>
        </w:rPr>
        <w:t>6</w:t>
      </w:r>
      <w:r>
        <w:rPr>
          <w:rFonts w:hint="eastAsia" w:ascii="宋体" w:hAnsi="宋体" w:cs="宋体"/>
          <w:color w:val="auto"/>
          <w:sz w:val="24"/>
          <w:szCs w:val="24"/>
          <w:highlight w:val="none"/>
          <w:lang w:val="en-US" w:eastAsia="zh-CN"/>
        </w:rPr>
        <w:t xml:space="preserve">  作业时应小心执扫，控制扬尘，不扰民，不溅污行人衣物，避免妨碍行人和车辆正常行驶。</w:t>
      </w:r>
    </w:p>
    <w:p w14:paraId="7984C3C3">
      <w:pPr>
        <w:spacing w:line="360" w:lineRule="auto"/>
        <w:rPr>
          <w:rFonts w:hint="default"/>
          <w:highlight w:val="none"/>
          <w:lang w:val="en-US" w:eastAsia="zh-CN"/>
        </w:rPr>
      </w:pPr>
      <w:r>
        <w:rPr>
          <w:rFonts w:hint="eastAsia" w:ascii="Times New Roman" w:hAnsi="Times New Roman" w:eastAsia="黑体" w:cs="Times New Roman"/>
          <w:b/>
          <w:bCs/>
          <w:color w:val="auto"/>
          <w:sz w:val="24"/>
          <w:szCs w:val="24"/>
          <w:highlight w:val="none"/>
          <w:lang w:val="en-US" w:eastAsia="zh-CN"/>
        </w:rPr>
        <w:t>6.2.7</w:t>
      </w:r>
      <w:r>
        <w:rPr>
          <w:rFonts w:hint="eastAsia" w:ascii="宋体" w:hAnsi="宋体" w:cs="宋体"/>
          <w:color w:val="auto"/>
          <w:sz w:val="24"/>
          <w:szCs w:val="24"/>
          <w:highlight w:val="none"/>
          <w:lang w:val="en-US" w:eastAsia="zh-CN"/>
        </w:rPr>
        <w:t xml:space="preserve">  洁具、容器和运输工具应标识清晰，完成作业后及时回收，并定点整齐摆放，保持洁净。扫帚、拖把、垃圾铲等洁具随用随清洗；运输用大垃圾桶、手推车或机动车应每天清洗 1 次，容器和工具完好率为 90％ （含）以上。</w:t>
      </w:r>
    </w:p>
    <w:p w14:paraId="2274280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45" w:name="_Toc32355"/>
      <w:bookmarkStart w:id="246" w:name="_Toc23658"/>
      <w:bookmarkStart w:id="247" w:name="_Toc7005"/>
      <w:bookmarkStart w:id="248" w:name="_Toc5800"/>
      <w:bookmarkStart w:id="249" w:name="_Toc30662"/>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.3  办公室</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会议室保洁服务</w:t>
      </w:r>
      <w:bookmarkEnd w:id="245"/>
      <w:bookmarkEnd w:id="246"/>
      <w:bookmarkEnd w:id="247"/>
      <w:bookmarkEnd w:id="248"/>
      <w:bookmarkEnd w:id="249"/>
    </w:p>
    <w:p w14:paraId="50CF7F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6.3.1  </w:t>
      </w:r>
      <w:r>
        <w:rPr>
          <w:rFonts w:hint="eastAsia" w:ascii="宋体" w:hAnsi="宋体" w:eastAsia="宋体" w:cs="宋体"/>
          <w:color w:val="auto"/>
          <w:sz w:val="24"/>
          <w:szCs w:val="24"/>
          <w:highlight w:val="none"/>
          <w:lang w:val="en-US" w:eastAsia="zh-CN"/>
        </w:rPr>
        <w:t>保洁服务人员进入办公室、会议室前应先敲门并征得同意。</w:t>
      </w:r>
    </w:p>
    <w:p w14:paraId="239DE8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6.3.2</w:t>
      </w:r>
      <w:r>
        <w:rPr>
          <w:rFonts w:hint="eastAsia" w:ascii="宋体" w:hAnsi="宋体" w:eastAsia="宋体" w:cs="宋体"/>
          <w:color w:val="auto"/>
          <w:sz w:val="24"/>
          <w:szCs w:val="24"/>
          <w:highlight w:val="none"/>
          <w:lang w:val="en-US" w:eastAsia="zh-CN"/>
        </w:rPr>
        <w:t xml:space="preserve">  保洁时，应保持桌面材料及屋内设施原状。不应坐、卧，不应翻阅资料、文件、报刊、书籍等与服务无关事项，不应使用和动用办公室人员任何工作和私人物品，存取物品应经办公室人员同意。发现会议室有遗漏物品应通知办公室人员。</w:t>
      </w:r>
    </w:p>
    <w:p w14:paraId="0293D2E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6.3.3</w:t>
      </w:r>
      <w:r>
        <w:rPr>
          <w:rFonts w:hint="eastAsia" w:ascii="宋体" w:hAnsi="宋体" w:eastAsia="宋体" w:cs="宋体"/>
          <w:color w:val="auto"/>
          <w:sz w:val="24"/>
          <w:szCs w:val="24"/>
          <w:highlight w:val="none"/>
          <w:lang w:val="en-US" w:eastAsia="zh-CN"/>
        </w:rPr>
        <w:t xml:space="preserve">  应妥善保管和使用办公室、会议室钥匙、密码，除日常保洁外，其他时间不应擅自进入办公室，不应将钥匙、密码提供或转交给他人。</w:t>
      </w:r>
    </w:p>
    <w:p w14:paraId="2F2645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6.3.4</w:t>
      </w:r>
      <w:r>
        <w:rPr>
          <w:rFonts w:hint="eastAsia" w:ascii="宋体" w:hAnsi="宋体" w:eastAsia="宋体" w:cs="宋体"/>
          <w:color w:val="auto"/>
          <w:sz w:val="24"/>
          <w:szCs w:val="24"/>
          <w:highlight w:val="none"/>
          <w:lang w:val="en-US" w:eastAsia="zh-CN"/>
        </w:rPr>
        <w:t xml:space="preserve">  保洁过程中，应注意检查办公室、会议室安全情况，发现异味、异常声音、异常情况应及时汇报。发现设备设施破损应及时报修。</w:t>
      </w:r>
    </w:p>
    <w:p w14:paraId="22B560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6.3.5</w:t>
      </w:r>
      <w:r>
        <w:rPr>
          <w:rFonts w:hint="eastAsia" w:ascii="宋体" w:hAnsi="宋体" w:eastAsia="宋体" w:cs="宋体"/>
          <w:color w:val="auto"/>
          <w:sz w:val="24"/>
          <w:szCs w:val="24"/>
          <w:highlight w:val="none"/>
          <w:lang w:val="en-US" w:eastAsia="zh-CN"/>
        </w:rPr>
        <w:t xml:space="preserve">  清理报纸等杂物时，应经甲方同意后清理，应注意检查是否包含其他文件性资料，若包含其他文件性资料，应提醒。重要办公室、会议室应有专人负责，服务人员应相对稳定。</w:t>
      </w:r>
    </w:p>
    <w:p w14:paraId="4D77C2C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6.3.6</w:t>
      </w:r>
      <w:r>
        <w:rPr>
          <w:rFonts w:hint="eastAsia" w:ascii="宋体" w:hAnsi="宋体" w:eastAsia="宋体" w:cs="宋体"/>
          <w:color w:val="auto"/>
          <w:sz w:val="24"/>
          <w:szCs w:val="24"/>
          <w:highlight w:val="none"/>
          <w:lang w:val="en-US" w:eastAsia="zh-CN"/>
        </w:rPr>
        <w:t xml:space="preserve">  不应私自处理杂物，应待办公室人员检查后清运。</w:t>
      </w:r>
    </w:p>
    <w:p w14:paraId="6700618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50" w:name="_Toc2832"/>
      <w:bookmarkStart w:id="251" w:name="_Toc20720"/>
      <w:bookmarkStart w:id="252" w:name="_Toc31898"/>
      <w:bookmarkStart w:id="253" w:name="_Toc22590"/>
      <w:bookmarkStart w:id="254" w:name="_Toc25393"/>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.4  室内保洁要求</w:t>
      </w:r>
      <w:bookmarkEnd w:id="250"/>
      <w:bookmarkEnd w:id="251"/>
      <w:bookmarkEnd w:id="252"/>
      <w:bookmarkEnd w:id="253"/>
      <w:bookmarkEnd w:id="254"/>
    </w:p>
    <w:p w14:paraId="14B81D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6.4.1  </w:t>
      </w:r>
      <w:r>
        <w:rPr>
          <w:rFonts w:hint="eastAsia" w:ascii="宋体" w:hAnsi="宋体" w:eastAsia="宋体" w:cs="宋体"/>
          <w:color w:val="auto"/>
          <w:sz w:val="24"/>
          <w:szCs w:val="24"/>
          <w:highlight w:val="none"/>
          <w:lang w:val="en-US" w:eastAsia="zh-CN"/>
        </w:rPr>
        <w:t>办公室、会议室干净、整洁，地面清洁，无垃圾、乱堆放和积尘；墙身无张贴、乱吊挂的情况，墙面目视无污渍、无积灰，无明显印记斑点；四周顶角无蜘蛛网、无污迹、无霉斑；无擅自占用和堆放杂物现象。绿植租摆无灰尘，蜘蛛网。</w:t>
      </w:r>
    </w:p>
    <w:p w14:paraId="06256B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6.4.2  </w:t>
      </w:r>
      <w:r>
        <w:rPr>
          <w:rFonts w:hint="eastAsia" w:ascii="宋体" w:hAnsi="宋体" w:eastAsia="宋体" w:cs="宋体"/>
          <w:color w:val="auto"/>
          <w:sz w:val="24"/>
          <w:szCs w:val="24"/>
          <w:highlight w:val="none"/>
          <w:lang w:val="en-US" w:eastAsia="zh-CN"/>
        </w:rPr>
        <w:t>信报箱、大堂玻璃、公共玻璃窗、共用设施（楼梯扶手、栏杆、窗台、防火门、消火栓箱、指示牌、灯具等）表面无积灰、无蜘蛛网。 每年</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次清洗窗帘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14:paraId="71458C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6.4.3  </w:t>
      </w:r>
      <w:r>
        <w:rPr>
          <w:rFonts w:hint="eastAsia" w:ascii="宋体" w:hAnsi="宋体" w:eastAsia="宋体" w:cs="宋体"/>
          <w:color w:val="auto"/>
          <w:sz w:val="24"/>
          <w:szCs w:val="24"/>
          <w:highlight w:val="none"/>
          <w:lang w:val="en-US" w:eastAsia="zh-CN"/>
        </w:rPr>
        <w:t>电梯轿厢门、面板和地面四壁光洁明亮、表面无积灰、无蜘蛛网，操作面板无污迹，轿厢顶罩无油污，轿厢沟槽无垃圾，灯罩内无积灰和飞虫，地面无垃圾。</w:t>
      </w:r>
    </w:p>
    <w:p w14:paraId="39B519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6.4.4  </w:t>
      </w:r>
      <w:r>
        <w:rPr>
          <w:rFonts w:hint="eastAsia" w:ascii="宋体" w:hAnsi="宋体" w:eastAsia="宋体" w:cs="宋体"/>
          <w:color w:val="auto"/>
          <w:sz w:val="24"/>
          <w:szCs w:val="24"/>
          <w:highlight w:val="none"/>
          <w:lang w:val="en-US" w:eastAsia="zh-CN"/>
        </w:rPr>
        <w:t>公共卫生间无异味、无茶渣、烟头、纸巾、果皮等垃圾</w:t>
      </w:r>
      <w:r>
        <w:rPr>
          <w:rFonts w:hint="eastAsia" w:ascii="宋体" w:hAnsi="宋体" w:cs="宋体"/>
          <w:color w:val="auto"/>
          <w:sz w:val="24"/>
          <w:szCs w:val="24"/>
          <w:highlight w:val="none"/>
          <w:lang w:val="en-US" w:eastAsia="zh-CN"/>
        </w:rPr>
        <w:t>堆积</w:t>
      </w:r>
      <w:r>
        <w:rPr>
          <w:rFonts w:hint="eastAsia" w:ascii="宋体" w:hAnsi="宋体" w:eastAsia="宋体" w:cs="宋体"/>
          <w:color w:val="auto"/>
          <w:sz w:val="24"/>
          <w:szCs w:val="24"/>
          <w:highlight w:val="none"/>
          <w:lang w:val="en-US" w:eastAsia="zh-CN"/>
        </w:rPr>
        <w:t>，地面无积水，镜面无污渍、洗手台无明显水渍，便池无明显污迹及异味。</w:t>
      </w:r>
      <w:r>
        <w:rPr>
          <w:rFonts w:hint="eastAsia" w:ascii="宋体" w:hAnsi="宋体" w:cs="宋体"/>
          <w:color w:val="auto"/>
          <w:sz w:val="24"/>
          <w:szCs w:val="24"/>
          <w:highlight w:val="none"/>
          <w:lang w:val="en-US" w:eastAsia="zh-CN"/>
        </w:rPr>
        <w:t>及时补充卫生间内</w:t>
      </w:r>
      <w:r>
        <w:rPr>
          <w:rFonts w:hint="eastAsia" w:ascii="宋体" w:hAnsi="宋体" w:cs="宋体"/>
          <w:color w:val="auto"/>
          <w:sz w:val="24"/>
          <w:szCs w:val="24"/>
          <w:highlight w:val="none"/>
        </w:rPr>
        <w:t>卫生纸</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洗手液</w:t>
      </w:r>
      <w:r>
        <w:rPr>
          <w:rFonts w:hint="eastAsia" w:ascii="宋体" w:hAnsi="宋体" w:cs="宋体"/>
          <w:color w:val="auto"/>
          <w:sz w:val="24"/>
          <w:szCs w:val="24"/>
          <w:highlight w:val="none"/>
          <w:lang w:val="en-US" w:eastAsia="zh-CN"/>
        </w:rPr>
        <w:t>等易</w:t>
      </w:r>
      <w:r>
        <w:rPr>
          <w:rFonts w:hint="eastAsia" w:ascii="宋体" w:hAnsi="宋体" w:cs="宋体"/>
          <w:color w:val="auto"/>
          <w:sz w:val="24"/>
          <w:szCs w:val="24"/>
          <w:highlight w:val="none"/>
        </w:rPr>
        <w:t>耗品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p>
    <w:p w14:paraId="5A546195">
      <w:pPr>
        <w:pStyle w:val="20"/>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6.4.5</w:t>
      </w:r>
      <w:r>
        <w:rPr>
          <w:rFonts w:hint="eastAsia" w:ascii="宋体" w:hAnsi="宋体" w:cs="宋体"/>
          <w:color w:val="auto"/>
          <w:sz w:val="24"/>
          <w:szCs w:val="24"/>
          <w:highlight w:val="none"/>
          <w:lang w:val="en-US" w:eastAsia="zh-CN"/>
        </w:rPr>
        <w:t xml:space="preserve">  门厅保持地面干净、保持材料本色，无明显灰尘、污渍和杂物，无积水。</w:t>
      </w:r>
    </w:p>
    <w:p w14:paraId="3ED64171">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55" w:name="_Toc13319"/>
      <w:bookmarkStart w:id="256" w:name="_Toc1278"/>
      <w:bookmarkStart w:id="257" w:name="_Toc7158"/>
      <w:bookmarkStart w:id="258" w:name="_Toc21395"/>
      <w:bookmarkStart w:id="259" w:name="_Toc16587"/>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.5  室外保洁要求</w:t>
      </w:r>
      <w:bookmarkEnd w:id="255"/>
      <w:bookmarkEnd w:id="256"/>
      <w:bookmarkEnd w:id="257"/>
      <w:bookmarkEnd w:id="258"/>
      <w:bookmarkEnd w:id="259"/>
    </w:p>
    <w:p w14:paraId="13B06C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6.5.1</w:t>
      </w:r>
      <w:r>
        <w:rPr>
          <w:rFonts w:hint="eastAsia" w:ascii="宋体" w:hAnsi="宋体" w:eastAsia="宋体" w:cs="宋体"/>
          <w:color w:val="auto"/>
          <w:sz w:val="24"/>
          <w:szCs w:val="24"/>
          <w:highlight w:val="none"/>
          <w:lang w:val="en-US" w:eastAsia="zh-CN"/>
        </w:rPr>
        <w:t xml:space="preserve">  主出入口或指定区域有消防疏散平面图，路标、建筑物组、栋、单元（门）、户门标识清晰，表面干净、整洁、无破损，无蜘蛛网、无积尘、无杂物。</w:t>
      </w:r>
    </w:p>
    <w:p w14:paraId="69A413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6.5.2</w:t>
      </w:r>
      <w:r>
        <w:rPr>
          <w:rFonts w:hint="eastAsia" w:ascii="黑体" w:hAnsi="黑体" w:eastAsia="黑体" w:cs="黑体"/>
          <w:highlight w:val="none"/>
          <w:lang w:val="en-US" w:eastAsia="zh-CN"/>
        </w:rPr>
        <w:t xml:space="preserve">  </w:t>
      </w:r>
      <w:r>
        <w:rPr>
          <w:rFonts w:hint="eastAsia" w:ascii="宋体" w:hAnsi="宋体" w:eastAsia="宋体" w:cs="宋体"/>
          <w:color w:val="auto"/>
          <w:sz w:val="24"/>
          <w:szCs w:val="24"/>
          <w:highlight w:val="none"/>
          <w:lang w:val="en-US" w:eastAsia="zh-CN"/>
        </w:rPr>
        <w:t>道路的雨水井（排水井）口应安装防蚊虫网并保持完好，明沟内无垃圾、无杂物、无积水。室外沟渠、窨井无明显积水、异物，沟渠（井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盖无破损。</w:t>
      </w:r>
    </w:p>
    <w:p w14:paraId="54A1EB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6.5.3 </w:t>
      </w:r>
      <w:r>
        <w:rPr>
          <w:rFonts w:hint="eastAsia" w:ascii="宋体" w:hAnsi="宋体" w:eastAsia="宋体" w:cs="宋体"/>
          <w:color w:val="auto"/>
          <w:sz w:val="24"/>
          <w:szCs w:val="24"/>
          <w:highlight w:val="none"/>
          <w:lang w:val="en-US" w:eastAsia="zh-CN"/>
        </w:rPr>
        <w:t xml:space="preserve"> 道路通畅、平整、干净，路面无油迹、无垃圾、无杂物等。每月</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次用水冲洗</w:t>
      </w:r>
      <w:r>
        <w:rPr>
          <w:rFonts w:hint="eastAsia" w:ascii="宋体" w:hAnsi="宋体" w:cs="宋体"/>
          <w:color w:val="auto"/>
          <w:sz w:val="24"/>
          <w:szCs w:val="24"/>
          <w:highlight w:val="none"/>
          <w:lang w:val="en-US" w:eastAsia="zh-CN"/>
        </w:rPr>
        <w:t>道路</w:t>
      </w:r>
      <w:r>
        <w:rPr>
          <w:rFonts w:hint="eastAsia" w:ascii="宋体" w:hAnsi="宋体" w:eastAsia="宋体" w:cs="宋体"/>
          <w:color w:val="auto"/>
          <w:sz w:val="24"/>
          <w:szCs w:val="24"/>
          <w:highlight w:val="none"/>
          <w:lang w:val="en-US" w:eastAsia="zh-CN"/>
        </w:rPr>
        <w:t>。</w:t>
      </w:r>
    </w:p>
    <w:p w14:paraId="74F45F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6.5.4</w:t>
      </w:r>
      <w:r>
        <w:rPr>
          <w:rFonts w:hint="eastAsia" w:ascii="宋体" w:hAnsi="宋体" w:eastAsia="宋体" w:cs="宋体"/>
          <w:color w:val="auto"/>
          <w:sz w:val="24"/>
          <w:szCs w:val="24"/>
          <w:highlight w:val="none"/>
          <w:lang w:val="en-US" w:eastAsia="zh-CN"/>
        </w:rPr>
        <w:t xml:space="preserve">  园林水景无落叶、水面垃圾、杂物，保持水质洁净。</w:t>
      </w:r>
    </w:p>
    <w:p w14:paraId="540180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6.5.5</w:t>
      </w:r>
      <w:r>
        <w:rPr>
          <w:rFonts w:hint="eastAsia" w:ascii="宋体" w:hAnsi="宋体" w:eastAsia="宋体" w:cs="宋体"/>
          <w:color w:val="auto"/>
          <w:sz w:val="24"/>
          <w:szCs w:val="24"/>
          <w:highlight w:val="none"/>
          <w:lang w:val="en-US" w:eastAsia="zh-CN"/>
        </w:rPr>
        <w:t xml:space="preserve">  园林小品目视无严重破损、无污迹、无青苔。</w:t>
      </w:r>
    </w:p>
    <w:p w14:paraId="10B79F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6.5.6</w:t>
      </w:r>
      <w:r>
        <w:rPr>
          <w:rFonts w:hint="eastAsia" w:ascii="宋体" w:hAnsi="宋体" w:eastAsia="宋体" w:cs="宋体"/>
          <w:color w:val="auto"/>
          <w:sz w:val="24"/>
          <w:szCs w:val="24"/>
          <w:highlight w:val="none"/>
          <w:lang w:val="en-US" w:eastAsia="zh-CN"/>
        </w:rPr>
        <w:t xml:space="preserve">  清扫停车场、车库地面，标识牌、道闸、闸机、凸面镜等干净无积尘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地下空间沟渠无垃圾，消防管道、风管及照明灯具等高位设施目视无积尘、无蜘蛛网。</w:t>
      </w:r>
    </w:p>
    <w:p w14:paraId="43887A7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6.5.7 </w:t>
      </w:r>
      <w:r>
        <w:rPr>
          <w:rFonts w:hint="eastAsia" w:ascii="宋体" w:hAnsi="宋体" w:eastAsia="宋体" w:cs="宋体"/>
          <w:color w:val="auto"/>
          <w:sz w:val="24"/>
          <w:szCs w:val="24"/>
          <w:highlight w:val="none"/>
          <w:lang w:val="en-US" w:eastAsia="zh-CN"/>
        </w:rPr>
        <w:t xml:space="preserve"> 天面、屋面、平台整洁，无积存污水和垃圾。</w:t>
      </w:r>
    </w:p>
    <w:p w14:paraId="4BA7FB9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highlight w:val="none"/>
          <w:lang w:val="en-US" w:eastAsia="zh-CN"/>
        </w:rPr>
      </w:pPr>
      <w:bookmarkStart w:id="260" w:name="_Toc15415"/>
      <w:bookmarkStart w:id="261" w:name="_Toc7721"/>
      <w:bookmarkStart w:id="262" w:name="_Toc5606"/>
      <w:bookmarkStart w:id="263" w:name="_Toc18727"/>
      <w:bookmarkStart w:id="264" w:name="_Toc30977"/>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.6  专项保洁要求</w:t>
      </w:r>
      <w:bookmarkEnd w:id="260"/>
      <w:bookmarkEnd w:id="261"/>
      <w:bookmarkEnd w:id="262"/>
      <w:bookmarkEnd w:id="263"/>
      <w:bookmarkEnd w:id="264"/>
    </w:p>
    <w:p w14:paraId="5FBF53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6.6.1</w:t>
      </w:r>
      <w:r>
        <w:rPr>
          <w:rFonts w:hint="eastAsia" w:ascii="黑体" w:hAnsi="黑体" w:eastAsia="黑体" w:cs="黑体"/>
          <w:highlight w:val="none"/>
          <w:lang w:val="en-US" w:eastAsia="zh-CN"/>
        </w:rPr>
        <w:t xml:space="preserve">  </w:t>
      </w:r>
      <w:r>
        <w:rPr>
          <w:rFonts w:hint="eastAsia" w:ascii="宋体" w:hAnsi="宋体" w:cs="宋体"/>
          <w:color w:val="auto"/>
          <w:sz w:val="24"/>
          <w:szCs w:val="24"/>
          <w:highlight w:val="none"/>
          <w:lang w:val="en-US" w:eastAsia="zh-CN"/>
        </w:rPr>
        <w:t>物业服务</w:t>
      </w:r>
      <w:r>
        <w:rPr>
          <w:rFonts w:hint="default" w:ascii="宋体" w:hAnsi="宋体" w:eastAsia="宋体" w:cs="宋体"/>
          <w:color w:val="auto"/>
          <w:sz w:val="24"/>
          <w:szCs w:val="24"/>
          <w:highlight w:val="none"/>
          <w:lang w:val="en-US" w:eastAsia="zh-CN"/>
        </w:rPr>
        <w:t>区域内垃圾实行袋装化，垃圾日产日清，在</w:t>
      </w:r>
      <w:r>
        <w:rPr>
          <w:rFonts w:hint="eastAsia" w:ascii="宋体" w:hAnsi="宋体" w:cs="宋体"/>
          <w:color w:val="auto"/>
          <w:sz w:val="24"/>
          <w:szCs w:val="24"/>
          <w:highlight w:val="none"/>
          <w:lang w:val="en-US" w:eastAsia="zh-CN"/>
        </w:rPr>
        <w:t>物业使用单位</w:t>
      </w:r>
      <w:r>
        <w:rPr>
          <w:rFonts w:hint="default" w:ascii="宋体" w:hAnsi="宋体" w:eastAsia="宋体" w:cs="宋体"/>
          <w:color w:val="auto"/>
          <w:sz w:val="24"/>
          <w:szCs w:val="24"/>
          <w:highlight w:val="none"/>
          <w:lang w:val="en-US" w:eastAsia="zh-CN"/>
        </w:rPr>
        <w:t>指定的各公共部位</w:t>
      </w:r>
      <w:r>
        <w:rPr>
          <w:rFonts w:hint="eastAsia" w:ascii="宋体" w:hAnsi="宋体" w:cs="宋体"/>
          <w:color w:val="auto"/>
          <w:sz w:val="24"/>
          <w:szCs w:val="24"/>
          <w:highlight w:val="none"/>
          <w:lang w:val="en-US" w:eastAsia="zh-CN"/>
        </w:rPr>
        <w:t>设置</w:t>
      </w:r>
      <w:r>
        <w:rPr>
          <w:rFonts w:hint="default" w:ascii="宋体" w:hAnsi="宋体" w:eastAsia="宋体" w:cs="宋体"/>
          <w:color w:val="auto"/>
          <w:sz w:val="24"/>
          <w:szCs w:val="24"/>
          <w:highlight w:val="none"/>
          <w:lang w:val="en-US" w:eastAsia="zh-CN"/>
        </w:rPr>
        <w:t>公共垃圾箱，在</w:t>
      </w:r>
      <w:r>
        <w:rPr>
          <w:rFonts w:hint="eastAsia" w:ascii="宋体" w:hAnsi="宋体" w:cs="宋体"/>
          <w:color w:val="auto"/>
          <w:sz w:val="24"/>
          <w:szCs w:val="24"/>
          <w:highlight w:val="none"/>
          <w:lang w:val="en-US" w:eastAsia="zh-CN"/>
        </w:rPr>
        <w:t>室外</w:t>
      </w:r>
      <w:r>
        <w:rPr>
          <w:rFonts w:hint="default" w:ascii="宋体" w:hAnsi="宋体" w:eastAsia="宋体" w:cs="宋体"/>
          <w:color w:val="auto"/>
          <w:sz w:val="24"/>
          <w:szCs w:val="24"/>
          <w:highlight w:val="none"/>
          <w:lang w:val="en-US" w:eastAsia="zh-CN"/>
        </w:rPr>
        <w:t>公共部位设</w:t>
      </w:r>
      <w:r>
        <w:rPr>
          <w:rFonts w:hint="eastAsia" w:ascii="宋体" w:hAnsi="宋体" w:cs="宋体"/>
          <w:color w:val="auto"/>
          <w:sz w:val="24"/>
          <w:szCs w:val="24"/>
          <w:highlight w:val="none"/>
          <w:lang w:val="en-US" w:eastAsia="zh-CN"/>
        </w:rPr>
        <w:t>置</w:t>
      </w:r>
      <w:r>
        <w:rPr>
          <w:rFonts w:hint="default" w:ascii="宋体" w:hAnsi="宋体" w:eastAsia="宋体" w:cs="宋体"/>
          <w:color w:val="auto"/>
          <w:sz w:val="24"/>
          <w:szCs w:val="24"/>
          <w:highlight w:val="none"/>
          <w:lang w:val="en-US" w:eastAsia="zh-CN"/>
        </w:rPr>
        <w:t>杂物箱</w:t>
      </w:r>
      <w:r>
        <w:rPr>
          <w:rFonts w:hint="eastAsia" w:ascii="宋体" w:hAnsi="宋体" w:cs="宋体"/>
          <w:color w:val="auto"/>
          <w:sz w:val="24"/>
          <w:szCs w:val="24"/>
          <w:highlight w:val="none"/>
          <w:lang w:val="en-US" w:eastAsia="zh-CN"/>
        </w:rPr>
        <w:t>等</w:t>
      </w:r>
      <w:r>
        <w:rPr>
          <w:rFonts w:hint="default" w:ascii="宋体" w:hAnsi="宋体" w:eastAsia="宋体" w:cs="宋体"/>
          <w:color w:val="auto"/>
          <w:sz w:val="24"/>
          <w:szCs w:val="24"/>
          <w:highlight w:val="none"/>
          <w:lang w:val="en-US" w:eastAsia="zh-CN"/>
        </w:rPr>
        <w:t>垃圾收集点（垃圾箱、果皮箱、垃圾中转站等）的，设备能正常使用，无明显异味，垃圾收容器无满溢；由专人</w:t>
      </w:r>
      <w:r>
        <w:rPr>
          <w:rFonts w:hint="eastAsia" w:ascii="宋体" w:hAnsi="宋体" w:cs="宋体"/>
          <w:color w:val="auto"/>
          <w:sz w:val="24"/>
          <w:szCs w:val="24"/>
          <w:highlight w:val="none"/>
          <w:lang w:val="en-US" w:eastAsia="zh-CN"/>
        </w:rPr>
        <w:t>负责垃圾</w:t>
      </w:r>
      <w:r>
        <w:rPr>
          <w:rFonts w:hint="default" w:ascii="宋体" w:hAnsi="宋体" w:eastAsia="宋体" w:cs="宋体"/>
          <w:color w:val="auto"/>
          <w:sz w:val="24"/>
          <w:szCs w:val="24"/>
          <w:highlight w:val="none"/>
          <w:lang w:val="en-US" w:eastAsia="zh-CN"/>
        </w:rPr>
        <w:t>分类、清运、处理（包括联系环卫部门运出处理）。</w:t>
      </w:r>
    </w:p>
    <w:p w14:paraId="0C3717A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6.6.2</w:t>
      </w:r>
      <w:r>
        <w:rPr>
          <w:rFonts w:hint="eastAsia" w:ascii="宋体" w:hAnsi="宋体" w:eastAsia="宋体" w:cs="宋体"/>
          <w:color w:val="auto"/>
          <w:sz w:val="24"/>
          <w:szCs w:val="24"/>
          <w:highlight w:val="none"/>
          <w:lang w:val="en-US" w:eastAsia="zh-CN"/>
        </w:rPr>
        <w:t xml:space="preserve">  垃圾收集与处理应符合以下要求：</w:t>
      </w:r>
    </w:p>
    <w:p w14:paraId="23231A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垃圾投放、处理的容器和场所应设显著标志</w:t>
      </w:r>
      <w:r>
        <w:rPr>
          <w:rFonts w:hint="eastAsia" w:ascii="宋体" w:hAnsi="宋体" w:cs="宋体"/>
          <w:color w:val="auto"/>
          <w:sz w:val="24"/>
          <w:szCs w:val="24"/>
          <w:highlight w:val="none"/>
          <w:lang w:val="en-US" w:eastAsia="zh-CN"/>
        </w:rPr>
        <w:t>并符合</w:t>
      </w:r>
      <w:r>
        <w:rPr>
          <w:spacing w:val="-8"/>
          <w:highlight w:val="none"/>
        </w:rPr>
        <w:t xml:space="preserve"> </w:t>
      </w:r>
      <w:r>
        <w:rPr>
          <w:rFonts w:hint="eastAsia" w:ascii="宋体" w:hAnsi="宋体" w:cs="宋体"/>
          <w:color w:val="auto"/>
          <w:spacing w:val="0"/>
          <w:sz w:val="24"/>
          <w:szCs w:val="24"/>
          <w:highlight w:val="none"/>
        </w:rPr>
        <w:t>GB/T 19095 规范</w:t>
      </w:r>
      <w:r>
        <w:rPr>
          <w:rFonts w:hint="eastAsia" w:ascii="宋体" w:hAnsi="宋体" w:cs="宋体"/>
          <w:color w:val="auto"/>
          <w:spacing w:val="0"/>
          <w:sz w:val="24"/>
          <w:szCs w:val="24"/>
          <w:highlight w:val="none"/>
          <w:lang w:val="en-US" w:eastAsia="zh-CN"/>
        </w:rPr>
        <w:t>要求</w:t>
      </w:r>
      <w:r>
        <w:rPr>
          <w:rFonts w:hint="eastAsia" w:ascii="宋体" w:hAnsi="宋体" w:eastAsia="宋体" w:cs="宋体"/>
          <w:color w:val="auto"/>
          <w:sz w:val="24"/>
          <w:szCs w:val="24"/>
          <w:highlight w:val="none"/>
          <w:lang w:val="en-US" w:eastAsia="zh-CN"/>
        </w:rPr>
        <w:t>；</w:t>
      </w:r>
    </w:p>
    <w:p w14:paraId="5FEA54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建筑垃圾及生活垃圾应分类堆放到指定垃圾缓存区，定时集中运至垃圾转运站；</w:t>
      </w:r>
    </w:p>
    <w:p w14:paraId="07161E72">
      <w:pPr>
        <w:pStyle w:val="20"/>
        <w:rPr>
          <w:rFonts w:hint="default"/>
          <w:highlight w:val="none"/>
          <w:lang w:val="en-US" w:eastAsia="zh-CN"/>
        </w:rPr>
      </w:pPr>
      <w:r>
        <w:rPr>
          <w:rFonts w:hint="eastAsia" w:ascii="宋体" w:hAnsi="宋体" w:cs="宋体"/>
          <w:color w:val="auto"/>
          <w:sz w:val="24"/>
          <w:szCs w:val="24"/>
          <w:highlight w:val="none"/>
          <w:lang w:val="en-US" w:eastAsia="zh-CN"/>
        </w:rPr>
        <w:t xml:space="preserve">    3  配合物业使用单位</w:t>
      </w:r>
      <w:r>
        <w:rPr>
          <w:rFonts w:hint="eastAsia" w:ascii="宋体" w:hAnsi="宋体" w:eastAsia="宋体" w:cs="宋体"/>
          <w:color w:val="auto"/>
          <w:sz w:val="24"/>
          <w:szCs w:val="24"/>
          <w:highlight w:val="none"/>
          <w:lang w:val="en-US" w:eastAsia="zh-CN"/>
        </w:rPr>
        <w:t>督促</w:t>
      </w:r>
      <w:r>
        <w:rPr>
          <w:rFonts w:hint="eastAsia" w:ascii="宋体" w:hAnsi="宋体" w:cs="宋体"/>
          <w:color w:val="auto"/>
          <w:sz w:val="24"/>
          <w:szCs w:val="24"/>
          <w:highlight w:val="none"/>
          <w:lang w:val="en-US" w:eastAsia="zh-CN"/>
        </w:rPr>
        <w:t>装饰装修施工单位对</w:t>
      </w:r>
      <w:r>
        <w:rPr>
          <w:rFonts w:hint="eastAsia" w:ascii="宋体" w:hAnsi="宋体" w:eastAsia="宋体" w:cs="宋体"/>
          <w:color w:val="auto"/>
          <w:sz w:val="24"/>
          <w:szCs w:val="24"/>
          <w:highlight w:val="none"/>
          <w:lang w:val="en-US" w:eastAsia="zh-CN"/>
        </w:rPr>
        <w:t>装修垃圾清运处理</w:t>
      </w:r>
      <w:r>
        <w:rPr>
          <w:rFonts w:hint="eastAsia" w:ascii="宋体" w:hAnsi="宋体" w:cs="宋体"/>
          <w:color w:val="auto"/>
          <w:sz w:val="24"/>
          <w:szCs w:val="24"/>
          <w:highlight w:val="none"/>
          <w:lang w:val="en-US" w:eastAsia="zh-CN"/>
        </w:rPr>
        <w:t>；</w:t>
      </w:r>
    </w:p>
    <w:p w14:paraId="4E006C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公共区域内垃圾应及时清理，保持清洁无异味，四周无散积垃圾，在垃圾清运过程中做好防护措施，避免造成二次环境污染；垃圾清运处理应符合广东省及省内各地有关法律、法规规定</w:t>
      </w:r>
      <w:r>
        <w:rPr>
          <w:rFonts w:hint="eastAsia" w:ascii="宋体" w:hAnsi="宋体" w:cs="宋体"/>
          <w:color w:val="auto"/>
          <w:sz w:val="24"/>
          <w:szCs w:val="24"/>
          <w:highlight w:val="none"/>
          <w:lang w:val="en-US" w:eastAsia="zh-CN"/>
        </w:rPr>
        <w:t>；</w:t>
      </w:r>
    </w:p>
    <w:p w14:paraId="5CFF20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做好生活垃圾分类宣贯工作，按照“有害垃圾、餐厨垃圾、可回收垃圾、其他垃圾”进行分类存放，</w:t>
      </w:r>
      <w:r>
        <w:rPr>
          <w:rFonts w:hint="eastAsia" w:ascii="宋体" w:hAnsi="宋体" w:cs="宋体"/>
          <w:color w:val="auto"/>
          <w:sz w:val="24"/>
          <w:szCs w:val="24"/>
          <w:highlight w:val="none"/>
          <w:lang w:val="en-US" w:eastAsia="zh-CN"/>
        </w:rPr>
        <w:t>做好</w:t>
      </w:r>
      <w:r>
        <w:rPr>
          <w:rFonts w:hint="eastAsia" w:ascii="宋体" w:hAnsi="宋体" w:eastAsia="宋体" w:cs="宋体"/>
          <w:color w:val="auto"/>
          <w:sz w:val="24"/>
          <w:szCs w:val="24"/>
          <w:highlight w:val="none"/>
          <w:lang w:val="en-US" w:eastAsia="zh-CN"/>
        </w:rPr>
        <w:t>废纸及可再生废物的回收</w:t>
      </w:r>
      <w:r>
        <w:rPr>
          <w:rFonts w:hint="eastAsia" w:ascii="宋体" w:hAnsi="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按相关部门规定处理。</w:t>
      </w:r>
    </w:p>
    <w:p w14:paraId="3AD704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6.6.3</w:t>
      </w:r>
      <w:r>
        <w:rPr>
          <w:rFonts w:hint="eastAsia" w:ascii="宋体" w:hAnsi="宋体" w:eastAsia="宋体" w:cs="宋体"/>
          <w:color w:val="auto"/>
          <w:sz w:val="24"/>
          <w:szCs w:val="24"/>
          <w:highlight w:val="none"/>
          <w:lang w:val="en-US" w:eastAsia="zh-CN"/>
        </w:rPr>
        <w:t xml:space="preserve">  排污管道无堵塞、无异味；沙井每季度</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清理 1 次，无杂草、无垃圾、无明显泥沙沉淀。</w:t>
      </w:r>
    </w:p>
    <w:p w14:paraId="06CFE6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 xml:space="preserve">6.6.4 </w:t>
      </w:r>
      <w:r>
        <w:rPr>
          <w:rFonts w:hint="eastAsia" w:ascii="宋体" w:hAnsi="宋体" w:eastAsia="宋体" w:cs="宋体"/>
          <w:color w:val="auto"/>
          <w:sz w:val="24"/>
          <w:szCs w:val="24"/>
          <w:highlight w:val="none"/>
          <w:lang w:val="en-US" w:eastAsia="zh-CN"/>
        </w:rPr>
        <w:t xml:space="preserve"> 化粪池、隔油池功能正常，无渗漏，井盖完好；化粪池、隔油池定期检查及清理记录完备。</w:t>
      </w:r>
    </w:p>
    <w:p w14:paraId="2AA36E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6.6.5</w:t>
      </w:r>
      <w:r>
        <w:rPr>
          <w:rFonts w:hint="eastAsia" w:ascii="宋体" w:hAnsi="宋体" w:eastAsia="宋体" w:cs="宋体"/>
          <w:color w:val="auto"/>
          <w:sz w:val="24"/>
          <w:szCs w:val="24"/>
          <w:highlight w:val="none"/>
          <w:lang w:val="en-US" w:eastAsia="zh-CN"/>
        </w:rPr>
        <w:t xml:space="preserve">  大堂、电梯轿厢地面等石材应定期进行石材养护，目视材质表面光洁。</w:t>
      </w:r>
    </w:p>
    <w:p w14:paraId="7BCCCC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6.6.6</w:t>
      </w:r>
      <w:r>
        <w:rPr>
          <w:rFonts w:hint="eastAsia" w:ascii="宋体" w:hAnsi="宋体" w:eastAsia="宋体" w:cs="宋体"/>
          <w:color w:val="auto"/>
          <w:sz w:val="24"/>
          <w:szCs w:val="24"/>
          <w:highlight w:val="none"/>
          <w:lang w:val="en-US" w:eastAsia="zh-CN"/>
        </w:rPr>
        <w:t xml:space="preserve">  各场所清洁消毒应符合但不限于以下要求：</w:t>
      </w:r>
    </w:p>
    <w:p w14:paraId="69AF2F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办公室在上班期间保持通风系统畅通，室内产生的垃圾不得残存过夜</w:t>
      </w:r>
      <w:r>
        <w:rPr>
          <w:rFonts w:hint="eastAsia" w:ascii="宋体" w:hAnsi="宋体" w:cs="宋体"/>
          <w:color w:val="auto"/>
          <w:sz w:val="24"/>
          <w:szCs w:val="24"/>
          <w:highlight w:val="none"/>
          <w:lang w:val="en-US" w:eastAsia="zh-CN"/>
        </w:rPr>
        <w:t>；</w:t>
      </w:r>
    </w:p>
    <w:p w14:paraId="568811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会议室在开会期间保持通风系统畅通。会议结束后或下次开会前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1h</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，及时使用消毒剂对会议桌台面、座椅靠背和扶手进行擦洗消毒</w:t>
      </w:r>
      <w:r>
        <w:rPr>
          <w:rFonts w:hint="eastAsia" w:ascii="宋体" w:hAnsi="宋体" w:cs="宋体"/>
          <w:color w:val="auto"/>
          <w:sz w:val="24"/>
          <w:szCs w:val="24"/>
          <w:highlight w:val="none"/>
          <w:lang w:val="en-US" w:eastAsia="zh-CN"/>
        </w:rPr>
        <w:t>；</w:t>
      </w:r>
    </w:p>
    <w:p w14:paraId="767F09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食堂（餐厅）操作间、售卖间、洗消间、仓库等区域，每天工作结束时分别对墙面、地面擦（拖）拭消毒。餐桌、餐椅每次用餐结束后分别擦拭消毒。餐厨垃圾及时清运</w:t>
      </w:r>
      <w:r>
        <w:rPr>
          <w:rFonts w:hint="eastAsia" w:ascii="宋体" w:hAnsi="宋体" w:cs="宋体"/>
          <w:color w:val="auto"/>
          <w:sz w:val="24"/>
          <w:szCs w:val="24"/>
          <w:highlight w:val="none"/>
          <w:lang w:val="en-US" w:eastAsia="zh-CN"/>
        </w:rPr>
        <w:t>；</w:t>
      </w:r>
    </w:p>
    <w:p w14:paraId="18ABFC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电梯每天早上和中午上班前，对电梯轿厢擦拭消毒</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次。上班期间，电梯按键板每天定时擦拭消毒</w:t>
      </w:r>
      <w:r>
        <w:rPr>
          <w:rFonts w:hint="eastAsia" w:ascii="宋体" w:hAnsi="宋体" w:cs="宋体"/>
          <w:color w:val="auto"/>
          <w:sz w:val="24"/>
          <w:szCs w:val="24"/>
          <w:highlight w:val="none"/>
          <w:lang w:val="en-US" w:eastAsia="zh-CN"/>
        </w:rPr>
        <w:t>；</w:t>
      </w:r>
    </w:p>
    <w:p w14:paraId="52A0C4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地下车库每周</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次对车库出入口、地面、墙面、机械车位喷洒消毒。清运时间应避开工作时间</w:t>
      </w:r>
      <w:r>
        <w:rPr>
          <w:rFonts w:hint="eastAsia" w:ascii="宋体" w:hAnsi="宋体" w:cs="宋体"/>
          <w:color w:val="auto"/>
          <w:sz w:val="24"/>
          <w:szCs w:val="24"/>
          <w:highlight w:val="none"/>
          <w:lang w:val="en-US" w:eastAsia="zh-CN"/>
        </w:rPr>
        <w:t>；</w:t>
      </w:r>
    </w:p>
    <w:p w14:paraId="5DD534B9">
      <w:pPr>
        <w:pStyle w:val="2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kern w:val="2"/>
          <w:sz w:val="24"/>
          <w:szCs w:val="24"/>
          <w:highlight w:val="none"/>
          <w:lang w:val="en-US" w:eastAsia="zh-CN" w:bidi="ar-SA"/>
        </w:rPr>
        <w:t>大堂、走廊、楼梯间、卫生间，每天下班后对地面、台盆、</w:t>
      </w:r>
      <w:r>
        <w:rPr>
          <w:rFonts w:hint="eastAsia" w:ascii="宋体" w:hAnsi="宋体" w:cs="宋体"/>
          <w:color w:val="auto"/>
          <w:kern w:val="2"/>
          <w:sz w:val="24"/>
          <w:szCs w:val="24"/>
          <w:highlight w:val="none"/>
          <w:lang w:val="en-US" w:eastAsia="zh-CN" w:bidi="ar-SA"/>
        </w:rPr>
        <w:t>坐便器</w:t>
      </w:r>
      <w:r>
        <w:rPr>
          <w:rFonts w:hint="eastAsia" w:ascii="宋体" w:hAnsi="宋体" w:eastAsia="宋体" w:cs="宋体"/>
          <w:color w:val="auto"/>
          <w:kern w:val="2"/>
          <w:sz w:val="24"/>
          <w:szCs w:val="24"/>
          <w:highlight w:val="none"/>
          <w:lang w:val="en-US" w:eastAsia="zh-CN" w:bidi="ar-SA"/>
        </w:rPr>
        <w:t>进行拖（擦）拭消毒。走廊处免冲洗消毒液和卫生间洗手液不断档。</w:t>
      </w:r>
    </w:p>
    <w:p w14:paraId="5A82B29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265" w:name="_Toc31267"/>
      <w:bookmarkStart w:id="266" w:name="_Toc31054"/>
      <w:bookmarkStart w:id="267" w:name="_Toc12879"/>
      <w:bookmarkStart w:id="268" w:name="_Toc9323"/>
      <w:bookmarkStart w:id="269" w:name="_Toc30246"/>
      <w:r>
        <w:rPr>
          <w:rFonts w:hint="eastAsia" w:ascii="宋体" w:hAnsi="宋体" w:cs="宋体"/>
          <w:b/>
          <w:bCs/>
          <w:color w:val="auto"/>
          <w:sz w:val="24"/>
          <w:szCs w:val="24"/>
          <w:highlight w:val="none"/>
          <w:lang w:val="en-US" w:eastAsia="zh-CN"/>
        </w:rPr>
        <w:t>6.7  高位保洁要求</w:t>
      </w:r>
      <w:bookmarkEnd w:id="265"/>
      <w:bookmarkEnd w:id="266"/>
      <w:bookmarkEnd w:id="267"/>
      <w:bookmarkEnd w:id="268"/>
      <w:bookmarkEnd w:id="269"/>
    </w:p>
    <w:p w14:paraId="2CDB1D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6.7.1 </w:t>
      </w:r>
      <w:r>
        <w:rPr>
          <w:rFonts w:hint="eastAsia" w:ascii="宋体" w:hAnsi="宋体" w:eastAsia="宋体" w:cs="宋体"/>
          <w:color w:val="auto"/>
          <w:sz w:val="24"/>
          <w:szCs w:val="24"/>
          <w:highlight w:val="none"/>
          <w:lang w:val="en-US" w:eastAsia="zh-CN"/>
        </w:rPr>
        <w:t xml:space="preserve"> 在</w:t>
      </w:r>
      <w:r>
        <w:rPr>
          <w:rFonts w:hint="eastAsia" w:ascii="宋体" w:hAnsi="宋体" w:cs="宋体"/>
          <w:color w:val="auto"/>
          <w:sz w:val="24"/>
          <w:szCs w:val="24"/>
          <w:highlight w:val="none"/>
          <w:lang w:val="en-US" w:eastAsia="zh-CN"/>
        </w:rPr>
        <w:t>垂直</w:t>
      </w:r>
      <w:r>
        <w:rPr>
          <w:rFonts w:hint="eastAsia" w:ascii="宋体" w:hAnsi="宋体" w:eastAsia="宋体" w:cs="宋体"/>
          <w:color w:val="auto"/>
          <w:sz w:val="24"/>
          <w:szCs w:val="24"/>
          <w:highlight w:val="none"/>
          <w:lang w:val="en-US" w:eastAsia="zh-CN"/>
        </w:rPr>
        <w:t>高度基准面</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m （</w:t>
      </w:r>
      <w:r>
        <w:rPr>
          <w:rFonts w:hint="eastAsia" w:ascii="宋体" w:hAnsi="宋体" w:eastAsia="宋体" w:cs="宋体"/>
          <w:color w:val="auto"/>
          <w:sz w:val="24"/>
          <w:szCs w:val="24"/>
          <w:highlight w:val="none"/>
          <w:lang w:val="en-US" w:eastAsia="zh-CN"/>
        </w:rPr>
        <w:t>含</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m ）</w:t>
      </w:r>
      <w:r>
        <w:rPr>
          <w:rFonts w:hint="eastAsia" w:ascii="宋体" w:hAnsi="宋体" w:eastAsia="宋体" w:cs="宋体"/>
          <w:color w:val="auto"/>
          <w:sz w:val="24"/>
          <w:szCs w:val="24"/>
          <w:highlight w:val="none"/>
          <w:lang w:val="en-US" w:eastAsia="zh-CN"/>
        </w:rPr>
        <w:t>高处进行的清洁作业，应在采取充分安全措施的前提下实施，应符合现行国家标准《高处作业分级》GB/T 3608的相关规定。</w:t>
      </w:r>
    </w:p>
    <w:p w14:paraId="69A2F7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6.7.2</w:t>
      </w:r>
      <w:r>
        <w:rPr>
          <w:rFonts w:hint="eastAsia" w:ascii="宋体" w:hAnsi="宋体" w:eastAsia="宋体" w:cs="宋体"/>
          <w:color w:val="auto"/>
          <w:sz w:val="24"/>
          <w:szCs w:val="24"/>
          <w:highlight w:val="none"/>
          <w:lang w:val="en-US" w:eastAsia="zh-CN"/>
        </w:rPr>
        <w:t xml:space="preserve">  高位保洁作业人员应按照国家法律法规的要求持证上岗，至少</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人以上同时在场作业，采取必要的安全防护措施。</w:t>
      </w:r>
    </w:p>
    <w:p w14:paraId="228F1DDC">
      <w:pPr>
        <w:pStyle w:val="20"/>
        <w:rPr>
          <w:rFonts w:hint="default"/>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6.7.</w:t>
      </w:r>
      <w:r>
        <w:rPr>
          <w:rFonts w:hint="eastAsia" w:eastAsia="黑体" w:cs="Times New Roman"/>
          <w:b/>
          <w:bCs/>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日常</w:t>
      </w:r>
      <w:r>
        <w:rPr>
          <w:rFonts w:hint="eastAsia" w:ascii="宋体" w:hAnsi="宋体" w:eastAsia="宋体" w:cs="宋体"/>
          <w:color w:val="auto"/>
          <w:sz w:val="24"/>
          <w:szCs w:val="24"/>
          <w:highlight w:val="none"/>
          <w:lang w:val="en-US" w:eastAsia="zh-CN"/>
        </w:rPr>
        <w:t>高位保洁的</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及要求应该符合表6.7.2要求。</w:t>
      </w:r>
    </w:p>
    <w:p w14:paraId="1EAAEB27">
      <w:pPr>
        <w:pStyle w:val="6"/>
        <w:tabs>
          <w:tab w:val="left" w:pos="420"/>
        </w:tabs>
        <w:spacing w:before="312" w:beforeLines="100" w:after="0" w:line="240" w:lineRule="auto"/>
        <w:jc w:val="center"/>
        <w:outlineLvl w:val="1"/>
        <w:rPr>
          <w:rFonts w:hint="eastAsia" w:eastAsia="黑体"/>
          <w:bCs w:val="0"/>
          <w:sz w:val="21"/>
          <w:szCs w:val="24"/>
          <w:highlight w:val="none"/>
          <w:lang w:val="en-US" w:eastAsia="zh-CN"/>
        </w:rPr>
      </w:pPr>
      <w:bookmarkStart w:id="270" w:name="_Toc16417"/>
      <w:bookmarkStart w:id="271" w:name="_Toc10478"/>
      <w:bookmarkStart w:id="272" w:name="_Toc21362"/>
      <w:bookmarkStart w:id="273" w:name="_Toc8608"/>
      <w:bookmarkStart w:id="274" w:name="_Toc336"/>
      <w:bookmarkStart w:id="275" w:name="_Toc15506"/>
      <w:bookmarkStart w:id="276" w:name="_Toc12118"/>
      <w:r>
        <w:rPr>
          <w:rFonts w:hint="eastAsia" w:eastAsia="黑体"/>
          <w:bCs w:val="0"/>
          <w:sz w:val="21"/>
          <w:szCs w:val="24"/>
          <w:highlight w:val="none"/>
          <w:lang w:val="en-US" w:eastAsia="zh-CN"/>
        </w:rPr>
        <w:t xml:space="preserve">表6.7.2  </w:t>
      </w:r>
      <w:bookmarkEnd w:id="270"/>
      <w:r>
        <w:rPr>
          <w:rFonts w:hint="eastAsia" w:ascii="Times New Roman" w:hAnsi="Times New Roman" w:eastAsia="黑体" w:cs="Times New Roman"/>
          <w:bCs w:val="0"/>
          <w:sz w:val="21"/>
          <w:szCs w:val="24"/>
          <w:highlight w:val="none"/>
          <w:lang w:val="en-US" w:eastAsia="zh-CN"/>
        </w:rPr>
        <w:t>日常高位保洁的服务内容及要求</w:t>
      </w:r>
      <w:bookmarkEnd w:id="271"/>
      <w:bookmarkEnd w:id="272"/>
      <w:bookmarkEnd w:id="273"/>
      <w:bookmarkEnd w:id="274"/>
      <w:bookmarkEnd w:id="275"/>
      <w:bookmarkEnd w:id="276"/>
    </w:p>
    <w:tbl>
      <w:tblPr>
        <w:tblStyle w:val="38"/>
        <w:tblW w:w="82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1"/>
        <w:gridCol w:w="1477"/>
        <w:gridCol w:w="3180"/>
      </w:tblGrid>
      <w:tr w14:paraId="6AD3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3551" w:type="dxa"/>
            <w:vMerge w:val="restart"/>
            <w:tcBorders>
              <w:top w:val="single" w:color="000000" w:sz="12" w:space="0"/>
              <w:left w:val="single" w:color="000000" w:sz="12" w:space="0"/>
              <w:bottom w:val="single" w:color="000000" w:sz="6" w:space="0"/>
              <w:right w:val="single" w:color="000000" w:sz="6" w:space="0"/>
            </w:tcBorders>
            <w:noWrap/>
            <w:vAlign w:val="center"/>
          </w:tcPr>
          <w:p w14:paraId="2DD1E99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4657" w:type="dxa"/>
            <w:gridSpan w:val="2"/>
            <w:tcBorders>
              <w:top w:val="single" w:color="000000" w:sz="12" w:space="0"/>
              <w:left w:val="single" w:color="000000" w:sz="6" w:space="0"/>
              <w:bottom w:val="single" w:color="000000" w:sz="6" w:space="0"/>
              <w:right w:val="single" w:color="000000" w:sz="18" w:space="0"/>
            </w:tcBorders>
            <w:noWrap/>
            <w:vAlign w:val="center"/>
          </w:tcPr>
          <w:p w14:paraId="2E1E536B">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cs="宋体"/>
                <w:b w:val="0"/>
                <w:bCs w:val="0"/>
                <w:i w:val="0"/>
                <w:iCs w:val="0"/>
                <w:color w:val="auto"/>
                <w:kern w:val="0"/>
                <w:sz w:val="18"/>
                <w:szCs w:val="18"/>
                <w:highlight w:val="none"/>
                <w:u w:val="none"/>
                <w:lang w:val="en-US" w:eastAsia="zh-CN" w:bidi="ar"/>
              </w:rPr>
              <w:t>服务要求</w:t>
            </w:r>
          </w:p>
        </w:tc>
      </w:tr>
      <w:tr w14:paraId="60EE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51" w:type="dxa"/>
            <w:vMerge w:val="continue"/>
            <w:tcBorders>
              <w:top w:val="single" w:color="000000" w:sz="6" w:space="0"/>
              <w:left w:val="single" w:color="000000" w:sz="12" w:space="0"/>
              <w:bottom w:val="single" w:color="000000" w:sz="6" w:space="0"/>
              <w:right w:val="single" w:color="000000" w:sz="6" w:space="0"/>
            </w:tcBorders>
            <w:noWrap/>
            <w:vAlign w:val="center"/>
          </w:tcPr>
          <w:p w14:paraId="62736837">
            <w:pPr>
              <w:jc w:val="center"/>
              <w:rPr>
                <w:rFonts w:hint="eastAsia" w:ascii="宋体" w:hAnsi="宋体" w:eastAsia="宋体" w:cs="宋体"/>
                <w:b w:val="0"/>
                <w:bCs w:val="0"/>
                <w:i w:val="0"/>
                <w:iCs w:val="0"/>
                <w:color w:val="auto"/>
                <w:sz w:val="18"/>
                <w:szCs w:val="18"/>
                <w:highlight w:val="none"/>
                <w:u w:val="none"/>
              </w:rPr>
            </w:pP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134FFDD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1A500CFC">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14:paraId="5FB2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42AA196C">
            <w:pPr>
              <w:rPr>
                <w:rFonts w:hint="default" w:ascii="宋体" w:hAnsi="宋体" w:eastAsia="宋体" w:cs="宋体"/>
                <w:i w:val="0"/>
                <w:iCs w:val="0"/>
                <w:color w:val="auto"/>
                <w:sz w:val="18"/>
                <w:szCs w:val="18"/>
                <w:highlight w:val="none"/>
                <w:u w:val="none"/>
                <w:lang w:val="en-US"/>
              </w:rPr>
            </w:pPr>
            <w:r>
              <w:rPr>
                <w:rFonts w:hint="eastAsia" w:ascii="宋体" w:hAnsi="宋体" w:cs="宋体"/>
                <w:color w:val="auto"/>
                <w:sz w:val="18"/>
                <w:szCs w:val="18"/>
                <w:highlight w:val="none"/>
                <w:lang w:val="en-US" w:eastAsia="zh-CN"/>
              </w:rPr>
              <w:t>室内玻璃（3米以上）</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51E39DEB">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15CB2FFF">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目视无积尘、无污迹</w:t>
            </w:r>
          </w:p>
        </w:tc>
      </w:tr>
      <w:tr w14:paraId="3C2C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35B266C7">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室外玻璃光棚</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659A78C4">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28B1311A">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目视无积尘、无污迹</w:t>
            </w:r>
          </w:p>
        </w:tc>
      </w:tr>
      <w:tr w14:paraId="688D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1F9F5EA5">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灯具（2米以上）</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77ECE6E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5D8E158F">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目视无灰尘、无污迹、无蜘蛛网</w:t>
            </w:r>
          </w:p>
        </w:tc>
      </w:tr>
      <w:tr w14:paraId="04A8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60FDAE24">
            <w:pP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天花</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5D86CDC6">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780C24CA">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目视无污迹、无蜘蛛网</w:t>
            </w:r>
          </w:p>
        </w:tc>
      </w:tr>
      <w:tr w14:paraId="2BE7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3B5822E8">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墙身</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48F778B3">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1044EBFD">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目视无污迹、无蜘蛛网、无乱涂乱画</w:t>
            </w:r>
          </w:p>
        </w:tc>
      </w:tr>
      <w:tr w14:paraId="2ED3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3332D21B">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楼宇门头（2米以上）</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726F76FC">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月</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6E8AE423">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w:t>
            </w:r>
          </w:p>
        </w:tc>
      </w:tr>
      <w:tr w14:paraId="617A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570FDCD0">
            <w:pPr>
              <w:rPr>
                <w:rFonts w:hint="default" w:ascii="宋体" w:hAnsi="宋体" w:eastAsia="宋体" w:cs="宋体"/>
                <w:i w:val="0"/>
                <w:iCs w:val="0"/>
                <w:color w:val="auto"/>
                <w:sz w:val="18"/>
                <w:szCs w:val="18"/>
                <w:highlight w:val="none"/>
                <w:u w:val="none"/>
                <w:lang w:val="en-US"/>
              </w:rPr>
            </w:pPr>
            <w:r>
              <w:rPr>
                <w:rFonts w:hint="eastAsia" w:ascii="宋体" w:hAnsi="宋体" w:cs="宋体"/>
                <w:color w:val="auto"/>
                <w:sz w:val="18"/>
                <w:szCs w:val="18"/>
                <w:highlight w:val="none"/>
                <w:lang w:val="en-US" w:eastAsia="zh-CN"/>
              </w:rPr>
              <w:t>户外公共灯具（3米以上）</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24551449">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次/月</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19A479D2">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目视无污迹、无蚊虫堆积</w:t>
            </w:r>
          </w:p>
        </w:tc>
      </w:tr>
      <w:tr w14:paraId="0D47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3551" w:type="dxa"/>
            <w:tcBorders>
              <w:top w:val="single" w:color="000000" w:sz="6" w:space="0"/>
              <w:left w:val="single" w:color="000000" w:sz="12" w:space="0"/>
              <w:bottom w:val="single" w:color="000000" w:sz="12" w:space="0"/>
              <w:right w:val="single" w:color="000000" w:sz="6" w:space="0"/>
            </w:tcBorders>
            <w:noWrap/>
            <w:vAlign w:val="center"/>
          </w:tcPr>
          <w:p w14:paraId="1D185536">
            <w:pP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停车场、车库消防管道、风管及照明灯具</w:t>
            </w:r>
          </w:p>
        </w:tc>
        <w:tc>
          <w:tcPr>
            <w:tcW w:w="1477" w:type="dxa"/>
            <w:tcBorders>
              <w:top w:val="single" w:color="000000" w:sz="6" w:space="0"/>
              <w:left w:val="single" w:color="000000" w:sz="6" w:space="0"/>
              <w:bottom w:val="single" w:color="000000" w:sz="12" w:space="0"/>
              <w:right w:val="single" w:color="000000" w:sz="6" w:space="0"/>
            </w:tcBorders>
            <w:noWrap/>
            <w:vAlign w:val="center"/>
          </w:tcPr>
          <w:p w14:paraId="52E324E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12" w:space="0"/>
              <w:right w:val="single" w:color="000000" w:sz="18" w:space="0"/>
            </w:tcBorders>
            <w:noWrap/>
            <w:vAlign w:val="center"/>
          </w:tcPr>
          <w:p w14:paraId="744EAD87">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目视无积尘、无蜘蛛网</w:t>
            </w:r>
          </w:p>
        </w:tc>
      </w:tr>
    </w:tbl>
    <w:p w14:paraId="4570FE20">
      <w:pPr>
        <w:rPr>
          <w:rFonts w:hint="eastAsia"/>
          <w:highlight w:val="none"/>
          <w:lang w:val="en-US" w:eastAsia="zh-CN"/>
        </w:rPr>
      </w:pPr>
    </w:p>
    <w:p w14:paraId="30879C7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cs="宋体"/>
          <w:b/>
          <w:bCs/>
          <w:color w:val="auto"/>
          <w:sz w:val="24"/>
          <w:szCs w:val="24"/>
          <w:highlight w:val="none"/>
          <w:lang w:val="en-US" w:eastAsia="zh-CN"/>
        </w:rPr>
      </w:pPr>
      <w:bookmarkStart w:id="277" w:name="_Toc9772"/>
      <w:bookmarkStart w:id="278" w:name="_Toc29729"/>
      <w:bookmarkStart w:id="279" w:name="_Toc12464"/>
      <w:bookmarkStart w:id="280" w:name="_Toc24171"/>
      <w:bookmarkStart w:id="281" w:name="_Toc2861"/>
      <w:bookmarkStart w:id="282" w:name="_Toc8426"/>
      <w:r>
        <w:rPr>
          <w:rFonts w:hint="eastAsia" w:ascii="宋体" w:hAnsi="宋体" w:cs="宋体"/>
          <w:b/>
          <w:bCs/>
          <w:color w:val="auto"/>
          <w:sz w:val="24"/>
          <w:szCs w:val="24"/>
          <w:highlight w:val="none"/>
          <w:lang w:val="en-US" w:eastAsia="zh-CN"/>
        </w:rPr>
        <w:t>6.8  有害生物防制要求</w:t>
      </w:r>
      <w:bookmarkEnd w:id="277"/>
      <w:bookmarkEnd w:id="278"/>
      <w:bookmarkEnd w:id="279"/>
      <w:bookmarkEnd w:id="280"/>
      <w:bookmarkEnd w:id="281"/>
      <w:bookmarkEnd w:id="282"/>
    </w:p>
    <w:p w14:paraId="2E4D6B9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6.8.1</w:t>
      </w:r>
      <w:r>
        <w:rPr>
          <w:rFonts w:hint="eastAsia" w:ascii="宋体" w:hAnsi="宋体" w:eastAsia="宋体" w:cs="宋体"/>
          <w:color w:val="auto"/>
          <w:sz w:val="24"/>
          <w:szCs w:val="24"/>
          <w:highlight w:val="none"/>
          <w:lang w:val="en-US" w:eastAsia="zh-CN"/>
        </w:rPr>
        <w:t xml:space="preserve">  定期进行有害生物防制工作，对沟、渠、井喷洒药物灭杀蚊虫，放置灭鼠药物；视天气季节需要喷洒药物。放置和喷洒前应提前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个工作日在明显位置张贴公告，设置相应警示标识。</w:t>
      </w:r>
    </w:p>
    <w:p w14:paraId="7A4EAA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auto"/>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6.8.2</w:t>
      </w:r>
      <w:r>
        <w:rPr>
          <w:rFonts w:hint="eastAsia" w:ascii="宋体" w:hAnsi="宋体" w:eastAsia="宋体" w:cs="宋体"/>
          <w:color w:val="auto"/>
          <w:sz w:val="24"/>
          <w:szCs w:val="24"/>
          <w:highlight w:val="none"/>
          <w:lang w:val="en-US" w:eastAsia="zh-CN"/>
        </w:rPr>
        <w:t xml:space="preserve">  如发现白蚁、蛇、东风螺、红火蚁、马蜂等有害生物，应设置相应警示标识，及时处理并记录归档。  </w:t>
      </w:r>
    </w:p>
    <w:p w14:paraId="59BE16F9">
      <w:pPr>
        <w:pStyle w:val="2"/>
        <w:keepNext w:val="0"/>
        <w:keepLines w:val="0"/>
        <w:pageBreakBefore/>
        <w:spacing w:line="240" w:lineRule="auto"/>
        <w:jc w:val="center"/>
        <w:rPr>
          <w:rFonts w:hint="eastAsia" w:ascii="Times New Roman" w:hAnsi="Times New Roman" w:eastAsia="宋体" w:cs="Times New Roman"/>
          <w:b w:val="0"/>
          <w:bCs w:val="0"/>
          <w:sz w:val="30"/>
          <w:highlight w:val="none"/>
          <w:lang w:val="en-US" w:eastAsia="zh-CN"/>
        </w:rPr>
      </w:pPr>
      <w:bookmarkStart w:id="283" w:name="_Toc20335"/>
      <w:bookmarkStart w:id="284" w:name="_Toc29823"/>
      <w:bookmarkStart w:id="285" w:name="_Toc10505"/>
      <w:bookmarkStart w:id="286" w:name="_Toc9661"/>
      <w:bookmarkStart w:id="287" w:name="_Toc27730"/>
      <w:r>
        <w:rPr>
          <w:rFonts w:hint="eastAsia" w:cs="Times New Roman"/>
          <w:sz w:val="30"/>
          <w:highlight w:val="none"/>
          <w:lang w:val="en-US" w:eastAsia="zh-CN"/>
        </w:rPr>
        <w:t>7</w:t>
      </w:r>
      <w:r>
        <w:rPr>
          <w:rFonts w:hint="eastAsia" w:ascii="Times New Roman" w:hAnsi="Times New Roman" w:eastAsia="宋体" w:cs="Times New Roman"/>
          <w:sz w:val="30"/>
          <w:highlight w:val="none"/>
          <w:lang w:val="en-US" w:eastAsia="zh-CN"/>
        </w:rPr>
        <w:t xml:space="preserve"> 绿  化  养  护</w:t>
      </w:r>
      <w:bookmarkEnd w:id="283"/>
      <w:bookmarkEnd w:id="284"/>
      <w:bookmarkEnd w:id="285"/>
      <w:bookmarkEnd w:id="286"/>
      <w:bookmarkEnd w:id="287"/>
    </w:p>
    <w:p w14:paraId="424249D1">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highlight w:val="none"/>
          <w:lang w:val="en-US" w:eastAsia="zh-CN"/>
        </w:rPr>
      </w:pPr>
      <w:bookmarkStart w:id="288" w:name="_Toc20546"/>
      <w:bookmarkStart w:id="289" w:name="_Toc16216"/>
      <w:bookmarkStart w:id="290" w:name="_Toc27545"/>
      <w:bookmarkStart w:id="291" w:name="_Toc340"/>
      <w:bookmarkStart w:id="292" w:name="_Toc15187"/>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.1  基本要求</w:t>
      </w:r>
      <w:bookmarkEnd w:id="288"/>
      <w:bookmarkEnd w:id="289"/>
      <w:bookmarkEnd w:id="290"/>
      <w:bookmarkEnd w:id="291"/>
      <w:bookmarkEnd w:id="292"/>
    </w:p>
    <w:p w14:paraId="6910B51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 xml:space="preserve">.1.1  </w:t>
      </w:r>
      <w:r>
        <w:rPr>
          <w:rFonts w:hint="eastAsia" w:ascii="宋体" w:hAnsi="宋体" w:eastAsia="宋体" w:cs="宋体"/>
          <w:color w:val="auto"/>
          <w:sz w:val="24"/>
          <w:szCs w:val="24"/>
          <w:highlight w:val="none"/>
          <w:lang w:val="en-US" w:eastAsia="zh-CN"/>
        </w:rPr>
        <w:t>根据物业服务区域特点和绿化实际需要，</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val="en-US" w:eastAsia="zh-CN"/>
        </w:rPr>
        <w:t>制定绿化养护制度，完善养护措施。</w:t>
      </w:r>
    </w:p>
    <w:p w14:paraId="7A1694C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val="en-US" w:eastAsia="zh-CN"/>
        </w:rPr>
        <w:t>建立绿化养护管理台账，填写养护登记表</w:t>
      </w:r>
      <w:r>
        <w:rPr>
          <w:rFonts w:hint="eastAsia" w:ascii="宋体" w:hAnsi="宋体" w:cs="宋体"/>
          <w:color w:val="auto"/>
          <w:sz w:val="24"/>
          <w:szCs w:val="24"/>
          <w:highlight w:val="none"/>
          <w:lang w:val="en-US" w:eastAsia="zh-CN"/>
        </w:rPr>
        <w:t>包含</w:t>
      </w:r>
      <w:r>
        <w:rPr>
          <w:rFonts w:hint="eastAsia" w:ascii="宋体" w:hAnsi="宋体" w:eastAsia="宋体" w:cs="宋体"/>
          <w:color w:val="auto"/>
          <w:sz w:val="24"/>
          <w:szCs w:val="24"/>
          <w:highlight w:val="none"/>
          <w:lang w:val="en-US" w:eastAsia="zh-CN"/>
        </w:rPr>
        <w:t>植物的名称、摆放和更换时间、养护内容和时间等资料，做好工作记录。</w:t>
      </w:r>
    </w:p>
    <w:p w14:paraId="6F40B1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合理配置专、兼职绿化养护服务人员。绿化养护服务人员应具备相应的绿化养护知识技能。</w:t>
      </w:r>
    </w:p>
    <w:p w14:paraId="6B31651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 xml:space="preserve">  在进行修剪、打药等风险操作时，作业人员应穿戴安全制服、安全帽、手套等，做好防护措施。工作现场必要时应设立安全警示标志牌。</w:t>
      </w:r>
    </w:p>
    <w:p w14:paraId="60ACF6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 xml:space="preserve">  应对栅栏、喷灌设施、花盆、树木加固支架、遮阳装置等物业绿化工具、设施定期维护，保持绿化工具、设施完好，无安全隐患。</w:t>
      </w:r>
    </w:p>
    <w:p w14:paraId="6A60C917">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93" w:name="_Toc16475"/>
      <w:bookmarkStart w:id="294" w:name="_Toc24540"/>
      <w:bookmarkStart w:id="295" w:name="_Toc25524"/>
      <w:bookmarkStart w:id="296" w:name="_Toc9188"/>
      <w:bookmarkStart w:id="297" w:name="_Toc21215"/>
      <w:bookmarkStart w:id="298" w:name="_Toc17297"/>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.2  室外绿化养护</w:t>
      </w:r>
      <w:bookmarkEnd w:id="293"/>
      <w:bookmarkEnd w:id="294"/>
      <w:bookmarkEnd w:id="295"/>
      <w:bookmarkEnd w:id="296"/>
      <w:bookmarkEnd w:id="297"/>
      <w:bookmarkEnd w:id="298"/>
    </w:p>
    <w:p w14:paraId="1FF8FB5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 xml:space="preserve">.2.1  </w:t>
      </w:r>
      <w:r>
        <w:rPr>
          <w:rFonts w:hint="eastAsia" w:ascii="宋体" w:hAnsi="宋体" w:eastAsia="宋体" w:cs="宋体"/>
          <w:color w:val="auto"/>
          <w:sz w:val="24"/>
          <w:szCs w:val="24"/>
          <w:highlight w:val="none"/>
          <w:lang w:val="en-US" w:eastAsia="zh-CN"/>
        </w:rPr>
        <w:t>草坪地被生长旺盛，无枯黄，无裸露地。草坪边缘完整，平整无坑洼，草的高度整齐一致，无明显杂草。地被无死株、无枯黄。</w:t>
      </w:r>
    </w:p>
    <w:p w14:paraId="4DA6980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 xml:space="preserve">  花坛生长旺盛，无枯黄，无明显残花败叶。</w:t>
      </w:r>
    </w:p>
    <w:p w14:paraId="6C192F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 xml:space="preserve">  灌木、绿篱无死苗、缺苗，长势良好，修剪整齐美观。</w:t>
      </w:r>
    </w:p>
    <w:p w14:paraId="1FB9A1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 xml:space="preserve">  乔木长势良好，无枯枝、无安全隐患，应定期修枝。</w:t>
      </w:r>
    </w:p>
    <w:p w14:paraId="744DD6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 xml:space="preserve">  绿地无改变使用用途和破</w:t>
      </w:r>
      <w:r>
        <w:rPr>
          <w:rFonts w:hint="eastAsia" w:ascii="宋体" w:hAnsi="宋体" w:cs="宋体"/>
          <w:color w:val="auto"/>
          <w:sz w:val="24"/>
          <w:szCs w:val="24"/>
          <w:highlight w:val="none"/>
          <w:lang w:val="en-US" w:eastAsia="zh-CN"/>
        </w:rPr>
        <w:t>坏</w:t>
      </w:r>
      <w:r>
        <w:rPr>
          <w:rFonts w:hint="eastAsia" w:ascii="宋体" w:hAnsi="宋体" w:eastAsia="宋体" w:cs="宋体"/>
          <w:color w:val="auto"/>
          <w:sz w:val="24"/>
          <w:szCs w:val="24"/>
          <w:highlight w:val="none"/>
          <w:lang w:val="en-US" w:eastAsia="zh-CN"/>
        </w:rPr>
        <w:t>、践踏、占用现象，绿化草坪及绿化带内无明显杂草，无垃圾杂物。</w:t>
      </w:r>
    </w:p>
    <w:p w14:paraId="6D2EA1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 xml:space="preserve">  绿化无病虫害，喷洒药物前应通知或张贴公告告知物业使用人喷药计划并设置警示标识。</w:t>
      </w:r>
    </w:p>
    <w:p w14:paraId="4446D8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 xml:space="preserve">  台风、暴雨来临前，及时加固、支撑、修剪高大树木。灾后及时扶树、护树，补好残缺。</w:t>
      </w:r>
    </w:p>
    <w:p w14:paraId="586A3C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  寒冷季节采取培土护根、保护树干、包裹植株、移入温室保护等防冻保温措施。</w:t>
      </w:r>
    </w:p>
    <w:p w14:paraId="5DC6468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99" w:name="_Toc6121"/>
      <w:bookmarkStart w:id="300" w:name="_Toc29452"/>
      <w:bookmarkStart w:id="301" w:name="_Toc11154"/>
      <w:bookmarkStart w:id="302" w:name="_Toc16501"/>
      <w:bookmarkStart w:id="303" w:name="_Toc18848"/>
      <w:bookmarkStart w:id="304" w:name="_Toc11635"/>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.3  室内绿化养护</w:t>
      </w:r>
      <w:bookmarkEnd w:id="299"/>
      <w:bookmarkEnd w:id="300"/>
      <w:bookmarkEnd w:id="301"/>
      <w:bookmarkEnd w:id="302"/>
      <w:bookmarkEnd w:id="303"/>
      <w:bookmarkEnd w:id="304"/>
    </w:p>
    <w:p w14:paraId="3CA971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 xml:space="preserve">.3.1  </w:t>
      </w:r>
      <w:r>
        <w:rPr>
          <w:rFonts w:hint="eastAsia" w:ascii="宋体" w:hAnsi="宋体" w:eastAsia="宋体" w:cs="宋体"/>
          <w:color w:val="auto"/>
          <w:sz w:val="24"/>
          <w:szCs w:val="24"/>
          <w:highlight w:val="none"/>
          <w:lang w:val="en-US" w:eastAsia="zh-CN"/>
        </w:rPr>
        <w:t>定期浇水、施肥、修剪，保持植物生长良好，叶色正常，叶面清洁光泽，花朵鲜艳。</w:t>
      </w:r>
    </w:p>
    <w:p w14:paraId="1EB7AC8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 xml:space="preserve">.3.2  </w:t>
      </w:r>
      <w:r>
        <w:rPr>
          <w:rFonts w:hint="eastAsia" w:ascii="宋体" w:hAnsi="宋体" w:eastAsia="宋体" w:cs="宋体"/>
          <w:color w:val="auto"/>
          <w:sz w:val="24"/>
          <w:szCs w:val="24"/>
          <w:highlight w:val="none"/>
          <w:lang w:val="en-US" w:eastAsia="zh-CN"/>
        </w:rPr>
        <w:t>定期巡视，及时清除残花黄叶断枝、盆内杂物，确保土壤表层无杂物、无枯叶；盆器及托盘完好干净。托盘无积土积水。</w:t>
      </w:r>
    </w:p>
    <w:p w14:paraId="4CD4B1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 xml:space="preserve">.3.3  </w:t>
      </w:r>
      <w:r>
        <w:rPr>
          <w:rFonts w:hint="eastAsia" w:ascii="宋体" w:hAnsi="宋体" w:eastAsia="宋体" w:cs="宋体"/>
          <w:color w:val="auto"/>
          <w:sz w:val="24"/>
          <w:szCs w:val="24"/>
          <w:highlight w:val="none"/>
          <w:lang w:val="en-US" w:eastAsia="zh-CN"/>
        </w:rPr>
        <w:t>应选用无毒、无害、无味、园艺型肥料。发现病变、虫害、枯萎应予以更换。</w:t>
      </w:r>
    </w:p>
    <w:p w14:paraId="4F4223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.3.</w:t>
      </w:r>
      <w:r>
        <w:rPr>
          <w:rFonts w:hint="eastAsia" w:ascii="Times New Roman" w:hAnsi="Times New Roman" w:eastAsia="宋体" w:cs="Times New Roman"/>
          <w:b/>
          <w:bCs/>
          <w:color w:val="auto"/>
          <w:sz w:val="24"/>
          <w:szCs w:val="24"/>
          <w:highlight w:val="none"/>
          <w:lang w:val="en-US" w:eastAsia="zh-CN"/>
        </w:rPr>
        <w:t xml:space="preserve">4  </w:t>
      </w:r>
      <w:r>
        <w:rPr>
          <w:rFonts w:hint="eastAsia" w:ascii="宋体" w:hAnsi="宋体" w:eastAsia="宋体" w:cs="宋体"/>
          <w:color w:val="auto"/>
          <w:sz w:val="24"/>
          <w:szCs w:val="24"/>
          <w:highlight w:val="none"/>
          <w:lang w:val="en-US" w:eastAsia="zh-CN"/>
        </w:rPr>
        <w:t>植物的花盆、器皿应干净整洁，无脏物，花盆（器皿）内填充适当的海草或陶粒，保证花盆（器皿）内无杂物、垃圾，如有损坏残缺应及时更换。</w:t>
      </w:r>
    </w:p>
    <w:p w14:paraId="2F00BCFE">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9"/>
        <w:rPr>
          <w:rFonts w:hint="eastAsia" w:hAnsi="Times New Roman" w:cs="Times New Roman"/>
          <w:color w:val="auto"/>
          <w:highlight w:val="none"/>
          <w:lang w:val="en-US" w:eastAsia="zh-CN"/>
        </w:rPr>
      </w:pPr>
      <w:bookmarkStart w:id="305" w:name="_Toc26438"/>
    </w:p>
    <w:p w14:paraId="65C570D6">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306" w:name="_Toc8172"/>
      <w:bookmarkStart w:id="307" w:name="_Toc24944"/>
      <w:bookmarkStart w:id="308" w:name="_Toc12637"/>
      <w:bookmarkStart w:id="309" w:name="_Toc17339"/>
      <w:bookmarkStart w:id="310" w:name="_Toc26835"/>
      <w:r>
        <w:rPr>
          <w:rFonts w:hint="eastAsia" w:cs="Times New Roman"/>
          <w:sz w:val="30"/>
          <w:highlight w:val="none"/>
          <w:lang w:val="en-US" w:eastAsia="zh-CN"/>
        </w:rPr>
        <w:t>8</w:t>
      </w:r>
      <w:r>
        <w:rPr>
          <w:rFonts w:hint="eastAsia" w:ascii="Times New Roman" w:hAnsi="Times New Roman" w:eastAsia="宋体" w:cs="Times New Roman"/>
          <w:sz w:val="30"/>
          <w:highlight w:val="none"/>
          <w:lang w:val="en-US" w:eastAsia="zh-CN"/>
        </w:rPr>
        <w:t xml:space="preserve"> </w:t>
      </w:r>
      <w:bookmarkEnd w:id="305"/>
      <w:r>
        <w:rPr>
          <w:rFonts w:hint="eastAsia" w:ascii="Times New Roman" w:hAnsi="Times New Roman" w:eastAsia="宋体" w:cs="Times New Roman"/>
          <w:b/>
          <w:bCs/>
          <w:sz w:val="30"/>
          <w:highlight w:val="none"/>
          <w:lang w:val="en-US" w:eastAsia="zh-CN"/>
        </w:rPr>
        <w:t>房屋及设施设备管理</w:t>
      </w:r>
      <w:bookmarkEnd w:id="306"/>
      <w:bookmarkEnd w:id="307"/>
      <w:bookmarkEnd w:id="308"/>
      <w:bookmarkEnd w:id="309"/>
      <w:bookmarkEnd w:id="310"/>
    </w:p>
    <w:p w14:paraId="32C9A70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cs="宋体"/>
          <w:b/>
          <w:bCs/>
          <w:color w:val="auto"/>
          <w:sz w:val="24"/>
          <w:szCs w:val="24"/>
          <w:highlight w:val="none"/>
          <w:lang w:val="en-US" w:eastAsia="zh-CN"/>
        </w:rPr>
      </w:pPr>
      <w:bookmarkStart w:id="311" w:name="_Toc25685"/>
      <w:bookmarkStart w:id="312" w:name="_Toc13698"/>
      <w:bookmarkStart w:id="313" w:name="_Toc12473"/>
      <w:bookmarkStart w:id="314" w:name="_Toc8387"/>
      <w:bookmarkStart w:id="315" w:name="_Toc19018"/>
      <w:bookmarkStart w:id="316" w:name="_Toc18601"/>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 xml:space="preserve">.1  </w:t>
      </w:r>
      <w:bookmarkEnd w:id="311"/>
      <w:r>
        <w:rPr>
          <w:rFonts w:hint="eastAsia" w:ascii="宋体" w:hAnsi="宋体" w:cs="宋体"/>
          <w:b/>
          <w:bCs/>
          <w:color w:val="auto"/>
          <w:sz w:val="24"/>
          <w:szCs w:val="24"/>
          <w:highlight w:val="none"/>
          <w:lang w:val="en-US" w:eastAsia="zh-CN"/>
        </w:rPr>
        <w:t>基本要求</w:t>
      </w:r>
      <w:bookmarkEnd w:id="312"/>
      <w:bookmarkEnd w:id="313"/>
      <w:bookmarkEnd w:id="314"/>
      <w:bookmarkEnd w:id="315"/>
      <w:bookmarkEnd w:id="316"/>
    </w:p>
    <w:p w14:paraId="58DCFD8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宋体" w:hAnsi="宋体" w:eastAsia="宋体" w:cs="宋体"/>
          <w:b w:val="0"/>
          <w:i w:val="0"/>
          <w:color w:val="auto"/>
          <w:sz w:val="21"/>
          <w:szCs w:val="21"/>
          <w:highlight w:val="none"/>
          <w:lang w:val="en-US" w:eastAsia="zh-CN" w:bidi="ar-SA"/>
        </w:rPr>
        <w:t xml:space="preserve">  </w:t>
      </w:r>
      <w:r>
        <w:rPr>
          <w:rFonts w:hint="eastAsia" w:ascii="宋体" w:hAnsi="宋体" w:eastAsia="宋体" w:cs="宋体"/>
          <w:color w:val="auto"/>
          <w:sz w:val="24"/>
          <w:szCs w:val="24"/>
          <w:highlight w:val="none"/>
          <w:lang w:val="en-US" w:eastAsia="zh-CN"/>
        </w:rPr>
        <w:t>应建立健全共用部位和共用设施设备服务管理制度。相关部位巡检、维修保养等工程管理服务工作记录清晰齐备。</w:t>
      </w:r>
    </w:p>
    <w:p w14:paraId="092ADB0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宋体" w:hAnsi="宋体" w:eastAsia="宋体" w:cs="宋体"/>
          <w:b w:val="0"/>
          <w:i w:val="0"/>
          <w:color w:val="auto"/>
          <w:sz w:val="21"/>
          <w:szCs w:val="21"/>
          <w:highlight w:val="none"/>
          <w:lang w:val="en-US" w:eastAsia="zh-CN" w:bidi="ar-SA"/>
        </w:rPr>
        <w:t xml:space="preserve">  </w:t>
      </w:r>
      <w:bookmarkStart w:id="317" w:name="_Toc1822"/>
      <w:r>
        <w:rPr>
          <w:rFonts w:hint="eastAsia" w:ascii="宋体" w:hAnsi="宋体" w:eastAsia="宋体" w:cs="宋体"/>
          <w:color w:val="auto"/>
          <w:sz w:val="24"/>
          <w:szCs w:val="24"/>
          <w:highlight w:val="none"/>
          <w:lang w:val="en-US" w:eastAsia="zh-CN"/>
        </w:rPr>
        <w:t>每年≥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次应对工程人员进行工程专业知识和技能培训，不同工种人员应持有符合国家要求的上岗证书。</w:t>
      </w:r>
    </w:p>
    <w:p w14:paraId="5145CAE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18" w:name="_Toc32583"/>
      <w:bookmarkStart w:id="319" w:name="_Toc6757"/>
      <w:bookmarkStart w:id="320" w:name="_Toc19243"/>
      <w:bookmarkStart w:id="321" w:name="_Toc12064"/>
      <w:bookmarkStart w:id="322" w:name="_Toc7634"/>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 xml:space="preserve">.2  </w:t>
      </w:r>
      <w:bookmarkEnd w:id="317"/>
      <w:r>
        <w:rPr>
          <w:rFonts w:hint="eastAsia" w:ascii="宋体" w:hAnsi="宋体" w:eastAsia="宋体" w:cs="宋体"/>
          <w:b/>
          <w:bCs/>
          <w:color w:val="auto"/>
          <w:sz w:val="24"/>
          <w:szCs w:val="24"/>
          <w:highlight w:val="none"/>
          <w:lang w:val="en-US" w:eastAsia="zh-CN"/>
        </w:rPr>
        <w:t>房屋维护服务</w:t>
      </w:r>
      <w:bookmarkEnd w:id="318"/>
      <w:bookmarkEnd w:id="319"/>
      <w:bookmarkEnd w:id="320"/>
      <w:bookmarkEnd w:id="321"/>
      <w:bookmarkEnd w:id="322"/>
    </w:p>
    <w:p w14:paraId="34C5B7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bookmarkStart w:id="323" w:name="_Toc2734"/>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.2.1</w:t>
      </w:r>
      <w:r>
        <w:rPr>
          <w:rFonts w:hint="eastAsia" w:ascii="宋体" w:hAnsi="宋体" w:eastAsia="宋体" w:cs="宋体"/>
          <w:b w:val="0"/>
          <w:i w:val="0"/>
          <w:color w:val="auto"/>
          <w:sz w:val="21"/>
          <w:szCs w:val="21"/>
          <w:highlight w:val="none"/>
          <w:lang w:val="en-US" w:eastAsia="zh-CN" w:bidi="ar-SA"/>
        </w:rPr>
        <w:t xml:space="preserve">  </w:t>
      </w:r>
      <w:bookmarkEnd w:id="323"/>
      <w:r>
        <w:rPr>
          <w:rFonts w:hint="eastAsia" w:ascii="宋体" w:hAnsi="宋体" w:eastAsia="宋体" w:cs="宋体"/>
          <w:color w:val="auto"/>
          <w:sz w:val="24"/>
          <w:szCs w:val="24"/>
          <w:highlight w:val="none"/>
          <w:lang w:val="en-US" w:eastAsia="zh-CN"/>
        </w:rPr>
        <w:t>应做到建筑结构共有部位完好，梁、板、柱等结构构件无破损，主体结构安全；房屋外立面无破损，外墙贴饰面或抹灰完好；空调室外机支撑构件完好，外机及管线排列整齐，巡查记录完整；屋檐、</w:t>
      </w:r>
      <w:r>
        <w:rPr>
          <w:rFonts w:hint="eastAsia" w:ascii="宋体" w:hAnsi="宋体" w:cs="宋体"/>
          <w:color w:val="auto"/>
          <w:sz w:val="24"/>
          <w:szCs w:val="24"/>
          <w:highlight w:val="none"/>
          <w:lang w:val="en-US" w:eastAsia="zh-CN"/>
        </w:rPr>
        <w:t>天面</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玻璃幕墙、</w:t>
      </w:r>
      <w:r>
        <w:rPr>
          <w:rFonts w:hint="eastAsia" w:ascii="宋体" w:hAnsi="宋体" w:eastAsia="宋体" w:cs="宋体"/>
          <w:color w:val="auto"/>
          <w:sz w:val="24"/>
          <w:szCs w:val="24"/>
          <w:highlight w:val="none"/>
          <w:lang w:val="en-US" w:eastAsia="zh-CN"/>
        </w:rPr>
        <w:t>屋面保温层正常。</w:t>
      </w:r>
      <w:r>
        <w:rPr>
          <w:rFonts w:hint="eastAsia" w:ascii="宋体" w:hAnsi="宋体" w:cs="宋体"/>
          <w:color w:val="auto"/>
          <w:sz w:val="24"/>
          <w:szCs w:val="24"/>
          <w:highlight w:val="none"/>
          <w:lang w:val="en-US" w:eastAsia="zh-CN"/>
        </w:rPr>
        <w:t>天面、平台</w:t>
      </w:r>
      <w:r>
        <w:rPr>
          <w:rFonts w:hint="eastAsia" w:ascii="宋体" w:hAnsi="宋体" w:eastAsia="宋体" w:cs="宋体"/>
          <w:color w:val="auto"/>
          <w:sz w:val="24"/>
          <w:szCs w:val="24"/>
          <w:highlight w:val="none"/>
          <w:lang w:val="en-US" w:eastAsia="zh-CN"/>
        </w:rPr>
        <w:t>干净整洁无杂物。</w:t>
      </w:r>
    </w:p>
    <w:p w14:paraId="73E4B196">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textAlignment w:val="auto"/>
        <w:outlineLvl w:val="9"/>
        <w:rPr>
          <w:rFonts w:hint="eastAsia" w:ascii="宋体" w:hAnsi="宋体" w:eastAsia="宋体" w:cs="宋体"/>
          <w:color w:val="auto"/>
          <w:sz w:val="24"/>
          <w:szCs w:val="24"/>
          <w:highlight w:val="none"/>
          <w:lang w:val="en-US" w:eastAsia="zh-CN"/>
        </w:rPr>
      </w:pPr>
      <w:bookmarkStart w:id="324" w:name="_Toc6731"/>
      <w:bookmarkStart w:id="325" w:name="_Toc26701"/>
      <w:r>
        <w:rPr>
          <w:rFonts w:hint="eastAsia" w:ascii="Times New Roman" w:eastAsia="宋体"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 xml:space="preserve">.2.2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负责对房屋进行日常管理和维修养护。维修属于小修范围的应及时组织修复；属于大、中修范围的应及时编制维修计划，向物业使用单位提出报告与建议。</w:t>
      </w:r>
      <w:bookmarkEnd w:id="324"/>
      <w:bookmarkEnd w:id="325"/>
    </w:p>
    <w:p w14:paraId="6445737E">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textAlignment w:val="auto"/>
        <w:outlineLvl w:val="9"/>
        <w:rPr>
          <w:rFonts w:hint="eastAsia"/>
          <w:highlight w:val="none"/>
          <w:lang w:val="en-US" w:eastAsia="zh-CN"/>
        </w:rPr>
      </w:pPr>
      <w:r>
        <w:rPr>
          <w:rFonts w:hint="eastAsia" w:ascii="Times New Roman" w:eastAsia="宋体"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Times New Roman" w:eastAsia="宋体"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每年应</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1 次房屋安全普查,根据普查结果制定维修计划,并组织实施。</w:t>
      </w:r>
    </w:p>
    <w:p w14:paraId="54C38B3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26" w:name="_Toc25378"/>
      <w:bookmarkStart w:id="327" w:name="_Toc12193"/>
      <w:bookmarkStart w:id="328" w:name="_Toc12104"/>
      <w:bookmarkStart w:id="329" w:name="_Toc22656"/>
      <w:bookmarkStart w:id="330" w:name="_Toc19060"/>
      <w:bookmarkStart w:id="331" w:name="_Toc23067"/>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.3  设施设备房管理</w:t>
      </w:r>
      <w:bookmarkEnd w:id="326"/>
      <w:bookmarkEnd w:id="327"/>
      <w:bookmarkEnd w:id="328"/>
      <w:bookmarkEnd w:id="329"/>
      <w:bookmarkEnd w:id="330"/>
      <w:bookmarkEnd w:id="331"/>
    </w:p>
    <w:p w14:paraId="68E71D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.3.1</w:t>
      </w:r>
      <w:r>
        <w:rPr>
          <w:rFonts w:hint="eastAsia" w:ascii="宋体" w:hAnsi="宋体" w:eastAsia="宋体" w:cs="宋体"/>
          <w:b w:val="0"/>
          <w:i w:val="0"/>
          <w:color w:val="auto"/>
          <w:sz w:val="21"/>
          <w:szCs w:val="21"/>
          <w:highlight w:val="none"/>
          <w:lang w:val="en-US" w:eastAsia="zh-CN" w:bidi="ar-SA"/>
        </w:rPr>
        <w:t xml:space="preserve">  </w:t>
      </w:r>
      <w:r>
        <w:rPr>
          <w:rFonts w:hint="eastAsia" w:ascii="宋体" w:hAnsi="宋体" w:eastAsia="宋体" w:cs="宋体"/>
          <w:color w:val="auto"/>
          <w:sz w:val="24"/>
          <w:szCs w:val="24"/>
          <w:highlight w:val="none"/>
          <w:lang w:val="en-US" w:eastAsia="zh-CN"/>
        </w:rPr>
        <w:t>设备房出入口应设置符合要求的挡鼠板，设备房内应配置温度计、湿度计，</w:t>
      </w:r>
      <w:r>
        <w:rPr>
          <w:rFonts w:hint="eastAsia" w:ascii="宋体" w:hAnsi="宋体" w:cs="宋体"/>
          <w:color w:val="auto"/>
          <w:sz w:val="24"/>
          <w:szCs w:val="24"/>
          <w:highlight w:val="none"/>
          <w:lang w:val="en-US" w:eastAsia="zh-CN"/>
        </w:rPr>
        <w:t>应控制</w:t>
      </w:r>
      <w:r>
        <w:rPr>
          <w:rFonts w:hint="eastAsia" w:ascii="宋体" w:hAnsi="宋体" w:eastAsia="宋体" w:cs="宋体"/>
          <w:color w:val="auto"/>
          <w:sz w:val="24"/>
          <w:szCs w:val="24"/>
          <w:highlight w:val="none"/>
          <w:lang w:val="en-US" w:eastAsia="zh-CN"/>
        </w:rPr>
        <w:t>适合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温度和湿度；通风设施运行正常；风口无松动、无尘；尘网保持干净。设备房照明、通风正常，应设置应急照明灯；电梯机房、消防水泵房、变配电室、应急发电机房、消防控制中心的应急照明照度不得小于正常照明照度；蓄电池电源供电时的持续工作时间应</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0.5h。</w:t>
      </w:r>
    </w:p>
    <w:p w14:paraId="43350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.3.2</w:t>
      </w:r>
      <w:r>
        <w:rPr>
          <w:rFonts w:hint="eastAsia" w:ascii="宋体" w:hAnsi="宋体" w:eastAsia="宋体" w:cs="宋体"/>
          <w:color w:val="auto"/>
          <w:sz w:val="24"/>
          <w:szCs w:val="24"/>
          <w:highlight w:val="none"/>
          <w:lang w:val="en-US" w:eastAsia="zh-CN"/>
        </w:rPr>
        <w:t xml:space="preserve">  属于消防安全重点部位的设备房（含变配电室、空调机房、自备发电机房、储油间、消防水泵房、消防水箱间、防排烟风机房、锅炉房等设备用房），应设置明显的防火标志，有严格管理制度，无占用和堆放杂物现象。</w:t>
      </w:r>
    </w:p>
    <w:p w14:paraId="612945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.3.3</w:t>
      </w:r>
      <w:r>
        <w:rPr>
          <w:rFonts w:hint="eastAsia" w:ascii="宋体" w:hAnsi="宋体" w:eastAsia="宋体" w:cs="宋体"/>
          <w:color w:val="auto"/>
          <w:sz w:val="24"/>
          <w:szCs w:val="24"/>
          <w:highlight w:val="none"/>
          <w:lang w:val="en-US" w:eastAsia="zh-CN"/>
        </w:rPr>
        <w:t xml:space="preserve">  设备房内应配置灭火器，灭火器级别、数量符合法规规定；灭火器箱应配置灭火器“定期检查卡”和“设备卡”，巡查记录完整。 应符合现行行业标准《固定式压力容器安全技术监察规程》TSG 21的相关规定，定期进行压力容器检测提交报告并存档备查。</w:t>
      </w:r>
    </w:p>
    <w:p w14:paraId="24C648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.3.4</w:t>
      </w:r>
      <w:r>
        <w:rPr>
          <w:rFonts w:hint="eastAsia" w:ascii="宋体" w:hAnsi="宋体" w:eastAsia="宋体" w:cs="宋体"/>
          <w:color w:val="auto"/>
          <w:sz w:val="24"/>
          <w:szCs w:val="24"/>
          <w:highlight w:val="none"/>
          <w:lang w:val="en-US" w:eastAsia="zh-CN"/>
        </w:rPr>
        <w:t xml:space="preserve">  设备房应关门上锁、责任到人。设备房应张贴“设备房责任人”卡，内容包括设备房名称、责任人姓名、工号、联系电话等。应在设备房墙身明显处悬挂“规章制度”“应急预案”“操作流程图”“运行记录”“巡查记录”和“外来人员出入登记记录”。</w:t>
      </w:r>
    </w:p>
    <w:p w14:paraId="74C818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.3.5</w:t>
      </w:r>
      <w:r>
        <w:rPr>
          <w:rFonts w:hint="eastAsia" w:ascii="宋体" w:hAnsi="宋体" w:eastAsia="宋体" w:cs="宋体"/>
          <w:color w:val="auto"/>
          <w:sz w:val="24"/>
          <w:szCs w:val="24"/>
          <w:highlight w:val="none"/>
          <w:lang w:val="en-US" w:eastAsia="zh-CN"/>
        </w:rPr>
        <w:t xml:space="preserve">  设备房无其他无关管线穿过；天花、墙身平整整洁，无施工遗留物、无水迹；地面贴砖或涂漆完好；电缆沟无积水，无堆放杂物。</w:t>
      </w:r>
    </w:p>
    <w:p w14:paraId="3DFB339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32" w:name="_Toc3948"/>
      <w:bookmarkStart w:id="333" w:name="_Toc5970"/>
      <w:bookmarkStart w:id="334" w:name="_Toc11554"/>
      <w:bookmarkStart w:id="335" w:name="_Toc5177"/>
      <w:bookmarkStart w:id="336" w:name="_Toc4791"/>
      <w:bookmarkStart w:id="337" w:name="_Toc28946"/>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.4  供配电系统</w:t>
      </w:r>
      <w:bookmarkEnd w:id="332"/>
      <w:bookmarkEnd w:id="333"/>
      <w:bookmarkEnd w:id="334"/>
      <w:bookmarkEnd w:id="335"/>
      <w:bookmarkEnd w:id="336"/>
      <w:bookmarkEnd w:id="337"/>
    </w:p>
    <w:p w14:paraId="271E57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.4.1</w:t>
      </w:r>
      <w:r>
        <w:rPr>
          <w:rFonts w:hint="eastAsia" w:ascii="宋体" w:hAnsi="宋体" w:eastAsia="宋体" w:cs="宋体"/>
          <w:color w:val="auto"/>
          <w:sz w:val="24"/>
          <w:szCs w:val="24"/>
          <w:highlight w:val="none"/>
          <w:lang w:val="en-US" w:eastAsia="zh-CN"/>
        </w:rPr>
        <w:t xml:space="preserve">  应符合现行国家标准《建筑电气与智能化通用规范》GB 55024等技术标准的相关规定做好配电系统的运行维护工作。高低压配电房墙面应张贴逻辑清晰的供电系统图（例如 设置一次</w:t>
      </w:r>
      <w:r>
        <w:rPr>
          <w:rFonts w:hint="eastAsia" w:ascii="宋体" w:hAnsi="宋体" w:cs="宋体"/>
          <w:color w:val="auto"/>
          <w:sz w:val="24"/>
          <w:szCs w:val="24"/>
          <w:highlight w:val="none"/>
          <w:lang w:val="en-US" w:eastAsia="zh-CN"/>
        </w:rPr>
        <w:t>结</w:t>
      </w:r>
      <w:r>
        <w:rPr>
          <w:rFonts w:hint="eastAsia" w:ascii="宋体" w:hAnsi="宋体" w:eastAsia="宋体" w:cs="宋体"/>
          <w:color w:val="auto"/>
          <w:sz w:val="24"/>
          <w:szCs w:val="24"/>
          <w:highlight w:val="none"/>
          <w:lang w:val="en-US" w:eastAsia="zh-CN"/>
        </w:rPr>
        <w:t>线图），</w:t>
      </w:r>
      <w:r>
        <w:rPr>
          <w:rFonts w:hint="eastAsia" w:ascii="宋体" w:hAnsi="宋体" w:cs="宋体"/>
          <w:color w:val="auto"/>
          <w:sz w:val="24"/>
          <w:szCs w:val="24"/>
          <w:highlight w:val="none"/>
          <w:lang w:val="en-US" w:eastAsia="zh-CN"/>
        </w:rPr>
        <w:t>结</w:t>
      </w:r>
      <w:r>
        <w:rPr>
          <w:rFonts w:hint="eastAsia" w:ascii="宋体" w:hAnsi="宋体" w:eastAsia="宋体" w:cs="宋体"/>
          <w:color w:val="auto"/>
          <w:sz w:val="24"/>
          <w:szCs w:val="24"/>
          <w:highlight w:val="none"/>
          <w:lang w:val="en-US" w:eastAsia="zh-CN"/>
        </w:rPr>
        <w:t>线图与配电实际相符；高低压配电房及应急发电机房消防设备气体灭火、细水雾灭火等系统设施设备接线及运行正常，系统组件和设备功能完好，气瓶压力在正常范围之内；有关管理制度及操作程序与现场设施相匹配；现场管理人员熟悉操作，达到随时启停设备的操作能力。维护保养、巡查记录完整准确。</w:t>
      </w:r>
    </w:p>
    <w:p w14:paraId="246D94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.4.2</w:t>
      </w:r>
      <w:r>
        <w:rPr>
          <w:rFonts w:hint="eastAsia" w:ascii="宋体" w:hAnsi="宋体" w:eastAsia="宋体" w:cs="宋体"/>
          <w:color w:val="auto"/>
          <w:sz w:val="24"/>
          <w:szCs w:val="24"/>
          <w:highlight w:val="none"/>
          <w:lang w:val="en-US" w:eastAsia="zh-CN"/>
        </w:rPr>
        <w:t xml:space="preserve">  低压配电柜紧固、整洁、可靠接地；接地电阻符合设计要求；绝缘鞋和绝缘手套等绝缘工具在有效检验期内。低压电容柜柜内整洁，回路熔断器、回路接触器、热继电器等设备正常，电容器无漏油现象。层间电房外的低压配电箱及相关线路运行正常；低压配电箱紧固、整洁；双路互投开关功能正常，消防探测器正常。</w:t>
      </w:r>
    </w:p>
    <w:p w14:paraId="6E9960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.4.3</w:t>
      </w:r>
      <w:r>
        <w:rPr>
          <w:rFonts w:hint="eastAsia" w:ascii="宋体" w:hAnsi="宋体" w:eastAsia="宋体" w:cs="宋体"/>
          <w:color w:val="auto"/>
          <w:sz w:val="24"/>
          <w:szCs w:val="24"/>
          <w:highlight w:val="none"/>
          <w:lang w:val="en-US" w:eastAsia="zh-CN"/>
        </w:rPr>
        <w:t xml:space="preserve">  应急发电机可正常启动，启动后运行正常，储油间及机房防火措施设置得当。应急发电机操作人员熟练操作，空载试运行供电频率达到 50Hz</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、电压满足要求，发电机储油量应不少于储油罐/箱的</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50%</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，应符合现行国家标准《建筑防火通用规范》GB 55037的相关规定，单间储油间的燃油存量不大于1m³，充电机和蓄电池功能正常，储油间及机房应急照明设置得当，管理有序、按保养规范定期试运行。</w:t>
      </w:r>
    </w:p>
    <w:p w14:paraId="46098D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.4.4</w:t>
      </w:r>
      <w:r>
        <w:rPr>
          <w:rFonts w:hint="eastAsia" w:ascii="宋体" w:hAnsi="宋体" w:eastAsia="宋体" w:cs="宋体"/>
          <w:color w:val="auto"/>
          <w:sz w:val="24"/>
          <w:szCs w:val="24"/>
          <w:highlight w:val="none"/>
          <w:lang w:val="en-US" w:eastAsia="zh-CN"/>
        </w:rPr>
        <w:t xml:space="preserve">  避雷装置外观完好，环形避雷带与避雷针及引下线连接良好，外观无变形、无明显锈蚀。每年应委托具有资质的专业机构对建筑防雷与接地系统装置进行检测，检测报告准确，存档备查。维护保养、巡查记录完整。</w:t>
      </w:r>
    </w:p>
    <w:p w14:paraId="70DFEB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.4.5</w:t>
      </w:r>
      <w:r>
        <w:rPr>
          <w:rFonts w:hint="eastAsia" w:ascii="宋体" w:hAnsi="宋体" w:eastAsia="宋体" w:cs="宋体"/>
          <w:color w:val="auto"/>
          <w:sz w:val="24"/>
          <w:szCs w:val="24"/>
          <w:highlight w:val="none"/>
          <w:lang w:val="en-US" w:eastAsia="zh-CN"/>
        </w:rPr>
        <w:t xml:space="preserve">  消防主电源运行正常，双电源供电的自动转换和消防设备的主备电源自动切换功能有效，指示灯与双电源开关投入现状相对应，消防用电设备在火灾期间的最少持续供电时间满足技术标准要求；控制柜应定期保养（主要包括清洁、紧固、润滑、调整和防腐等）。维护保养、巡查记录完整。</w:t>
      </w:r>
    </w:p>
    <w:p w14:paraId="65E2F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 xml:space="preserve">  应建立新能源汽车充电设施定期巡查制度，相关工作记录完整。</w:t>
      </w:r>
    </w:p>
    <w:p w14:paraId="06F53D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i w:val="0"/>
          <w:iCs w:val="0"/>
          <w:color w:val="auto"/>
          <w:kern w:val="2"/>
          <w:sz w:val="24"/>
          <w:szCs w:val="24"/>
          <w:highlight w:val="none"/>
          <w:u w:val="none"/>
          <w:lang w:val="en-US" w:eastAsia="zh-CN" w:bidi="ar"/>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w:t>
      </w:r>
      <w:r>
        <w:rPr>
          <w:rFonts w:hint="eastAsia" w:ascii="Times New Roman" w:hAnsi="Times New Roman" w:cs="Times New Roman"/>
          <w:b/>
          <w:bCs/>
          <w:i w:val="0"/>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 xml:space="preserve">  </w:t>
      </w:r>
      <w:r>
        <w:rPr>
          <w:rFonts w:hint="eastAsia" w:ascii="宋体" w:hAnsi="宋体" w:cs="宋体"/>
          <w:i w:val="0"/>
          <w:iCs w:val="0"/>
          <w:color w:val="auto"/>
          <w:kern w:val="2"/>
          <w:sz w:val="24"/>
          <w:szCs w:val="24"/>
          <w:highlight w:val="none"/>
          <w:u w:val="none"/>
          <w:lang w:val="en-US" w:eastAsia="zh-CN" w:bidi="ar"/>
        </w:rPr>
        <w:t>室外照明故障 12h 内修复</w:t>
      </w:r>
      <w:r>
        <w:rPr>
          <w:rFonts w:hint="eastAsia" w:ascii="宋体" w:hAnsi="宋体" w:eastAsia="宋体" w:cs="宋体"/>
          <w:i w:val="0"/>
          <w:iCs w:val="0"/>
          <w:color w:val="auto"/>
          <w:kern w:val="2"/>
          <w:sz w:val="24"/>
          <w:szCs w:val="24"/>
          <w:highlight w:val="none"/>
          <w:u w:val="none"/>
          <w:lang w:val="en-US" w:eastAsia="zh-CN" w:bidi="ar"/>
        </w:rPr>
        <w:t>，</w:t>
      </w:r>
      <w:r>
        <w:rPr>
          <w:rFonts w:hint="eastAsia" w:ascii="宋体" w:hAnsi="宋体" w:cs="宋体"/>
          <w:i w:val="0"/>
          <w:iCs w:val="0"/>
          <w:color w:val="auto"/>
          <w:kern w:val="2"/>
          <w:sz w:val="24"/>
          <w:szCs w:val="24"/>
          <w:highlight w:val="none"/>
          <w:u w:val="none"/>
          <w:lang w:val="en-US" w:eastAsia="zh-CN" w:bidi="ar"/>
        </w:rPr>
        <w:t>室</w:t>
      </w:r>
      <w:r>
        <w:rPr>
          <w:rFonts w:hint="eastAsia" w:ascii="宋体" w:hAnsi="宋体" w:eastAsia="宋体" w:cs="宋体"/>
          <w:i w:val="0"/>
          <w:iCs w:val="0"/>
          <w:color w:val="auto"/>
          <w:kern w:val="2"/>
          <w:sz w:val="24"/>
          <w:szCs w:val="24"/>
          <w:highlight w:val="none"/>
          <w:u w:val="none"/>
          <w:lang w:val="en-US" w:eastAsia="zh-CN" w:bidi="ar"/>
        </w:rPr>
        <w:t>内照明故障 8h 内修复；应急照明发现故障的，应</w:t>
      </w:r>
      <w:r>
        <w:rPr>
          <w:rFonts w:hint="eastAsia" w:ascii="宋体" w:hAnsi="宋体" w:cs="宋体"/>
          <w:i w:val="0"/>
          <w:iCs w:val="0"/>
          <w:color w:val="auto"/>
          <w:kern w:val="2"/>
          <w:sz w:val="24"/>
          <w:szCs w:val="24"/>
          <w:highlight w:val="none"/>
          <w:u w:val="none"/>
          <w:lang w:val="en-US" w:eastAsia="zh-CN" w:bidi="ar"/>
        </w:rPr>
        <w:t>及</w:t>
      </w:r>
      <w:r>
        <w:rPr>
          <w:rFonts w:hint="eastAsia" w:ascii="宋体" w:hAnsi="宋体" w:eastAsia="宋体" w:cs="宋体"/>
          <w:i w:val="0"/>
          <w:iCs w:val="0"/>
          <w:color w:val="auto"/>
          <w:kern w:val="2"/>
          <w:sz w:val="24"/>
          <w:szCs w:val="24"/>
          <w:highlight w:val="none"/>
          <w:u w:val="none"/>
          <w:lang w:val="en-US" w:eastAsia="zh-CN" w:bidi="ar"/>
        </w:rPr>
        <w:t>时修复。</w:t>
      </w:r>
    </w:p>
    <w:p w14:paraId="6D4942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w:t>
      </w:r>
      <w:r>
        <w:rPr>
          <w:rFonts w:hint="eastAsia" w:ascii="Times New Roman" w:hAnsi="Times New Roman" w:cs="Times New Roman"/>
          <w:b/>
          <w:bCs/>
          <w:i w:val="0"/>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 xml:space="preserve">  有重要和重大</w:t>
      </w:r>
      <w:r>
        <w:rPr>
          <w:rFonts w:hint="eastAsia" w:ascii="宋体" w:hAnsi="宋体" w:cs="宋体"/>
          <w:color w:val="auto"/>
          <w:sz w:val="24"/>
          <w:szCs w:val="24"/>
          <w:highlight w:val="none"/>
          <w:lang w:val="en-US" w:eastAsia="zh-CN"/>
        </w:rPr>
        <w:t>会议/</w:t>
      </w:r>
      <w:r>
        <w:rPr>
          <w:rFonts w:hint="eastAsia" w:ascii="宋体" w:hAnsi="宋体" w:eastAsia="宋体" w:cs="宋体"/>
          <w:color w:val="auto"/>
          <w:sz w:val="24"/>
          <w:szCs w:val="24"/>
          <w:highlight w:val="none"/>
          <w:lang w:val="en-US" w:eastAsia="zh-CN"/>
        </w:rPr>
        <w:t>活动时，提前对</w:t>
      </w:r>
      <w:r>
        <w:rPr>
          <w:rFonts w:hint="eastAsia" w:ascii="宋体" w:hAnsi="宋体" w:cs="宋体"/>
          <w:color w:val="auto"/>
          <w:sz w:val="24"/>
          <w:szCs w:val="24"/>
          <w:highlight w:val="none"/>
          <w:lang w:val="en-US" w:eastAsia="zh-CN"/>
        </w:rPr>
        <w:t>会议/</w:t>
      </w:r>
      <w:r>
        <w:rPr>
          <w:rFonts w:hint="eastAsia" w:ascii="宋体" w:hAnsi="宋体" w:eastAsia="宋体" w:cs="宋体"/>
          <w:color w:val="auto"/>
          <w:sz w:val="24"/>
          <w:szCs w:val="24"/>
          <w:highlight w:val="none"/>
          <w:lang w:val="en-US" w:eastAsia="zh-CN"/>
        </w:rPr>
        <w:t>活动区域相关照明进行检查、维修。有突发极端天气、自然灾害等发生前对设备设施加强巡视频次、维保，做好应急预案。</w:t>
      </w:r>
    </w:p>
    <w:p w14:paraId="5E20281C">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38" w:name="_Toc14588"/>
      <w:bookmarkStart w:id="339" w:name="_Toc8290"/>
      <w:bookmarkStart w:id="340" w:name="_Toc5705"/>
      <w:bookmarkStart w:id="341" w:name="_Toc22229"/>
      <w:bookmarkStart w:id="342" w:name="_Toc401"/>
      <w:bookmarkStart w:id="343" w:name="_Toc23484"/>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.5  给排水系统</w:t>
      </w:r>
      <w:bookmarkEnd w:id="338"/>
      <w:bookmarkEnd w:id="339"/>
      <w:bookmarkEnd w:id="340"/>
      <w:bookmarkEnd w:id="341"/>
      <w:bookmarkEnd w:id="342"/>
      <w:bookmarkEnd w:id="343"/>
    </w:p>
    <w:p w14:paraId="7A6C9B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.5.1</w:t>
      </w:r>
      <w:r>
        <w:rPr>
          <w:rFonts w:hint="eastAsia" w:ascii="宋体" w:hAnsi="宋体" w:eastAsia="宋体" w:cs="宋体"/>
          <w:color w:val="auto"/>
          <w:sz w:val="24"/>
          <w:szCs w:val="24"/>
          <w:highlight w:val="none"/>
          <w:lang w:val="en-US" w:eastAsia="zh-CN"/>
        </w:rPr>
        <w:t xml:space="preserve">  消防水池/箱设备间的照明、通风、防鼠、灭火、应急照明等主要设施设备功能完好；水池水位符合要求，能正常使用；消火栓系统的最不利点的静压压力应符合国家标准要求。</w:t>
      </w:r>
    </w:p>
    <w:p w14:paraId="1E2F3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.5.2</w:t>
      </w:r>
      <w:r>
        <w:rPr>
          <w:rFonts w:hint="eastAsia" w:ascii="宋体" w:hAnsi="宋体" w:eastAsia="宋体" w:cs="宋体"/>
          <w:color w:val="auto"/>
          <w:sz w:val="24"/>
          <w:szCs w:val="24"/>
          <w:highlight w:val="none"/>
          <w:lang w:val="en-US" w:eastAsia="zh-CN"/>
        </w:rPr>
        <w:t xml:space="preserve">  设有二次供水的水箱/水池按规定清洗消毒、水质化验。二次供水的生活水箱/水池人孔盖板应保持完好并上锁，钥匙由专人保管；溢流管口、透气口应安装防蚊虫网并保持完好；水箱水位尺标识出最高、最低水位。</w:t>
      </w:r>
    </w:p>
    <w:p w14:paraId="024717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 xml:space="preserve">.5.3 </w:t>
      </w:r>
      <w:r>
        <w:rPr>
          <w:rFonts w:hint="eastAsia" w:ascii="宋体" w:hAnsi="宋体" w:eastAsia="宋体" w:cs="宋体"/>
          <w:color w:val="auto"/>
          <w:sz w:val="24"/>
          <w:szCs w:val="24"/>
          <w:highlight w:val="none"/>
          <w:lang w:val="en-US" w:eastAsia="zh-CN"/>
        </w:rPr>
        <w:t xml:space="preserve"> 生活供水系统运行正常，组件及设备功能完好（包括水泵、控制柜等）；无负压供水系统运行正常，组件和设备功能完好（包括控制柜、水泵、稳流调节器、负压控制器等）；维护保养（润滑、补充或更换润滑剂等）及时、情况良好，主、备水泵切换功能正常，巡查记录完整。</w:t>
      </w:r>
    </w:p>
    <w:p w14:paraId="64955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.5.4</w:t>
      </w:r>
      <w:r>
        <w:rPr>
          <w:rFonts w:hint="eastAsia" w:ascii="宋体" w:hAnsi="宋体" w:eastAsia="宋体" w:cs="宋体"/>
          <w:color w:val="auto"/>
          <w:sz w:val="24"/>
          <w:szCs w:val="24"/>
          <w:highlight w:val="none"/>
          <w:lang w:val="en-US" w:eastAsia="zh-CN"/>
        </w:rPr>
        <w:t xml:space="preserve">  给排水管道、阀门等设施标识清晰，阀门开启正常、不生锈、不掉漆；维护保养、巡查记录完整。</w:t>
      </w:r>
    </w:p>
    <w:p w14:paraId="07F105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.5.5</w:t>
      </w:r>
      <w:r>
        <w:rPr>
          <w:rFonts w:hint="eastAsia" w:ascii="宋体" w:hAnsi="宋体" w:eastAsia="宋体" w:cs="宋体"/>
          <w:color w:val="auto"/>
          <w:sz w:val="24"/>
          <w:szCs w:val="24"/>
          <w:highlight w:val="none"/>
          <w:lang w:val="en-US" w:eastAsia="zh-CN"/>
        </w:rPr>
        <w:t xml:space="preserve">  雨、污水井及渠、屋面雨水口等设施畅通，排污和排水主管道水流畅通，装修单元的无泥沙杂物堵塞主排水管，排污泵运行正常，维护保养、巡查记录完整。</w:t>
      </w:r>
    </w:p>
    <w:p w14:paraId="377F6E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.5.6</w:t>
      </w:r>
      <w:r>
        <w:rPr>
          <w:rFonts w:hint="eastAsia" w:ascii="宋体" w:hAnsi="宋体" w:eastAsia="宋体" w:cs="宋体"/>
          <w:color w:val="auto"/>
          <w:sz w:val="24"/>
          <w:szCs w:val="24"/>
          <w:highlight w:val="none"/>
          <w:lang w:val="en-US" w:eastAsia="zh-CN"/>
        </w:rPr>
        <w:t xml:space="preserve">  水景电器设施漏电保护功能正常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实施定期巡查和维护保养；水景控制柜设有标识并上锁管理，水池设有安全警示。维护保养、巡查记录完整。</w:t>
      </w:r>
    </w:p>
    <w:p w14:paraId="68193A7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44" w:name="_Toc16585"/>
      <w:bookmarkStart w:id="345" w:name="_Toc6734"/>
      <w:bookmarkStart w:id="346" w:name="_Toc21845"/>
      <w:bookmarkStart w:id="347" w:name="_Toc32468"/>
      <w:bookmarkStart w:id="348" w:name="_Toc25937"/>
      <w:bookmarkStart w:id="349" w:name="_Toc18095"/>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.6  消防设施</w:t>
      </w:r>
      <w:bookmarkEnd w:id="344"/>
      <w:bookmarkEnd w:id="345"/>
      <w:bookmarkEnd w:id="346"/>
      <w:bookmarkEnd w:id="347"/>
      <w:bookmarkEnd w:id="348"/>
      <w:bookmarkEnd w:id="349"/>
    </w:p>
    <w:p w14:paraId="70F050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.6.1</w:t>
      </w:r>
      <w:r>
        <w:rPr>
          <w:rFonts w:hint="eastAsia" w:ascii="宋体" w:hAnsi="宋体" w:eastAsia="宋体" w:cs="宋体"/>
          <w:color w:val="auto"/>
          <w:sz w:val="24"/>
          <w:szCs w:val="24"/>
          <w:highlight w:val="none"/>
          <w:lang w:val="en-US" w:eastAsia="zh-CN"/>
        </w:rPr>
        <w:t xml:space="preserve">  消防设施维护保养检测应由具备从业条件的消防技术服务机构</w:t>
      </w:r>
      <w:r>
        <w:rPr>
          <w:rFonts w:hint="eastAsia" w:ascii="宋体" w:hAnsi="宋体" w:cs="宋体"/>
          <w:color w:val="auto"/>
          <w:sz w:val="24"/>
          <w:szCs w:val="24"/>
          <w:highlight w:val="none"/>
          <w:lang w:val="en-US" w:eastAsia="zh-CN"/>
        </w:rPr>
        <w:t>实施</w:t>
      </w:r>
      <w:r>
        <w:rPr>
          <w:rFonts w:hint="eastAsia" w:ascii="宋体" w:hAnsi="宋体" w:eastAsia="宋体" w:cs="宋体"/>
          <w:color w:val="auto"/>
          <w:sz w:val="24"/>
          <w:szCs w:val="24"/>
          <w:highlight w:val="none"/>
          <w:lang w:val="en-US" w:eastAsia="zh-CN"/>
        </w:rPr>
        <w:t>，应符合现行国家标准《建筑消防设施的维护管理》GB 25201的相关规定做好消防设施的维护管理。消控室各分系统控制逻辑说明、系统操作规程、应急预案、值班制度、维护保养制度、设备时钟校对制度、值班记录等文件资料完整齐全。</w:t>
      </w:r>
    </w:p>
    <w:p w14:paraId="200A81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.6.2</w:t>
      </w:r>
      <w:r>
        <w:rPr>
          <w:rFonts w:hint="eastAsia" w:ascii="宋体" w:hAnsi="宋体" w:eastAsia="宋体" w:cs="宋体"/>
          <w:color w:val="auto"/>
          <w:sz w:val="24"/>
          <w:szCs w:val="24"/>
          <w:highlight w:val="none"/>
          <w:lang w:val="en-US" w:eastAsia="zh-CN"/>
        </w:rPr>
        <w:t xml:space="preserve">  消防设施、器材和消防标志依法定期进行检测、维护保养且完好有效。消防设施每年进行1次全面检测，检测记录完整准确，存档备查。</w:t>
      </w:r>
    </w:p>
    <w:p w14:paraId="2A1B35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.6.3</w:t>
      </w:r>
      <w:r>
        <w:rPr>
          <w:rFonts w:hint="eastAsia" w:ascii="宋体" w:hAnsi="宋体" w:eastAsia="宋体" w:cs="宋体"/>
          <w:color w:val="auto"/>
          <w:sz w:val="24"/>
          <w:szCs w:val="24"/>
          <w:highlight w:val="none"/>
          <w:lang w:val="en-US" w:eastAsia="zh-CN"/>
        </w:rPr>
        <w:t xml:space="preserve">  火灾自动报警系统完好有效，系统组件和设备功能正常、有效（含火灾报警控制器、消防联动控制器、火灾探测器、手动报警按钮、警报装置、消防电话、应急广播等消防设备），维护保养记录完整；消防控制室防静电地板完好，无堆放杂物。</w:t>
      </w:r>
    </w:p>
    <w:p w14:paraId="42FDB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.6.4</w:t>
      </w:r>
      <w:r>
        <w:rPr>
          <w:rFonts w:hint="eastAsia" w:ascii="宋体" w:hAnsi="宋体" w:eastAsia="宋体" w:cs="宋体"/>
          <w:color w:val="auto"/>
          <w:sz w:val="24"/>
          <w:szCs w:val="24"/>
          <w:highlight w:val="none"/>
          <w:lang w:val="en-US" w:eastAsia="zh-CN"/>
        </w:rPr>
        <w:t xml:space="preserve">  自动灭火系统（自动喷水灭火系统、气体灭火系统等）完好有效（处于准工作状态），各系统组件和设备功能正常、有效（含报警阀组、水流指示器、洒水喷头、末端试水装置、消防水泵、稳压装置等；灭火剂储存容器及容器阀、选择阀、安全泄放装置、阀驱动装置、连接管、集流管信号反馈装置等）、状态标识清楚。维护保养记录完整。</w:t>
      </w:r>
    </w:p>
    <w:p w14:paraId="381D8A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.6.5</w:t>
      </w:r>
      <w:r>
        <w:rPr>
          <w:rFonts w:hint="eastAsia" w:ascii="宋体" w:hAnsi="宋体" w:eastAsia="宋体" w:cs="宋体"/>
          <w:color w:val="auto"/>
          <w:sz w:val="24"/>
          <w:szCs w:val="24"/>
          <w:highlight w:val="none"/>
          <w:lang w:val="en-US" w:eastAsia="zh-CN"/>
        </w:rPr>
        <w:t xml:space="preserve">  消防给水设施完好，供水正常，消火栓系统（含室内、室外）完好有效，系统组件完好和设备功能正常、有效（含消火栓、稳压装置、消火栓泵、水泵</w:t>
      </w:r>
      <w:r>
        <w:rPr>
          <w:rFonts w:hint="eastAsia" w:ascii="宋体" w:hAnsi="宋体" w:cs="宋体"/>
          <w:color w:val="auto"/>
          <w:sz w:val="24"/>
          <w:szCs w:val="24"/>
          <w:highlight w:val="none"/>
          <w:lang w:val="en-US" w:eastAsia="zh-CN"/>
        </w:rPr>
        <w:t>接</w:t>
      </w:r>
      <w:r>
        <w:rPr>
          <w:rFonts w:hint="eastAsia" w:ascii="宋体" w:hAnsi="宋体" w:eastAsia="宋体" w:cs="宋体"/>
          <w:color w:val="auto"/>
          <w:sz w:val="24"/>
          <w:szCs w:val="24"/>
          <w:highlight w:val="none"/>
          <w:lang w:val="en-US" w:eastAsia="zh-CN"/>
        </w:rPr>
        <w:t>合器、消火栓按钮等）、状态标识清楚。消火栓箱按规定设置“定期检验卡”和“设备卡”并填写准确。维护保养记录完整。</w:t>
      </w:r>
    </w:p>
    <w:p w14:paraId="7B1FA2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.6.6</w:t>
      </w:r>
      <w:r>
        <w:rPr>
          <w:rFonts w:hint="eastAsia" w:ascii="宋体" w:hAnsi="宋体" w:eastAsia="宋体" w:cs="宋体"/>
          <w:color w:val="auto"/>
          <w:sz w:val="24"/>
          <w:szCs w:val="24"/>
          <w:highlight w:val="none"/>
          <w:lang w:val="en-US" w:eastAsia="zh-CN"/>
        </w:rPr>
        <w:t xml:space="preserve">  防烟、排烟系统运行正常，系统组件和设备完好、正常、有效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含送风口、电动挡烟垂壁、排烟窗、排烟阀或排烟口的开启或关闭功能，加压送风机、排烟风机、补风机的现场手动启动、火灾自动报警系统自动启动和消防控制室手动启动功能完好有效），排烟阀或排烟口、送风口防护网完好，维护保养记录完整。</w:t>
      </w:r>
    </w:p>
    <w:p w14:paraId="14774E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.6.7</w:t>
      </w:r>
      <w:r>
        <w:rPr>
          <w:rFonts w:hint="eastAsia" w:ascii="宋体" w:hAnsi="宋体" w:eastAsia="宋体" w:cs="宋体"/>
          <w:color w:val="auto"/>
          <w:sz w:val="24"/>
          <w:szCs w:val="24"/>
          <w:highlight w:val="none"/>
          <w:lang w:val="en-US" w:eastAsia="zh-CN"/>
        </w:rPr>
        <w:t xml:space="preserve">  安全疏散设施完整，疏散楼梯间、封闭楼梯间、防烟楼梯间、疏散楼梯和疏散走道、疏散门和安全出口（采用平开门）等设施完好。</w:t>
      </w:r>
    </w:p>
    <w:p w14:paraId="0444A0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.6.8</w:t>
      </w:r>
      <w:r>
        <w:rPr>
          <w:rFonts w:hint="eastAsia" w:ascii="宋体" w:hAnsi="宋体" w:eastAsia="宋体" w:cs="宋体"/>
          <w:color w:val="auto"/>
          <w:sz w:val="24"/>
          <w:szCs w:val="24"/>
          <w:highlight w:val="none"/>
          <w:lang w:val="en-US" w:eastAsia="zh-CN"/>
        </w:rPr>
        <w:t xml:space="preserve">  消防车道、消防电梯、救援场地和入口等灭火救援设施完好、运行正常。维护保养记录完整。</w:t>
      </w:r>
    </w:p>
    <w:p w14:paraId="1F88F7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.6.9</w:t>
      </w:r>
      <w:r>
        <w:rPr>
          <w:rFonts w:hint="eastAsia" w:ascii="宋体" w:hAnsi="宋体" w:eastAsia="宋体" w:cs="宋体"/>
          <w:color w:val="auto"/>
          <w:sz w:val="24"/>
          <w:szCs w:val="24"/>
          <w:highlight w:val="none"/>
          <w:lang w:val="en-US" w:eastAsia="zh-CN"/>
        </w:rPr>
        <w:t xml:space="preserve">  防火分区、防烟分区的防火墙、防火隔墙和防火门（常闭、常开）、窗和防火卷帘完好无损，常开防火门（火灾时）和常闭防火门自行关闭功能有效，防火卷帘手动启闭、联动关闭功能有效。涉及疏散的电动栅杆、疏散通道上的门禁系统控制的门和庭院的电动大门、停车场出入口的挡杆等，火灾发生后，联动控制自动打开功能完好有效。</w:t>
      </w:r>
    </w:p>
    <w:p w14:paraId="05A3F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imes New Roman" w:hAnsi="Times New Roman" w:eastAsia="宋体" w:cs="Times New Roman"/>
          <w:b/>
          <w:bCs/>
          <w:i w:val="0"/>
          <w:color w:val="auto"/>
          <w:kern w:val="2"/>
          <w:sz w:val="24"/>
          <w:szCs w:val="24"/>
          <w:highlight w:val="none"/>
          <w:lang w:val="en-US" w:eastAsia="zh-CN" w:bidi="ar-SA"/>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.6.10</w:t>
      </w:r>
      <w:r>
        <w:rPr>
          <w:rFonts w:hint="eastAsia" w:ascii="宋体" w:hAnsi="宋体" w:eastAsia="宋体" w:cs="宋体"/>
          <w:color w:val="auto"/>
          <w:sz w:val="24"/>
          <w:szCs w:val="24"/>
          <w:highlight w:val="none"/>
          <w:lang w:val="en-US" w:eastAsia="zh-CN"/>
        </w:rPr>
        <w:t xml:space="preserve">  从事建筑消防设施巡查人员（消防技术服务机构从业人员）应持证上岗，熟悉现场设施设备操作、报警确认流程，熟悉消防设施设备的运行情况，有完善的巡查记录。</w:t>
      </w:r>
    </w:p>
    <w:p w14:paraId="62E261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.6.11</w:t>
      </w:r>
      <w:r>
        <w:rPr>
          <w:rFonts w:hint="eastAsia" w:ascii="宋体" w:hAnsi="宋体" w:eastAsia="宋体" w:cs="宋体"/>
          <w:color w:val="auto"/>
          <w:sz w:val="24"/>
          <w:szCs w:val="24"/>
          <w:highlight w:val="none"/>
          <w:lang w:val="en-US" w:eastAsia="zh-CN"/>
        </w:rPr>
        <w:t xml:space="preserve">  与具备从业条件的消防技术服务机构签订消防设施、器材维护保养、检测评估合同，监督履行合同和维保记录完整。</w:t>
      </w:r>
    </w:p>
    <w:p w14:paraId="3372E9E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50" w:name="_Toc32587"/>
      <w:bookmarkStart w:id="351" w:name="_Toc31552"/>
      <w:bookmarkStart w:id="352" w:name="_Toc16730"/>
      <w:bookmarkStart w:id="353" w:name="_Toc19138"/>
      <w:bookmarkStart w:id="354" w:name="_Toc9525"/>
      <w:bookmarkStart w:id="355" w:name="_Toc7648"/>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.7  通风与空调系统</w:t>
      </w:r>
      <w:bookmarkEnd w:id="350"/>
      <w:bookmarkEnd w:id="351"/>
      <w:bookmarkEnd w:id="352"/>
      <w:bookmarkEnd w:id="353"/>
      <w:bookmarkEnd w:id="354"/>
      <w:bookmarkEnd w:id="355"/>
    </w:p>
    <w:p w14:paraId="681BCF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.7.1</w:t>
      </w:r>
      <w:r>
        <w:rPr>
          <w:rFonts w:hint="eastAsia" w:ascii="宋体" w:hAnsi="宋体" w:eastAsia="宋体" w:cs="宋体"/>
          <w:color w:val="auto"/>
          <w:sz w:val="24"/>
          <w:szCs w:val="24"/>
          <w:highlight w:val="none"/>
          <w:lang w:val="en-US" w:eastAsia="zh-CN"/>
        </w:rPr>
        <w:t xml:space="preserve">  应遵守空调设备安全操作规程，维护保养标准符合设备要求，确保楼宇控制系统正常运行。</w:t>
      </w:r>
    </w:p>
    <w:p w14:paraId="0451BC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.7.2</w:t>
      </w:r>
      <w:r>
        <w:rPr>
          <w:rFonts w:hint="eastAsia" w:ascii="宋体" w:hAnsi="宋体" w:eastAsia="宋体" w:cs="宋体"/>
          <w:color w:val="auto"/>
          <w:sz w:val="24"/>
          <w:szCs w:val="24"/>
          <w:highlight w:val="none"/>
          <w:lang w:val="en-US" w:eastAsia="zh-CN"/>
        </w:rPr>
        <w:t xml:space="preserve">  主机应有专人值守，定期巡查主机运行情况，记录运行参数并存档。</w:t>
      </w:r>
    </w:p>
    <w:p w14:paraId="5B8B6F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.7.3</w:t>
      </w:r>
      <w:r>
        <w:rPr>
          <w:rFonts w:hint="eastAsia" w:ascii="宋体" w:hAnsi="宋体" w:eastAsia="宋体" w:cs="宋体"/>
          <w:color w:val="auto"/>
          <w:sz w:val="24"/>
          <w:szCs w:val="24"/>
          <w:highlight w:val="none"/>
          <w:lang w:val="en-US" w:eastAsia="zh-CN"/>
        </w:rPr>
        <w:t xml:space="preserve">  应每天对大堂、会议室、过道等区域，测试出风口温度、湿度，确保温度和湿度符合规范要求；巡查压力容器、安全附件及附属设备；每周检查空调系统各种管道、风道、阀件及仪表、空调系统主机、水泵、电机、冷却塔、膨胀水箱等设备；每月检测冷却塔、盘管风机及出风设备的运行噪音、气流速度。</w:t>
      </w:r>
    </w:p>
    <w:p w14:paraId="0CBBB3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.7.4</w:t>
      </w:r>
      <w:r>
        <w:rPr>
          <w:rFonts w:hint="eastAsia" w:ascii="宋体" w:hAnsi="宋体" w:eastAsia="宋体" w:cs="宋体"/>
          <w:color w:val="auto"/>
          <w:sz w:val="24"/>
          <w:szCs w:val="24"/>
          <w:highlight w:val="none"/>
          <w:lang w:val="en-US" w:eastAsia="zh-CN"/>
        </w:rPr>
        <w:t xml:space="preserve">  空调循环水处理宜由相关资质机构进行维护保养，空调循环水水质宜每年进行2次军团菌检测。应定期清洁新风机、盘管滤网、检查过滤网的压差、开关信号、风机故障报警信号等。</w:t>
      </w:r>
    </w:p>
    <w:p w14:paraId="50AE07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.7.5</w:t>
      </w:r>
      <w:r>
        <w:rPr>
          <w:rFonts w:hint="eastAsia" w:ascii="宋体" w:hAnsi="宋体" w:eastAsia="宋体" w:cs="宋体"/>
          <w:color w:val="auto"/>
          <w:sz w:val="24"/>
          <w:szCs w:val="24"/>
          <w:highlight w:val="none"/>
          <w:lang w:val="en-US" w:eastAsia="zh-CN"/>
        </w:rPr>
        <w:t xml:space="preserve">  应符合现行国家标准《空调通风系统运行管理标准》GB 50365的相关规定建立运行、维修保养、检测、节能等管理机制并做好记录。根据系统的冷（热）负荷及能源供应等条件，按节能环保的原则，制定合理的全年运行方案。</w:t>
      </w:r>
    </w:p>
    <w:p w14:paraId="071E7F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.7.6</w:t>
      </w:r>
      <w:r>
        <w:rPr>
          <w:rFonts w:hint="eastAsia" w:ascii="宋体" w:hAnsi="宋体" w:eastAsia="宋体" w:cs="宋体"/>
          <w:color w:val="auto"/>
          <w:sz w:val="24"/>
          <w:szCs w:val="24"/>
          <w:highlight w:val="none"/>
          <w:lang w:val="en-US" w:eastAsia="zh-CN"/>
        </w:rPr>
        <w:t xml:space="preserve">  应定期保养系统设备，养护应符合现行国家标准《空调通风系统运行管理标准》GB 50365的相关规定；集中空调通风系统应符合现行行业标准 《公共场所集中空调通风系统清洗消毒规范》</w:t>
      </w:r>
      <w:r>
        <w:rPr>
          <w:rFonts w:hint="eastAsia" w:ascii="宋体" w:hAnsi="宋体" w:cs="宋体"/>
          <w:color w:val="auto"/>
          <w:sz w:val="24"/>
          <w:szCs w:val="24"/>
          <w:highlight w:val="none"/>
          <w:lang w:val="en-US" w:eastAsia="zh-CN"/>
        </w:rPr>
        <w:t>WS/T 10005</w:t>
      </w:r>
      <w:r>
        <w:rPr>
          <w:rFonts w:hint="eastAsia" w:ascii="宋体" w:hAnsi="宋体" w:eastAsia="宋体" w:cs="宋体"/>
          <w:color w:val="auto"/>
          <w:sz w:val="24"/>
          <w:szCs w:val="24"/>
          <w:highlight w:val="none"/>
          <w:lang w:val="en-US" w:eastAsia="zh-CN"/>
        </w:rPr>
        <w:t>的相关规定进行清洗和消毒。</w:t>
      </w:r>
    </w:p>
    <w:p w14:paraId="2EBE3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w:t>
      </w:r>
      <w:r>
        <w:rPr>
          <w:rFonts w:hint="eastAsia" w:ascii="Times New Roman" w:hAnsi="Times New Roman" w:cs="Times New Roman"/>
          <w:b/>
          <w:bCs/>
          <w:i w:val="0"/>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 xml:space="preserve">  每年</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val="en-US" w:eastAsia="zh-CN"/>
        </w:rPr>
        <w:t>对系统进行</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整体性维修养护,检验</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次压力容器、仪表及冷却塔噪声。</w:t>
      </w:r>
    </w:p>
    <w:p w14:paraId="7C908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w:t>
      </w:r>
      <w:r>
        <w:rPr>
          <w:rFonts w:hint="eastAsia" w:ascii="Times New Roman" w:hAnsi="Times New Roman" w:cs="Times New Roman"/>
          <w:b/>
          <w:bCs/>
          <w:i w:val="0"/>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 xml:space="preserve">  每年</w:t>
      </w:r>
      <w:r>
        <w:rPr>
          <w:rFonts w:hint="eastAsia" w:ascii="宋体" w:hAnsi="宋体" w:cs="宋体"/>
          <w:color w:val="auto"/>
          <w:sz w:val="24"/>
          <w:szCs w:val="24"/>
          <w:highlight w:val="none"/>
          <w:lang w:val="en-US" w:eastAsia="zh-CN"/>
        </w:rPr>
        <w:t>应</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val="en-US" w:eastAsia="zh-CN"/>
        </w:rPr>
        <w:t>新风机、空气处理机滤网等</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清洗消毒</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每</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应</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val="en-US" w:eastAsia="zh-CN"/>
        </w:rPr>
        <w:t>风管</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清洗消毒。</w:t>
      </w:r>
    </w:p>
    <w:p w14:paraId="5EAEE8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imes New Roman" w:hAnsi="Times New Roman" w:cs="Times New Roman"/>
          <w:b/>
          <w:bCs/>
          <w:i w:val="0"/>
          <w:color w:val="auto"/>
          <w:kern w:val="2"/>
          <w:sz w:val="24"/>
          <w:szCs w:val="24"/>
          <w:highlight w:val="none"/>
          <w:lang w:val="en-US" w:eastAsia="zh-CN" w:bidi="ar-SA"/>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w:t>
      </w:r>
      <w:r>
        <w:rPr>
          <w:rFonts w:hint="eastAsia" w:ascii="Times New Roman" w:hAnsi="Times New Roman" w:cs="Times New Roman"/>
          <w:b/>
          <w:bCs/>
          <w:i w:val="0"/>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 xml:space="preserve">  每年</w:t>
      </w:r>
      <w:r>
        <w:rPr>
          <w:rFonts w:hint="eastAsia" w:ascii="宋体" w:hAnsi="宋体" w:cs="宋体"/>
          <w:color w:val="auto"/>
          <w:sz w:val="24"/>
          <w:szCs w:val="24"/>
          <w:highlight w:val="none"/>
          <w:lang w:val="en-US" w:eastAsia="zh-CN"/>
        </w:rPr>
        <w:t>应</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val="en-US" w:eastAsia="zh-CN"/>
        </w:rPr>
        <w:t>分体式空调主机和室外机</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清洁。每月</w:t>
      </w:r>
      <w:r>
        <w:rPr>
          <w:rFonts w:hint="eastAsia" w:ascii="宋体" w:hAnsi="宋体" w:cs="宋体"/>
          <w:color w:val="auto"/>
          <w:sz w:val="24"/>
          <w:szCs w:val="24"/>
          <w:highlight w:val="none"/>
          <w:lang w:val="en-US" w:eastAsia="zh-CN"/>
        </w:rPr>
        <w:t>应</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次巡查挂机和室外支架是否稳固。</w:t>
      </w:r>
    </w:p>
    <w:p w14:paraId="1E373FE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56" w:name="_Toc10395"/>
      <w:bookmarkStart w:id="357" w:name="_Toc20826"/>
      <w:bookmarkStart w:id="358" w:name="_Toc10416"/>
      <w:bookmarkStart w:id="359" w:name="_Toc31410"/>
      <w:bookmarkStart w:id="360" w:name="_Toc30786"/>
      <w:bookmarkStart w:id="361" w:name="_Toc4829"/>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.8  电梯系统</w:t>
      </w:r>
      <w:bookmarkEnd w:id="356"/>
      <w:bookmarkEnd w:id="357"/>
      <w:bookmarkEnd w:id="358"/>
      <w:bookmarkEnd w:id="359"/>
      <w:bookmarkEnd w:id="360"/>
      <w:bookmarkEnd w:id="361"/>
    </w:p>
    <w:p w14:paraId="20E1C7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.8.1</w:t>
      </w:r>
      <w:r>
        <w:rPr>
          <w:rFonts w:hint="eastAsia" w:ascii="宋体" w:hAnsi="宋体" w:eastAsia="宋体" w:cs="宋体"/>
          <w:color w:val="auto"/>
          <w:sz w:val="24"/>
          <w:szCs w:val="24"/>
          <w:highlight w:val="none"/>
          <w:lang w:val="en-US" w:eastAsia="zh-CN"/>
        </w:rPr>
        <w:t xml:space="preserve">  电梯运行正常，定期检验合格。电梯安全员每日</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次</w:t>
      </w:r>
      <w:r>
        <w:rPr>
          <w:rFonts w:hint="eastAsia" w:ascii="宋体" w:hAnsi="宋体" w:eastAsia="宋体" w:cs="宋体"/>
          <w:color w:val="auto"/>
          <w:sz w:val="24"/>
          <w:szCs w:val="24"/>
          <w:highlight w:val="none"/>
          <w:lang w:val="en-US" w:eastAsia="zh-CN"/>
        </w:rPr>
        <w:t>进行巡检，实行零风险报告。在电梯显著位置内张贴“电梯检验合格标志 ”“电梯安全使用须知 ”“维保单位名称和电话标识 ”“禁止吸烟标志 ”和“严禁推门、扒门的警告标志 ”等；电梯紧急呼叫及通话系统正常，接听人员用语规范。</w:t>
      </w:r>
    </w:p>
    <w:p w14:paraId="24BC5D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.8.2</w:t>
      </w:r>
      <w:r>
        <w:rPr>
          <w:rFonts w:hint="eastAsia" w:ascii="宋体" w:hAnsi="宋体" w:eastAsia="宋体" w:cs="宋体"/>
          <w:color w:val="auto"/>
          <w:sz w:val="24"/>
          <w:szCs w:val="24"/>
          <w:highlight w:val="none"/>
          <w:lang w:val="en-US" w:eastAsia="zh-CN"/>
        </w:rPr>
        <w:t xml:space="preserve">  委托具有电梯维修保养资质的单位进行电梯维护保养，应符合现行行业标准《电梯维护保养规则》TSG T5002 的相关规</w:t>
      </w:r>
      <w:r>
        <w:rPr>
          <w:rFonts w:hint="eastAsia" w:ascii="宋体" w:hAnsi="宋体" w:cs="宋体"/>
          <w:color w:val="auto"/>
          <w:sz w:val="24"/>
          <w:szCs w:val="24"/>
          <w:highlight w:val="none"/>
          <w:lang w:val="en-US" w:eastAsia="zh-CN"/>
        </w:rPr>
        <w:t>定和</w:t>
      </w:r>
      <w:r>
        <w:rPr>
          <w:rFonts w:hint="eastAsia" w:ascii="宋体" w:hAnsi="宋体" w:eastAsia="宋体" w:cs="宋体"/>
          <w:color w:val="auto"/>
          <w:sz w:val="24"/>
          <w:szCs w:val="24"/>
          <w:highlight w:val="none"/>
          <w:lang w:val="en-US" w:eastAsia="zh-CN"/>
        </w:rPr>
        <w:t>电梯维护保养规则进行保养，物业服务企业配备的电梯安全管理人员对电梯日常使用安全及电梯维护保养作业实施监督。</w:t>
      </w:r>
    </w:p>
    <w:p w14:paraId="5405D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.8.3</w:t>
      </w:r>
      <w:r>
        <w:rPr>
          <w:rFonts w:hint="eastAsia" w:ascii="宋体" w:hAnsi="宋体" w:eastAsia="宋体" w:cs="宋体"/>
          <w:color w:val="auto"/>
          <w:sz w:val="24"/>
          <w:szCs w:val="24"/>
          <w:highlight w:val="none"/>
          <w:lang w:val="en-US" w:eastAsia="zh-CN"/>
        </w:rPr>
        <w:t xml:space="preserve">  应制定电梯困人</w:t>
      </w:r>
      <w:r>
        <w:rPr>
          <w:rFonts w:hint="eastAsia" w:ascii="宋体" w:hAnsi="宋体" w:cs="宋体"/>
          <w:color w:val="auto"/>
          <w:sz w:val="24"/>
          <w:szCs w:val="24"/>
          <w:highlight w:val="none"/>
          <w:lang w:val="en-US" w:eastAsia="zh-CN"/>
        </w:rPr>
        <w:t>或其他</w:t>
      </w:r>
      <w:r>
        <w:rPr>
          <w:rFonts w:hint="eastAsia" w:ascii="宋体" w:hAnsi="宋体" w:eastAsia="宋体" w:cs="宋体"/>
          <w:color w:val="auto"/>
          <w:sz w:val="24"/>
          <w:szCs w:val="24"/>
          <w:highlight w:val="none"/>
          <w:lang w:val="en-US" w:eastAsia="zh-CN"/>
        </w:rPr>
        <w:t>重大事件等电梯应急救援预案并定期演练。发生电梯困人或其他重大事件时，应立即启动应急救援预案，组织救援，及时向相关行政主管部门报告重大事件。配备电梯安全总监和电梯安全员，定期对电梯安全管理人员进行特种设备安全培训，保证其具备必要的安全知识。电梯施行自行检测的应符合现行行业标准《电梯自行检测规则》TSG T7008的相关规定进行。</w:t>
      </w:r>
    </w:p>
    <w:p w14:paraId="44D16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.8.4</w:t>
      </w:r>
      <w:r>
        <w:rPr>
          <w:rFonts w:hint="eastAsia" w:ascii="宋体" w:hAnsi="宋体" w:eastAsia="宋体" w:cs="宋体"/>
          <w:color w:val="auto"/>
          <w:sz w:val="24"/>
          <w:szCs w:val="24"/>
          <w:highlight w:val="none"/>
          <w:lang w:val="en-US" w:eastAsia="zh-CN"/>
        </w:rPr>
        <w:t xml:space="preserve">  电梯机房应急救援工具齐全，机房保养和巡查记录完备。电梯轿厢空调、通风设施运行正常，风口无松动、无尘。</w:t>
      </w:r>
    </w:p>
    <w:p w14:paraId="11E66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.8.5</w:t>
      </w:r>
      <w:r>
        <w:rPr>
          <w:rFonts w:hint="eastAsia" w:ascii="宋体" w:hAnsi="宋体" w:eastAsia="宋体" w:cs="宋体"/>
          <w:color w:val="auto"/>
          <w:sz w:val="24"/>
          <w:szCs w:val="24"/>
          <w:highlight w:val="none"/>
          <w:lang w:val="en-US" w:eastAsia="zh-CN"/>
        </w:rPr>
        <w:t xml:space="preserve">  电梯出现故障时，物业服务人员应及时到达现场处理，专业维修人员应在 30min</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内到达现场维修。</w:t>
      </w:r>
    </w:p>
    <w:p w14:paraId="79C57847">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62" w:name="_Toc26901"/>
      <w:bookmarkStart w:id="363" w:name="_Toc24599"/>
      <w:bookmarkStart w:id="364" w:name="_Toc15096"/>
      <w:bookmarkStart w:id="365" w:name="_Toc30841"/>
      <w:bookmarkStart w:id="366" w:name="_Toc8030"/>
      <w:bookmarkStart w:id="367" w:name="_Toc14105"/>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.9  智能化系统</w:t>
      </w:r>
      <w:bookmarkEnd w:id="362"/>
      <w:bookmarkEnd w:id="363"/>
      <w:bookmarkEnd w:id="364"/>
      <w:bookmarkEnd w:id="365"/>
      <w:bookmarkEnd w:id="366"/>
      <w:bookmarkEnd w:id="367"/>
    </w:p>
    <w:p w14:paraId="5FF397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.9.1</w:t>
      </w:r>
      <w:r>
        <w:rPr>
          <w:rFonts w:hint="eastAsia" w:ascii="宋体" w:hAnsi="宋体" w:eastAsia="宋体" w:cs="宋体"/>
          <w:color w:val="auto"/>
          <w:sz w:val="24"/>
          <w:szCs w:val="24"/>
          <w:highlight w:val="none"/>
          <w:lang w:val="en-US" w:eastAsia="zh-CN"/>
        </w:rPr>
        <w:t xml:space="preserve">  定期对智能化系统设施设备进行检修、维护保养，监控各关键系统如冷冻机、空调、电梯、照明、给排水、变配电、监控、安全防范、广播会议设备、停车场管理等的运行状态，确保设施设备</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24h</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运转正常。</w:t>
      </w:r>
    </w:p>
    <w:p w14:paraId="48FE4B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.9.2</w:t>
      </w:r>
      <w:r>
        <w:rPr>
          <w:rFonts w:hint="eastAsia" w:ascii="宋体" w:hAnsi="宋体" w:eastAsia="宋体" w:cs="宋体"/>
          <w:color w:val="auto"/>
          <w:sz w:val="24"/>
          <w:szCs w:val="24"/>
          <w:highlight w:val="none"/>
          <w:lang w:val="en-US" w:eastAsia="zh-CN"/>
        </w:rPr>
        <w:t xml:space="preserve">  设备整洁干净、外观完好、安装牢固，布线规范、功能正常、设备档案资料、标识齐全。</w:t>
      </w:r>
    </w:p>
    <w:p w14:paraId="228246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.9.3</w:t>
      </w:r>
      <w:r>
        <w:rPr>
          <w:rFonts w:hint="eastAsia" w:ascii="宋体" w:hAnsi="宋体" w:eastAsia="宋体" w:cs="宋体"/>
          <w:color w:val="auto"/>
          <w:sz w:val="24"/>
          <w:szCs w:val="24"/>
          <w:highlight w:val="none"/>
          <w:lang w:val="en-US" w:eastAsia="zh-CN"/>
        </w:rPr>
        <w:t xml:space="preserve">  应配备值班人员并进行智能化设施设备的巡查。各项检查、检测、保养记录完整；定期收集各系统的运行数据，优化设备运行参数；定期备份系统软件及数据。</w:t>
      </w:r>
    </w:p>
    <w:p w14:paraId="4D8E1F9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68" w:name="_Toc15395"/>
      <w:bookmarkStart w:id="369" w:name="_Toc21243"/>
      <w:bookmarkStart w:id="370" w:name="_Toc384"/>
      <w:bookmarkStart w:id="371" w:name="_Toc25362"/>
      <w:bookmarkStart w:id="372" w:name="_Toc8127"/>
      <w:bookmarkStart w:id="373" w:name="_Toc6987"/>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 xml:space="preserve">.10  </w:t>
      </w:r>
      <w:bookmarkEnd w:id="368"/>
      <w:r>
        <w:rPr>
          <w:rFonts w:hint="eastAsia" w:ascii="宋体" w:hAnsi="宋体" w:cs="宋体"/>
          <w:b/>
          <w:bCs/>
          <w:color w:val="auto"/>
          <w:sz w:val="24"/>
          <w:szCs w:val="24"/>
          <w:highlight w:val="none"/>
          <w:lang w:val="en-US" w:eastAsia="zh-CN"/>
        </w:rPr>
        <w:t>安全技术防范系统</w:t>
      </w:r>
      <w:bookmarkEnd w:id="369"/>
      <w:bookmarkEnd w:id="370"/>
      <w:bookmarkEnd w:id="371"/>
      <w:bookmarkEnd w:id="372"/>
      <w:bookmarkEnd w:id="373"/>
    </w:p>
    <w:p w14:paraId="7F9C01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.10.1</w:t>
      </w:r>
      <w:r>
        <w:rPr>
          <w:rFonts w:hint="eastAsia" w:ascii="宋体" w:hAnsi="宋体" w:eastAsia="宋体" w:cs="宋体"/>
          <w:color w:val="auto"/>
          <w:sz w:val="24"/>
          <w:szCs w:val="24"/>
          <w:highlight w:val="none"/>
          <w:lang w:val="en-US" w:eastAsia="zh-CN"/>
        </w:rPr>
        <w:t xml:space="preserve">  出入口设备（道闸、出入口控制器、UPS 备用电源等）整洁干净、无破损、漆面光亮、安装牢固、功能正常，各线路接触良好、缆线捆扎整齐，设备档案资料、标识齐全。</w:t>
      </w:r>
    </w:p>
    <w:p w14:paraId="5E0F6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.10.2</w:t>
      </w:r>
      <w:r>
        <w:rPr>
          <w:rFonts w:hint="eastAsia" w:ascii="宋体" w:hAnsi="宋体" w:eastAsia="宋体" w:cs="宋体"/>
          <w:color w:val="auto"/>
          <w:sz w:val="24"/>
          <w:szCs w:val="24"/>
          <w:highlight w:val="none"/>
          <w:lang w:val="en-US" w:eastAsia="zh-CN"/>
        </w:rPr>
        <w:t xml:space="preserve">  安全防卫设备设施系统功能正常。入侵报警系统的报警监控主机、对讲门</w:t>
      </w:r>
      <w:r>
        <w:rPr>
          <w:rFonts w:hint="eastAsia" w:ascii="宋体" w:hAnsi="宋体" w:cs="宋体"/>
          <w:color w:val="auto"/>
          <w:sz w:val="24"/>
          <w:szCs w:val="24"/>
          <w:highlight w:val="none"/>
          <w:lang w:val="en-US" w:eastAsia="zh-CN"/>
        </w:rPr>
        <w:t>闸机</w:t>
      </w:r>
      <w:r>
        <w:rPr>
          <w:rFonts w:hint="eastAsia" w:ascii="宋体" w:hAnsi="宋体" w:eastAsia="宋体" w:cs="宋体"/>
          <w:color w:val="auto"/>
          <w:sz w:val="24"/>
          <w:szCs w:val="24"/>
          <w:highlight w:val="none"/>
          <w:lang w:val="en-US" w:eastAsia="zh-CN"/>
        </w:rPr>
        <w:t>功能正常。网络控制箱功能正常，外观、接线完好。</w:t>
      </w:r>
    </w:p>
    <w:p w14:paraId="26BD5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.10.3</w:t>
      </w:r>
      <w:r>
        <w:rPr>
          <w:rFonts w:hint="eastAsia" w:ascii="宋体" w:hAnsi="宋体" w:eastAsia="宋体" w:cs="宋体"/>
          <w:color w:val="auto"/>
          <w:sz w:val="24"/>
          <w:szCs w:val="24"/>
          <w:highlight w:val="none"/>
          <w:lang w:val="en-US" w:eastAsia="zh-CN"/>
        </w:rPr>
        <w:t xml:space="preserve">  监控中心数据：图像清晰，监控无盲点，数据有记录，有值班记录，图像文件提取功能正常，视频录像存储容量应能达到 30d</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以上，有特殊要求的参照相关规定执行。</w:t>
      </w:r>
    </w:p>
    <w:p w14:paraId="12E960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.10.4</w:t>
      </w:r>
      <w:r>
        <w:rPr>
          <w:rFonts w:hint="eastAsia" w:ascii="宋体" w:hAnsi="宋体" w:eastAsia="宋体" w:cs="宋体"/>
          <w:color w:val="auto"/>
          <w:sz w:val="24"/>
          <w:szCs w:val="24"/>
          <w:highlight w:val="none"/>
          <w:lang w:val="en-US" w:eastAsia="zh-CN"/>
        </w:rPr>
        <w:t xml:space="preserve">  停车场管理系统电脑、服务器运行正常，数据存储情况良好，出入口设备（道闸、出入口控制器、UPS 备用电源等）功能正常。每年</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1 次重新校对车辆出入闸时间，记录齐备。</w:t>
      </w:r>
    </w:p>
    <w:p w14:paraId="5690421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74" w:name="_Toc9833"/>
      <w:bookmarkStart w:id="375" w:name="_Toc22551"/>
      <w:bookmarkStart w:id="376" w:name="_Toc24603"/>
      <w:bookmarkStart w:id="377" w:name="_Toc18750"/>
      <w:bookmarkStart w:id="378" w:name="_Toc16597"/>
      <w:bookmarkStart w:id="379" w:name="_Toc4342"/>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.11  会议设备设施、网络系统、电话系统</w:t>
      </w:r>
      <w:bookmarkEnd w:id="374"/>
      <w:bookmarkEnd w:id="375"/>
      <w:bookmarkEnd w:id="376"/>
      <w:bookmarkEnd w:id="377"/>
      <w:bookmarkEnd w:id="378"/>
      <w:bookmarkEnd w:id="379"/>
    </w:p>
    <w:p w14:paraId="70780B0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bookmarkStart w:id="380" w:name="_Toc30069"/>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宋体" w:hAnsi="宋体" w:eastAsia="宋体" w:cs="宋体"/>
          <w:color w:val="auto"/>
          <w:sz w:val="24"/>
          <w:szCs w:val="24"/>
          <w:highlight w:val="none"/>
          <w:lang w:val="en-US" w:eastAsia="zh-CN"/>
        </w:rPr>
        <w:t xml:space="preserve">  会议、网络、电话系统各功能正常，随时能正常使用；应定期维护设备系统，维护人员应严格按照操作说明和技术要求。                        </w:t>
      </w:r>
    </w:p>
    <w:p w14:paraId="65CFAE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.11.2</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服务人员应</w:t>
      </w:r>
      <w:r>
        <w:rPr>
          <w:rFonts w:hint="eastAsia" w:ascii="宋体" w:hAnsi="宋体" w:eastAsia="宋体" w:cs="宋体"/>
          <w:color w:val="auto"/>
          <w:sz w:val="24"/>
          <w:szCs w:val="24"/>
          <w:highlight w:val="none"/>
          <w:lang w:val="en-US" w:eastAsia="zh-CN"/>
        </w:rPr>
        <w:t xml:space="preserve">正确使用设备，确保其使用寿命。                                  </w:t>
      </w:r>
    </w:p>
    <w:p w14:paraId="1905E6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.11.3</w:t>
      </w:r>
      <w:r>
        <w:rPr>
          <w:rFonts w:hint="eastAsia" w:ascii="宋体" w:hAnsi="宋体" w:eastAsia="宋体" w:cs="宋体"/>
          <w:color w:val="auto"/>
          <w:sz w:val="24"/>
          <w:szCs w:val="24"/>
          <w:highlight w:val="none"/>
          <w:lang w:val="en-US" w:eastAsia="zh-CN"/>
        </w:rPr>
        <w:t xml:space="preserve">  应建立设施设备档案、维修保养记录、运行记录等内容的文件管理。                                                      </w:t>
      </w:r>
    </w:p>
    <w:p w14:paraId="3D3F8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.11.4</w:t>
      </w:r>
      <w:r>
        <w:rPr>
          <w:rFonts w:hint="eastAsia" w:ascii="宋体" w:hAnsi="宋体" w:eastAsia="宋体" w:cs="宋体"/>
          <w:color w:val="auto"/>
          <w:sz w:val="24"/>
          <w:szCs w:val="24"/>
          <w:highlight w:val="none"/>
          <w:lang w:val="en-US" w:eastAsia="zh-CN"/>
        </w:rPr>
        <w:t xml:space="preserve">  应定期对</w:t>
      </w:r>
      <w:r>
        <w:rPr>
          <w:rFonts w:hint="eastAsia" w:ascii="宋体" w:hAnsi="宋体" w:cs="宋体"/>
          <w:color w:val="auto"/>
          <w:sz w:val="24"/>
          <w:szCs w:val="24"/>
          <w:highlight w:val="none"/>
          <w:lang w:val="en-US" w:eastAsia="zh-CN"/>
        </w:rPr>
        <w:t>音响设备</w:t>
      </w:r>
      <w:r>
        <w:rPr>
          <w:rFonts w:hint="eastAsia" w:ascii="宋体" w:hAnsi="宋体" w:eastAsia="宋体" w:cs="宋体"/>
          <w:color w:val="auto"/>
          <w:sz w:val="24"/>
          <w:szCs w:val="24"/>
          <w:highlight w:val="none"/>
          <w:lang w:val="en-US" w:eastAsia="zh-CN"/>
        </w:rPr>
        <w:t>进行运行测试，至少每半年进行一次全面预防性维护保养，确保背景</w:t>
      </w:r>
      <w:r>
        <w:rPr>
          <w:rFonts w:hint="eastAsia" w:ascii="宋体" w:hAnsi="宋体" w:cs="宋体"/>
          <w:color w:val="auto"/>
          <w:sz w:val="24"/>
          <w:szCs w:val="24"/>
          <w:highlight w:val="none"/>
          <w:lang w:val="en-US" w:eastAsia="zh-CN"/>
        </w:rPr>
        <w:t>音效</w:t>
      </w:r>
      <w:r>
        <w:rPr>
          <w:rFonts w:hint="eastAsia" w:ascii="宋体" w:hAnsi="宋体" w:eastAsia="宋体" w:cs="宋体"/>
          <w:color w:val="auto"/>
          <w:sz w:val="24"/>
          <w:szCs w:val="24"/>
          <w:highlight w:val="none"/>
          <w:lang w:val="en-US" w:eastAsia="zh-CN"/>
        </w:rPr>
        <w:t xml:space="preserve">。                                      </w:t>
      </w:r>
    </w:p>
    <w:p w14:paraId="01203E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.11.5</w:t>
      </w:r>
      <w:r>
        <w:rPr>
          <w:rFonts w:hint="eastAsia" w:ascii="宋体" w:hAnsi="宋体" w:eastAsia="宋体" w:cs="宋体"/>
          <w:color w:val="auto"/>
          <w:sz w:val="24"/>
          <w:szCs w:val="24"/>
          <w:highlight w:val="none"/>
          <w:lang w:val="en-US" w:eastAsia="zh-CN"/>
        </w:rPr>
        <w:t xml:space="preserve">  与消防报警系统的连接切换工作正常。                              </w:t>
      </w:r>
    </w:p>
    <w:p w14:paraId="25C75F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.11.6</w:t>
      </w:r>
      <w:r>
        <w:rPr>
          <w:rFonts w:hint="eastAsia" w:ascii="宋体" w:hAnsi="宋体" w:eastAsia="宋体" w:cs="宋体"/>
          <w:color w:val="auto"/>
          <w:sz w:val="24"/>
          <w:szCs w:val="24"/>
          <w:highlight w:val="none"/>
          <w:lang w:val="en-US" w:eastAsia="zh-CN"/>
        </w:rPr>
        <w:t xml:space="preserve">  根据设备技术说明书中规定的维保周期和实际情况，制定年度预防性维护计划，维护计划应细化到每个月。                                   </w:t>
      </w:r>
    </w:p>
    <w:p w14:paraId="51A648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.11.7</w:t>
      </w:r>
      <w:r>
        <w:rPr>
          <w:rFonts w:hint="eastAsia" w:ascii="宋体" w:hAnsi="宋体" w:eastAsia="宋体" w:cs="宋体"/>
          <w:color w:val="auto"/>
          <w:sz w:val="24"/>
          <w:szCs w:val="24"/>
          <w:highlight w:val="none"/>
          <w:lang w:val="en-US" w:eastAsia="zh-CN"/>
        </w:rPr>
        <w:t xml:space="preserve">  应定期</w:t>
      </w:r>
      <w:r>
        <w:rPr>
          <w:rFonts w:hint="eastAsia" w:ascii="宋体" w:hAnsi="宋体" w:cs="宋体"/>
          <w:color w:val="auto"/>
          <w:sz w:val="24"/>
          <w:szCs w:val="24"/>
          <w:highlight w:val="none"/>
          <w:lang w:val="en-US" w:eastAsia="zh-CN"/>
        </w:rPr>
        <w:t>巡查</w:t>
      </w:r>
      <w:r>
        <w:rPr>
          <w:rFonts w:hint="eastAsia" w:ascii="宋体" w:hAnsi="宋体" w:eastAsia="宋体" w:cs="宋体"/>
          <w:color w:val="auto"/>
          <w:sz w:val="24"/>
          <w:szCs w:val="24"/>
          <w:highlight w:val="none"/>
          <w:lang w:val="en-US" w:eastAsia="zh-CN"/>
        </w:rPr>
        <w:t>，确保设备的环境温度在</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15℃~40℃</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，忌阳光直射忌靠近热源。</w:t>
      </w:r>
    </w:p>
    <w:p w14:paraId="7B2EEF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.11.8</w:t>
      </w:r>
      <w:r>
        <w:rPr>
          <w:rFonts w:hint="eastAsia" w:ascii="宋体" w:hAnsi="宋体" w:eastAsia="宋体" w:cs="宋体"/>
          <w:color w:val="auto"/>
          <w:sz w:val="24"/>
          <w:szCs w:val="24"/>
          <w:highlight w:val="none"/>
          <w:lang w:val="en-US" w:eastAsia="zh-CN"/>
        </w:rPr>
        <w:t xml:space="preserve">  应定期检查设施设备，确保视频、音频、网络线路传输正常、无干扰。</w:t>
      </w:r>
    </w:p>
    <w:p w14:paraId="61C1394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81" w:name="_Toc26281"/>
      <w:bookmarkStart w:id="382" w:name="_Toc17514"/>
      <w:bookmarkStart w:id="383" w:name="_Toc19025"/>
      <w:bookmarkStart w:id="384" w:name="_Toc15898"/>
      <w:bookmarkStart w:id="385" w:name="_Toc1337"/>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.12  公共照明系统</w:t>
      </w:r>
      <w:bookmarkEnd w:id="380"/>
      <w:bookmarkEnd w:id="381"/>
      <w:bookmarkEnd w:id="382"/>
      <w:bookmarkEnd w:id="383"/>
      <w:bookmarkEnd w:id="384"/>
      <w:bookmarkEnd w:id="385"/>
    </w:p>
    <w:p w14:paraId="1F09A1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.12.1</w:t>
      </w:r>
      <w:r>
        <w:rPr>
          <w:rFonts w:hint="eastAsia" w:ascii="宋体" w:hAnsi="宋体" w:eastAsia="宋体" w:cs="宋体"/>
          <w:color w:val="auto"/>
          <w:sz w:val="24"/>
          <w:szCs w:val="24"/>
          <w:highlight w:val="none"/>
          <w:lang w:val="en-US" w:eastAsia="zh-CN"/>
        </w:rPr>
        <w:t xml:space="preserve">  应建立健全的公共照明运行、保养、节能管理制度。</w:t>
      </w:r>
    </w:p>
    <w:p w14:paraId="1C63CD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.12.2</w:t>
      </w:r>
      <w:r>
        <w:rPr>
          <w:rFonts w:hint="eastAsia" w:ascii="宋体" w:hAnsi="宋体" w:eastAsia="宋体" w:cs="宋体"/>
          <w:color w:val="auto"/>
          <w:sz w:val="24"/>
          <w:szCs w:val="24"/>
          <w:highlight w:val="none"/>
          <w:lang w:val="en-US" w:eastAsia="zh-CN"/>
        </w:rPr>
        <w:t xml:space="preserve">  照度应符合现行国家标准《建筑照明设计标准》GB 50034 的相关规定。</w:t>
      </w:r>
    </w:p>
    <w:p w14:paraId="2199D3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.12.3</w:t>
      </w:r>
      <w:r>
        <w:rPr>
          <w:rFonts w:hint="eastAsia" w:ascii="宋体" w:hAnsi="宋体" w:eastAsia="宋体" w:cs="宋体"/>
          <w:color w:val="auto"/>
          <w:sz w:val="24"/>
          <w:szCs w:val="24"/>
          <w:highlight w:val="none"/>
          <w:lang w:val="en-US" w:eastAsia="zh-CN"/>
        </w:rPr>
        <w:t xml:space="preserve">  公共照明设备标识完整、灯具无松脱、开关面板无缺失、接地良好。</w:t>
      </w:r>
    </w:p>
    <w:p w14:paraId="2B813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.12.4</w:t>
      </w:r>
      <w:r>
        <w:rPr>
          <w:rFonts w:hint="eastAsia" w:ascii="宋体" w:hAnsi="宋体" w:eastAsia="宋体" w:cs="宋体"/>
          <w:color w:val="auto"/>
          <w:sz w:val="24"/>
          <w:szCs w:val="24"/>
          <w:highlight w:val="none"/>
          <w:lang w:val="en-US" w:eastAsia="zh-CN"/>
        </w:rPr>
        <w:t xml:space="preserve">  户外路灯、灯柱无松脱、无脱漆、无锈蚀、无变形、接地良好。</w:t>
      </w:r>
    </w:p>
    <w:p w14:paraId="5DABC0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.12.5</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公共</w:t>
      </w:r>
      <w:r>
        <w:rPr>
          <w:rFonts w:hint="eastAsia" w:ascii="宋体" w:hAnsi="宋体" w:eastAsia="宋体" w:cs="宋体"/>
          <w:color w:val="auto"/>
          <w:sz w:val="24"/>
          <w:szCs w:val="24"/>
          <w:highlight w:val="none"/>
          <w:lang w:val="en-US" w:eastAsia="zh-CN"/>
        </w:rPr>
        <w:t>照明灯具完好率≥</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90%</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p>
    <w:p w14:paraId="7F201FB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86" w:name="_Toc24217"/>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人防工程</w:t>
      </w:r>
      <w:bookmarkEnd w:id="386"/>
    </w:p>
    <w:p w14:paraId="53AE7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 xml:space="preserve">  </w:t>
      </w:r>
      <w:r>
        <w:rPr>
          <w:rFonts w:hint="eastAsia" w:ascii="Times New Roman" w:hAnsi="Times New Roman" w:cs="Times New Roman"/>
          <w:b w:val="0"/>
          <w:bCs w:val="0"/>
          <w:i w:val="0"/>
          <w:color w:val="auto"/>
          <w:kern w:val="2"/>
          <w:sz w:val="24"/>
          <w:szCs w:val="24"/>
          <w:highlight w:val="none"/>
          <w:lang w:val="en-US" w:eastAsia="zh-CN" w:bidi="ar-SA"/>
        </w:rPr>
        <w:t>项目具备人防工程的，</w:t>
      </w:r>
      <w:r>
        <w:rPr>
          <w:rFonts w:hint="eastAsia" w:ascii="宋体" w:hAnsi="宋体" w:eastAsia="宋体" w:cs="宋体"/>
          <w:color w:val="auto"/>
          <w:sz w:val="24"/>
          <w:szCs w:val="24"/>
          <w:highlight w:val="none"/>
          <w:lang w:val="en-US" w:eastAsia="zh-CN"/>
        </w:rPr>
        <w:t>人防工程维护保养应符合现行</w:t>
      </w:r>
      <w:r>
        <w:rPr>
          <w:rFonts w:hint="eastAsia" w:ascii="宋体" w:hAnsi="宋体" w:cs="宋体"/>
          <w:color w:val="auto"/>
          <w:sz w:val="24"/>
          <w:szCs w:val="24"/>
          <w:highlight w:val="none"/>
          <w:lang w:val="en-US" w:eastAsia="zh-CN"/>
        </w:rPr>
        <w:t>行业</w:t>
      </w:r>
      <w:r>
        <w:rPr>
          <w:rFonts w:hint="eastAsia" w:ascii="宋体" w:hAnsi="宋体" w:eastAsia="宋体" w:cs="宋体"/>
          <w:color w:val="auto"/>
          <w:sz w:val="24"/>
          <w:szCs w:val="24"/>
          <w:highlight w:val="none"/>
          <w:lang w:val="en-US" w:eastAsia="zh-CN"/>
        </w:rPr>
        <w:t>标准《人民防空工程维护管理技术规程》RFJ</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05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规定</w:t>
      </w:r>
      <w:r>
        <w:rPr>
          <w:rFonts w:hint="eastAsia" w:ascii="宋体" w:hAnsi="宋体" w:cs="宋体"/>
          <w:color w:val="auto"/>
          <w:sz w:val="24"/>
          <w:szCs w:val="24"/>
          <w:highlight w:val="none"/>
          <w:lang w:val="en-US" w:eastAsia="zh-CN"/>
        </w:rPr>
        <w:t>。</w:t>
      </w:r>
    </w:p>
    <w:p w14:paraId="2324AC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 xml:space="preserve">  人防工程维护应满足以下要求:</w:t>
      </w:r>
    </w:p>
    <w:p w14:paraId="1EF0A6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工程内部整洁、无渗漏水</w:t>
      </w:r>
      <w:r>
        <w:rPr>
          <w:rFonts w:hint="eastAsia" w:ascii="宋体" w:hAnsi="宋体" w:cs="宋体"/>
          <w:color w:val="auto"/>
          <w:sz w:val="24"/>
          <w:szCs w:val="24"/>
          <w:highlight w:val="none"/>
          <w:lang w:val="en-US" w:eastAsia="zh-CN"/>
        </w:rPr>
        <w:t>；</w:t>
      </w:r>
    </w:p>
    <w:p w14:paraId="4CD930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风、水、电、暖、通信、消防系统、防汛设施工作正常</w:t>
      </w:r>
      <w:r>
        <w:rPr>
          <w:rFonts w:hint="eastAsia" w:ascii="宋体" w:hAnsi="宋体" w:cs="宋体"/>
          <w:color w:val="auto"/>
          <w:sz w:val="24"/>
          <w:szCs w:val="24"/>
          <w:highlight w:val="none"/>
          <w:lang w:val="en-US" w:eastAsia="zh-CN"/>
        </w:rPr>
        <w:t>；</w:t>
      </w:r>
    </w:p>
    <w:p w14:paraId="237738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金属、木质部件无锈蚀损坏。</w:t>
      </w:r>
    </w:p>
    <w:p w14:paraId="42A5073F">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87" w:name="_Toc29288"/>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新能源汽车充电基础设施</w:t>
      </w:r>
      <w:bookmarkEnd w:id="387"/>
    </w:p>
    <w:p w14:paraId="7F6B0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4</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 xml:space="preserve">  新能源汽车充电基础设施应满足以下要求:</w:t>
      </w:r>
    </w:p>
    <w:p w14:paraId="11026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车位配备满足行业主管部门相关要求</w:t>
      </w:r>
      <w:r>
        <w:rPr>
          <w:rFonts w:hint="eastAsia" w:ascii="宋体" w:hAnsi="宋体" w:cs="宋体"/>
          <w:color w:val="auto"/>
          <w:sz w:val="24"/>
          <w:szCs w:val="24"/>
          <w:highlight w:val="none"/>
          <w:lang w:val="en-US" w:eastAsia="zh-CN"/>
        </w:rPr>
        <w:t>；</w:t>
      </w:r>
    </w:p>
    <w:p w14:paraId="6250BB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机电人员每天上下班时间各巡视</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w:t>
      </w:r>
      <w:r>
        <w:rPr>
          <w:rFonts w:hint="eastAsia" w:ascii="宋体" w:hAnsi="宋体" w:cs="宋体"/>
          <w:color w:val="auto"/>
          <w:sz w:val="24"/>
          <w:szCs w:val="24"/>
          <w:highlight w:val="none"/>
          <w:lang w:val="en-US" w:eastAsia="zh-CN"/>
        </w:rPr>
        <w:t>；</w:t>
      </w:r>
    </w:p>
    <w:p w14:paraId="252D1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维修养护和管理专人专责</w:t>
      </w:r>
      <w:r>
        <w:rPr>
          <w:rFonts w:hint="eastAsia" w:ascii="宋体" w:hAnsi="宋体" w:cs="宋体"/>
          <w:color w:val="auto"/>
          <w:sz w:val="24"/>
          <w:szCs w:val="24"/>
          <w:highlight w:val="none"/>
          <w:lang w:val="en-US" w:eastAsia="zh-CN"/>
        </w:rPr>
        <w:t>；</w:t>
      </w:r>
    </w:p>
    <w:p w14:paraId="54EC60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val="en-US" w:eastAsia="zh-CN"/>
        </w:rPr>
        <w:t>设置单独的用电计量统计</w:t>
      </w:r>
      <w:r>
        <w:rPr>
          <w:rFonts w:hint="eastAsia" w:ascii="宋体" w:hAnsi="宋体" w:cs="宋体"/>
          <w:color w:val="auto"/>
          <w:sz w:val="24"/>
          <w:szCs w:val="24"/>
          <w:highlight w:val="none"/>
          <w:lang w:val="en-US" w:eastAsia="zh-CN"/>
        </w:rPr>
        <w:t>；</w:t>
      </w:r>
    </w:p>
    <w:p w14:paraId="6CFB1C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val="en-US" w:eastAsia="zh-CN"/>
        </w:rPr>
        <w:t>按时间充电刷卡</w:t>
      </w:r>
      <w:r>
        <w:rPr>
          <w:rFonts w:hint="eastAsia" w:ascii="宋体" w:hAnsi="宋体" w:cs="宋体"/>
          <w:color w:val="auto"/>
          <w:sz w:val="24"/>
          <w:szCs w:val="24"/>
          <w:highlight w:val="none"/>
          <w:lang w:val="en-US" w:eastAsia="zh-CN"/>
        </w:rPr>
        <w:t>；</w:t>
      </w:r>
    </w:p>
    <w:p w14:paraId="2D520B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val="en-US" w:eastAsia="zh-CN"/>
        </w:rPr>
        <w:t>充电装置处安装摄像装置</w:t>
      </w:r>
      <w:r>
        <w:rPr>
          <w:rFonts w:hint="eastAsia" w:ascii="宋体" w:hAnsi="宋体" w:cs="宋体"/>
          <w:color w:val="auto"/>
          <w:sz w:val="24"/>
          <w:szCs w:val="24"/>
          <w:highlight w:val="none"/>
          <w:lang w:val="en-US" w:eastAsia="zh-CN"/>
        </w:rPr>
        <w:t>；</w:t>
      </w:r>
    </w:p>
    <w:p w14:paraId="5F4B2F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lang w:val="en-US" w:eastAsia="zh-CN"/>
        </w:rPr>
        <w:t>配备漏电保护功能。</w:t>
      </w:r>
    </w:p>
    <w:p w14:paraId="34418BA2">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388" w:name="_Toc19296"/>
      <w:bookmarkStart w:id="389" w:name="_Toc574"/>
      <w:bookmarkStart w:id="390" w:name="_Toc20472"/>
      <w:bookmarkStart w:id="391" w:name="_Toc9363"/>
      <w:bookmarkStart w:id="392" w:name="_Toc27775"/>
      <w:bookmarkStart w:id="393" w:name="_Toc32391"/>
      <w:r>
        <w:rPr>
          <w:rFonts w:hint="eastAsia" w:cs="Times New Roman"/>
          <w:sz w:val="30"/>
          <w:highlight w:val="none"/>
          <w:lang w:val="en-US" w:eastAsia="zh-CN"/>
        </w:rPr>
        <w:t>9</w:t>
      </w:r>
      <w:r>
        <w:rPr>
          <w:rFonts w:hint="eastAsia" w:ascii="Times New Roman" w:hAnsi="Times New Roman" w:eastAsia="宋体" w:cs="Times New Roman"/>
          <w:sz w:val="30"/>
          <w:highlight w:val="none"/>
          <w:lang w:val="en-US" w:eastAsia="zh-CN"/>
        </w:rPr>
        <w:t xml:space="preserve"> </w:t>
      </w:r>
      <w:r>
        <w:rPr>
          <w:rFonts w:hint="eastAsia" w:cs="Times New Roman"/>
          <w:b/>
          <w:bCs/>
          <w:sz w:val="30"/>
          <w:highlight w:val="none"/>
          <w:lang w:val="en-US" w:eastAsia="zh-CN"/>
        </w:rPr>
        <w:t xml:space="preserve">安  全  </w:t>
      </w:r>
      <w:r>
        <w:rPr>
          <w:rFonts w:hint="eastAsia" w:ascii="Times New Roman" w:hAnsi="Times New Roman" w:eastAsia="宋体" w:cs="Times New Roman"/>
          <w:b/>
          <w:bCs/>
          <w:sz w:val="30"/>
          <w:highlight w:val="none"/>
          <w:lang w:val="en-US" w:eastAsia="zh-CN"/>
        </w:rPr>
        <w:t>服</w:t>
      </w:r>
      <w:r>
        <w:rPr>
          <w:rFonts w:hint="eastAsia" w:cs="Times New Roman"/>
          <w:b/>
          <w:bCs/>
          <w:sz w:val="30"/>
          <w:highlight w:val="none"/>
          <w:lang w:val="en-US" w:eastAsia="zh-CN"/>
        </w:rPr>
        <w:t xml:space="preserve">  </w:t>
      </w:r>
      <w:r>
        <w:rPr>
          <w:rFonts w:hint="eastAsia" w:ascii="Times New Roman" w:hAnsi="Times New Roman" w:eastAsia="宋体" w:cs="Times New Roman"/>
          <w:b/>
          <w:bCs/>
          <w:sz w:val="30"/>
          <w:highlight w:val="none"/>
          <w:lang w:val="en-US" w:eastAsia="zh-CN"/>
        </w:rPr>
        <w:t>务</w:t>
      </w:r>
      <w:bookmarkEnd w:id="388"/>
      <w:bookmarkEnd w:id="389"/>
      <w:bookmarkEnd w:id="390"/>
      <w:bookmarkEnd w:id="391"/>
      <w:bookmarkEnd w:id="392"/>
      <w:bookmarkEnd w:id="393"/>
    </w:p>
    <w:p w14:paraId="4D9A4DAB">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94" w:name="_Toc32705"/>
      <w:bookmarkStart w:id="395" w:name="_Toc16048"/>
      <w:bookmarkStart w:id="396" w:name="_Toc28479"/>
      <w:bookmarkStart w:id="397" w:name="_Toc21908"/>
      <w:bookmarkStart w:id="398" w:name="_Toc2941"/>
      <w:bookmarkStart w:id="399" w:name="_Toc5783"/>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 xml:space="preserve">.1  </w:t>
      </w:r>
      <w:bookmarkEnd w:id="394"/>
      <w:bookmarkStart w:id="400" w:name="_Toc25012"/>
      <w:r>
        <w:rPr>
          <w:rFonts w:hint="eastAsia" w:ascii="宋体" w:hAnsi="宋体" w:eastAsia="宋体" w:cs="宋体"/>
          <w:b/>
          <w:bCs/>
          <w:color w:val="auto"/>
          <w:sz w:val="24"/>
          <w:szCs w:val="24"/>
          <w:highlight w:val="none"/>
          <w:lang w:val="en-US" w:eastAsia="zh-CN"/>
        </w:rPr>
        <w:t xml:space="preserve"> </w:t>
      </w:r>
      <w:bookmarkEnd w:id="400"/>
      <w:r>
        <w:rPr>
          <w:rFonts w:hint="eastAsia" w:ascii="宋体" w:hAnsi="宋体" w:cs="宋体"/>
          <w:b/>
          <w:bCs/>
          <w:color w:val="auto"/>
          <w:sz w:val="24"/>
          <w:szCs w:val="24"/>
          <w:highlight w:val="none"/>
          <w:lang w:val="en-US" w:eastAsia="zh-CN"/>
        </w:rPr>
        <w:t>基本要求</w:t>
      </w:r>
      <w:bookmarkEnd w:id="395"/>
      <w:bookmarkEnd w:id="396"/>
      <w:bookmarkEnd w:id="397"/>
      <w:bookmarkEnd w:id="398"/>
      <w:bookmarkEnd w:id="399"/>
    </w:p>
    <w:p w14:paraId="39E85C8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default" w:ascii="Times New Roman" w:hAnsi="Times New Roman" w:eastAsia="宋体" w:cs="Times New Roman"/>
          <w:b/>
          <w:bCs/>
          <w:i w:val="0"/>
          <w:color w:val="auto"/>
          <w:kern w:val="2"/>
          <w:sz w:val="24"/>
          <w:szCs w:val="24"/>
          <w:highlight w:val="none"/>
          <w:lang w:val="en-US" w:eastAsia="zh-CN" w:bidi="ar-SA"/>
        </w:rPr>
        <w:t>.1</w:t>
      </w:r>
      <w:r>
        <w:rPr>
          <w:rFonts w:hint="default" w:ascii="Times New Roman" w:hAnsi="Times New Roman" w:eastAsia="宋体" w:cs="Times New Roman"/>
          <w:b/>
          <w:bCs/>
          <w:i w:val="0"/>
          <w:color w:val="auto"/>
          <w:sz w:val="24"/>
          <w:szCs w:val="24"/>
          <w:highlight w:val="none"/>
          <w:lang w:val="en-US" w:eastAsia="zh-CN" w:bidi="ar-SA"/>
        </w:rPr>
        <w:t>.1</w:t>
      </w:r>
      <w:r>
        <w:rPr>
          <w:rFonts w:hint="eastAsia" w:ascii="宋体" w:hAnsi="宋体" w:eastAsia="宋体" w:cs="宋体"/>
          <w:b w:val="0"/>
          <w:i w:val="0"/>
          <w:color w:val="auto"/>
          <w:sz w:val="24"/>
          <w:szCs w:val="24"/>
          <w:highlight w:val="none"/>
          <w:lang w:val="en-US" w:eastAsia="zh-CN" w:bidi="ar-SA"/>
        </w:rPr>
        <w:t xml:space="preserve">  </w:t>
      </w:r>
      <w:r>
        <w:rPr>
          <w:rFonts w:hint="default" w:ascii="宋体" w:hAnsi="宋体" w:eastAsia="宋体" w:cs="宋体"/>
          <w:color w:val="auto"/>
          <w:sz w:val="24"/>
          <w:szCs w:val="24"/>
          <w:highlight w:val="none"/>
          <w:lang w:val="en-US" w:eastAsia="zh-CN"/>
        </w:rPr>
        <w:t>应有健全的安全服务管理制度、岗位责任制度和保安员管理制度，工作记录清晰齐备。</w:t>
      </w:r>
    </w:p>
    <w:p w14:paraId="444C66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宋体" w:hAnsi="宋体" w:eastAsia="宋体" w:cs="宋体"/>
          <w:b w:val="0"/>
          <w:i w:val="0"/>
          <w:color w:val="auto"/>
          <w:sz w:val="24"/>
          <w:szCs w:val="24"/>
          <w:highlight w:val="none"/>
          <w:lang w:val="en-US" w:eastAsia="zh-CN" w:bidi="ar-SA"/>
        </w:rPr>
        <w:t xml:space="preserve">  </w:t>
      </w:r>
      <w:r>
        <w:rPr>
          <w:rFonts w:hint="default" w:ascii="宋体" w:hAnsi="宋体" w:eastAsia="宋体" w:cs="宋体"/>
          <w:color w:val="auto"/>
          <w:sz w:val="24"/>
          <w:szCs w:val="24"/>
          <w:highlight w:val="none"/>
          <w:lang w:val="en-US" w:eastAsia="zh-CN"/>
        </w:rPr>
        <w:t>配置安全管理所需的设施设备，可包括身份验证设备、安保设备、安保（警用）器械等</w:t>
      </w:r>
      <w:r>
        <w:rPr>
          <w:rFonts w:hint="eastAsia" w:ascii="宋体" w:hAnsi="宋体" w:eastAsia="宋体" w:cs="宋体"/>
          <w:color w:val="auto"/>
          <w:sz w:val="24"/>
          <w:szCs w:val="24"/>
          <w:highlight w:val="none"/>
          <w:lang w:val="en-US" w:eastAsia="zh-CN"/>
        </w:rPr>
        <w:t>。</w:t>
      </w:r>
    </w:p>
    <w:p w14:paraId="6E3182C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 xml:space="preserve"> 应</w:t>
      </w:r>
      <w:r>
        <w:rPr>
          <w:rFonts w:hint="default" w:ascii="宋体" w:hAnsi="宋体" w:eastAsia="宋体" w:cs="宋体"/>
          <w:color w:val="auto"/>
          <w:sz w:val="24"/>
          <w:szCs w:val="24"/>
          <w:highlight w:val="none"/>
          <w:lang w:val="en-US" w:eastAsia="zh-CN"/>
        </w:rPr>
        <w:t>定期组织保安员进行安全护卫</w:t>
      </w:r>
      <w:r>
        <w:rPr>
          <w:rFonts w:hint="eastAsia" w:ascii="宋体" w:hAnsi="宋体" w:eastAsia="宋体" w:cs="宋体"/>
          <w:color w:val="auto"/>
          <w:sz w:val="24"/>
          <w:szCs w:val="24"/>
          <w:highlight w:val="none"/>
          <w:lang w:val="en-US" w:eastAsia="zh-CN"/>
        </w:rPr>
        <w:t>等</w:t>
      </w:r>
      <w:r>
        <w:rPr>
          <w:rFonts w:hint="default" w:ascii="宋体" w:hAnsi="宋体" w:eastAsia="宋体" w:cs="宋体"/>
          <w:color w:val="auto"/>
          <w:sz w:val="24"/>
          <w:szCs w:val="24"/>
          <w:highlight w:val="none"/>
          <w:lang w:val="en-US" w:eastAsia="zh-CN"/>
        </w:rPr>
        <w:t>相关知识培训学习</w:t>
      </w:r>
      <w:r>
        <w:rPr>
          <w:rFonts w:hint="eastAsia" w:ascii="宋体" w:hAnsi="宋体" w:eastAsia="宋体" w:cs="宋体"/>
          <w:color w:val="auto"/>
          <w:sz w:val="24"/>
          <w:szCs w:val="24"/>
          <w:highlight w:val="none"/>
          <w:lang w:val="en-US" w:eastAsia="zh-CN"/>
        </w:rPr>
        <w:t>。</w:t>
      </w:r>
    </w:p>
    <w:p w14:paraId="206A4D1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保安人员上岗时应佩戴统一标志，按</w:t>
      </w:r>
      <w:r>
        <w:rPr>
          <w:rFonts w:hint="eastAsia" w:ascii="宋体" w:hAnsi="宋体" w:cs="宋体"/>
          <w:color w:val="auto"/>
          <w:sz w:val="24"/>
          <w:szCs w:val="24"/>
          <w:highlight w:val="none"/>
          <w:lang w:val="en-US" w:eastAsia="zh-CN"/>
        </w:rPr>
        <w:t>物业使用单位</w:t>
      </w:r>
      <w:r>
        <w:rPr>
          <w:rFonts w:hint="default"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佩戴</w:t>
      </w:r>
      <w:r>
        <w:rPr>
          <w:rFonts w:hint="default" w:ascii="宋体" w:hAnsi="宋体" w:eastAsia="宋体" w:cs="宋体"/>
          <w:color w:val="auto"/>
          <w:sz w:val="24"/>
          <w:szCs w:val="24"/>
          <w:highlight w:val="none"/>
          <w:lang w:val="en-US" w:eastAsia="zh-CN"/>
        </w:rPr>
        <w:t>器械，仪容仪表整洁规范。</w:t>
      </w:r>
    </w:p>
    <w:p w14:paraId="4726279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01" w:name="_Toc7450"/>
      <w:bookmarkStart w:id="402" w:name="_Toc16062"/>
      <w:bookmarkStart w:id="403" w:name="_Toc29676"/>
      <w:bookmarkStart w:id="404" w:name="_Toc12932"/>
      <w:bookmarkStart w:id="405" w:name="_Toc27675"/>
      <w:bookmarkStart w:id="406" w:name="_Toc28057"/>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 xml:space="preserve">.2  </w:t>
      </w:r>
      <w:r>
        <w:rPr>
          <w:rFonts w:hint="default" w:ascii="宋体" w:hAnsi="宋体" w:eastAsia="宋体" w:cs="宋体"/>
          <w:b/>
          <w:bCs/>
          <w:color w:val="auto"/>
          <w:sz w:val="24"/>
          <w:szCs w:val="24"/>
          <w:highlight w:val="none"/>
          <w:lang w:val="en-US" w:eastAsia="zh-CN"/>
        </w:rPr>
        <w:t>出入管理</w:t>
      </w:r>
      <w:bookmarkEnd w:id="401"/>
      <w:bookmarkEnd w:id="402"/>
      <w:bookmarkEnd w:id="403"/>
      <w:bookmarkEnd w:id="404"/>
      <w:bookmarkEnd w:id="405"/>
      <w:bookmarkEnd w:id="406"/>
    </w:p>
    <w:p w14:paraId="412D657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highlight w:val="none"/>
          <w:lang w:val="en-US" w:eastAsia="zh-CN"/>
        </w:rPr>
      </w:pPr>
      <w:bookmarkStart w:id="407" w:name="_Toc17659"/>
      <w:bookmarkStart w:id="408" w:name="_Toc4922"/>
      <w:bookmarkStart w:id="409" w:name="_Toc9875"/>
      <w:bookmarkStart w:id="410" w:name="_Toc20306"/>
      <w:bookmarkStart w:id="411" w:name="_Toc14329"/>
      <w:bookmarkStart w:id="412" w:name="_Toc8774"/>
      <w:bookmarkStart w:id="413" w:name="_Toc27297"/>
      <w:bookmarkStart w:id="414" w:name="_Toc3135"/>
      <w:r>
        <w:rPr>
          <w:rFonts w:hint="eastAsia" w:ascii="宋体" w:hAnsi="宋体" w:eastAsia="宋体" w:cs="宋体"/>
          <w:b/>
          <w:bCs/>
          <w:color w:val="auto"/>
          <w:sz w:val="24"/>
          <w:szCs w:val="24"/>
          <w:highlight w:val="none"/>
          <w:lang w:val="en-US" w:eastAsia="zh-CN"/>
        </w:rPr>
        <w:t>Ⅰ  人员出入管理</w:t>
      </w:r>
      <w:bookmarkEnd w:id="407"/>
      <w:bookmarkEnd w:id="408"/>
      <w:bookmarkEnd w:id="409"/>
      <w:bookmarkEnd w:id="410"/>
      <w:bookmarkEnd w:id="411"/>
      <w:bookmarkEnd w:id="412"/>
      <w:bookmarkEnd w:id="413"/>
      <w:bookmarkEnd w:id="414"/>
    </w:p>
    <w:p w14:paraId="438482FC">
      <w:pPr>
        <w:pStyle w:val="20"/>
        <w:keepNext w:val="0"/>
        <w:keepLines w:val="0"/>
        <w:pageBreakBefore w:val="0"/>
        <w:numPr>
          <w:ilvl w:val="0"/>
          <w:numId w:val="0"/>
        </w:numPr>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z w:val="24"/>
          <w:szCs w:val="24"/>
          <w:highlight w:val="none"/>
          <w:lang w:val="en-US" w:eastAsia="zh-CN" w:bidi="ar-SA"/>
        </w:rPr>
      </w:pPr>
      <w:bookmarkStart w:id="415" w:name="_Toc20486"/>
      <w:bookmarkStart w:id="416" w:name="_Toc12265"/>
      <w:bookmarkStart w:id="417" w:name="_Toc20758"/>
      <w:bookmarkStart w:id="418" w:name="_Toc5571"/>
      <w:r>
        <w:rPr>
          <w:rFonts w:hint="eastAsia"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.2.1</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bidi="ar-SA"/>
        </w:rPr>
        <w:t>人员出入管理应符合以下要求：</w:t>
      </w:r>
    </w:p>
    <w:p w14:paraId="2BD82712">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  </w:t>
      </w:r>
      <w:r>
        <w:rPr>
          <w:rFonts w:hint="default" w:ascii="宋体" w:hAnsi="宋体" w:eastAsia="宋体" w:cs="宋体"/>
          <w:color w:val="auto"/>
          <w:sz w:val="24"/>
          <w:szCs w:val="24"/>
          <w:highlight w:val="none"/>
          <w:lang w:val="en-US" w:eastAsia="zh-CN" w:bidi="ar-SA"/>
        </w:rPr>
        <w:t>办公楼（区）主出入口应实行</w:t>
      </w:r>
      <w:r>
        <w:rPr>
          <w:rFonts w:hint="eastAsia" w:ascii="宋体" w:hAnsi="宋体" w:cs="宋体"/>
          <w:color w:val="auto"/>
          <w:sz w:val="24"/>
          <w:szCs w:val="24"/>
          <w:highlight w:val="none"/>
          <w:lang w:val="en-US" w:eastAsia="zh-CN" w:bidi="ar-SA"/>
        </w:rPr>
        <w:t xml:space="preserve"> </w:t>
      </w:r>
      <w:r>
        <w:rPr>
          <w:rFonts w:hint="default" w:ascii="宋体" w:hAnsi="宋体" w:eastAsia="宋体" w:cs="宋体"/>
          <w:color w:val="auto"/>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h</w:t>
      </w:r>
      <w:r>
        <w:rPr>
          <w:rFonts w:hint="eastAsia" w:ascii="宋体" w:hAnsi="宋体" w:cs="宋体"/>
          <w:color w:val="auto"/>
          <w:sz w:val="24"/>
          <w:szCs w:val="24"/>
          <w:highlight w:val="none"/>
          <w:lang w:val="en-US" w:eastAsia="zh-CN" w:bidi="ar-SA"/>
        </w:rPr>
        <w:t xml:space="preserve"> </w:t>
      </w:r>
      <w:r>
        <w:rPr>
          <w:rFonts w:hint="default" w:ascii="宋体" w:hAnsi="宋体" w:eastAsia="宋体" w:cs="宋体"/>
          <w:color w:val="auto"/>
          <w:sz w:val="24"/>
          <w:szCs w:val="24"/>
          <w:highlight w:val="none"/>
          <w:lang w:val="en-US" w:eastAsia="zh-CN" w:bidi="ar-SA"/>
        </w:rPr>
        <w:t>值班制，若有多栋办公楼，可在每栋办公楼出入口设出入管理岗；</w:t>
      </w:r>
    </w:p>
    <w:p w14:paraId="1F082206">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2  </w:t>
      </w:r>
      <w:r>
        <w:rPr>
          <w:rFonts w:hint="default" w:ascii="宋体" w:hAnsi="宋体" w:eastAsia="宋体" w:cs="宋体"/>
          <w:color w:val="auto"/>
          <w:sz w:val="24"/>
          <w:szCs w:val="24"/>
          <w:highlight w:val="none"/>
          <w:lang w:val="en-US" w:eastAsia="zh-CN" w:bidi="ar-SA"/>
        </w:rPr>
        <w:t>工作人员应凭有效证件进入办公楼（区）；</w:t>
      </w:r>
    </w:p>
    <w:p w14:paraId="3E6D018E">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3  </w:t>
      </w:r>
      <w:r>
        <w:rPr>
          <w:rFonts w:hint="default" w:ascii="宋体" w:hAnsi="宋体" w:eastAsia="宋体" w:cs="宋体"/>
          <w:color w:val="auto"/>
          <w:sz w:val="24"/>
          <w:szCs w:val="24"/>
          <w:highlight w:val="none"/>
          <w:lang w:val="en-US" w:eastAsia="zh-CN" w:bidi="ar-SA"/>
        </w:rPr>
        <w:t>来访人员申请进入办公楼（区）时，接待登记人员应请其说明事由、受访单位和人员，查验其有效身份证件，拨打办公固定电话与受访单位或人员联系，得到确认答复后办理登记手续；</w:t>
      </w:r>
    </w:p>
    <w:p w14:paraId="3892EE9B">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4  </w:t>
      </w:r>
      <w:r>
        <w:rPr>
          <w:rFonts w:hint="default" w:ascii="宋体" w:hAnsi="宋体" w:eastAsia="宋体" w:cs="宋体"/>
          <w:color w:val="auto"/>
          <w:sz w:val="24"/>
          <w:szCs w:val="24"/>
          <w:highlight w:val="none"/>
          <w:lang w:val="en-US" w:eastAsia="zh-CN" w:bidi="ar-SA"/>
        </w:rPr>
        <w:t>排查可疑人员，对于不出示证件、不按规定登记、不听劝阻而强行闯入者，应及时劝离，必要时通知公安机关进行处理。废品回收或商品推销人员不应进入办公楼（区），确需进入的，应进行验证、登记，联系相关部门征得同意后，由相关工作人员带入、送出；快递人员物品放在指定位置进行登记。</w:t>
      </w:r>
    </w:p>
    <w:p w14:paraId="76EE607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default" w:ascii="宋体" w:hAnsi="宋体" w:eastAsia="宋体" w:cs="宋体"/>
          <w:b/>
          <w:bCs/>
          <w:color w:val="auto"/>
          <w:sz w:val="24"/>
          <w:szCs w:val="24"/>
          <w:highlight w:val="none"/>
          <w:lang w:val="en-US" w:eastAsia="zh-CN"/>
        </w:rPr>
      </w:pPr>
      <w:bookmarkStart w:id="419" w:name="_Toc20452"/>
      <w:bookmarkStart w:id="420" w:name="_Toc9153"/>
      <w:bookmarkStart w:id="421" w:name="_Toc11334"/>
      <w:bookmarkStart w:id="422" w:name="_Toc29369"/>
      <w:bookmarkStart w:id="423" w:name="_Toc25336"/>
      <w:bookmarkStart w:id="424" w:name="_Toc19709"/>
      <w:bookmarkStart w:id="425" w:name="_Toc31764"/>
      <w:bookmarkStart w:id="426" w:name="_Toc25566"/>
      <w:r>
        <w:rPr>
          <w:rFonts w:hint="eastAsia" w:ascii="宋体" w:hAnsi="宋体" w:eastAsia="宋体" w:cs="宋体"/>
          <w:b/>
          <w:bCs/>
          <w:color w:val="auto"/>
          <w:sz w:val="24"/>
          <w:szCs w:val="24"/>
          <w:highlight w:val="none"/>
          <w:lang w:val="en-US" w:eastAsia="zh-CN"/>
        </w:rPr>
        <w:t xml:space="preserve">Ⅱ  </w:t>
      </w:r>
      <w:r>
        <w:rPr>
          <w:rFonts w:hint="default" w:ascii="宋体" w:hAnsi="宋体" w:eastAsia="宋体" w:cs="宋体"/>
          <w:b/>
          <w:bCs/>
          <w:color w:val="auto"/>
          <w:sz w:val="24"/>
          <w:szCs w:val="24"/>
          <w:highlight w:val="none"/>
          <w:lang w:val="en-US" w:eastAsia="zh-CN"/>
        </w:rPr>
        <w:t>物品出入管理</w:t>
      </w:r>
      <w:bookmarkEnd w:id="419"/>
      <w:bookmarkEnd w:id="420"/>
      <w:bookmarkEnd w:id="421"/>
      <w:bookmarkEnd w:id="422"/>
      <w:bookmarkEnd w:id="423"/>
      <w:bookmarkEnd w:id="424"/>
      <w:bookmarkEnd w:id="425"/>
      <w:bookmarkEnd w:id="426"/>
    </w:p>
    <w:p w14:paraId="4BE7DB1B">
      <w:pPr>
        <w:pStyle w:val="20"/>
        <w:keepNext w:val="0"/>
        <w:keepLines w:val="0"/>
        <w:pageBreakBefore w:val="0"/>
        <w:numPr>
          <w:ilvl w:val="0"/>
          <w:numId w:val="0"/>
        </w:numPr>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z w:val="24"/>
          <w:szCs w:val="24"/>
          <w:highlight w:val="none"/>
          <w:lang w:val="en-US" w:eastAsia="zh-CN" w:bidi="ar-SA"/>
        </w:rPr>
      </w:pPr>
      <w:r>
        <w:rPr>
          <w:rFonts w:hint="eastAsia"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.2.2</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bidi="ar-SA"/>
        </w:rPr>
        <w:t>物品出入管理应符合以下要求：</w:t>
      </w:r>
    </w:p>
    <w:p w14:paraId="061D0171">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  </w:t>
      </w:r>
      <w:r>
        <w:rPr>
          <w:rFonts w:hint="default" w:ascii="宋体" w:hAnsi="宋体" w:eastAsia="宋体" w:cs="宋体"/>
          <w:color w:val="auto"/>
          <w:sz w:val="24"/>
          <w:szCs w:val="24"/>
          <w:highlight w:val="none"/>
          <w:lang w:val="en-US" w:eastAsia="zh-CN" w:bidi="ar-SA"/>
        </w:rPr>
        <w:t>进入办公楼（区）的物品应符合国家卫生检疫标准和安全防范要求并进行检查登记；</w:t>
      </w:r>
    </w:p>
    <w:p w14:paraId="0E4D6297">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2  </w:t>
      </w:r>
      <w:r>
        <w:rPr>
          <w:rFonts w:hint="default" w:ascii="宋体" w:hAnsi="宋体" w:eastAsia="宋体" w:cs="宋体"/>
          <w:color w:val="auto"/>
          <w:sz w:val="24"/>
          <w:szCs w:val="24"/>
          <w:highlight w:val="none"/>
          <w:lang w:val="en-US" w:eastAsia="zh-CN" w:bidi="ar-SA"/>
        </w:rPr>
        <w:t xml:space="preserve">当发现有携带可疑危险品（易燃、易爆、剧毒等）进入时，应予以暂留并及时逐级上报； </w:t>
      </w:r>
    </w:p>
    <w:p w14:paraId="3C816E22">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3  </w:t>
      </w:r>
      <w:r>
        <w:rPr>
          <w:rFonts w:hint="default" w:ascii="宋体" w:hAnsi="宋体" w:eastAsia="宋体" w:cs="宋体"/>
          <w:color w:val="auto"/>
          <w:sz w:val="24"/>
          <w:szCs w:val="24"/>
          <w:highlight w:val="none"/>
          <w:lang w:val="en-US" w:eastAsia="zh-CN" w:bidi="ar-SA"/>
        </w:rPr>
        <w:t>大件物品搬出应有相关部门签发的物资放行审批证明，经查验后放行并形成记录；</w:t>
      </w:r>
    </w:p>
    <w:p w14:paraId="5CB30F6A">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4  </w:t>
      </w:r>
      <w:r>
        <w:rPr>
          <w:rFonts w:hint="default" w:ascii="宋体" w:hAnsi="宋体" w:eastAsia="宋体" w:cs="宋体"/>
          <w:color w:val="auto"/>
          <w:sz w:val="24"/>
          <w:szCs w:val="24"/>
          <w:highlight w:val="none"/>
          <w:lang w:val="en-US" w:eastAsia="zh-CN" w:bidi="ar-SA"/>
        </w:rPr>
        <w:t>施工人员携带物品出办公楼（区），应有相关部门开</w:t>
      </w:r>
      <w:r>
        <w:rPr>
          <w:rFonts w:hint="eastAsia" w:ascii="宋体" w:hAnsi="宋体" w:cs="宋体"/>
          <w:color w:val="auto"/>
          <w:sz w:val="24"/>
          <w:szCs w:val="24"/>
          <w:highlight w:val="none"/>
          <w:lang w:val="en-US" w:eastAsia="zh-CN" w:bidi="ar-SA"/>
        </w:rPr>
        <w:t>具</w:t>
      </w:r>
      <w:r>
        <w:rPr>
          <w:rFonts w:hint="default" w:ascii="宋体" w:hAnsi="宋体" w:eastAsia="宋体" w:cs="宋体"/>
          <w:color w:val="auto"/>
          <w:sz w:val="24"/>
          <w:szCs w:val="24"/>
          <w:highlight w:val="none"/>
          <w:lang w:val="en-US" w:eastAsia="zh-CN" w:bidi="ar-SA"/>
        </w:rPr>
        <w:t>的证明和清单，经核实后放行。</w:t>
      </w:r>
    </w:p>
    <w:p w14:paraId="442FC09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default" w:ascii="宋体" w:hAnsi="宋体" w:eastAsia="宋体" w:cs="宋体"/>
          <w:b/>
          <w:bCs/>
          <w:color w:val="auto"/>
          <w:sz w:val="24"/>
          <w:szCs w:val="24"/>
          <w:highlight w:val="none"/>
          <w:lang w:val="en-US" w:eastAsia="zh-CN"/>
        </w:rPr>
      </w:pPr>
      <w:bookmarkStart w:id="427" w:name="_Toc22618"/>
      <w:bookmarkStart w:id="428" w:name="_Toc31437"/>
      <w:bookmarkStart w:id="429" w:name="_Toc31366"/>
      <w:bookmarkStart w:id="430" w:name="_Toc17673"/>
      <w:bookmarkStart w:id="431" w:name="_Toc28192"/>
      <w:bookmarkStart w:id="432" w:name="_Toc7224"/>
      <w:bookmarkStart w:id="433" w:name="_Toc27445"/>
      <w:bookmarkStart w:id="434" w:name="_Toc24446"/>
      <w:r>
        <w:rPr>
          <w:rFonts w:hint="eastAsia" w:ascii="宋体" w:hAnsi="宋体" w:eastAsia="宋体" w:cs="宋体"/>
          <w:b/>
          <w:bCs/>
          <w:color w:val="auto"/>
          <w:sz w:val="24"/>
          <w:szCs w:val="24"/>
          <w:highlight w:val="none"/>
          <w:lang w:val="en-US" w:eastAsia="zh-CN"/>
        </w:rPr>
        <w:t xml:space="preserve">Ⅲ  </w:t>
      </w:r>
      <w:r>
        <w:rPr>
          <w:rFonts w:hint="default" w:ascii="宋体" w:hAnsi="宋体" w:eastAsia="宋体" w:cs="宋体"/>
          <w:b/>
          <w:bCs/>
          <w:color w:val="auto"/>
          <w:sz w:val="24"/>
          <w:szCs w:val="24"/>
          <w:highlight w:val="none"/>
          <w:lang w:val="en-US" w:eastAsia="zh-CN"/>
        </w:rPr>
        <w:t>车辆出入管理</w:t>
      </w:r>
      <w:bookmarkEnd w:id="427"/>
      <w:bookmarkEnd w:id="428"/>
      <w:bookmarkEnd w:id="429"/>
      <w:bookmarkEnd w:id="430"/>
      <w:bookmarkEnd w:id="431"/>
      <w:bookmarkEnd w:id="432"/>
      <w:bookmarkEnd w:id="433"/>
      <w:bookmarkEnd w:id="434"/>
    </w:p>
    <w:p w14:paraId="3DAD6C62">
      <w:pPr>
        <w:pStyle w:val="20"/>
        <w:keepNext w:val="0"/>
        <w:keepLines w:val="0"/>
        <w:pageBreakBefore w:val="0"/>
        <w:numPr>
          <w:ilvl w:val="0"/>
          <w:numId w:val="0"/>
        </w:numPr>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z w:val="24"/>
          <w:szCs w:val="24"/>
          <w:highlight w:val="none"/>
          <w:lang w:val="en-US" w:eastAsia="zh-CN" w:bidi="ar-SA"/>
        </w:rPr>
      </w:pPr>
      <w:r>
        <w:rPr>
          <w:rFonts w:hint="eastAsia"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.2.3</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bidi="ar-SA"/>
        </w:rPr>
        <w:t>车辆出入管理应符合以下要求：</w:t>
      </w:r>
    </w:p>
    <w:p w14:paraId="42987160">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  </w:t>
      </w:r>
      <w:r>
        <w:rPr>
          <w:rFonts w:hint="default" w:ascii="宋体" w:hAnsi="宋体" w:eastAsia="宋体" w:cs="宋体"/>
          <w:color w:val="auto"/>
          <w:sz w:val="24"/>
          <w:szCs w:val="24"/>
          <w:highlight w:val="none"/>
          <w:lang w:val="en-US" w:eastAsia="zh-CN" w:bidi="ar-SA"/>
        </w:rPr>
        <w:t>应凭有效通行证进入办公楼（区）；</w:t>
      </w:r>
    </w:p>
    <w:p w14:paraId="05CC0BC6">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2  </w:t>
      </w:r>
      <w:r>
        <w:rPr>
          <w:rFonts w:hint="default" w:ascii="宋体" w:hAnsi="宋体" w:eastAsia="宋体" w:cs="宋体"/>
          <w:color w:val="auto"/>
          <w:sz w:val="24"/>
          <w:szCs w:val="24"/>
          <w:highlight w:val="none"/>
          <w:lang w:val="en-US" w:eastAsia="zh-CN" w:bidi="ar-SA"/>
        </w:rPr>
        <w:t>制定办公楼（区）车辆行驶路线，对进出办公楼（区）的车辆进行有效疏导，保证出入口的通畅；</w:t>
      </w:r>
    </w:p>
    <w:p w14:paraId="0E4696DF">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highlight w:val="none"/>
          <w:lang w:val="en-US" w:eastAsia="zh-CN"/>
        </w:rPr>
      </w:pPr>
      <w:r>
        <w:rPr>
          <w:rFonts w:hint="eastAsia" w:ascii="宋体" w:hAnsi="宋体" w:eastAsia="宋体" w:cs="宋体"/>
          <w:color w:val="auto"/>
          <w:sz w:val="24"/>
          <w:szCs w:val="24"/>
          <w:highlight w:val="none"/>
          <w:lang w:val="en-US" w:eastAsia="zh-CN" w:bidi="ar-SA"/>
        </w:rPr>
        <w:t xml:space="preserve">3  </w:t>
      </w:r>
      <w:r>
        <w:rPr>
          <w:rFonts w:hint="default" w:ascii="宋体" w:hAnsi="宋体" w:eastAsia="宋体" w:cs="宋体"/>
          <w:color w:val="auto"/>
          <w:sz w:val="24"/>
          <w:szCs w:val="24"/>
          <w:highlight w:val="none"/>
          <w:lang w:val="en-US" w:eastAsia="zh-CN" w:bidi="ar-SA"/>
        </w:rPr>
        <w:t>当外来车辆进入办公楼（区）时，应由门卫指引其路线行驶，由专人指引有序停放在指定区域内。</w:t>
      </w:r>
    </w:p>
    <w:bookmarkEnd w:id="415"/>
    <w:bookmarkEnd w:id="416"/>
    <w:bookmarkEnd w:id="417"/>
    <w:bookmarkEnd w:id="418"/>
    <w:p w14:paraId="4CA721D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35" w:name="_Toc28292"/>
      <w:bookmarkStart w:id="436" w:name="_Toc6049"/>
      <w:bookmarkStart w:id="437" w:name="_Toc27797"/>
      <w:bookmarkStart w:id="438" w:name="_Toc527"/>
      <w:bookmarkStart w:id="439" w:name="_Toc23185"/>
      <w:bookmarkStart w:id="440" w:name="_Toc10964"/>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 xml:space="preserve">.3  </w:t>
      </w:r>
      <w:bookmarkEnd w:id="435"/>
      <w:r>
        <w:rPr>
          <w:rFonts w:hint="eastAsia" w:ascii="宋体" w:hAnsi="宋体" w:cs="宋体"/>
          <w:b/>
          <w:bCs/>
          <w:color w:val="auto"/>
          <w:sz w:val="24"/>
          <w:szCs w:val="24"/>
          <w:highlight w:val="none"/>
          <w:lang w:val="en-US" w:eastAsia="zh-CN"/>
        </w:rPr>
        <w:t>巡查</w:t>
      </w:r>
      <w:bookmarkEnd w:id="436"/>
      <w:bookmarkEnd w:id="437"/>
      <w:bookmarkEnd w:id="438"/>
      <w:bookmarkEnd w:id="439"/>
      <w:bookmarkEnd w:id="440"/>
    </w:p>
    <w:p w14:paraId="3F1B92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bookmarkStart w:id="441" w:name="_Toc28222"/>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 xml:space="preserve">.3.1  </w:t>
      </w:r>
      <w:r>
        <w:rPr>
          <w:rFonts w:hint="default" w:ascii="宋体" w:hAnsi="宋体" w:eastAsia="宋体" w:cs="宋体"/>
          <w:color w:val="auto"/>
          <w:sz w:val="24"/>
          <w:szCs w:val="24"/>
          <w:highlight w:val="none"/>
          <w:lang w:val="en-US" w:eastAsia="zh-CN"/>
        </w:rPr>
        <w:t>应制定巡逻路线，每日定时或不定时对</w:t>
      </w:r>
      <w:r>
        <w:rPr>
          <w:rFonts w:hint="eastAsia" w:ascii="宋体" w:hAnsi="宋体" w:eastAsia="宋体" w:cs="宋体"/>
          <w:color w:val="auto"/>
          <w:sz w:val="24"/>
          <w:szCs w:val="24"/>
          <w:highlight w:val="none"/>
          <w:lang w:val="en-US" w:eastAsia="zh-CN"/>
        </w:rPr>
        <w:t>物业服务区域</w:t>
      </w:r>
      <w:r>
        <w:rPr>
          <w:rFonts w:hint="default" w:ascii="宋体" w:hAnsi="宋体" w:eastAsia="宋体" w:cs="宋体"/>
          <w:color w:val="auto"/>
          <w:sz w:val="24"/>
          <w:szCs w:val="24"/>
          <w:highlight w:val="none"/>
          <w:lang w:val="en-US" w:eastAsia="zh-CN"/>
        </w:rPr>
        <w:t>内重点区域、重点部位进行巡查；重点区域指楼宇天台、停车场</w:t>
      </w:r>
      <w:r>
        <w:rPr>
          <w:rFonts w:hint="eastAsia" w:ascii="宋体" w:hAnsi="宋体" w:eastAsia="宋体" w:cs="宋体"/>
          <w:color w:val="auto"/>
          <w:sz w:val="24"/>
          <w:szCs w:val="24"/>
          <w:highlight w:val="none"/>
          <w:lang w:val="en-US" w:eastAsia="zh-CN"/>
        </w:rPr>
        <w:t>（库）</w:t>
      </w:r>
      <w:r>
        <w:rPr>
          <w:rFonts w:hint="default" w:ascii="宋体" w:hAnsi="宋体" w:eastAsia="宋体" w:cs="宋体"/>
          <w:color w:val="auto"/>
          <w:sz w:val="24"/>
          <w:szCs w:val="24"/>
          <w:highlight w:val="none"/>
          <w:lang w:val="en-US" w:eastAsia="zh-CN"/>
        </w:rPr>
        <w:t>、出入口、外围死角及监控未覆盖易发生安全隐患的物业服务区域；重点部位指发电机房、变配电机房、资料室及有易燃易爆物品场所。有异常情况的频次可适当增加，对重点区域、重点部位增加巡查频次，定期评估路线的有效性。</w:t>
      </w:r>
    </w:p>
    <w:p w14:paraId="644AEA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.3.2</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巡逻期间应重点关注声音、气味、灯光、门窗、管道、电梯、楼顶、车辆、可疑人员等异常情况，保持通讯设施设备畅通。</w:t>
      </w:r>
    </w:p>
    <w:p w14:paraId="6FD420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.3.3</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巡查宜使用巡更设备，做好巡更记录。如无巡更设备，宜保持</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人一组进行巡查，保存重点区域、重点部位巡查记录。</w:t>
      </w:r>
    </w:p>
    <w:p w14:paraId="218317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.3.4</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巡查中发现异常情况，应立即查明并逐级上报同时对紧急情况采取必要的处理措施；发现有可疑人员应前往询问，核实身份。</w:t>
      </w:r>
    </w:p>
    <w:p w14:paraId="31CBE2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outlineLvl w:val="9"/>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.3.5</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巡查记录应真实有效、整齐完整，记录</w:t>
      </w:r>
      <w:r>
        <w:rPr>
          <w:rFonts w:hint="eastAsia" w:ascii="宋体" w:hAnsi="宋体" w:eastAsia="宋体" w:cs="宋体"/>
          <w:color w:val="auto"/>
          <w:sz w:val="24"/>
          <w:szCs w:val="24"/>
          <w:highlight w:val="none"/>
          <w:lang w:val="en-US" w:eastAsia="zh-CN"/>
        </w:rPr>
        <w:t>保存</w:t>
      </w:r>
      <w:r>
        <w:rPr>
          <w:rFonts w:hint="default" w:ascii="宋体" w:hAnsi="宋体" w:eastAsia="宋体" w:cs="宋体"/>
          <w:color w:val="auto"/>
          <w:sz w:val="24"/>
          <w:szCs w:val="24"/>
          <w:highlight w:val="none"/>
          <w:lang w:val="en-US" w:eastAsia="zh-CN"/>
        </w:rPr>
        <w:t>并归档。</w:t>
      </w:r>
    </w:p>
    <w:p w14:paraId="3A9F0A8D">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42" w:name="_Toc9761"/>
      <w:bookmarkStart w:id="443" w:name="_Toc5248"/>
      <w:bookmarkStart w:id="444" w:name="_Toc20341"/>
      <w:bookmarkStart w:id="445" w:name="_Toc2518"/>
      <w:bookmarkStart w:id="446" w:name="_Toc27125"/>
      <w:bookmarkStart w:id="447" w:name="_Toc22474"/>
      <w:r>
        <w:rPr>
          <w:rFonts w:hint="eastAsia" w:ascii="宋体" w:hAnsi="宋体" w:cs="宋体"/>
          <w:b/>
          <w:bCs/>
          <w:color w:val="auto"/>
          <w:sz w:val="24"/>
          <w:szCs w:val="24"/>
          <w:highlight w:val="none"/>
          <w:lang w:val="en-US" w:eastAsia="zh-CN"/>
        </w:rPr>
        <w:t>9</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4</w:t>
      </w:r>
      <w:r>
        <w:rPr>
          <w:rFonts w:hint="default" w:ascii="宋体" w:hAnsi="宋体" w:eastAsia="宋体" w:cs="宋体"/>
          <w:b/>
          <w:bCs/>
          <w:color w:val="auto"/>
          <w:sz w:val="24"/>
          <w:szCs w:val="24"/>
          <w:highlight w:val="none"/>
          <w:lang w:val="en-US" w:eastAsia="zh-CN"/>
        </w:rPr>
        <w:t xml:space="preserve">  车辆停放管理</w:t>
      </w:r>
      <w:bookmarkEnd w:id="442"/>
      <w:bookmarkEnd w:id="443"/>
      <w:bookmarkEnd w:id="444"/>
      <w:bookmarkEnd w:id="445"/>
      <w:bookmarkEnd w:id="446"/>
      <w:bookmarkEnd w:id="447"/>
    </w:p>
    <w:p w14:paraId="29D0AD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.4.1</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建立车辆停放、电动自行车停放等停车场管理制度，妥善保存车辆信息档案。对项目内新能源汽车充电设施建设、巡查充电设施等监管工作建立管理制度，相关工作记录完整应符合现行地方标准《电动汽车充电基础设施建设技术规程》DBJ/T 15-150 的相关规定。</w:t>
      </w:r>
    </w:p>
    <w:p w14:paraId="33898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.4.2</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停车场内配置灭火器材，入口有限高、限速标识，行车标识、减速标识、反光标识和停车线清晰，凸面镜设置妥当，警示标志齐全，有温馨提示。</w:t>
      </w:r>
    </w:p>
    <w:p w14:paraId="174056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.4.3</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配备防汛沙袋、挡水板及相关排水设施设备，防汛沙袋存放处设置明显标识，标注责任人、沙袋数量、联系电话等信息。</w:t>
      </w:r>
    </w:p>
    <w:p w14:paraId="7B15F3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.4.4</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停车场内车辆停放有序，通道顺畅，无杂物、垃圾堆放。</w:t>
      </w:r>
    </w:p>
    <w:p w14:paraId="2050A76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48" w:name="_Toc31787"/>
      <w:bookmarkStart w:id="449" w:name="_Toc12830"/>
      <w:bookmarkStart w:id="450" w:name="_Toc799"/>
      <w:bookmarkStart w:id="451" w:name="_Toc23859"/>
      <w:bookmarkStart w:id="452" w:name="_Toc15199"/>
      <w:bookmarkStart w:id="453" w:name="_Toc25866"/>
      <w:r>
        <w:rPr>
          <w:rFonts w:hint="eastAsia" w:ascii="宋体" w:hAnsi="宋体" w:cs="宋体"/>
          <w:b/>
          <w:bCs/>
          <w:color w:val="auto"/>
          <w:sz w:val="24"/>
          <w:szCs w:val="24"/>
          <w:highlight w:val="none"/>
          <w:lang w:val="en-US" w:eastAsia="zh-CN"/>
        </w:rPr>
        <w:t>9</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5</w:t>
      </w:r>
      <w:r>
        <w:rPr>
          <w:rFonts w:hint="default" w:ascii="宋体" w:hAnsi="宋体" w:eastAsia="宋体" w:cs="宋体"/>
          <w:b/>
          <w:bCs/>
          <w:color w:val="auto"/>
          <w:sz w:val="24"/>
          <w:szCs w:val="24"/>
          <w:highlight w:val="none"/>
          <w:lang w:val="en-US" w:eastAsia="zh-CN"/>
        </w:rPr>
        <w:t xml:space="preserve">  消防安全</w:t>
      </w:r>
      <w:bookmarkEnd w:id="448"/>
      <w:bookmarkEnd w:id="449"/>
      <w:bookmarkEnd w:id="450"/>
      <w:bookmarkEnd w:id="451"/>
      <w:bookmarkEnd w:id="452"/>
      <w:bookmarkEnd w:id="453"/>
    </w:p>
    <w:p w14:paraId="12AFBD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.5.1</w:t>
      </w:r>
      <w:r>
        <w:rPr>
          <w:rFonts w:hint="eastAsia" w:ascii="宋体" w:hAnsi="宋体" w:eastAsia="宋体" w:cs="宋体"/>
          <w:color w:val="auto"/>
          <w:sz w:val="24"/>
          <w:szCs w:val="24"/>
          <w:highlight w:val="none"/>
          <w:lang w:val="en-US" w:eastAsia="zh-CN"/>
        </w:rPr>
        <w:t xml:space="preserve">  应</w:t>
      </w:r>
      <w:r>
        <w:rPr>
          <w:rFonts w:hint="default" w:ascii="宋体" w:hAnsi="宋体" w:eastAsia="宋体" w:cs="宋体"/>
          <w:color w:val="auto"/>
          <w:sz w:val="24"/>
          <w:szCs w:val="24"/>
          <w:highlight w:val="none"/>
          <w:lang w:val="en-US" w:eastAsia="zh-CN"/>
        </w:rPr>
        <w:t>制定灭火和应急疏散预案，应建立志愿消防队，应符合现行</w:t>
      </w:r>
      <w:r>
        <w:rPr>
          <w:rFonts w:hint="eastAsia" w:ascii="宋体" w:hAnsi="宋体" w:eastAsia="宋体" w:cs="宋体"/>
          <w:color w:val="auto"/>
          <w:sz w:val="24"/>
          <w:szCs w:val="24"/>
          <w:highlight w:val="none"/>
          <w:lang w:val="en-US" w:eastAsia="zh-CN"/>
        </w:rPr>
        <w:t>行业</w:t>
      </w:r>
      <w:r>
        <w:rPr>
          <w:rFonts w:hint="default"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住宅物业消防安全管理</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XF 1283 的</w:t>
      </w:r>
      <w:r>
        <w:rPr>
          <w:rFonts w:hint="eastAsia" w:ascii="宋体" w:hAnsi="宋体" w:eastAsia="宋体" w:cs="宋体"/>
          <w:color w:val="auto"/>
          <w:sz w:val="24"/>
          <w:szCs w:val="24"/>
          <w:highlight w:val="none"/>
          <w:lang w:val="en-US" w:eastAsia="zh-CN"/>
        </w:rPr>
        <w:t>相关规定</w:t>
      </w:r>
      <w:r>
        <w:rPr>
          <w:rFonts w:hint="default" w:ascii="宋体" w:hAnsi="宋体" w:eastAsia="宋体" w:cs="宋体"/>
          <w:color w:val="auto"/>
          <w:sz w:val="24"/>
          <w:szCs w:val="24"/>
          <w:highlight w:val="none"/>
          <w:lang w:val="en-US" w:eastAsia="zh-CN"/>
        </w:rPr>
        <w:t>开展消防安全宣传培训和进行每月</w:t>
      </w:r>
      <w:r>
        <w:rPr>
          <w:rFonts w:hint="default" w:ascii="Arial" w:hAnsi="Arial" w:eastAsia="宋体" w:cs="Arial"/>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1次灭火、救生技能训练。每年举办≥1次物业使用人、员工</w:t>
      </w:r>
      <w:r>
        <w:rPr>
          <w:rFonts w:hint="eastAsia" w:ascii="宋体" w:hAnsi="宋体" w:eastAsia="宋体" w:cs="宋体"/>
          <w:color w:val="auto"/>
          <w:sz w:val="24"/>
          <w:szCs w:val="24"/>
          <w:highlight w:val="none"/>
          <w:lang w:val="en-US" w:eastAsia="zh-CN"/>
        </w:rPr>
        <w:t>共同</w:t>
      </w:r>
      <w:r>
        <w:rPr>
          <w:rFonts w:hint="default" w:ascii="宋体" w:hAnsi="宋体" w:eastAsia="宋体" w:cs="宋体"/>
          <w:color w:val="auto"/>
          <w:sz w:val="24"/>
          <w:szCs w:val="24"/>
          <w:highlight w:val="none"/>
          <w:lang w:val="en-US" w:eastAsia="zh-CN"/>
        </w:rPr>
        <w:t>参与的消防演练，有实施方案以及总结，工作到位。</w:t>
      </w:r>
    </w:p>
    <w:p w14:paraId="0E19E2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.5.2</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建立各级、各岗位消防安全责任人及其职责，本项目的消防安全责任制度、消防安全操作规程等重要规章制度在显眼位置进行公示。</w:t>
      </w:r>
    </w:p>
    <w:p w14:paraId="4776C5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.5.3</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消防控制室应由其管理单位实行</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h</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值班制度，每班</w:t>
      </w:r>
      <w:r>
        <w:rPr>
          <w:rFonts w:hint="eastAsia" w:ascii="宋体" w:hAnsi="宋体" w:eastAsia="宋体" w:cs="宋体"/>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人；能够通过城市消防远程监控系统实现远程操作消防控制室所有控制功能的，每班</w:t>
      </w:r>
      <w:r>
        <w:rPr>
          <w:rFonts w:hint="eastAsia" w:ascii="宋体" w:hAnsi="宋体" w:eastAsia="宋体" w:cs="宋体"/>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人，有完善的交接班和消防值班记录，发现设备问题应及时报修和做好记录。消防控制室值班操作人员应依法取得相应等级的消防行业特有工种职业资格证书，熟练掌握火警处置程序和要求，依法履行相关岗位职责。</w:t>
      </w:r>
    </w:p>
    <w:p w14:paraId="604045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b/>
          <w:bCs/>
          <w:i w:val="0"/>
          <w:color w:val="auto"/>
          <w:kern w:val="2"/>
          <w:sz w:val="24"/>
          <w:szCs w:val="24"/>
          <w:highlight w:val="none"/>
          <w:lang w:val="en-US" w:eastAsia="zh-CN" w:bidi="ar-SA"/>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.5.4</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防火卷帘、防火门标识清晰、完好、牢固，防火门、防火卷帘能正常使用，防火卷帘下方无杂物。</w:t>
      </w:r>
    </w:p>
    <w:p w14:paraId="0CC78C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.5.5</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每日应对火灾报警控制器、联动控制设备进行设备运行巡查并记录归档。</w:t>
      </w:r>
    </w:p>
    <w:p w14:paraId="44A714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.5.6</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共有部位防火门、消防疏散楼梯、安全出口指示灯、应急照明灯具及防火封堵措施等正常，灭火器、防烟面罩在有效期内。</w:t>
      </w:r>
    </w:p>
    <w:p w14:paraId="641732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.5.7</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室内外消火栓可正常使用、配置齐全，整洁、封条有效。室外消火栓无掉漆，标识清晰，定期翻新、检查</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保养、检查等工作记录齐备。</w:t>
      </w:r>
    </w:p>
    <w:p w14:paraId="2A565B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 xml:space="preserve">.5.8 </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保障疏散通道、安全出口、消防车通道畅通</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确保避难设施、消防车登高操作场地不被占用、堵塞、封闭，保证防火防烟分区、防火间距符合消防技术标准。</w:t>
      </w:r>
    </w:p>
    <w:p w14:paraId="6DE0D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 xml:space="preserve">.5.9 </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微型消防站、反恐防暴应急物资均宜建立相对应配置台账，定期检查和保养，确保正常使用。</w:t>
      </w:r>
    </w:p>
    <w:p w14:paraId="7D5642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 xml:space="preserve">.5.10 </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建筑内的安全出口、疏散走道、楼梯间、门厅区域应采取禁止电动自行车停放充电的措施，并应设置警示标识。</w:t>
      </w:r>
    </w:p>
    <w:p w14:paraId="469EB71D">
      <w:pPr>
        <w:pStyle w:val="20"/>
        <w:spacing w:line="360" w:lineRule="auto"/>
        <w:rPr>
          <w:rFonts w:hint="eastAsia" w:ascii="宋体" w:hAnsi="宋体" w:eastAsia="宋体" w:cs="宋体"/>
          <w:sz w:val="24"/>
          <w:szCs w:val="24"/>
          <w:highlight w:val="none"/>
          <w:lang w:val="fr-FR" w:eastAsia="fr-FR"/>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.5.1</w:t>
      </w:r>
      <w:r>
        <w:rPr>
          <w:rFonts w:hint="eastAsia"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z w:val="24"/>
          <w:szCs w:val="24"/>
          <w:highlight w:val="none"/>
          <w:lang w:val="en-US" w:eastAsia="zh-CN"/>
        </w:rPr>
        <w:t>电动自行车充电柜或充电桩应具备充满自动断电、充电故障自动断电、过载保护、短路保护、漏电保护、充电故障报警等功能</w:t>
      </w:r>
      <w:r>
        <w:rPr>
          <w:rFonts w:hint="eastAsia" w:ascii="宋体" w:hAnsi="宋体" w:eastAsia="宋体" w:cs="宋体"/>
          <w:sz w:val="24"/>
          <w:szCs w:val="24"/>
          <w:highlight w:val="none"/>
          <w:lang w:val="fr-FR" w:eastAsia="fr-FR"/>
        </w:rPr>
        <w:t>。应建立电动自行车充电</w:t>
      </w:r>
      <w:r>
        <w:rPr>
          <w:rFonts w:hint="eastAsia" w:ascii="宋体" w:hAnsi="宋体" w:eastAsia="宋体" w:cs="宋体"/>
          <w:sz w:val="24"/>
          <w:szCs w:val="24"/>
          <w:highlight w:val="none"/>
          <w:lang w:val="en-US" w:eastAsia="zh-CN"/>
        </w:rPr>
        <w:t>设施</w:t>
      </w:r>
      <w:r>
        <w:rPr>
          <w:rFonts w:hint="eastAsia" w:ascii="宋体" w:hAnsi="宋体" w:eastAsia="宋体" w:cs="宋体"/>
          <w:sz w:val="24"/>
          <w:szCs w:val="24"/>
          <w:highlight w:val="none"/>
          <w:lang w:val="fr-FR" w:eastAsia="fr-FR"/>
        </w:rPr>
        <w:t>巡查制度，相关工作记录完整。</w:t>
      </w:r>
    </w:p>
    <w:p w14:paraId="7C15065F">
      <w:pPr>
        <w:spacing w:line="360" w:lineRule="auto"/>
        <w:rPr>
          <w:rFonts w:hint="eastAsia" w:ascii="宋体" w:hAnsi="宋体" w:eastAsia="宋体" w:cs="宋体"/>
          <w:sz w:val="24"/>
          <w:szCs w:val="24"/>
          <w:highlight w:val="none"/>
          <w:lang w:val="fr-FR" w:eastAsia="fr-FR"/>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.5.1</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z w:val="24"/>
          <w:szCs w:val="24"/>
          <w:highlight w:val="none"/>
          <w:lang w:val="fr-FR" w:eastAsia="fr-FR"/>
        </w:rPr>
        <w:t>电动自行车停放充电场所应按照国家和地方消防技术标准配备消防设施器材，并保持完好有效。</w:t>
      </w:r>
    </w:p>
    <w:p w14:paraId="001A2E07">
      <w:pPr>
        <w:pStyle w:val="20"/>
        <w:rPr>
          <w:rFonts w:hint="eastAsia"/>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.5.1</w:t>
      </w:r>
      <w:r>
        <w:rPr>
          <w:rFonts w:hint="eastAsia"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z w:val="24"/>
          <w:szCs w:val="24"/>
          <w:highlight w:val="none"/>
          <w:lang w:val="fr-FR" w:eastAsia="fr-FR"/>
        </w:rPr>
        <w:t>架空层电动自行车停放充电场所应全域设置视频监控系统</w:t>
      </w:r>
      <w:r>
        <w:rPr>
          <w:rFonts w:hint="eastAsia" w:ascii="宋体" w:hAnsi="宋体" w:eastAsia="宋体" w:cs="宋体"/>
          <w:sz w:val="24"/>
          <w:szCs w:val="24"/>
          <w:highlight w:val="none"/>
          <w:lang w:val="fr-FR" w:eastAsia="zh-CN"/>
        </w:rPr>
        <w:t>。</w:t>
      </w:r>
    </w:p>
    <w:bookmarkEnd w:id="441"/>
    <w:p w14:paraId="65426748">
      <w:pPr>
        <w:pStyle w:val="2"/>
        <w:keepNext w:val="0"/>
        <w:keepLines w:val="0"/>
        <w:pageBreakBefore/>
        <w:spacing w:line="240" w:lineRule="auto"/>
        <w:jc w:val="center"/>
        <w:rPr>
          <w:rFonts w:hint="default" w:ascii="Times New Roman" w:hAnsi="Times New Roman" w:eastAsia="宋体" w:cs="Times New Roman"/>
          <w:b w:val="0"/>
          <w:bCs w:val="0"/>
          <w:sz w:val="30"/>
          <w:highlight w:val="none"/>
          <w:lang w:val="en-US" w:eastAsia="zh-CN"/>
        </w:rPr>
      </w:pPr>
      <w:bookmarkStart w:id="454" w:name="_Toc13344"/>
      <w:bookmarkStart w:id="455" w:name="_Toc24356"/>
      <w:bookmarkStart w:id="456" w:name="_Toc13496"/>
      <w:bookmarkStart w:id="457" w:name="_Toc21354"/>
      <w:bookmarkStart w:id="458" w:name="_Toc32495"/>
      <w:bookmarkStart w:id="459" w:name="_Toc15086"/>
      <w:r>
        <w:rPr>
          <w:rFonts w:hint="eastAsia" w:cs="Times New Roman"/>
          <w:sz w:val="30"/>
          <w:highlight w:val="none"/>
          <w:lang w:val="en-US" w:eastAsia="zh-CN"/>
        </w:rPr>
        <w:t>10</w:t>
      </w:r>
      <w:r>
        <w:rPr>
          <w:rFonts w:hint="eastAsia" w:ascii="Times New Roman" w:hAnsi="Times New Roman" w:eastAsia="宋体" w:cs="Times New Roman"/>
          <w:sz w:val="30"/>
          <w:highlight w:val="none"/>
          <w:lang w:val="en-US" w:eastAsia="zh-CN"/>
        </w:rPr>
        <w:t xml:space="preserve"> </w:t>
      </w:r>
      <w:bookmarkEnd w:id="454"/>
      <w:r>
        <w:rPr>
          <w:rFonts w:hint="eastAsia" w:ascii="宋体" w:hAnsi="宋体" w:eastAsia="宋体" w:cs="宋体"/>
          <w:b/>
          <w:bCs/>
          <w:sz w:val="30"/>
          <w:highlight w:val="none"/>
          <w:lang w:val="en-US" w:eastAsia="zh-CN"/>
        </w:rPr>
        <w:t>应  急  管  理</w:t>
      </w:r>
      <w:bookmarkEnd w:id="455"/>
      <w:bookmarkEnd w:id="456"/>
      <w:bookmarkEnd w:id="457"/>
      <w:bookmarkEnd w:id="458"/>
      <w:bookmarkEnd w:id="459"/>
    </w:p>
    <w:p w14:paraId="7802B79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60" w:name="_Toc22619"/>
      <w:bookmarkStart w:id="461" w:name="_Toc25525"/>
      <w:bookmarkStart w:id="462" w:name="_Toc31171"/>
      <w:bookmarkStart w:id="463" w:name="_Toc4590"/>
      <w:bookmarkStart w:id="464" w:name="_Toc12171"/>
      <w:bookmarkStart w:id="465" w:name="_Toc2718"/>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 xml:space="preserve">.1  </w:t>
      </w:r>
      <w:bookmarkEnd w:id="460"/>
      <w:r>
        <w:rPr>
          <w:rFonts w:hint="eastAsia" w:ascii="宋体" w:hAnsi="宋体" w:eastAsia="宋体" w:cs="宋体"/>
          <w:b/>
          <w:bCs/>
          <w:color w:val="auto"/>
          <w:sz w:val="24"/>
          <w:szCs w:val="24"/>
          <w:highlight w:val="none"/>
          <w:lang w:val="en-US" w:eastAsia="zh-CN"/>
        </w:rPr>
        <w:t>公共卫生应急管理</w:t>
      </w:r>
      <w:bookmarkEnd w:id="461"/>
      <w:bookmarkEnd w:id="462"/>
      <w:bookmarkEnd w:id="463"/>
      <w:bookmarkEnd w:id="464"/>
      <w:bookmarkEnd w:id="465"/>
    </w:p>
    <w:p w14:paraId="69247AF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bookmarkStart w:id="466" w:name="_Toc26802"/>
      <w:r>
        <w:rPr>
          <w:rFonts w:hint="eastAsia" w:ascii="Times New Roman" w:hAnsi="Times New Roman" w:cs="Times New Roman"/>
          <w:b/>
          <w:bCs/>
          <w:i w:val="0"/>
          <w:color w:val="auto"/>
          <w:kern w:val="2"/>
          <w:sz w:val="24"/>
          <w:szCs w:val="24"/>
          <w:highlight w:val="none"/>
          <w:lang w:val="en-US" w:eastAsia="zh-CN" w:bidi="ar-SA"/>
        </w:rPr>
        <w:t>10</w:t>
      </w:r>
      <w:r>
        <w:rPr>
          <w:rFonts w:hint="eastAsia" w:ascii="Times New Roman" w:hAnsi="Times New Roman" w:eastAsia="宋体" w:cs="Times New Roman"/>
          <w:b/>
          <w:bCs/>
          <w:i w:val="0"/>
          <w:color w:val="auto"/>
          <w:kern w:val="2"/>
          <w:sz w:val="24"/>
          <w:szCs w:val="24"/>
          <w:highlight w:val="none"/>
          <w:lang w:val="en-US" w:eastAsia="zh-CN" w:bidi="ar-SA"/>
        </w:rPr>
        <w:t>.1.1</w:t>
      </w:r>
      <w:r>
        <w:rPr>
          <w:rFonts w:hint="eastAsia" w:ascii="宋体" w:hAnsi="宋体" w:eastAsia="宋体" w:cs="宋体"/>
          <w:vanish w:val="0"/>
          <w:color w:val="auto"/>
          <w:sz w:val="24"/>
          <w:szCs w:val="24"/>
          <w:highlight w:val="none"/>
          <w:lang w:val="en-US" w:eastAsia="zh-CN"/>
        </w:rPr>
        <w:t xml:space="preserve">  物业服务企业应严格执行公共卫生事件应急相关法规的要求，成立公共卫生应急工作领导小组，制定突发公共卫生事件、防疫等相应防控措施和应急预案，在突发公共卫生事件及疫情发生时，负责做好组织、指挥、协调和服务保障工作，及时向</w:t>
      </w:r>
      <w:r>
        <w:rPr>
          <w:rFonts w:hint="eastAsia" w:ascii="宋体" w:hAnsi="宋体" w:cs="宋体"/>
          <w:vanish w:val="0"/>
          <w:color w:val="auto"/>
          <w:sz w:val="24"/>
          <w:szCs w:val="24"/>
          <w:highlight w:val="none"/>
          <w:lang w:val="en-US" w:eastAsia="zh-CN"/>
        </w:rPr>
        <w:t>物业使用单位</w:t>
      </w:r>
      <w:r>
        <w:rPr>
          <w:rFonts w:hint="eastAsia" w:ascii="宋体" w:hAnsi="宋体" w:eastAsia="宋体" w:cs="宋体"/>
          <w:vanish w:val="0"/>
          <w:color w:val="auto"/>
          <w:sz w:val="24"/>
          <w:szCs w:val="24"/>
          <w:highlight w:val="none"/>
          <w:lang w:val="en-US" w:eastAsia="zh-CN"/>
        </w:rPr>
        <w:t>汇报相关情况。</w:t>
      </w:r>
    </w:p>
    <w:p w14:paraId="7963B34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宋体" w:hAnsi="宋体" w:eastAsia="宋体" w:cs="宋体"/>
          <w:vanish w:val="0"/>
          <w:color w:val="auto"/>
          <w:sz w:val="24"/>
          <w:szCs w:val="24"/>
          <w:highlight w:val="none"/>
          <w:lang w:val="en-US" w:eastAsia="zh-CN"/>
        </w:rPr>
        <w:t xml:space="preserve">  与</w:t>
      </w:r>
      <w:r>
        <w:rPr>
          <w:rFonts w:hint="eastAsia" w:ascii="宋体" w:hAnsi="宋体" w:cs="宋体"/>
          <w:vanish w:val="0"/>
          <w:color w:val="auto"/>
          <w:sz w:val="24"/>
          <w:szCs w:val="24"/>
          <w:highlight w:val="none"/>
          <w:lang w:val="en-US" w:eastAsia="zh-CN"/>
        </w:rPr>
        <w:t>物业使用单位</w:t>
      </w:r>
      <w:r>
        <w:rPr>
          <w:rFonts w:hint="eastAsia" w:ascii="宋体" w:hAnsi="宋体" w:eastAsia="宋体" w:cs="宋体"/>
          <w:vanish w:val="0"/>
          <w:color w:val="auto"/>
          <w:sz w:val="24"/>
          <w:szCs w:val="24"/>
          <w:highlight w:val="none"/>
          <w:lang w:val="en-US" w:eastAsia="zh-CN"/>
        </w:rPr>
        <w:t>协同确定相关人员进入的控制措施，做好人员进出管理工作。</w:t>
      </w:r>
    </w:p>
    <w:p w14:paraId="078A70F6">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宋体" w:hAnsi="宋体" w:eastAsia="宋体" w:cs="宋体"/>
          <w:vanish w:val="0"/>
          <w:color w:val="auto"/>
          <w:sz w:val="24"/>
          <w:szCs w:val="24"/>
          <w:highlight w:val="none"/>
          <w:lang w:val="en-US" w:eastAsia="zh-CN"/>
        </w:rPr>
        <w:t xml:space="preserve">  应按防控措施做好公共区域等场所卫生消毒工作，环境及物品以清洁为主、预防性消毒为辅，受到污染时应随时进行清洁消毒。</w:t>
      </w:r>
    </w:p>
    <w:p w14:paraId="739E9B4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67" w:name="_Toc15865"/>
      <w:bookmarkStart w:id="468" w:name="_Toc25340"/>
      <w:bookmarkStart w:id="469" w:name="_Toc18752"/>
      <w:bookmarkStart w:id="470" w:name="_Toc77"/>
      <w:bookmarkStart w:id="471" w:name="_Toc13334"/>
      <w:r>
        <w:rPr>
          <w:rFonts w:hint="eastAsia" w:ascii="宋体" w:hAnsi="宋体" w:cs="宋体"/>
          <w:b/>
          <w:bCs/>
          <w:color w:val="auto"/>
          <w:sz w:val="24"/>
          <w:szCs w:val="24"/>
          <w:highlight w:val="none"/>
          <w:lang w:val="en-US" w:eastAsia="zh-CN"/>
        </w:rPr>
        <w:t>10</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2</w:t>
      </w:r>
      <w:r>
        <w:rPr>
          <w:rFonts w:hint="default"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应急响应</w:t>
      </w:r>
      <w:bookmarkEnd w:id="467"/>
      <w:bookmarkEnd w:id="468"/>
      <w:bookmarkEnd w:id="469"/>
      <w:bookmarkEnd w:id="470"/>
      <w:bookmarkEnd w:id="471"/>
    </w:p>
    <w:p w14:paraId="1AD10223">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2.1</w:t>
      </w:r>
      <w:r>
        <w:rPr>
          <w:rFonts w:hint="eastAsia" w:ascii="宋体" w:hAnsi="宋体" w:eastAsia="宋体" w:cs="宋体"/>
          <w:vanish w:val="0"/>
          <w:color w:val="auto"/>
          <w:sz w:val="24"/>
          <w:szCs w:val="24"/>
          <w:highlight w:val="none"/>
          <w:lang w:val="en-US" w:eastAsia="zh-CN"/>
        </w:rPr>
        <w:t xml:space="preserve">  应制定反恐防暴、群体事件、火警、盗警、地震、台风、暴雨、爆炸、人员急救、煤气泄漏、高空抛物伤人、电梯困人、公共卫生防疫、电动车充电安全及自燃风险防范及其他不可预见紧急事件的应急处理预案，电梯困人、火警、台风等重要预案每年开展≥</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2次演练，其他预案每年开展≥</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1</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次演练。每次演练活动应进行总结评价，保持应急预案的适宜性、可操作性。</w:t>
      </w:r>
    </w:p>
    <w:p w14:paraId="623C4A45">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2.2</w:t>
      </w:r>
      <w:r>
        <w:rPr>
          <w:rFonts w:hint="default" w:ascii="宋体" w:hAnsi="宋体" w:eastAsia="宋体" w:cs="宋体"/>
          <w:vanish w:val="0"/>
          <w:color w:val="auto"/>
          <w:sz w:val="24"/>
          <w:szCs w:val="24"/>
          <w:highlight w:val="none"/>
          <w:lang w:val="en-US" w:eastAsia="zh-CN"/>
        </w:rPr>
        <w:t xml:space="preserve">  应对工作环境内的危险源及风险进行识别，根据危险源及风险不同，分别制定应急预案响应措施，明确应急指挥机构及各级人员职责。</w:t>
      </w:r>
    </w:p>
    <w:p w14:paraId="0673BB08">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2.3</w:t>
      </w:r>
      <w:r>
        <w:rPr>
          <w:rFonts w:hint="default" w:ascii="宋体" w:hAnsi="宋体" w:eastAsia="宋体" w:cs="宋体"/>
          <w:vanish w:val="0"/>
          <w:color w:val="auto"/>
          <w:sz w:val="24"/>
          <w:szCs w:val="24"/>
          <w:highlight w:val="none"/>
          <w:lang w:val="en-US" w:eastAsia="zh-CN"/>
        </w:rPr>
        <w:t xml:space="preserve">  针对各种可能发生的突发紧急或群体事件，完善预测预警机制，建立预测预警系统，完善应急储备物资，定期进行盘点、更新。</w:t>
      </w:r>
    </w:p>
    <w:p w14:paraId="26D3C387">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2.4</w:t>
      </w:r>
      <w:r>
        <w:rPr>
          <w:rFonts w:hint="default" w:ascii="宋体" w:hAnsi="宋体" w:eastAsia="宋体" w:cs="宋体"/>
          <w:vanish w:val="0"/>
          <w:color w:val="auto"/>
          <w:sz w:val="24"/>
          <w:szCs w:val="24"/>
          <w:highlight w:val="none"/>
          <w:lang w:val="en-US" w:eastAsia="zh-CN"/>
        </w:rPr>
        <w:t xml:space="preserve">  突发紧急及群体事件时应立即启动应急预案，迅速展开指挥协调、信息报告、紧急处理、秩序维护、抢险救援、后勤保障、清洁处理等工作、做好相关记录。</w:t>
      </w:r>
    </w:p>
    <w:p w14:paraId="27C297B8">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2.5</w:t>
      </w:r>
      <w:r>
        <w:rPr>
          <w:rFonts w:hint="default" w:ascii="宋体" w:hAnsi="宋体" w:eastAsia="宋体" w:cs="宋体"/>
          <w:vanish w:val="0"/>
          <w:color w:val="auto"/>
          <w:sz w:val="24"/>
          <w:szCs w:val="24"/>
          <w:highlight w:val="none"/>
          <w:lang w:val="en-US" w:eastAsia="zh-CN"/>
        </w:rPr>
        <w:t xml:space="preserve">  突发紧急及群体事件处置完成后应及时编制处置报告，完善应急预案并上报相关部门。</w:t>
      </w:r>
    </w:p>
    <w:p w14:paraId="773F817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72" w:name="_Toc19403"/>
      <w:bookmarkStart w:id="473" w:name="_Toc17569"/>
      <w:bookmarkStart w:id="474" w:name="_Toc10472"/>
      <w:bookmarkStart w:id="475" w:name="_Toc5318"/>
      <w:bookmarkStart w:id="476" w:name="_Toc15711"/>
      <w:r>
        <w:rPr>
          <w:rFonts w:hint="eastAsia" w:ascii="宋体" w:hAnsi="宋体" w:cs="宋体"/>
          <w:b/>
          <w:bCs/>
          <w:color w:val="auto"/>
          <w:sz w:val="24"/>
          <w:szCs w:val="24"/>
          <w:highlight w:val="none"/>
          <w:lang w:val="en-US" w:eastAsia="zh-CN"/>
        </w:rPr>
        <w:t>10</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防恐应急防范</w:t>
      </w:r>
      <w:bookmarkEnd w:id="472"/>
      <w:bookmarkEnd w:id="473"/>
      <w:bookmarkEnd w:id="474"/>
      <w:bookmarkEnd w:id="475"/>
      <w:bookmarkEnd w:id="476"/>
    </w:p>
    <w:p w14:paraId="4C4D9F4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3.1</w:t>
      </w:r>
      <w:r>
        <w:rPr>
          <w:rFonts w:hint="eastAsia" w:ascii="宋体" w:hAnsi="宋体" w:eastAsia="宋体" w:cs="宋体"/>
          <w:vanish w:val="0"/>
          <w:color w:val="auto"/>
          <w:sz w:val="24"/>
          <w:szCs w:val="24"/>
          <w:highlight w:val="none"/>
          <w:lang w:val="en-US" w:eastAsia="zh-CN"/>
        </w:rPr>
        <w:t xml:space="preserve">  非常态防恐信息、事件处理要求：发生恐怖袭击信息或发生恐怖袭击事件时，按治安防恐事件信息报送流程及时报警，</w:t>
      </w:r>
      <w:r>
        <w:rPr>
          <w:rFonts w:hint="eastAsia" w:ascii="宋体" w:hAnsi="宋体" w:cs="宋体"/>
          <w:vanish w:val="0"/>
          <w:color w:val="auto"/>
          <w:sz w:val="24"/>
          <w:szCs w:val="24"/>
          <w:highlight w:val="none"/>
          <w:lang w:val="en-US" w:eastAsia="zh-CN"/>
        </w:rPr>
        <w:t>并同时告知物业使用单位对接人，</w:t>
      </w:r>
      <w:r>
        <w:rPr>
          <w:rFonts w:hint="eastAsia" w:ascii="宋体" w:hAnsi="宋体" w:eastAsia="宋体" w:cs="宋体"/>
          <w:vanish w:val="0"/>
          <w:color w:val="auto"/>
          <w:sz w:val="24"/>
          <w:szCs w:val="24"/>
          <w:highlight w:val="none"/>
          <w:lang w:val="en-US" w:eastAsia="zh-CN"/>
        </w:rPr>
        <w:t>要求治安案件应≤</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1h</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、涉恐信息≤</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0.5h</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将案（事）件简况先以电话方式逐级上报同时应按重大事项报告时限及要求书面报送；发生其他涉治安防恐类的事件信息，按照物业使用单位相关要求及时报送。</w:t>
      </w:r>
    </w:p>
    <w:p w14:paraId="1C8CB1BF">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3.2</w:t>
      </w:r>
      <w:r>
        <w:rPr>
          <w:rFonts w:hint="eastAsia" w:ascii="宋体" w:hAnsi="宋体" w:eastAsia="宋体" w:cs="宋体"/>
          <w:vanish w:val="0"/>
          <w:color w:val="auto"/>
          <w:sz w:val="24"/>
          <w:szCs w:val="24"/>
          <w:highlight w:val="none"/>
          <w:lang w:val="en-US" w:eastAsia="zh-CN"/>
        </w:rPr>
        <w:t xml:space="preserve">  发生非常态防恐时，</w:t>
      </w:r>
      <w:r>
        <w:rPr>
          <w:rFonts w:hint="eastAsia" w:ascii="宋体" w:hAnsi="宋体" w:cs="宋体"/>
          <w:vanish w:val="0"/>
          <w:color w:val="auto"/>
          <w:sz w:val="24"/>
          <w:szCs w:val="24"/>
          <w:highlight w:val="none"/>
          <w:lang w:val="en-US" w:eastAsia="zh-CN"/>
        </w:rPr>
        <w:t>应立即向</w:t>
      </w:r>
      <w:r>
        <w:rPr>
          <w:rFonts w:hint="eastAsia" w:ascii="宋体" w:hAnsi="宋体" w:eastAsia="宋体" w:cs="宋体"/>
          <w:vanish w:val="0"/>
          <w:color w:val="auto"/>
          <w:sz w:val="24"/>
          <w:szCs w:val="24"/>
          <w:highlight w:val="none"/>
          <w:lang w:val="en-US" w:eastAsia="zh-CN"/>
        </w:rPr>
        <w:t>物业使用单位对接人</w:t>
      </w:r>
      <w:r>
        <w:rPr>
          <w:rFonts w:hint="eastAsia" w:ascii="宋体" w:hAnsi="宋体" w:cs="宋体"/>
          <w:vanish w:val="0"/>
          <w:color w:val="auto"/>
          <w:sz w:val="24"/>
          <w:szCs w:val="24"/>
          <w:highlight w:val="none"/>
          <w:lang w:val="en-US" w:eastAsia="zh-CN"/>
        </w:rPr>
        <w:t>汇报，并</w:t>
      </w:r>
      <w:r>
        <w:rPr>
          <w:rFonts w:hint="eastAsia" w:ascii="宋体" w:hAnsi="宋体" w:eastAsia="宋体" w:cs="宋体"/>
          <w:vanish w:val="0"/>
          <w:color w:val="auto"/>
          <w:sz w:val="24"/>
          <w:szCs w:val="24"/>
          <w:highlight w:val="none"/>
          <w:lang w:val="en-US" w:eastAsia="zh-CN"/>
        </w:rPr>
        <w:t>开展治安防恐动员，在满足常态防范措施的基础上，落实包括但不限于以下内容：</w:t>
      </w:r>
    </w:p>
    <w:p w14:paraId="4608162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1  </w:t>
      </w:r>
      <w:r>
        <w:rPr>
          <w:rFonts w:hint="eastAsia" w:ascii="宋体" w:hAnsi="宋体" w:eastAsia="宋体" w:cs="宋体"/>
          <w:vanish w:val="0"/>
          <w:color w:val="auto"/>
          <w:sz w:val="24"/>
          <w:szCs w:val="24"/>
          <w:highlight w:val="none"/>
          <w:lang w:val="en-US" w:eastAsia="zh-CN"/>
        </w:rPr>
        <w:t>加强保卫力量，安防监控中心加强监控，发现异常情况及时处理；</w:t>
      </w:r>
    </w:p>
    <w:p w14:paraId="4FDC01B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2  </w:t>
      </w:r>
      <w:r>
        <w:rPr>
          <w:rFonts w:hint="eastAsia" w:ascii="宋体" w:hAnsi="宋体" w:eastAsia="宋体" w:cs="宋体"/>
          <w:vanish w:val="0"/>
          <w:color w:val="auto"/>
          <w:sz w:val="24"/>
          <w:szCs w:val="24"/>
          <w:highlight w:val="none"/>
          <w:lang w:val="en-US" w:eastAsia="zh-CN"/>
        </w:rPr>
        <w:t>启动防恐应急分队</w:t>
      </w:r>
      <w:r>
        <w:rPr>
          <w:rFonts w:hint="eastAsia" w:ascii="宋体" w:hAnsi="宋体" w:cs="宋体"/>
          <w:vanish w:val="0"/>
          <w:color w:val="auto"/>
          <w:sz w:val="24"/>
          <w:szCs w:val="24"/>
          <w:highlight w:val="none"/>
          <w:lang w:val="en-US" w:eastAsia="zh-CN"/>
        </w:rPr>
        <w:t>与</w:t>
      </w:r>
      <w:r>
        <w:rPr>
          <w:rFonts w:hint="eastAsia" w:ascii="宋体" w:hAnsi="宋体" w:eastAsia="宋体" w:cs="宋体"/>
          <w:vanish w:val="0"/>
          <w:color w:val="auto"/>
          <w:sz w:val="24"/>
          <w:szCs w:val="24"/>
          <w:highlight w:val="none"/>
          <w:lang w:val="en-US" w:eastAsia="zh-CN"/>
        </w:rPr>
        <w:t>“一所一警”“一站一警”警企协作机制，加强场所的巡逻守护，视情况请求</w:t>
      </w:r>
      <w:r>
        <w:rPr>
          <w:rFonts w:hint="eastAsia" w:ascii="宋体" w:hAnsi="宋体" w:cs="宋体"/>
          <w:vanish w:val="0"/>
          <w:color w:val="auto"/>
          <w:sz w:val="24"/>
          <w:szCs w:val="24"/>
          <w:highlight w:val="none"/>
          <w:lang w:val="en-US" w:eastAsia="zh-CN"/>
        </w:rPr>
        <w:t>物业使用</w:t>
      </w:r>
      <w:r>
        <w:rPr>
          <w:rFonts w:hint="eastAsia" w:ascii="宋体" w:hAnsi="宋体" w:eastAsia="宋体" w:cs="宋体"/>
          <w:vanish w:val="0"/>
          <w:color w:val="auto"/>
          <w:sz w:val="24"/>
          <w:szCs w:val="24"/>
          <w:highlight w:val="none"/>
          <w:lang w:val="en-US" w:eastAsia="zh-CN"/>
        </w:rPr>
        <w:t>单位协调属地公安机关派驻警力进行安全守卫；</w:t>
      </w:r>
    </w:p>
    <w:p w14:paraId="6D22574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3  </w:t>
      </w:r>
      <w:r>
        <w:rPr>
          <w:rFonts w:hint="eastAsia" w:ascii="宋体" w:hAnsi="宋体" w:eastAsia="宋体" w:cs="宋体"/>
          <w:vanish w:val="0"/>
          <w:color w:val="auto"/>
          <w:sz w:val="24"/>
          <w:szCs w:val="24"/>
          <w:highlight w:val="none"/>
          <w:lang w:val="en-US" w:eastAsia="zh-CN"/>
        </w:rPr>
        <w:t>物业负责人</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24h</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带班组织防范工作，进入应急工作状态。重点部位定点巡查，严格控制无关人员进入并实行</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24h</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不间断巡查；</w:t>
      </w:r>
    </w:p>
    <w:p w14:paraId="005DD78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4  </w:t>
      </w:r>
      <w:r>
        <w:rPr>
          <w:rFonts w:hint="eastAsia" w:ascii="宋体" w:hAnsi="宋体" w:eastAsia="宋体" w:cs="宋体"/>
          <w:vanish w:val="0"/>
          <w:color w:val="auto"/>
          <w:sz w:val="24"/>
          <w:szCs w:val="24"/>
          <w:highlight w:val="none"/>
          <w:lang w:val="en-US" w:eastAsia="zh-CN"/>
        </w:rPr>
        <w:t>周界出入口应设置警戒区域，实行进出许可管控，必要时紧急疏散人员；</w:t>
      </w:r>
    </w:p>
    <w:p w14:paraId="5C8A8486">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5  </w:t>
      </w:r>
      <w:r>
        <w:rPr>
          <w:rFonts w:hint="eastAsia" w:ascii="宋体" w:hAnsi="宋体" w:eastAsia="宋体" w:cs="宋体"/>
          <w:vanish w:val="0"/>
          <w:color w:val="auto"/>
          <w:sz w:val="24"/>
          <w:szCs w:val="24"/>
          <w:highlight w:val="none"/>
          <w:lang w:val="en-US" w:eastAsia="zh-CN"/>
        </w:rPr>
        <w:t>加强对出入人员、车辆及物品的安全检查，对外来人员携带物品进行开包检查，由受访人接入送出；</w:t>
      </w:r>
    </w:p>
    <w:p w14:paraId="5846F4D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6  </w:t>
      </w:r>
      <w:r>
        <w:rPr>
          <w:rFonts w:hint="eastAsia" w:ascii="宋体" w:hAnsi="宋体" w:eastAsia="宋体" w:cs="宋体"/>
          <w:vanish w:val="0"/>
          <w:color w:val="auto"/>
          <w:sz w:val="24"/>
          <w:szCs w:val="24"/>
          <w:highlight w:val="none"/>
          <w:lang w:val="en-US" w:eastAsia="zh-CN"/>
        </w:rPr>
        <w:t>做好防护器具、救援器材、应急物资以及重点部位的门、窗、锁、防冲撞装置等设施的有效检查，消除安全隐患；</w:t>
      </w:r>
    </w:p>
    <w:p w14:paraId="2478BF3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7  </w:t>
      </w:r>
      <w:r>
        <w:rPr>
          <w:rFonts w:hint="eastAsia" w:ascii="宋体" w:hAnsi="宋体" w:eastAsia="宋体" w:cs="宋体"/>
          <w:vanish w:val="0"/>
          <w:color w:val="auto"/>
          <w:sz w:val="24"/>
          <w:szCs w:val="24"/>
          <w:highlight w:val="none"/>
          <w:lang w:val="en-US" w:eastAsia="zh-CN"/>
        </w:rPr>
        <w:t>关闭部分周界出入口，周界出入口的防冲撞装置应设置为阻截状态，严禁外部车辆进入重点部位；</w:t>
      </w:r>
    </w:p>
    <w:p w14:paraId="26867BE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8  </w:t>
      </w:r>
      <w:r>
        <w:rPr>
          <w:rFonts w:hint="eastAsia" w:ascii="宋体" w:hAnsi="宋体" w:eastAsia="宋体" w:cs="宋体"/>
          <w:vanish w:val="0"/>
          <w:color w:val="auto"/>
          <w:sz w:val="24"/>
          <w:szCs w:val="24"/>
          <w:highlight w:val="none"/>
          <w:lang w:val="en-US" w:eastAsia="zh-CN"/>
        </w:rPr>
        <w:t>做好技防设施、通信设备的检查和维护，确保安防系统正常运行及通信设备的正常使用。</w:t>
      </w:r>
    </w:p>
    <w:p w14:paraId="627D60B7">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3.3</w:t>
      </w:r>
      <w:r>
        <w:rPr>
          <w:rFonts w:hint="eastAsia" w:ascii="宋体" w:hAnsi="宋体" w:eastAsia="宋体" w:cs="宋体"/>
          <w:vanish w:val="0"/>
          <w:color w:val="auto"/>
          <w:sz w:val="24"/>
          <w:szCs w:val="24"/>
          <w:highlight w:val="none"/>
          <w:lang w:val="en-US" w:eastAsia="zh-CN"/>
        </w:rPr>
        <w:t xml:space="preserve">  在非常态出现突发紧急事件的情况下，按属地政府和反恐部门统一部署要求执行。</w:t>
      </w:r>
    </w:p>
    <w:p w14:paraId="3E5A07B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both"/>
        <w:textAlignment w:val="auto"/>
        <w:outlineLvl w:val="9"/>
        <w:rPr>
          <w:rFonts w:hint="eastAsia" w:ascii="宋体" w:hAnsi="宋体" w:eastAsia="宋体" w:cs="宋体"/>
          <w:b/>
          <w:bCs/>
          <w:color w:val="auto"/>
          <w:sz w:val="24"/>
          <w:szCs w:val="24"/>
          <w:highlight w:val="none"/>
          <w:lang w:val="en-US" w:eastAsia="zh-CN"/>
        </w:rPr>
      </w:pPr>
    </w:p>
    <w:bookmarkEnd w:id="466"/>
    <w:p w14:paraId="0560FA9F">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bookmarkStart w:id="477" w:name="_Toc8995"/>
    </w:p>
    <w:p w14:paraId="5D85D27B">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14:paraId="4E7B41ED">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14:paraId="4C1EA8B6">
      <w:pPr>
        <w:pStyle w:val="59"/>
        <w:ind w:left="0" w:leftChars="0" w:firstLine="0" w:firstLineChars="0"/>
        <w:rPr>
          <w:rFonts w:hint="eastAsia"/>
          <w:highlight w:val="none"/>
          <w:lang w:val="en-US" w:eastAsia="zh-CN"/>
        </w:rPr>
      </w:pPr>
    </w:p>
    <w:p w14:paraId="660A3950">
      <w:pPr>
        <w:pStyle w:val="2"/>
        <w:keepNext w:val="0"/>
        <w:keepLines w:val="0"/>
        <w:pageBreakBefore/>
        <w:spacing w:line="240" w:lineRule="auto"/>
        <w:jc w:val="center"/>
        <w:rPr>
          <w:rFonts w:hint="default" w:ascii="Times New Roman" w:hAnsi="Times New Roman" w:eastAsia="宋体" w:cs="Times New Roman"/>
          <w:sz w:val="30"/>
          <w:highlight w:val="none"/>
          <w:lang w:val="en-US" w:eastAsia="zh-CN"/>
        </w:rPr>
      </w:pPr>
      <w:bookmarkStart w:id="478" w:name="_Toc28333"/>
      <w:bookmarkStart w:id="479" w:name="_Toc7766"/>
      <w:bookmarkStart w:id="480" w:name="_Toc2693"/>
      <w:bookmarkStart w:id="481" w:name="_Toc10849"/>
      <w:bookmarkStart w:id="482" w:name="_Toc31274"/>
      <w:r>
        <w:rPr>
          <w:rFonts w:hint="eastAsia" w:ascii="Times New Roman" w:hAnsi="Times New Roman" w:eastAsia="宋体" w:cs="Times New Roman"/>
          <w:sz w:val="30"/>
          <w:highlight w:val="none"/>
          <w:lang w:val="en-US" w:eastAsia="zh-CN"/>
        </w:rPr>
        <w:t>1</w:t>
      </w:r>
      <w:r>
        <w:rPr>
          <w:rFonts w:hint="eastAsia" w:cs="Times New Roman"/>
          <w:sz w:val="30"/>
          <w:highlight w:val="none"/>
          <w:lang w:val="en-US" w:eastAsia="zh-CN"/>
        </w:rPr>
        <w:t>1</w:t>
      </w:r>
      <w:r>
        <w:rPr>
          <w:rFonts w:hint="eastAsia" w:ascii="Times New Roman" w:hAnsi="Times New Roman" w:eastAsia="宋体" w:cs="Times New Roman"/>
          <w:sz w:val="30"/>
          <w:highlight w:val="none"/>
          <w:lang w:val="en-US" w:eastAsia="zh-CN"/>
        </w:rPr>
        <w:t xml:space="preserve"> </w:t>
      </w:r>
      <w:bookmarkEnd w:id="477"/>
      <w:bookmarkEnd w:id="478"/>
      <w:bookmarkEnd w:id="479"/>
      <w:bookmarkEnd w:id="480"/>
      <w:bookmarkEnd w:id="481"/>
      <w:r>
        <w:rPr>
          <w:rFonts w:hint="eastAsia" w:cs="Times New Roman"/>
          <w:sz w:val="30"/>
          <w:highlight w:val="none"/>
          <w:lang w:val="en-US" w:eastAsia="zh-CN"/>
        </w:rPr>
        <w:t>额外专业服务</w:t>
      </w:r>
      <w:bookmarkEnd w:id="482"/>
    </w:p>
    <w:p w14:paraId="55C8A2F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83" w:name="_Toc19848"/>
      <w:bookmarkStart w:id="484" w:name="_Toc6289"/>
      <w:bookmarkStart w:id="485" w:name="_Toc23840"/>
      <w:bookmarkStart w:id="486" w:name="_Toc11436"/>
      <w:bookmarkStart w:id="487" w:name="_Toc4170"/>
      <w:bookmarkStart w:id="488" w:name="_Toc8068"/>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 xml:space="preserve">.1  </w:t>
      </w:r>
      <w:bookmarkEnd w:id="483"/>
      <w:bookmarkEnd w:id="484"/>
      <w:bookmarkEnd w:id="485"/>
      <w:bookmarkEnd w:id="486"/>
      <w:bookmarkEnd w:id="487"/>
      <w:r>
        <w:rPr>
          <w:rFonts w:hint="eastAsia" w:ascii="宋体" w:hAnsi="宋体" w:cs="宋体"/>
          <w:b/>
          <w:bCs/>
          <w:color w:val="auto"/>
          <w:sz w:val="24"/>
          <w:szCs w:val="24"/>
          <w:highlight w:val="none"/>
          <w:lang w:val="en-US" w:eastAsia="zh-CN"/>
        </w:rPr>
        <w:t>餐饮服务</w:t>
      </w:r>
      <w:bookmarkEnd w:id="488"/>
    </w:p>
    <w:p w14:paraId="7ACE4EF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489" w:name="_Toc11071"/>
      <w:r>
        <w:rPr>
          <w:rFonts w:hint="eastAsia" w:ascii="宋体" w:hAnsi="宋体" w:eastAsia="宋体" w:cs="宋体"/>
          <w:b/>
          <w:bCs/>
          <w:color w:val="auto"/>
          <w:sz w:val="24"/>
          <w:szCs w:val="24"/>
          <w:highlight w:val="none"/>
          <w:lang w:val="en-US" w:eastAsia="zh-CN"/>
        </w:rPr>
        <w:t>Ⅰ  基本要求</w:t>
      </w:r>
      <w:bookmarkEnd w:id="489"/>
    </w:p>
    <w:p w14:paraId="244D73FE">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.1.1</w:t>
      </w:r>
      <w:r>
        <w:rPr>
          <w:rFonts w:hint="eastAsia" w:ascii="宋体" w:hAnsi="宋体" w:eastAsia="宋体" w:cs="宋体"/>
          <w:vanish w:val="0"/>
          <w:color w:val="auto"/>
          <w:sz w:val="24"/>
          <w:szCs w:val="24"/>
          <w:highlight w:val="none"/>
          <w:lang w:val="en-US" w:eastAsia="zh-CN"/>
        </w:rPr>
        <w:t xml:space="preserve">  应</w:t>
      </w:r>
      <w:r>
        <w:rPr>
          <w:rFonts w:hint="default" w:ascii="宋体" w:hAnsi="宋体" w:eastAsia="宋体" w:cs="宋体"/>
          <w:vanish w:val="0"/>
          <w:color w:val="auto"/>
          <w:sz w:val="24"/>
          <w:szCs w:val="24"/>
          <w:highlight w:val="none"/>
          <w:lang w:val="en-US" w:eastAsia="zh-CN"/>
        </w:rPr>
        <w:t>严格执行食品经营</w:t>
      </w:r>
      <w:r>
        <w:rPr>
          <w:rFonts w:hint="eastAsia" w:ascii="宋体" w:hAnsi="宋体" w:eastAsia="宋体" w:cs="宋体"/>
          <w:vanish w:val="0"/>
          <w:color w:val="auto"/>
          <w:sz w:val="24"/>
          <w:szCs w:val="24"/>
          <w:highlight w:val="none"/>
          <w:lang w:val="en-US" w:eastAsia="zh-CN"/>
        </w:rPr>
        <w:t>法规</w:t>
      </w:r>
      <w:r>
        <w:rPr>
          <w:rFonts w:hint="default"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en-US" w:eastAsia="zh-CN"/>
        </w:rPr>
        <w:t>相关</w:t>
      </w:r>
      <w:r>
        <w:rPr>
          <w:rFonts w:hint="default" w:ascii="宋体" w:hAnsi="宋体" w:eastAsia="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w:t>
      </w:r>
      <w:r>
        <w:rPr>
          <w:rFonts w:hint="default" w:ascii="宋体" w:hAnsi="宋体" w:eastAsia="宋体" w:cs="宋体"/>
          <w:vanish w:val="0"/>
          <w:color w:val="auto"/>
          <w:sz w:val="24"/>
          <w:szCs w:val="24"/>
          <w:highlight w:val="none"/>
          <w:lang w:val="en-US" w:eastAsia="zh-CN"/>
        </w:rPr>
        <w:t>食堂经营应依法取得食品经营许可。</w:t>
      </w:r>
    </w:p>
    <w:p w14:paraId="68BBEFCF">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.1.2</w:t>
      </w:r>
      <w:r>
        <w:rPr>
          <w:rFonts w:hint="default" w:ascii="宋体" w:hAnsi="宋体" w:eastAsia="宋体" w:cs="宋体"/>
          <w:vanish w:val="0"/>
          <w:color w:val="auto"/>
          <w:sz w:val="24"/>
          <w:szCs w:val="24"/>
          <w:highlight w:val="none"/>
          <w:lang w:val="en-US" w:eastAsia="zh-CN"/>
        </w:rPr>
        <w:t xml:space="preserve">  应建立食堂工作人员管理制度，食堂工作人员凭无犯罪记录证明、有效期内的健康证、体检表、培训上岗证上岗。</w:t>
      </w:r>
    </w:p>
    <w:p w14:paraId="5B5829D6">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.1.3</w:t>
      </w:r>
      <w:r>
        <w:rPr>
          <w:rFonts w:hint="default" w:ascii="宋体" w:hAnsi="宋体" w:eastAsia="宋体" w:cs="宋体"/>
          <w:vanish w:val="0"/>
          <w:color w:val="auto"/>
          <w:sz w:val="24"/>
          <w:szCs w:val="24"/>
          <w:highlight w:val="none"/>
          <w:lang w:val="en-US" w:eastAsia="zh-CN"/>
        </w:rPr>
        <w:t xml:space="preserve">  定期征集就餐人员对食堂管理的合理化建议或意见，及时改进和反馈。</w:t>
      </w:r>
    </w:p>
    <w:p w14:paraId="15D307FD">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.1.4</w:t>
      </w:r>
      <w:r>
        <w:rPr>
          <w:rFonts w:hint="default" w:ascii="宋体" w:hAnsi="宋体" w:eastAsia="宋体" w:cs="宋体"/>
          <w:vanish w:val="0"/>
          <w:color w:val="auto"/>
          <w:sz w:val="24"/>
          <w:szCs w:val="24"/>
          <w:highlight w:val="none"/>
          <w:lang w:val="en-US" w:eastAsia="zh-CN"/>
        </w:rPr>
        <w:t xml:space="preserve">  安全使用天然气及电器，对灶具开关等定期进行安全检查。</w:t>
      </w:r>
      <w:r>
        <w:rPr>
          <w:rFonts w:hint="eastAsia" w:ascii="宋体" w:hAnsi="宋体" w:eastAsia="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对排烟管道的定期清洗，以防患火灾安全事故。工作期间注意人身安全，做好防滑、防火等安全预防措施。</w:t>
      </w:r>
    </w:p>
    <w:p w14:paraId="0F27CE5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90" w:name="_Toc22854"/>
      <w:bookmarkStart w:id="491" w:name="_Toc28337"/>
      <w:bookmarkStart w:id="492" w:name="_Toc9196"/>
      <w:bookmarkStart w:id="493" w:name="_Toc8106"/>
      <w:bookmarkStart w:id="494" w:name="_Toc19202"/>
      <w:bookmarkStart w:id="495" w:name="_Toc27556"/>
      <w:r>
        <w:rPr>
          <w:rFonts w:hint="eastAsia" w:ascii="宋体" w:hAnsi="宋体" w:eastAsia="宋体" w:cs="宋体"/>
          <w:b/>
          <w:bCs/>
          <w:color w:val="auto"/>
          <w:sz w:val="24"/>
          <w:szCs w:val="24"/>
          <w:highlight w:val="none"/>
          <w:lang w:val="en-US" w:eastAsia="zh-CN"/>
        </w:rPr>
        <w:t>Ⅱ</w:t>
      </w:r>
      <w:r>
        <w:rPr>
          <w:rFonts w:hint="default" w:ascii="宋体" w:hAnsi="宋体" w:eastAsia="宋体" w:cs="宋体"/>
          <w:b/>
          <w:bCs/>
          <w:color w:val="auto"/>
          <w:sz w:val="24"/>
          <w:szCs w:val="24"/>
          <w:highlight w:val="none"/>
          <w:lang w:val="en-US" w:eastAsia="zh-CN"/>
        </w:rPr>
        <w:t xml:space="preserve">  卫生管理要求</w:t>
      </w:r>
      <w:bookmarkEnd w:id="490"/>
      <w:bookmarkEnd w:id="491"/>
      <w:bookmarkEnd w:id="492"/>
      <w:bookmarkEnd w:id="493"/>
      <w:bookmarkEnd w:id="494"/>
      <w:bookmarkEnd w:id="495"/>
    </w:p>
    <w:p w14:paraId="7BA7F4C3">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5</w:t>
      </w: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严格执行</w:t>
      </w:r>
      <w:r>
        <w:rPr>
          <w:rFonts w:hint="eastAsia" w:ascii="宋体" w:hAnsi="宋体" w:eastAsia="宋体" w:cs="宋体"/>
          <w:vanish w:val="0"/>
          <w:color w:val="auto"/>
          <w:sz w:val="24"/>
          <w:szCs w:val="24"/>
          <w:highlight w:val="none"/>
          <w:lang w:val="en-US" w:eastAsia="zh-CN"/>
        </w:rPr>
        <w:t>与</w:t>
      </w:r>
      <w:r>
        <w:rPr>
          <w:rFonts w:hint="default" w:ascii="宋体" w:hAnsi="宋体" w:eastAsia="宋体" w:cs="宋体"/>
          <w:vanish w:val="0"/>
          <w:color w:val="auto"/>
          <w:sz w:val="24"/>
          <w:szCs w:val="24"/>
          <w:highlight w:val="none"/>
          <w:lang w:val="en-US" w:eastAsia="zh-CN"/>
        </w:rPr>
        <w:t>食品安全</w:t>
      </w:r>
      <w:r>
        <w:rPr>
          <w:rFonts w:hint="eastAsia" w:ascii="宋体" w:hAnsi="宋体" w:eastAsia="宋体" w:cs="宋体"/>
          <w:vanish w:val="0"/>
          <w:color w:val="auto"/>
          <w:sz w:val="24"/>
          <w:szCs w:val="24"/>
          <w:highlight w:val="none"/>
          <w:lang w:val="en-US" w:eastAsia="zh-CN"/>
        </w:rPr>
        <w:t>相关</w:t>
      </w:r>
      <w:r>
        <w:rPr>
          <w:rFonts w:hint="default" w:ascii="宋体" w:hAnsi="宋体" w:eastAsia="宋体" w:cs="宋体"/>
          <w:vanish w:val="0"/>
          <w:color w:val="auto"/>
          <w:sz w:val="24"/>
          <w:szCs w:val="24"/>
          <w:highlight w:val="none"/>
          <w:lang w:val="en-US" w:eastAsia="zh-CN"/>
        </w:rPr>
        <w:t>的国</w:t>
      </w:r>
      <w:r>
        <w:rPr>
          <w:rFonts w:hint="eastAsia" w:ascii="宋体" w:hAnsi="宋体" w:eastAsia="宋体" w:cs="宋体"/>
          <w:vanish w:val="0"/>
          <w:color w:val="auto"/>
          <w:sz w:val="24"/>
          <w:szCs w:val="24"/>
          <w:highlight w:val="none"/>
          <w:lang w:val="en-US" w:eastAsia="zh-CN"/>
        </w:rPr>
        <w:t>家</w:t>
      </w:r>
      <w:r>
        <w:rPr>
          <w:rFonts w:hint="default" w:ascii="宋体" w:hAnsi="宋体" w:eastAsia="宋体" w:cs="宋体"/>
          <w:vanish w:val="0"/>
          <w:color w:val="auto"/>
          <w:sz w:val="24"/>
          <w:szCs w:val="24"/>
          <w:highlight w:val="none"/>
          <w:lang w:val="en-US" w:eastAsia="zh-CN"/>
        </w:rPr>
        <w:t>规定，保证就餐人员的饮食卫生。</w:t>
      </w:r>
    </w:p>
    <w:p w14:paraId="585231A7">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bCs/>
          <w:i w:val="0"/>
          <w:color w:val="auto"/>
          <w:kern w:val="2"/>
          <w:sz w:val="24"/>
          <w:szCs w:val="24"/>
          <w:highlight w:val="none"/>
          <w:lang w:val="en-US" w:eastAsia="zh-CN" w:bidi="ar-SA"/>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6</w:t>
      </w: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严格执行食品安全法</w:t>
      </w:r>
      <w:r>
        <w:rPr>
          <w:rFonts w:hint="eastAsia" w:ascii="宋体" w:hAnsi="宋体" w:eastAsia="宋体" w:cs="宋体"/>
          <w:vanish w:val="0"/>
          <w:color w:val="auto"/>
          <w:sz w:val="24"/>
          <w:szCs w:val="24"/>
          <w:highlight w:val="none"/>
          <w:lang w:val="en-US" w:eastAsia="zh-CN"/>
        </w:rPr>
        <w:t>相关</w:t>
      </w:r>
      <w:r>
        <w:rPr>
          <w:rFonts w:hint="default" w:ascii="宋体" w:hAnsi="宋体" w:eastAsia="宋体" w:cs="宋体"/>
          <w:vanish w:val="0"/>
          <w:color w:val="auto"/>
          <w:sz w:val="24"/>
          <w:szCs w:val="24"/>
          <w:highlight w:val="none"/>
          <w:lang w:val="en-US" w:eastAsia="zh-CN"/>
        </w:rPr>
        <w:t>条例的规定，食堂应当制定并执行原料控制、 餐具饮具清洗消毒、食品留样等制度。</w:t>
      </w:r>
    </w:p>
    <w:p w14:paraId="6451FB4B">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7</w:t>
      </w:r>
      <w:r>
        <w:rPr>
          <w:rFonts w:hint="default" w:ascii="宋体" w:hAnsi="宋体" w:eastAsia="宋体" w:cs="宋体"/>
          <w:vanish w:val="0"/>
          <w:color w:val="auto"/>
          <w:sz w:val="24"/>
          <w:szCs w:val="24"/>
          <w:highlight w:val="none"/>
          <w:lang w:val="en-US" w:eastAsia="zh-CN"/>
        </w:rPr>
        <w:t xml:space="preserve">  严禁采用霉坏、变质的食品原料，米、菜、肉等食材应清洗干净。</w:t>
      </w:r>
    </w:p>
    <w:p w14:paraId="52DD4265">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8</w:t>
      </w:r>
      <w:r>
        <w:rPr>
          <w:rFonts w:hint="default" w:ascii="宋体" w:hAnsi="宋体" w:eastAsia="宋体" w:cs="宋体"/>
          <w:vanish w:val="0"/>
          <w:color w:val="auto"/>
          <w:sz w:val="24"/>
          <w:szCs w:val="24"/>
          <w:highlight w:val="none"/>
          <w:lang w:val="en-US" w:eastAsia="zh-CN"/>
        </w:rPr>
        <w:t xml:space="preserve">  食堂及周边区域的卫生应每天清扫，就餐餐厅内要做到干净整洁、窗户明亮，通风良好。厨房、操作间应保持清洁、整齐、无杂物，垃圾及时清理。</w:t>
      </w:r>
    </w:p>
    <w:p w14:paraId="309D8750">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9</w:t>
      </w:r>
      <w:r>
        <w:rPr>
          <w:rFonts w:hint="default" w:ascii="宋体" w:hAnsi="宋体" w:eastAsia="宋体" w:cs="宋体"/>
          <w:vanish w:val="0"/>
          <w:color w:val="auto"/>
          <w:sz w:val="24"/>
          <w:szCs w:val="24"/>
          <w:highlight w:val="none"/>
          <w:lang w:val="en-US" w:eastAsia="zh-CN"/>
        </w:rPr>
        <w:t xml:space="preserve">  各种炊具和灶具每次使用后</w:t>
      </w:r>
      <w:r>
        <w:rPr>
          <w:rFonts w:hint="eastAsia" w:ascii="宋体" w:hAnsi="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及时清洗，保持清洁。</w:t>
      </w:r>
    </w:p>
    <w:p w14:paraId="02F671CE">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10</w:t>
      </w:r>
      <w:r>
        <w:rPr>
          <w:rFonts w:hint="default" w:ascii="宋体" w:hAnsi="宋体" w:eastAsia="宋体" w:cs="宋体"/>
          <w:vanish w:val="0"/>
          <w:color w:val="auto"/>
          <w:sz w:val="24"/>
          <w:szCs w:val="24"/>
          <w:highlight w:val="none"/>
          <w:lang w:val="en-US" w:eastAsia="zh-CN"/>
        </w:rPr>
        <w:t xml:space="preserve">  应保持冰箱的清洁卫生，食品应干、湿、生、熟分开存放，防止食品相互交叉污染。</w:t>
      </w:r>
    </w:p>
    <w:p w14:paraId="552FAAEB">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96" w:name="_Toc15519"/>
      <w:bookmarkStart w:id="497" w:name="_Toc24440"/>
      <w:bookmarkStart w:id="498" w:name="_Toc32751"/>
      <w:bookmarkStart w:id="499" w:name="_Toc4912"/>
      <w:bookmarkStart w:id="500" w:name="_Toc22831"/>
      <w:bookmarkStart w:id="501" w:name="_Toc15080"/>
      <w:r>
        <w:rPr>
          <w:rFonts w:hint="eastAsia" w:ascii="宋体" w:hAnsi="宋体" w:eastAsia="宋体" w:cs="宋体"/>
          <w:b/>
          <w:bCs/>
          <w:color w:val="auto"/>
          <w:sz w:val="24"/>
          <w:szCs w:val="24"/>
          <w:highlight w:val="none"/>
          <w:lang w:val="en-US" w:eastAsia="zh-CN"/>
        </w:rPr>
        <w:t>Ⅲ</w:t>
      </w:r>
      <w:r>
        <w:rPr>
          <w:rFonts w:hint="default" w:ascii="宋体" w:hAnsi="宋体" w:eastAsia="宋体" w:cs="宋体"/>
          <w:b/>
          <w:bCs/>
          <w:color w:val="auto"/>
          <w:sz w:val="24"/>
          <w:szCs w:val="24"/>
          <w:highlight w:val="none"/>
          <w:lang w:val="en-US" w:eastAsia="zh-CN"/>
        </w:rPr>
        <w:t xml:space="preserve">  会议、招待用餐</w:t>
      </w:r>
      <w:bookmarkEnd w:id="496"/>
      <w:bookmarkEnd w:id="497"/>
      <w:bookmarkEnd w:id="498"/>
      <w:bookmarkEnd w:id="499"/>
      <w:bookmarkEnd w:id="500"/>
      <w:bookmarkEnd w:id="501"/>
    </w:p>
    <w:p w14:paraId="451026D0">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default"/>
          <w:highlight w:val="none"/>
          <w:lang w:val="en-US" w:eastAsia="zh-CN"/>
        </w:rPr>
        <w:t xml:space="preserve">  </w:t>
      </w:r>
      <w:r>
        <w:rPr>
          <w:rFonts w:hint="default" w:ascii="宋体" w:hAnsi="宋体" w:eastAsia="宋体" w:cs="宋体"/>
          <w:vanish w:val="0"/>
          <w:color w:val="auto"/>
          <w:sz w:val="24"/>
          <w:szCs w:val="24"/>
          <w:highlight w:val="none"/>
          <w:lang w:val="en-US" w:eastAsia="zh-CN"/>
        </w:rPr>
        <w:t>会议或招待需安排在食堂餐厅用餐的，</w:t>
      </w:r>
      <w:r>
        <w:rPr>
          <w:rFonts w:hint="eastAsia" w:ascii="宋体" w:hAnsi="宋体" w:cs="宋体"/>
          <w:vanish w:val="0"/>
          <w:color w:val="auto"/>
          <w:sz w:val="24"/>
          <w:szCs w:val="24"/>
          <w:highlight w:val="none"/>
          <w:lang w:val="en-US" w:eastAsia="zh-CN"/>
        </w:rPr>
        <w:t>服务人员</w:t>
      </w:r>
      <w:r>
        <w:rPr>
          <w:rFonts w:hint="default" w:ascii="宋体" w:hAnsi="宋体" w:eastAsia="宋体" w:cs="宋体"/>
          <w:vanish w:val="0"/>
          <w:color w:val="auto"/>
          <w:sz w:val="24"/>
          <w:szCs w:val="24"/>
          <w:highlight w:val="none"/>
          <w:lang w:val="en-US" w:eastAsia="zh-CN"/>
        </w:rPr>
        <w:t>凭通过审批的会议用餐通知单，确定用餐标准后安排就餐。</w:t>
      </w:r>
    </w:p>
    <w:p w14:paraId="631DFC50">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2</w:t>
      </w:r>
      <w:r>
        <w:rPr>
          <w:rFonts w:hint="default" w:ascii="宋体" w:hAnsi="宋体" w:eastAsia="宋体" w:cs="宋体"/>
          <w:vanish w:val="0"/>
          <w:color w:val="auto"/>
          <w:sz w:val="24"/>
          <w:szCs w:val="24"/>
          <w:highlight w:val="none"/>
          <w:lang w:val="en-US" w:eastAsia="zh-CN"/>
        </w:rPr>
        <w:t xml:space="preserve">  用餐结束后，陪餐的经办人员</w:t>
      </w:r>
      <w:r>
        <w:rPr>
          <w:rFonts w:hint="eastAsia" w:ascii="宋体" w:hAnsi="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在用餐确认单上签名。</w:t>
      </w:r>
    </w:p>
    <w:p w14:paraId="5985240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502" w:name="_Toc10809"/>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公寓或招待所服务</w:t>
      </w:r>
      <w:bookmarkEnd w:id="502"/>
    </w:p>
    <w:p w14:paraId="1A643401">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 xml:space="preserve">1  </w:t>
      </w:r>
      <w:r>
        <w:rPr>
          <w:rFonts w:hint="eastAsia" w:ascii="宋体" w:hAnsi="宋体" w:eastAsia="宋体" w:cs="宋体"/>
          <w:vanish w:val="0"/>
          <w:color w:val="auto"/>
          <w:sz w:val="24"/>
          <w:szCs w:val="24"/>
          <w:highlight w:val="none"/>
          <w:lang w:val="en-US" w:eastAsia="zh-CN"/>
        </w:rPr>
        <w:t>应建立公寓或招待所管理服务工作规程以及入住及退房流程，使客户安心入住、舒</w:t>
      </w:r>
      <w:r>
        <w:rPr>
          <w:rFonts w:hint="eastAsia" w:ascii="宋体" w:hAnsi="宋体" w:cs="宋体"/>
          <w:vanish w:val="0"/>
          <w:color w:val="auto"/>
          <w:sz w:val="24"/>
          <w:szCs w:val="24"/>
          <w:highlight w:val="none"/>
          <w:lang w:val="en-US" w:eastAsia="zh-CN"/>
        </w:rPr>
        <w:t>适</w:t>
      </w:r>
      <w:r>
        <w:rPr>
          <w:rFonts w:hint="eastAsia" w:ascii="宋体" w:hAnsi="宋体" w:eastAsia="宋体" w:cs="宋体"/>
          <w:vanish w:val="0"/>
          <w:color w:val="auto"/>
          <w:sz w:val="24"/>
          <w:szCs w:val="24"/>
          <w:highlight w:val="none"/>
          <w:lang w:val="en-US" w:eastAsia="zh-CN"/>
        </w:rPr>
        <w:t>住房和快速退房，做到流程简便、顺畅、无错漏；房态信息更新无误、及时。</w:t>
      </w:r>
    </w:p>
    <w:p w14:paraId="3D13BC02">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宋体" w:hAnsi="宋体" w:eastAsia="宋体" w:cs="宋体"/>
          <w:vanish w:val="0"/>
          <w:color w:val="auto"/>
          <w:sz w:val="24"/>
          <w:szCs w:val="24"/>
          <w:highlight w:val="none"/>
          <w:lang w:val="en-US" w:eastAsia="zh-CN"/>
        </w:rPr>
        <w:t xml:space="preserve">  应设置</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24h</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前台服务人员，接待客户做到礼貌热情，文明用语，应答尽答，耐心细致；应统一公示收费标准及注意事项并提醒客户。</w:t>
      </w:r>
    </w:p>
    <w:p w14:paraId="00B8A7B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3</w:t>
      </w:r>
      <w:r>
        <w:rPr>
          <w:rFonts w:hint="eastAsia" w:ascii="宋体" w:hAnsi="宋体" w:eastAsia="宋体" w:cs="宋体"/>
          <w:vanish w:val="0"/>
          <w:color w:val="auto"/>
          <w:sz w:val="24"/>
          <w:szCs w:val="24"/>
          <w:highlight w:val="none"/>
          <w:lang w:val="en-US" w:eastAsia="zh-CN"/>
        </w:rPr>
        <w:t xml:space="preserve">  房间内设备、器具、家具应确保完好，能正常使用；做到整洁齐备，无异味，无积水、无污渍、无灰尘、无蜘蛛网。</w:t>
      </w:r>
    </w:p>
    <w:p w14:paraId="59370B7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4</w:t>
      </w:r>
      <w:r>
        <w:rPr>
          <w:rFonts w:hint="eastAsia" w:ascii="宋体" w:hAnsi="宋体" w:eastAsia="宋体" w:cs="宋体"/>
          <w:vanish w:val="0"/>
          <w:color w:val="auto"/>
          <w:sz w:val="24"/>
          <w:szCs w:val="24"/>
          <w:highlight w:val="none"/>
          <w:lang w:val="en-US" w:eastAsia="zh-CN"/>
        </w:rPr>
        <w:t xml:space="preserve">  应定期更换布草，做到干净整洁，无破损，无异味，无污渍、张铺规范。一次性消耗品做到及时更换、补充；摆放整洁得体。</w:t>
      </w:r>
    </w:p>
    <w:p w14:paraId="269E353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503" w:name="_Toc22940"/>
      <w:r>
        <w:rPr>
          <w:rFonts w:hint="eastAsia" w:ascii="宋体" w:hAnsi="宋体" w:eastAsia="宋体" w:cs="宋体"/>
          <w:b/>
          <w:bCs/>
          <w:color w:val="auto"/>
          <w:sz w:val="24"/>
          <w:szCs w:val="24"/>
          <w:highlight w:val="none"/>
          <w:lang w:val="en-US" w:eastAsia="zh-CN"/>
        </w:rPr>
        <w:t>11.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xml:space="preserve">  文娱活动场所服务</w:t>
      </w:r>
      <w:bookmarkEnd w:id="503"/>
    </w:p>
    <w:p w14:paraId="0B784C9C">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1</w:t>
      </w:r>
      <w:r>
        <w:rPr>
          <w:rFonts w:hint="default" w:ascii="Times New Roman" w:hAnsi="Times New Roman" w:eastAsia="宋体" w:cs="Times New Roman"/>
          <w:b/>
          <w:bCs/>
          <w:i w:val="0"/>
          <w:color w:val="auto"/>
          <w:kern w:val="2"/>
          <w:sz w:val="24"/>
          <w:szCs w:val="24"/>
          <w:highlight w:val="none"/>
          <w:lang w:val="en-US" w:eastAsia="zh-CN" w:bidi="ar-SA"/>
        </w:rPr>
        <w:t xml:space="preserve">  </w:t>
      </w:r>
      <w:r>
        <w:rPr>
          <w:rFonts w:hint="default" w:ascii="宋体" w:hAnsi="宋体" w:eastAsia="宋体" w:cs="宋体"/>
          <w:vanish w:val="0"/>
          <w:color w:val="auto"/>
          <w:sz w:val="24"/>
          <w:szCs w:val="24"/>
          <w:highlight w:val="none"/>
          <w:lang w:val="en-US" w:eastAsia="zh-CN"/>
        </w:rPr>
        <w:t>文娱活动场所主要为</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内部人员服务，不对外开放。</w:t>
      </w:r>
    </w:p>
    <w:p w14:paraId="39F60896">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2</w:t>
      </w:r>
      <w:r>
        <w:rPr>
          <w:rFonts w:hint="default" w:ascii="宋体" w:hAnsi="宋体" w:eastAsia="宋体" w:cs="宋体"/>
          <w:vanish w:val="0"/>
          <w:color w:val="auto"/>
          <w:sz w:val="24"/>
          <w:szCs w:val="24"/>
          <w:highlight w:val="none"/>
          <w:lang w:val="en-US" w:eastAsia="zh-CN"/>
        </w:rPr>
        <w:t xml:space="preserve">  文娱活动场所按规定时间开放</w:t>
      </w:r>
      <w:r>
        <w:rPr>
          <w:rFonts w:hint="eastAsia" w:ascii="宋体" w:hAnsi="宋体" w:cs="宋体"/>
          <w:vanish w:val="0"/>
          <w:color w:val="auto"/>
          <w:sz w:val="24"/>
          <w:szCs w:val="24"/>
          <w:highlight w:val="none"/>
          <w:lang w:val="en-US" w:eastAsia="zh-CN"/>
        </w:rPr>
        <w:t>，其间</w:t>
      </w:r>
      <w:r>
        <w:rPr>
          <w:rFonts w:hint="default" w:ascii="宋体" w:hAnsi="宋体" w:eastAsia="宋体" w:cs="宋体"/>
          <w:vanish w:val="0"/>
          <w:color w:val="auto"/>
          <w:sz w:val="24"/>
          <w:szCs w:val="24"/>
          <w:highlight w:val="none"/>
          <w:lang w:val="en-US" w:eastAsia="zh-CN"/>
        </w:rPr>
        <w:t>应保持室内清洁卫生。</w:t>
      </w:r>
    </w:p>
    <w:p w14:paraId="3847694D">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3</w:t>
      </w:r>
      <w:r>
        <w:rPr>
          <w:rFonts w:hint="default" w:ascii="宋体" w:hAnsi="宋体" w:eastAsia="宋体" w:cs="宋体"/>
          <w:vanish w:val="0"/>
          <w:color w:val="auto"/>
          <w:sz w:val="24"/>
          <w:szCs w:val="24"/>
          <w:highlight w:val="none"/>
          <w:lang w:val="en-US" w:eastAsia="zh-CN"/>
        </w:rPr>
        <w:t xml:space="preserve">  活动结束后应将设备器材归位，检查设备器材有</w:t>
      </w:r>
      <w:r>
        <w:rPr>
          <w:rFonts w:hint="eastAsia" w:ascii="宋体" w:hAnsi="宋体" w:cs="宋体"/>
          <w:vanish w:val="0"/>
          <w:color w:val="auto"/>
          <w:sz w:val="24"/>
          <w:szCs w:val="24"/>
          <w:highlight w:val="none"/>
          <w:lang w:val="en-US" w:eastAsia="zh-CN"/>
        </w:rPr>
        <w:t>无损</w:t>
      </w:r>
      <w:r>
        <w:rPr>
          <w:rFonts w:hint="default" w:ascii="宋体" w:hAnsi="宋体" w:eastAsia="宋体" w:cs="宋体"/>
          <w:vanish w:val="0"/>
          <w:color w:val="auto"/>
          <w:sz w:val="24"/>
          <w:szCs w:val="24"/>
          <w:highlight w:val="none"/>
          <w:lang w:val="en-US" w:eastAsia="zh-CN"/>
        </w:rPr>
        <w:t>坏，如有损坏，需向主管领导报备。</w:t>
      </w:r>
    </w:p>
    <w:p w14:paraId="37E5E0FE">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4</w:t>
      </w:r>
      <w:r>
        <w:rPr>
          <w:rFonts w:hint="default" w:ascii="宋体" w:hAnsi="宋体" w:eastAsia="宋体" w:cs="宋体"/>
          <w:vanish w:val="0"/>
          <w:color w:val="auto"/>
          <w:sz w:val="24"/>
          <w:szCs w:val="24"/>
          <w:highlight w:val="none"/>
          <w:lang w:val="en-US" w:eastAsia="zh-CN"/>
        </w:rPr>
        <w:t xml:space="preserve">  服务结束后应关闭照明</w:t>
      </w:r>
      <w:r>
        <w:rPr>
          <w:rFonts w:hint="eastAsia" w:ascii="宋体" w:hAnsi="宋体" w:cs="宋体"/>
          <w:vanish w:val="0"/>
          <w:color w:val="auto"/>
          <w:sz w:val="24"/>
          <w:szCs w:val="24"/>
          <w:highlight w:val="none"/>
          <w:lang w:val="en-US" w:eastAsia="zh-CN"/>
        </w:rPr>
        <w:t>及</w:t>
      </w:r>
      <w:r>
        <w:rPr>
          <w:rFonts w:hint="default" w:ascii="宋体" w:hAnsi="宋体" w:eastAsia="宋体" w:cs="宋体"/>
          <w:vanish w:val="0"/>
          <w:color w:val="auto"/>
          <w:sz w:val="24"/>
          <w:szCs w:val="24"/>
          <w:highlight w:val="none"/>
          <w:lang w:val="en-US" w:eastAsia="zh-CN"/>
        </w:rPr>
        <w:t>电器。</w:t>
      </w:r>
    </w:p>
    <w:p w14:paraId="1BD1EFA1">
      <w:pPr>
        <w:pStyle w:val="20"/>
        <w:rPr>
          <w:rFonts w:hint="default"/>
          <w:highlight w:val="none"/>
          <w:lang w:val="en-US" w:eastAsia="zh-CN"/>
        </w:rPr>
      </w:pPr>
    </w:p>
    <w:p w14:paraId="5CC9D644">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504" w:name="_Toc8357"/>
      <w:bookmarkStart w:id="505" w:name="_Toc22605"/>
      <w:bookmarkStart w:id="506" w:name="_Toc21852"/>
      <w:bookmarkStart w:id="507" w:name="_Toc2995"/>
      <w:bookmarkStart w:id="508" w:name="_Toc30405"/>
      <w:r>
        <w:rPr>
          <w:rFonts w:hint="eastAsia" w:ascii="Times New Roman" w:hAnsi="Times New Roman" w:eastAsia="宋体" w:cs="Times New Roman"/>
          <w:sz w:val="30"/>
          <w:highlight w:val="none"/>
          <w:lang w:val="en-US" w:eastAsia="zh-CN"/>
        </w:rPr>
        <w:t>1</w:t>
      </w:r>
      <w:r>
        <w:rPr>
          <w:rFonts w:hint="eastAsia" w:cs="Times New Roman"/>
          <w:sz w:val="30"/>
          <w:highlight w:val="none"/>
          <w:lang w:val="en-US" w:eastAsia="zh-CN"/>
        </w:rPr>
        <w:t>2</w:t>
      </w:r>
      <w:r>
        <w:rPr>
          <w:rFonts w:hint="eastAsia" w:ascii="Times New Roman" w:hAnsi="Times New Roman" w:eastAsia="宋体" w:cs="Times New Roman"/>
          <w:sz w:val="30"/>
          <w:highlight w:val="none"/>
          <w:lang w:val="en-US" w:eastAsia="zh-CN"/>
        </w:rPr>
        <w:t xml:space="preserve">  </w:t>
      </w:r>
      <w:r>
        <w:rPr>
          <w:rFonts w:hint="eastAsia" w:ascii="Times New Roman" w:hAnsi="Times New Roman" w:eastAsia="宋体" w:cs="Times New Roman"/>
          <w:b/>
          <w:bCs/>
          <w:sz w:val="30"/>
          <w:highlight w:val="none"/>
          <w:lang w:val="en-US" w:eastAsia="zh-CN"/>
        </w:rPr>
        <w:t>特</w:t>
      </w:r>
      <w:r>
        <w:rPr>
          <w:rFonts w:hint="eastAsia" w:cs="Times New Roman"/>
          <w:b/>
          <w:bCs/>
          <w:sz w:val="30"/>
          <w:highlight w:val="none"/>
          <w:lang w:val="en-US" w:eastAsia="zh-CN"/>
        </w:rPr>
        <w:t xml:space="preserve">  </w:t>
      </w:r>
      <w:r>
        <w:rPr>
          <w:rFonts w:hint="eastAsia" w:ascii="Times New Roman" w:hAnsi="Times New Roman" w:eastAsia="宋体" w:cs="Times New Roman"/>
          <w:b/>
          <w:bCs/>
          <w:sz w:val="30"/>
          <w:highlight w:val="none"/>
          <w:lang w:val="en-US" w:eastAsia="zh-CN"/>
        </w:rPr>
        <w:t>约</w:t>
      </w:r>
      <w:r>
        <w:rPr>
          <w:rFonts w:hint="eastAsia" w:cs="Times New Roman"/>
          <w:b/>
          <w:bCs/>
          <w:sz w:val="30"/>
          <w:highlight w:val="none"/>
          <w:lang w:val="en-US" w:eastAsia="zh-CN"/>
        </w:rPr>
        <w:t xml:space="preserve">  </w:t>
      </w:r>
      <w:r>
        <w:rPr>
          <w:rFonts w:hint="eastAsia" w:ascii="Times New Roman" w:hAnsi="Times New Roman" w:eastAsia="宋体" w:cs="Times New Roman"/>
          <w:b/>
          <w:bCs/>
          <w:sz w:val="30"/>
          <w:highlight w:val="none"/>
          <w:lang w:val="en-US" w:eastAsia="zh-CN"/>
        </w:rPr>
        <w:t>服</w:t>
      </w:r>
      <w:r>
        <w:rPr>
          <w:rFonts w:hint="eastAsia" w:cs="Times New Roman"/>
          <w:b/>
          <w:bCs/>
          <w:sz w:val="30"/>
          <w:highlight w:val="none"/>
          <w:lang w:val="en-US" w:eastAsia="zh-CN"/>
        </w:rPr>
        <w:t xml:space="preserve">  </w:t>
      </w:r>
      <w:r>
        <w:rPr>
          <w:rFonts w:hint="eastAsia" w:ascii="Times New Roman" w:hAnsi="Times New Roman" w:eastAsia="宋体" w:cs="Times New Roman"/>
          <w:b/>
          <w:bCs/>
          <w:sz w:val="30"/>
          <w:highlight w:val="none"/>
          <w:lang w:val="en-US" w:eastAsia="zh-CN"/>
        </w:rPr>
        <w:t>务</w:t>
      </w:r>
      <w:bookmarkEnd w:id="504"/>
      <w:bookmarkEnd w:id="505"/>
      <w:bookmarkEnd w:id="506"/>
      <w:bookmarkEnd w:id="507"/>
      <w:bookmarkEnd w:id="508"/>
    </w:p>
    <w:p w14:paraId="29AD0484">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1</w:t>
      </w:r>
      <w:r>
        <w:rPr>
          <w:rFonts w:hint="default" w:ascii="宋体" w:hAnsi="宋体" w:eastAsia="宋体" w:cs="宋体"/>
          <w:vanish w:val="0"/>
          <w:color w:val="auto"/>
          <w:sz w:val="24"/>
          <w:szCs w:val="24"/>
          <w:highlight w:val="none"/>
          <w:lang w:val="en-US" w:eastAsia="zh-CN"/>
        </w:rPr>
        <w:t xml:space="preserve">  根据</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的需求策划特约服务方案，按照不同的服务方案，提供相应的特约服务。</w:t>
      </w:r>
    </w:p>
    <w:p w14:paraId="1F249F06">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2</w:t>
      </w:r>
      <w:r>
        <w:rPr>
          <w:rFonts w:hint="default" w:ascii="宋体" w:hAnsi="宋体" w:eastAsia="宋体" w:cs="宋体"/>
          <w:vanish w:val="0"/>
          <w:color w:val="auto"/>
          <w:sz w:val="24"/>
          <w:szCs w:val="24"/>
          <w:highlight w:val="none"/>
          <w:lang w:val="en-US" w:eastAsia="zh-CN"/>
        </w:rPr>
        <w:t xml:space="preserve">  应制定特约服务工作内容、工作流程、服务标准及收费标准。</w:t>
      </w:r>
    </w:p>
    <w:p w14:paraId="1024B09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3</w:t>
      </w:r>
      <w:r>
        <w:rPr>
          <w:rFonts w:hint="default" w:ascii="宋体" w:hAnsi="宋体" w:eastAsia="宋体" w:cs="宋体"/>
          <w:vanish w:val="0"/>
          <w:color w:val="auto"/>
          <w:sz w:val="24"/>
          <w:szCs w:val="24"/>
          <w:highlight w:val="none"/>
          <w:lang w:val="en-US" w:eastAsia="zh-CN"/>
        </w:rPr>
        <w:t xml:space="preserve">  宜根据党政机关</w:t>
      </w:r>
      <w:r>
        <w:rPr>
          <w:rFonts w:hint="eastAsia" w:ascii="宋体" w:hAnsi="宋体" w:eastAsia="宋体" w:cs="宋体"/>
          <w:vanish w:val="0"/>
          <w:color w:val="auto"/>
          <w:sz w:val="24"/>
          <w:szCs w:val="24"/>
          <w:highlight w:val="none"/>
          <w:lang w:val="en-US" w:eastAsia="zh-CN"/>
        </w:rPr>
        <w:t>办公区</w:t>
      </w:r>
      <w:r>
        <w:rPr>
          <w:rFonts w:hint="default" w:ascii="宋体" w:hAnsi="宋体" w:eastAsia="宋体" w:cs="宋体"/>
          <w:vanish w:val="0"/>
          <w:color w:val="auto"/>
          <w:sz w:val="24"/>
          <w:szCs w:val="24"/>
          <w:highlight w:val="none"/>
          <w:lang w:val="en-US" w:eastAsia="zh-CN"/>
        </w:rPr>
        <w:t>服务需求的动态变化及时更新特约服务的内容。</w:t>
      </w:r>
    </w:p>
    <w:p w14:paraId="5ED1239A">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509" w:name="_Toc17707"/>
      <w:bookmarkStart w:id="510" w:name="_Toc14910"/>
      <w:bookmarkStart w:id="511" w:name="_Toc2690"/>
      <w:bookmarkStart w:id="512" w:name="_Toc29075"/>
      <w:bookmarkStart w:id="513" w:name="_Toc9859"/>
      <w:bookmarkStart w:id="514" w:name="_Toc32402"/>
      <w:r>
        <w:rPr>
          <w:rFonts w:hint="eastAsia" w:ascii="Times New Roman" w:hAnsi="Times New Roman" w:eastAsia="宋体" w:cs="Times New Roman"/>
          <w:sz w:val="30"/>
          <w:highlight w:val="none"/>
          <w:lang w:val="en-US" w:eastAsia="zh-CN"/>
        </w:rPr>
        <w:t>1</w:t>
      </w:r>
      <w:r>
        <w:rPr>
          <w:rFonts w:hint="eastAsia" w:cs="Times New Roman"/>
          <w:sz w:val="30"/>
          <w:highlight w:val="none"/>
          <w:lang w:val="en-US" w:eastAsia="zh-CN"/>
        </w:rPr>
        <w:t>3</w:t>
      </w:r>
      <w:r>
        <w:rPr>
          <w:rFonts w:hint="eastAsia" w:ascii="Times New Roman" w:hAnsi="Times New Roman" w:eastAsia="宋体" w:cs="Times New Roman"/>
          <w:sz w:val="30"/>
          <w:highlight w:val="none"/>
          <w:lang w:val="en-US" w:eastAsia="zh-CN"/>
        </w:rPr>
        <w:t xml:space="preserve">  </w:t>
      </w:r>
      <w:bookmarkEnd w:id="509"/>
      <w:r>
        <w:rPr>
          <w:rFonts w:hint="eastAsia" w:ascii="Times New Roman" w:hAnsi="Times New Roman" w:eastAsia="宋体" w:cs="Times New Roman"/>
          <w:b w:val="0"/>
          <w:bCs w:val="0"/>
          <w:sz w:val="30"/>
          <w:highlight w:val="none"/>
          <w:lang w:val="en-US" w:eastAsia="zh-CN"/>
        </w:rPr>
        <w:t>服务监督与改进</w:t>
      </w:r>
      <w:bookmarkEnd w:id="510"/>
      <w:bookmarkEnd w:id="511"/>
      <w:bookmarkEnd w:id="512"/>
      <w:bookmarkEnd w:id="513"/>
      <w:bookmarkEnd w:id="514"/>
    </w:p>
    <w:p w14:paraId="37FD753C">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515" w:name="_Toc16333"/>
      <w:bookmarkStart w:id="516" w:name="_Toc16128"/>
      <w:bookmarkStart w:id="517" w:name="_Toc31652"/>
      <w:bookmarkStart w:id="518" w:name="_Toc31093"/>
      <w:bookmarkStart w:id="519" w:name="_Toc27360"/>
      <w:bookmarkStart w:id="520" w:name="_Toc18310"/>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.1  投诉处理</w:t>
      </w:r>
      <w:bookmarkEnd w:id="515"/>
      <w:bookmarkEnd w:id="516"/>
      <w:bookmarkEnd w:id="517"/>
      <w:bookmarkEnd w:id="518"/>
      <w:bookmarkEnd w:id="519"/>
      <w:bookmarkEnd w:id="520"/>
    </w:p>
    <w:p w14:paraId="46959AAD">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.1.1</w:t>
      </w:r>
      <w:r>
        <w:rPr>
          <w:rFonts w:hint="default" w:ascii="宋体" w:hAnsi="宋体" w:eastAsia="宋体" w:cs="宋体"/>
          <w:vanish w:val="0"/>
          <w:color w:val="auto"/>
          <w:sz w:val="24"/>
          <w:szCs w:val="24"/>
          <w:highlight w:val="none"/>
          <w:lang w:val="en-US" w:eastAsia="zh-CN"/>
        </w:rPr>
        <w:t xml:space="preserve">  应建立投诉处理机制，明确责任人，对外公布监督、投诉电话，投诉处理应符合现行国家标准《质量管理 顾客满意 组织投诉处理指南</w:t>
      </w:r>
      <w:r>
        <w:rPr>
          <w:rFonts w:hint="eastAsia" w:ascii="宋体" w:hAnsi="宋体" w:eastAsia="宋体" w:cs="宋体"/>
          <w:vanish w:val="0"/>
          <w:color w:val="auto"/>
          <w:sz w:val="24"/>
          <w:szCs w:val="24"/>
          <w:highlight w:val="none"/>
          <w:lang w:val="en-US" w:eastAsia="zh-CN"/>
        </w:rPr>
        <w:t>》</w:t>
      </w:r>
      <w:r>
        <w:rPr>
          <w:rFonts w:hint="default" w:ascii="宋体" w:hAnsi="宋体" w:eastAsia="宋体" w:cs="宋体"/>
          <w:vanish w:val="0"/>
          <w:color w:val="auto"/>
          <w:sz w:val="24"/>
          <w:szCs w:val="24"/>
          <w:highlight w:val="none"/>
          <w:lang w:val="en-US" w:eastAsia="zh-CN"/>
        </w:rPr>
        <w:t>GB/T 19012 的</w:t>
      </w:r>
      <w:r>
        <w:rPr>
          <w:rFonts w:hint="eastAsia" w:ascii="宋体" w:hAnsi="宋体" w:eastAsia="宋体" w:cs="宋体"/>
          <w:vanish w:val="0"/>
          <w:color w:val="auto"/>
          <w:sz w:val="24"/>
          <w:szCs w:val="24"/>
          <w:highlight w:val="none"/>
          <w:lang w:val="en-US" w:eastAsia="zh-CN"/>
        </w:rPr>
        <w:t>相关规定</w:t>
      </w:r>
      <w:r>
        <w:rPr>
          <w:rFonts w:hint="default" w:ascii="宋体" w:hAnsi="宋体" w:eastAsia="宋体" w:cs="宋体"/>
          <w:vanish w:val="0"/>
          <w:color w:val="auto"/>
          <w:sz w:val="24"/>
          <w:szCs w:val="24"/>
          <w:highlight w:val="none"/>
          <w:lang w:val="en-US" w:eastAsia="zh-CN"/>
        </w:rPr>
        <w:t>。</w:t>
      </w:r>
    </w:p>
    <w:p w14:paraId="5A3DAE5E">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eastAsia="宋体" w:cs="Times New Roman"/>
          <w:b/>
          <w:bCs/>
          <w:vanish w:val="0"/>
          <w:color w:val="auto"/>
          <w:sz w:val="24"/>
          <w:szCs w:val="24"/>
          <w:highlight w:val="none"/>
          <w:lang w:val="en-US" w:eastAsia="zh-CN"/>
        </w:rPr>
        <w:t>2</w:t>
      </w:r>
      <w:r>
        <w:rPr>
          <w:rFonts w:hint="default" w:ascii="宋体" w:hAnsi="宋体" w:eastAsia="宋体" w:cs="宋体"/>
          <w:vanish w:val="0"/>
          <w:color w:val="auto"/>
          <w:sz w:val="24"/>
          <w:szCs w:val="24"/>
          <w:highlight w:val="none"/>
          <w:lang w:val="en-US" w:eastAsia="zh-CN"/>
        </w:rPr>
        <w:t xml:space="preserve">  接到投诉后应记录投诉内容并尽快查明事实，分清责任。</w:t>
      </w:r>
    </w:p>
    <w:p w14:paraId="2FA83A37">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eastAsia="宋体" w:cs="Times New Roman"/>
          <w:b/>
          <w:bCs/>
          <w:vanish w:val="0"/>
          <w:color w:val="auto"/>
          <w:sz w:val="24"/>
          <w:szCs w:val="24"/>
          <w:highlight w:val="none"/>
          <w:lang w:val="en-US" w:eastAsia="zh-CN"/>
        </w:rPr>
        <w:t>3</w:t>
      </w:r>
      <w:r>
        <w:rPr>
          <w:rFonts w:hint="default" w:ascii="宋体" w:hAnsi="宋体" w:eastAsia="宋体" w:cs="宋体"/>
          <w:vanish w:val="0"/>
          <w:color w:val="auto"/>
          <w:sz w:val="24"/>
          <w:szCs w:val="24"/>
          <w:highlight w:val="none"/>
          <w:lang w:val="en-US" w:eastAsia="zh-CN"/>
        </w:rPr>
        <w:t xml:space="preserve">  投诉处理完成后1个工作日内进行回访，对投诉处理资料进行归档。</w:t>
      </w:r>
    </w:p>
    <w:p w14:paraId="545733E1">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521" w:name="_Toc16886"/>
      <w:bookmarkStart w:id="522" w:name="_Toc21815"/>
      <w:bookmarkStart w:id="523" w:name="_Toc546"/>
      <w:bookmarkStart w:id="524" w:name="_Toc26156"/>
      <w:bookmarkStart w:id="525" w:name="_Toc11683"/>
      <w:bookmarkStart w:id="526" w:name="_Toc15423"/>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.2  满意度调查</w:t>
      </w:r>
      <w:bookmarkEnd w:id="521"/>
      <w:bookmarkEnd w:id="522"/>
      <w:bookmarkEnd w:id="523"/>
      <w:bookmarkEnd w:id="524"/>
      <w:bookmarkEnd w:id="525"/>
      <w:bookmarkEnd w:id="526"/>
    </w:p>
    <w:p w14:paraId="2081BF3F">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2</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1</w:t>
      </w:r>
      <w:r>
        <w:rPr>
          <w:rFonts w:hint="default" w:ascii="宋体" w:hAnsi="宋体" w:eastAsia="宋体" w:cs="宋体"/>
          <w:vanish w:val="0"/>
          <w:color w:val="auto"/>
          <w:sz w:val="24"/>
          <w:szCs w:val="24"/>
          <w:highlight w:val="none"/>
          <w:lang w:val="en-US" w:eastAsia="zh-CN"/>
        </w:rPr>
        <w:t xml:space="preserve">  日常工作中关注</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的需求，通过现场、电话、信件等方式向</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收集工作意见和建议，及时对这些信息进行分析，完善相关工作，促进管理与服务质量的改进。</w:t>
      </w:r>
    </w:p>
    <w:p w14:paraId="2347705B">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2</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2</w:t>
      </w:r>
      <w:r>
        <w:rPr>
          <w:rFonts w:hint="default" w:ascii="宋体" w:hAnsi="宋体" w:eastAsia="宋体" w:cs="宋体"/>
          <w:vanish w:val="0"/>
          <w:color w:val="auto"/>
          <w:sz w:val="24"/>
          <w:szCs w:val="24"/>
          <w:highlight w:val="none"/>
          <w:lang w:val="en-US" w:eastAsia="zh-CN"/>
        </w:rPr>
        <w:t xml:space="preserve">  按照物业服务项目制定满意度调查方案及调查问卷，每年≥1次宜通过纸质、问卷星等调研方式对物业使用人开展满意度调查。</w:t>
      </w:r>
    </w:p>
    <w:p w14:paraId="6FAAE97C">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2</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3</w:t>
      </w:r>
      <w:r>
        <w:rPr>
          <w:rFonts w:hint="default" w:ascii="宋体" w:hAnsi="宋体" w:eastAsia="宋体" w:cs="宋体"/>
          <w:vanish w:val="0"/>
          <w:color w:val="auto"/>
          <w:sz w:val="24"/>
          <w:szCs w:val="24"/>
          <w:highlight w:val="none"/>
          <w:lang w:val="en-US" w:eastAsia="zh-CN"/>
        </w:rPr>
        <w:t xml:space="preserve">  对满意度调查结果进行汇总分析并形成报告，对</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提出的意见或建议，制定整改措施及计划并有效实施，跟踪实施效果并及时回访</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w:t>
      </w:r>
    </w:p>
    <w:p w14:paraId="708B6B52">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527" w:name="_Toc25445"/>
      <w:bookmarkStart w:id="528" w:name="_Toc29037"/>
      <w:bookmarkStart w:id="529" w:name="_Toc13145"/>
      <w:bookmarkStart w:id="530" w:name="_Toc11345"/>
      <w:bookmarkStart w:id="531" w:name="_Toc21238"/>
      <w:bookmarkStart w:id="532" w:name="_Toc10492"/>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.3  监督检查</w:t>
      </w:r>
      <w:bookmarkEnd w:id="527"/>
      <w:bookmarkEnd w:id="528"/>
      <w:bookmarkEnd w:id="529"/>
      <w:bookmarkEnd w:id="530"/>
      <w:bookmarkEnd w:id="531"/>
      <w:bookmarkEnd w:id="532"/>
    </w:p>
    <w:p w14:paraId="7BEBD8EB">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eastAsia" w:ascii="Times New Roman" w:hAnsi="Times New Roman" w:eastAsia="宋体" w:cs="Times New Roman"/>
          <w:b/>
          <w:bCs/>
          <w:vanish w:val="0"/>
          <w:color w:val="auto"/>
          <w:sz w:val="24"/>
          <w:szCs w:val="24"/>
          <w:highlight w:val="none"/>
          <w:lang w:val="en-US" w:eastAsia="zh-CN"/>
        </w:rPr>
        <w:t>.3.1</w:t>
      </w:r>
      <w:r>
        <w:rPr>
          <w:rFonts w:hint="default" w:ascii="宋体" w:hAnsi="宋体" w:eastAsia="宋体" w:cs="宋体"/>
          <w:vanish w:val="0"/>
          <w:color w:val="auto"/>
          <w:sz w:val="24"/>
          <w:szCs w:val="24"/>
          <w:highlight w:val="none"/>
          <w:lang w:val="en-US" w:eastAsia="zh-CN"/>
        </w:rPr>
        <w:t xml:space="preserve">  应成立监督检查机构或小组，制定监督检查计划和实施方案。</w:t>
      </w:r>
    </w:p>
    <w:p w14:paraId="147C2F38">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eastAsia" w:ascii="Times New Roman" w:hAnsi="Times New Roman" w:eastAsia="宋体" w:cs="Times New Roman"/>
          <w:b/>
          <w:bCs/>
          <w:vanish w:val="0"/>
          <w:color w:val="auto"/>
          <w:sz w:val="24"/>
          <w:szCs w:val="24"/>
          <w:highlight w:val="none"/>
          <w:lang w:val="en-US" w:eastAsia="zh-CN"/>
        </w:rPr>
        <w:t>.3.2</w:t>
      </w: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定期或不定期进行监督检查或抽查，监督检查可采取包含但不限于以下方式进行：</w:t>
      </w:r>
    </w:p>
    <w:p w14:paraId="78AD4F9C">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1  </w:t>
      </w:r>
      <w:r>
        <w:rPr>
          <w:rFonts w:hint="default" w:ascii="宋体" w:hAnsi="宋体" w:eastAsia="宋体" w:cs="宋体"/>
          <w:vanish w:val="0"/>
          <w:color w:val="auto"/>
          <w:sz w:val="24"/>
          <w:szCs w:val="24"/>
          <w:highlight w:val="none"/>
          <w:lang w:val="en-US" w:eastAsia="zh-CN"/>
        </w:rPr>
        <w:t>日常检查；</w:t>
      </w:r>
    </w:p>
    <w:p w14:paraId="6F4DC112">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2  </w:t>
      </w:r>
      <w:r>
        <w:rPr>
          <w:rFonts w:hint="default" w:ascii="宋体" w:hAnsi="宋体" w:eastAsia="宋体" w:cs="宋体"/>
          <w:vanish w:val="0"/>
          <w:color w:val="auto"/>
          <w:sz w:val="24"/>
          <w:szCs w:val="24"/>
          <w:highlight w:val="none"/>
          <w:lang w:val="en-US" w:eastAsia="zh-CN"/>
        </w:rPr>
        <w:t>月度检查；</w:t>
      </w:r>
    </w:p>
    <w:p w14:paraId="57C5E91B">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3  </w:t>
      </w:r>
      <w:r>
        <w:rPr>
          <w:rFonts w:hint="default" w:ascii="宋体" w:hAnsi="宋体" w:eastAsia="宋体" w:cs="宋体"/>
          <w:vanish w:val="0"/>
          <w:color w:val="auto"/>
          <w:sz w:val="24"/>
          <w:szCs w:val="24"/>
          <w:highlight w:val="none"/>
          <w:lang w:val="en-US" w:eastAsia="zh-CN"/>
        </w:rPr>
        <w:t>年度考核检查；</w:t>
      </w:r>
    </w:p>
    <w:p w14:paraId="746685C8">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4  </w:t>
      </w:r>
      <w:r>
        <w:rPr>
          <w:rFonts w:hint="default" w:ascii="宋体" w:hAnsi="宋体" w:eastAsia="宋体" w:cs="宋体"/>
          <w:vanish w:val="0"/>
          <w:color w:val="auto"/>
          <w:sz w:val="24"/>
          <w:szCs w:val="24"/>
          <w:highlight w:val="none"/>
          <w:lang w:val="en-US" w:eastAsia="zh-CN"/>
        </w:rPr>
        <w:t>重大节日节前安全检查；</w:t>
      </w:r>
    </w:p>
    <w:p w14:paraId="3D6FCBEB">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w:t>
      </w: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5  </w:t>
      </w:r>
      <w:r>
        <w:rPr>
          <w:rFonts w:hint="default" w:ascii="宋体" w:hAnsi="宋体" w:eastAsia="宋体" w:cs="宋体"/>
          <w:vanish w:val="0"/>
          <w:color w:val="auto"/>
          <w:sz w:val="24"/>
          <w:szCs w:val="24"/>
          <w:highlight w:val="none"/>
          <w:lang w:val="en-US" w:eastAsia="zh-CN"/>
        </w:rPr>
        <w:t>重点检查；</w:t>
      </w:r>
    </w:p>
    <w:p w14:paraId="10D75285">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6  </w:t>
      </w:r>
      <w:r>
        <w:rPr>
          <w:rFonts w:hint="default" w:ascii="宋体" w:hAnsi="宋体" w:eastAsia="宋体" w:cs="宋体"/>
          <w:vanish w:val="0"/>
          <w:color w:val="auto"/>
          <w:sz w:val="24"/>
          <w:szCs w:val="24"/>
          <w:highlight w:val="none"/>
          <w:lang w:val="en-US" w:eastAsia="zh-CN"/>
        </w:rPr>
        <w:t>专项检查；</w:t>
      </w:r>
    </w:p>
    <w:p w14:paraId="00BB5D82">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7  </w:t>
      </w:r>
      <w:r>
        <w:rPr>
          <w:rFonts w:hint="default" w:ascii="宋体" w:hAnsi="宋体" w:eastAsia="宋体" w:cs="宋体"/>
          <w:vanish w:val="0"/>
          <w:color w:val="auto"/>
          <w:sz w:val="24"/>
          <w:szCs w:val="24"/>
          <w:highlight w:val="none"/>
          <w:lang w:val="en-US" w:eastAsia="zh-CN"/>
        </w:rPr>
        <w:t>质量事故调查等。</w:t>
      </w:r>
    </w:p>
    <w:p w14:paraId="61880486">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eastAsia" w:ascii="Times New Roman" w:hAnsi="Times New Roman" w:eastAsia="宋体" w:cs="Times New Roman"/>
          <w:b/>
          <w:bCs/>
          <w:vanish w:val="0"/>
          <w:color w:val="auto"/>
          <w:sz w:val="24"/>
          <w:szCs w:val="24"/>
          <w:highlight w:val="none"/>
          <w:lang w:val="en-US" w:eastAsia="zh-CN"/>
        </w:rPr>
        <w:t>.3.3</w:t>
      </w:r>
      <w:r>
        <w:rPr>
          <w:rFonts w:hint="default" w:ascii="宋体" w:hAnsi="宋体" w:eastAsia="宋体" w:cs="宋体"/>
          <w:vanish w:val="0"/>
          <w:color w:val="auto"/>
          <w:sz w:val="24"/>
          <w:szCs w:val="24"/>
          <w:highlight w:val="none"/>
          <w:lang w:val="en-US" w:eastAsia="zh-CN"/>
        </w:rPr>
        <w:t xml:space="preserve">  对监督检查结果综合分析评价，实施</w:t>
      </w:r>
      <w:r>
        <w:rPr>
          <w:rFonts w:hint="eastAsia" w:ascii="宋体" w:hAnsi="宋体" w:cs="宋体"/>
          <w:vanish w:val="0"/>
          <w:color w:val="auto"/>
          <w:sz w:val="24"/>
          <w:szCs w:val="24"/>
          <w:highlight w:val="none"/>
          <w:lang w:val="en-US" w:eastAsia="zh-CN"/>
        </w:rPr>
        <w:t>绩效考核</w:t>
      </w:r>
      <w:r>
        <w:rPr>
          <w:rFonts w:hint="default" w:ascii="宋体" w:hAnsi="宋体" w:eastAsia="宋体" w:cs="宋体"/>
          <w:vanish w:val="0"/>
          <w:color w:val="auto"/>
          <w:sz w:val="24"/>
          <w:szCs w:val="24"/>
          <w:highlight w:val="none"/>
          <w:lang w:val="en-US" w:eastAsia="zh-CN"/>
        </w:rPr>
        <w:t>。</w:t>
      </w:r>
    </w:p>
    <w:p w14:paraId="2A9EA2EE">
      <w:pPr>
        <w:pStyle w:val="20"/>
        <w:rPr>
          <w:rFonts w:hint="default"/>
          <w:highlight w:val="none"/>
          <w:lang w:val="en-US" w:eastAsia="zh-CN"/>
        </w:rPr>
      </w:pPr>
    </w:p>
    <w:p w14:paraId="6C4BD36B">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533" w:name="_Toc7599"/>
      <w:bookmarkStart w:id="534" w:name="_Toc3817"/>
      <w:bookmarkStart w:id="535" w:name="_Toc21411"/>
      <w:bookmarkStart w:id="536" w:name="_Toc8970"/>
      <w:bookmarkStart w:id="537" w:name="_Toc26207"/>
      <w:bookmarkStart w:id="538" w:name="_Toc376"/>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.4  持续改进</w:t>
      </w:r>
      <w:bookmarkEnd w:id="533"/>
      <w:bookmarkEnd w:id="534"/>
      <w:bookmarkEnd w:id="535"/>
      <w:bookmarkEnd w:id="536"/>
      <w:bookmarkEnd w:id="537"/>
      <w:bookmarkEnd w:id="538"/>
    </w:p>
    <w:p w14:paraId="5051192A">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eastAsia" w:ascii="Times New Roman" w:hAnsi="Times New Roman" w:eastAsia="宋体" w:cs="Times New Roman"/>
          <w:b/>
          <w:bCs/>
          <w:vanish w:val="0"/>
          <w:color w:val="auto"/>
          <w:sz w:val="24"/>
          <w:szCs w:val="24"/>
          <w:highlight w:val="none"/>
          <w:lang w:val="en-US" w:eastAsia="zh-CN"/>
        </w:rPr>
        <w:t>.4.1</w:t>
      </w:r>
      <w:r>
        <w:rPr>
          <w:rFonts w:hint="default" w:ascii="宋体" w:hAnsi="宋体" w:eastAsia="宋体" w:cs="宋体"/>
          <w:vanish w:val="0"/>
          <w:color w:val="auto"/>
          <w:sz w:val="24"/>
          <w:szCs w:val="24"/>
          <w:highlight w:val="none"/>
          <w:lang w:val="en-US" w:eastAsia="zh-CN"/>
        </w:rPr>
        <w:t xml:space="preserve">  对投诉处理事件、满意度调查结果及监督检查结果中存在的问题进行分析，找出原因，制定纠正措施和实施计划，跟踪措施的实施情况及效果，形成报告。</w:t>
      </w:r>
    </w:p>
    <w:p w14:paraId="1ED1A4C4">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.4.2</w:t>
      </w:r>
      <w:r>
        <w:rPr>
          <w:rFonts w:hint="default" w:ascii="宋体" w:hAnsi="宋体" w:eastAsia="宋体" w:cs="宋体"/>
          <w:vanish w:val="0"/>
          <w:color w:val="auto"/>
          <w:sz w:val="24"/>
          <w:szCs w:val="24"/>
          <w:highlight w:val="none"/>
          <w:lang w:val="en-US" w:eastAsia="zh-CN"/>
        </w:rPr>
        <w:t xml:space="preserve">  定期组织对服务人员进行知识更新培训和技能培训，确保服务人员技能及综合素质持续改进。</w:t>
      </w:r>
    </w:p>
    <w:p w14:paraId="7F27C97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.4.3</w:t>
      </w:r>
      <w:r>
        <w:rPr>
          <w:rFonts w:hint="default" w:ascii="宋体" w:hAnsi="宋体" w:eastAsia="宋体" w:cs="宋体"/>
          <w:vanish w:val="0"/>
          <w:color w:val="auto"/>
          <w:sz w:val="24"/>
          <w:szCs w:val="24"/>
          <w:highlight w:val="none"/>
          <w:lang w:val="en-US" w:eastAsia="zh-CN"/>
        </w:rPr>
        <w:t xml:space="preserve">  持续改进方法</w:t>
      </w:r>
      <w:r>
        <w:rPr>
          <w:rFonts w:hint="eastAsia" w:ascii="宋体" w:hAnsi="宋体" w:eastAsia="宋体" w:cs="宋体"/>
          <w:vanish w:val="0"/>
          <w:color w:val="auto"/>
          <w:sz w:val="24"/>
          <w:szCs w:val="24"/>
          <w:highlight w:val="none"/>
          <w:lang w:val="en-US" w:eastAsia="zh-CN"/>
        </w:rPr>
        <w:t>应符合现行国家标准《质量管理 组织的质量实现持续成功指南》</w:t>
      </w:r>
      <w:r>
        <w:rPr>
          <w:rFonts w:hint="default" w:ascii="宋体" w:hAnsi="宋体" w:eastAsia="宋体" w:cs="宋体"/>
          <w:vanish w:val="0"/>
          <w:color w:val="auto"/>
          <w:sz w:val="24"/>
          <w:szCs w:val="24"/>
          <w:highlight w:val="none"/>
          <w:lang w:val="en-US" w:eastAsia="zh-CN"/>
        </w:rPr>
        <w:t xml:space="preserve"> GB/T19004的相关规定。</w:t>
      </w:r>
    </w:p>
    <w:p w14:paraId="566E23F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vanish w:val="0"/>
          <w:color w:val="auto"/>
          <w:sz w:val="24"/>
          <w:szCs w:val="24"/>
          <w:highlight w:val="none"/>
          <w:lang w:val="en-US" w:eastAsia="zh-CN"/>
        </w:rPr>
      </w:pPr>
    </w:p>
    <w:p w14:paraId="3D7872C7">
      <w:pPr>
        <w:pStyle w:val="20"/>
        <w:rPr>
          <w:rFonts w:hint="default" w:ascii="宋体" w:hAnsi="宋体" w:eastAsia="宋体" w:cs="宋体"/>
          <w:vanish w:val="0"/>
          <w:color w:val="auto"/>
          <w:sz w:val="24"/>
          <w:szCs w:val="24"/>
          <w:highlight w:val="none"/>
          <w:lang w:val="en-US" w:eastAsia="zh-CN"/>
        </w:rPr>
      </w:pPr>
    </w:p>
    <w:p w14:paraId="5EF6FB2A">
      <w:pPr>
        <w:rPr>
          <w:rFonts w:hint="default" w:ascii="宋体" w:hAnsi="宋体" w:eastAsia="宋体" w:cs="宋体"/>
          <w:vanish w:val="0"/>
          <w:color w:val="auto"/>
          <w:sz w:val="24"/>
          <w:szCs w:val="24"/>
          <w:highlight w:val="none"/>
          <w:lang w:val="en-US" w:eastAsia="zh-CN"/>
        </w:rPr>
      </w:pPr>
    </w:p>
    <w:p w14:paraId="17788599">
      <w:pPr>
        <w:pStyle w:val="20"/>
        <w:rPr>
          <w:rFonts w:hint="default" w:ascii="宋体" w:hAnsi="宋体" w:eastAsia="宋体" w:cs="宋体"/>
          <w:vanish w:val="0"/>
          <w:color w:val="auto"/>
          <w:sz w:val="24"/>
          <w:szCs w:val="24"/>
          <w:highlight w:val="none"/>
          <w:lang w:val="en-US" w:eastAsia="zh-CN"/>
        </w:rPr>
      </w:pPr>
    </w:p>
    <w:p w14:paraId="500B9746">
      <w:pPr>
        <w:rPr>
          <w:rFonts w:hint="default" w:ascii="宋体" w:hAnsi="宋体" w:eastAsia="宋体" w:cs="宋体"/>
          <w:vanish w:val="0"/>
          <w:color w:val="auto"/>
          <w:sz w:val="24"/>
          <w:szCs w:val="24"/>
          <w:highlight w:val="none"/>
          <w:lang w:val="en-US" w:eastAsia="zh-CN"/>
        </w:rPr>
      </w:pPr>
    </w:p>
    <w:p w14:paraId="0D221262">
      <w:pPr>
        <w:pStyle w:val="20"/>
        <w:rPr>
          <w:rFonts w:hint="default"/>
          <w:highlight w:val="none"/>
          <w:lang w:val="en-US" w:eastAsia="zh-CN"/>
        </w:rPr>
      </w:pPr>
    </w:p>
    <w:p w14:paraId="7E920623">
      <w:pPr>
        <w:pStyle w:val="20"/>
        <w:rPr>
          <w:rFonts w:hint="eastAsia" w:ascii="宋体" w:hAnsi="宋体" w:eastAsia="宋体" w:cs="宋体"/>
          <w:color w:val="auto"/>
          <w:sz w:val="21"/>
          <w:szCs w:val="21"/>
          <w:highlight w:val="none"/>
          <w:lang w:val="en-US" w:eastAsia="zh-CN"/>
        </w:rPr>
      </w:pPr>
    </w:p>
    <w:p w14:paraId="296D50A4">
      <w:pPr>
        <w:pStyle w:val="20"/>
        <w:rPr>
          <w:rFonts w:hint="eastAsia" w:ascii="宋体" w:hAnsi="宋体" w:eastAsia="宋体" w:cs="宋体"/>
          <w:color w:val="auto"/>
          <w:sz w:val="21"/>
          <w:szCs w:val="21"/>
          <w:highlight w:val="none"/>
          <w:lang w:val="en-US" w:eastAsia="zh-CN"/>
        </w:rPr>
      </w:pPr>
    </w:p>
    <w:p w14:paraId="0A4D9840">
      <w:pPr>
        <w:pStyle w:val="20"/>
        <w:rPr>
          <w:rFonts w:hint="eastAsia" w:ascii="宋体" w:hAnsi="宋体" w:eastAsia="宋体" w:cs="宋体"/>
          <w:color w:val="auto"/>
          <w:sz w:val="21"/>
          <w:szCs w:val="21"/>
          <w:highlight w:val="none"/>
          <w:lang w:val="en-US" w:eastAsia="zh-CN"/>
        </w:rPr>
      </w:pPr>
    </w:p>
    <w:p w14:paraId="52F9F86A">
      <w:pPr>
        <w:pStyle w:val="20"/>
        <w:rPr>
          <w:rFonts w:hint="eastAsia" w:ascii="宋体" w:hAnsi="宋体" w:eastAsia="宋体" w:cs="宋体"/>
          <w:color w:val="auto"/>
          <w:sz w:val="21"/>
          <w:szCs w:val="21"/>
          <w:highlight w:val="none"/>
          <w:lang w:val="en-US" w:eastAsia="zh-CN"/>
        </w:rPr>
      </w:pPr>
    </w:p>
    <w:p w14:paraId="2DD34194">
      <w:pPr>
        <w:pStyle w:val="20"/>
        <w:rPr>
          <w:rFonts w:hint="eastAsia" w:ascii="宋体" w:hAnsi="宋体" w:eastAsia="宋体" w:cs="宋体"/>
          <w:color w:val="auto"/>
          <w:sz w:val="21"/>
          <w:szCs w:val="21"/>
          <w:highlight w:val="none"/>
          <w:lang w:val="en-US" w:eastAsia="zh-CN"/>
        </w:rPr>
      </w:pPr>
    </w:p>
    <w:p w14:paraId="08C816B9">
      <w:pPr>
        <w:pStyle w:val="20"/>
        <w:rPr>
          <w:rFonts w:hint="eastAsia" w:ascii="宋体" w:hAnsi="宋体" w:eastAsia="宋体" w:cs="宋体"/>
          <w:color w:val="auto"/>
          <w:sz w:val="21"/>
          <w:szCs w:val="21"/>
          <w:highlight w:val="none"/>
          <w:lang w:val="en-US" w:eastAsia="zh-CN"/>
        </w:rPr>
      </w:pPr>
    </w:p>
    <w:p w14:paraId="02701456">
      <w:pPr>
        <w:pStyle w:val="20"/>
        <w:rPr>
          <w:rFonts w:hint="eastAsia" w:ascii="宋体" w:hAnsi="宋体" w:eastAsia="宋体" w:cs="宋体"/>
          <w:color w:val="auto"/>
          <w:sz w:val="21"/>
          <w:szCs w:val="21"/>
          <w:highlight w:val="none"/>
          <w:lang w:val="en-US" w:eastAsia="zh-CN"/>
        </w:rPr>
      </w:pPr>
    </w:p>
    <w:p w14:paraId="001593AE">
      <w:pPr>
        <w:pStyle w:val="20"/>
        <w:rPr>
          <w:rFonts w:hint="eastAsia" w:ascii="宋体" w:hAnsi="宋体" w:eastAsia="宋体" w:cs="宋体"/>
          <w:color w:val="auto"/>
          <w:sz w:val="21"/>
          <w:szCs w:val="21"/>
          <w:highlight w:val="none"/>
          <w:lang w:val="en-US" w:eastAsia="zh-CN"/>
        </w:rPr>
      </w:pPr>
    </w:p>
    <w:p w14:paraId="1D4C884C">
      <w:pPr>
        <w:pStyle w:val="20"/>
        <w:rPr>
          <w:rFonts w:hint="eastAsia" w:ascii="宋体" w:hAnsi="宋体" w:eastAsia="宋体" w:cs="宋体"/>
          <w:color w:val="auto"/>
          <w:sz w:val="21"/>
          <w:szCs w:val="21"/>
          <w:highlight w:val="none"/>
          <w:lang w:val="en-US" w:eastAsia="zh-CN"/>
        </w:rPr>
      </w:pPr>
    </w:p>
    <w:p w14:paraId="26DAB49B">
      <w:pPr>
        <w:pStyle w:val="20"/>
        <w:rPr>
          <w:rFonts w:hint="eastAsia" w:ascii="宋体" w:hAnsi="宋体" w:eastAsia="宋体" w:cs="宋体"/>
          <w:color w:val="auto"/>
          <w:sz w:val="21"/>
          <w:szCs w:val="21"/>
          <w:highlight w:val="none"/>
          <w:lang w:val="en-US" w:eastAsia="zh-CN"/>
        </w:rPr>
      </w:pPr>
    </w:p>
    <w:p w14:paraId="442604BF">
      <w:pPr>
        <w:pStyle w:val="20"/>
        <w:rPr>
          <w:rFonts w:hint="eastAsia" w:ascii="宋体" w:hAnsi="宋体" w:eastAsia="宋体" w:cs="宋体"/>
          <w:color w:val="auto"/>
          <w:sz w:val="21"/>
          <w:szCs w:val="21"/>
          <w:highlight w:val="none"/>
          <w:lang w:val="en-US" w:eastAsia="zh-CN"/>
        </w:rPr>
      </w:pPr>
    </w:p>
    <w:p w14:paraId="77A3A8A3">
      <w:pPr>
        <w:pStyle w:val="20"/>
        <w:rPr>
          <w:rFonts w:hint="eastAsia" w:ascii="宋体" w:hAnsi="宋体" w:eastAsia="宋体" w:cs="宋体"/>
          <w:color w:val="auto"/>
          <w:sz w:val="21"/>
          <w:szCs w:val="21"/>
          <w:highlight w:val="none"/>
          <w:lang w:val="en-US" w:eastAsia="zh-CN"/>
        </w:rPr>
      </w:pPr>
    </w:p>
    <w:p w14:paraId="6B194BA7">
      <w:pPr>
        <w:pStyle w:val="20"/>
        <w:rPr>
          <w:rFonts w:hint="eastAsia" w:ascii="宋体" w:hAnsi="宋体" w:eastAsia="宋体" w:cs="宋体"/>
          <w:color w:val="auto"/>
          <w:sz w:val="21"/>
          <w:szCs w:val="21"/>
          <w:highlight w:val="none"/>
          <w:lang w:val="en-US" w:eastAsia="zh-CN"/>
        </w:rPr>
      </w:pPr>
    </w:p>
    <w:p w14:paraId="2734BDFE">
      <w:pPr>
        <w:pStyle w:val="20"/>
        <w:rPr>
          <w:rFonts w:hint="eastAsia" w:ascii="宋体" w:hAnsi="宋体" w:eastAsia="宋体" w:cs="宋体"/>
          <w:color w:val="auto"/>
          <w:sz w:val="21"/>
          <w:szCs w:val="21"/>
          <w:highlight w:val="none"/>
          <w:lang w:val="en-US" w:eastAsia="zh-CN"/>
        </w:rPr>
      </w:pPr>
    </w:p>
    <w:p w14:paraId="68F8125A">
      <w:pPr>
        <w:pStyle w:val="20"/>
        <w:rPr>
          <w:rFonts w:hint="eastAsia" w:ascii="宋体" w:hAnsi="宋体" w:eastAsia="宋体" w:cs="宋体"/>
          <w:color w:val="auto"/>
          <w:sz w:val="21"/>
          <w:szCs w:val="21"/>
          <w:highlight w:val="none"/>
          <w:lang w:val="en-US" w:eastAsia="zh-CN"/>
        </w:rPr>
      </w:pPr>
    </w:p>
    <w:p w14:paraId="737A73DC">
      <w:pPr>
        <w:rPr>
          <w:rFonts w:hint="eastAsia"/>
          <w:highlight w:val="none"/>
          <w:lang w:val="en-US" w:eastAsia="zh-CN"/>
        </w:rPr>
      </w:pPr>
    </w:p>
    <w:p w14:paraId="243E61B1">
      <w:pPr>
        <w:pStyle w:val="20"/>
        <w:rPr>
          <w:rFonts w:hint="eastAsia" w:ascii="宋体" w:hAnsi="宋体" w:eastAsia="宋体" w:cs="宋体"/>
          <w:color w:val="auto"/>
          <w:sz w:val="21"/>
          <w:szCs w:val="21"/>
          <w:highlight w:val="none"/>
          <w:lang w:val="en-US" w:eastAsia="zh-CN"/>
        </w:rPr>
      </w:pPr>
    </w:p>
    <w:p w14:paraId="5EC77F99">
      <w:pPr>
        <w:pStyle w:val="20"/>
        <w:rPr>
          <w:rFonts w:hint="eastAsia" w:ascii="宋体" w:hAnsi="宋体" w:eastAsia="宋体" w:cs="宋体"/>
          <w:color w:val="auto"/>
          <w:sz w:val="21"/>
          <w:szCs w:val="21"/>
          <w:highlight w:val="none"/>
          <w:lang w:val="en-US" w:eastAsia="zh-CN"/>
        </w:rPr>
      </w:pPr>
    </w:p>
    <w:p w14:paraId="4213586E">
      <w:pPr>
        <w:numPr>
          <w:ilvl w:val="0"/>
          <w:numId w:val="0"/>
        </w:numPr>
        <w:jc w:val="center"/>
        <w:outlineLvl w:val="9"/>
        <w:rPr>
          <w:sz w:val="30"/>
          <w:szCs w:val="30"/>
          <w:highlight w:val="none"/>
        </w:rPr>
      </w:pPr>
      <w:bookmarkStart w:id="539" w:name="_Toc122709418"/>
      <w:bookmarkStart w:id="540" w:name="_Toc122709929"/>
      <w:bookmarkStart w:id="541" w:name="_Toc122709341"/>
      <w:r>
        <w:rPr>
          <w:rFonts w:hint="eastAsia"/>
          <w:sz w:val="30"/>
          <w:szCs w:val="30"/>
          <w:highlight w:val="none"/>
        </w:rPr>
        <w:t>本</w:t>
      </w:r>
      <w:r>
        <w:rPr>
          <w:rFonts w:hint="eastAsia"/>
          <w:sz w:val="30"/>
          <w:szCs w:val="30"/>
          <w:highlight w:val="none"/>
          <w:lang w:val="en-US" w:eastAsia="zh-CN"/>
        </w:rPr>
        <w:t>标准</w:t>
      </w:r>
      <w:r>
        <w:rPr>
          <w:rFonts w:hint="eastAsia"/>
          <w:sz w:val="30"/>
          <w:szCs w:val="30"/>
          <w:highlight w:val="none"/>
        </w:rPr>
        <w:t>用词说明</w:t>
      </w:r>
      <w:bookmarkEnd w:id="539"/>
      <w:bookmarkEnd w:id="540"/>
      <w:bookmarkEnd w:id="541"/>
    </w:p>
    <w:p w14:paraId="1CEF0E59">
      <w:pPr>
        <w:pStyle w:val="130"/>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highlight w:val="none"/>
        </w:rPr>
      </w:pPr>
      <w:bookmarkStart w:id="542" w:name="_Toc103239332"/>
      <w:bookmarkStart w:id="543" w:name="_Toc120863439"/>
      <w:r>
        <w:rPr>
          <w:rFonts w:hint="default" w:ascii="Times New Roman" w:hAnsi="Times New Roman" w:eastAsia="宋体" w:cs="Times New Roman"/>
          <w:b/>
          <w:bCs/>
          <w:highlight w:val="none"/>
        </w:rPr>
        <w:t xml:space="preserve">1 </w:t>
      </w:r>
      <w:r>
        <w:rPr>
          <w:rFonts w:hint="eastAsia" w:ascii="宋体" w:hAnsi="宋体" w:eastAsia="宋体" w:cs="宋体"/>
          <w:highlight w:val="none"/>
        </w:rPr>
        <w:t>为便于在执行本规程条文时区别对待，对要求严格程度不同的用词说明如下：</w:t>
      </w:r>
    </w:p>
    <w:p w14:paraId="779729E4">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outlineLvl w:val="9"/>
        <w:rPr>
          <w:rFonts w:hint="eastAsia" w:ascii="宋体" w:hAnsi="宋体" w:eastAsia="宋体" w:cs="宋体"/>
          <w:highlight w:val="none"/>
        </w:rPr>
      </w:pPr>
      <w:r>
        <w:rPr>
          <w:rFonts w:hint="eastAsia" w:ascii="宋体" w:hAnsi="宋体" w:eastAsia="宋体" w:cs="宋体"/>
          <w:b/>
          <w:bCs/>
          <w:highlight w:val="none"/>
        </w:rPr>
        <w:t>1）</w:t>
      </w:r>
      <w:r>
        <w:rPr>
          <w:rFonts w:hint="eastAsia" w:ascii="宋体" w:hAnsi="宋体" w:eastAsia="宋体" w:cs="宋体"/>
          <w:highlight w:val="none"/>
        </w:rPr>
        <w:t>表示很严格，非这样做不可的：</w:t>
      </w:r>
    </w:p>
    <w:p w14:paraId="59071FC2">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highlight w:val="none"/>
        </w:rPr>
      </w:pPr>
      <w:r>
        <w:rPr>
          <w:rFonts w:hint="eastAsia" w:ascii="宋体" w:hAnsi="宋体" w:eastAsia="宋体" w:cs="宋体"/>
          <w:highlight w:val="none"/>
        </w:rPr>
        <w:t>正面词采用“必须”，反面词采用“严禁”；</w:t>
      </w:r>
    </w:p>
    <w:p w14:paraId="7630360F">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outlineLvl w:val="9"/>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highlight w:val="none"/>
        </w:rPr>
        <w:t>表示严格，在正常情况下均应这样做的：</w:t>
      </w:r>
    </w:p>
    <w:p w14:paraId="00BA22C5">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highlight w:val="none"/>
        </w:rPr>
      </w:pPr>
      <w:r>
        <w:rPr>
          <w:rFonts w:hint="eastAsia" w:ascii="宋体" w:hAnsi="宋体" w:eastAsia="宋体" w:cs="宋体"/>
          <w:highlight w:val="none"/>
        </w:rPr>
        <w:t>正面词采用“应”，反面词采用“不应”或“不得”；</w:t>
      </w:r>
    </w:p>
    <w:p w14:paraId="03AF4302">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outlineLvl w:val="9"/>
        <w:rPr>
          <w:rFonts w:hint="eastAsia" w:ascii="宋体" w:hAnsi="宋体" w:eastAsia="宋体" w:cs="宋体"/>
          <w:highlight w:val="none"/>
        </w:rPr>
      </w:pPr>
      <w:r>
        <w:rPr>
          <w:rFonts w:hint="eastAsia" w:ascii="宋体" w:hAnsi="宋体" w:eastAsia="宋体" w:cs="宋体"/>
          <w:b/>
          <w:bCs/>
          <w:highlight w:val="none"/>
        </w:rPr>
        <w:t>3）</w:t>
      </w:r>
      <w:r>
        <w:rPr>
          <w:rFonts w:hint="eastAsia" w:ascii="宋体" w:hAnsi="宋体" w:eastAsia="宋体" w:cs="宋体"/>
          <w:highlight w:val="none"/>
        </w:rPr>
        <w:t>表示允许稍有选择，在条件许可时首先应这样做的：</w:t>
      </w:r>
    </w:p>
    <w:p w14:paraId="2B430DFE">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highlight w:val="none"/>
        </w:rPr>
      </w:pPr>
      <w:r>
        <w:rPr>
          <w:rFonts w:hint="eastAsia" w:ascii="宋体" w:hAnsi="宋体" w:eastAsia="宋体" w:cs="宋体"/>
          <w:highlight w:val="none"/>
        </w:rPr>
        <w:t>正面词采用“宜”，反面词采用“不宜”；</w:t>
      </w:r>
    </w:p>
    <w:p w14:paraId="3ECAEE63">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outlineLvl w:val="9"/>
        <w:rPr>
          <w:rFonts w:hint="eastAsia" w:ascii="宋体" w:hAnsi="宋体" w:eastAsia="宋体" w:cs="宋体"/>
          <w:highlight w:val="none"/>
        </w:rPr>
      </w:pPr>
      <w:r>
        <w:rPr>
          <w:rFonts w:hint="eastAsia" w:ascii="宋体" w:hAnsi="宋体" w:eastAsia="宋体" w:cs="宋体"/>
          <w:b/>
          <w:bCs/>
          <w:highlight w:val="none"/>
        </w:rPr>
        <w:t>4）</w:t>
      </w:r>
      <w:r>
        <w:rPr>
          <w:rFonts w:hint="eastAsia" w:ascii="宋体" w:hAnsi="宋体" w:eastAsia="宋体" w:cs="宋体"/>
          <w:highlight w:val="none"/>
        </w:rPr>
        <w:t>表示有选择，在一定条件下可以这样做的，采用“可”。</w:t>
      </w:r>
    </w:p>
    <w:p w14:paraId="3752D473">
      <w:pPr>
        <w:pStyle w:val="130"/>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highlight w:val="none"/>
        </w:rPr>
      </w:pPr>
      <w:r>
        <w:rPr>
          <w:rFonts w:hint="eastAsia" w:ascii="Times New Roman" w:hAnsi="Times New Roman" w:eastAsia="宋体" w:cs="Times New Roman"/>
          <w:b/>
          <w:bCs/>
          <w:highlight w:val="none"/>
        </w:rPr>
        <w:t xml:space="preserve">2 </w:t>
      </w:r>
      <w:r>
        <w:rPr>
          <w:rFonts w:hint="eastAsia" w:ascii="宋体" w:hAnsi="宋体" w:eastAsia="宋体" w:cs="宋体"/>
          <w:highlight w:val="none"/>
        </w:rPr>
        <w:t>条文中指明应按其他有关标准执行的写法为：“应符合……的规定”或“应按……执行”。</w:t>
      </w:r>
    </w:p>
    <w:p w14:paraId="289988D7">
      <w:pPr>
        <w:pStyle w:val="130"/>
        <w:ind w:firstLine="480"/>
        <w:rPr>
          <w:rFonts w:hint="eastAsia" w:ascii="宋体" w:hAnsi="宋体" w:eastAsia="宋体" w:cs="宋体"/>
          <w:highlight w:val="none"/>
        </w:rPr>
      </w:pPr>
    </w:p>
    <w:p w14:paraId="0E0C99FF">
      <w:pPr>
        <w:pStyle w:val="130"/>
        <w:ind w:firstLine="480"/>
        <w:rPr>
          <w:rFonts w:hint="eastAsia" w:ascii="宋体" w:hAnsi="宋体" w:eastAsia="宋体" w:cs="宋体"/>
          <w:highlight w:val="none"/>
        </w:rPr>
      </w:pPr>
    </w:p>
    <w:p w14:paraId="3B8D0E11">
      <w:pPr>
        <w:pStyle w:val="130"/>
        <w:ind w:firstLine="480"/>
        <w:rPr>
          <w:rFonts w:hint="eastAsia" w:ascii="宋体" w:hAnsi="宋体" w:eastAsia="宋体" w:cs="宋体"/>
          <w:highlight w:val="none"/>
        </w:rPr>
      </w:pPr>
    </w:p>
    <w:p w14:paraId="2F443FB2">
      <w:pPr>
        <w:pStyle w:val="130"/>
        <w:ind w:firstLine="480"/>
        <w:rPr>
          <w:rFonts w:hint="eastAsia" w:ascii="宋体" w:hAnsi="宋体" w:eastAsia="宋体" w:cs="宋体"/>
          <w:highlight w:val="none"/>
        </w:rPr>
      </w:pPr>
    </w:p>
    <w:p w14:paraId="50DF23CC">
      <w:pPr>
        <w:pStyle w:val="130"/>
        <w:ind w:firstLine="480"/>
        <w:rPr>
          <w:rFonts w:hint="eastAsia" w:ascii="宋体" w:hAnsi="宋体" w:eastAsia="宋体" w:cs="宋体"/>
          <w:highlight w:val="none"/>
        </w:rPr>
      </w:pPr>
    </w:p>
    <w:p w14:paraId="5945FCD6">
      <w:pPr>
        <w:pStyle w:val="130"/>
        <w:ind w:firstLine="480"/>
        <w:rPr>
          <w:rFonts w:hint="eastAsia" w:ascii="宋体" w:hAnsi="宋体" w:eastAsia="宋体" w:cs="宋体"/>
          <w:highlight w:val="none"/>
        </w:rPr>
      </w:pPr>
    </w:p>
    <w:p w14:paraId="07548FC6">
      <w:pPr>
        <w:pStyle w:val="130"/>
        <w:ind w:firstLine="480"/>
        <w:rPr>
          <w:rFonts w:hint="eastAsia" w:ascii="宋体" w:hAnsi="宋体" w:eastAsia="宋体" w:cs="宋体"/>
          <w:highlight w:val="none"/>
        </w:rPr>
      </w:pPr>
    </w:p>
    <w:p w14:paraId="1B339E28">
      <w:pPr>
        <w:pStyle w:val="130"/>
        <w:ind w:firstLine="480"/>
        <w:rPr>
          <w:rFonts w:hint="eastAsia" w:ascii="宋体" w:hAnsi="宋体" w:eastAsia="宋体" w:cs="宋体"/>
          <w:highlight w:val="none"/>
        </w:rPr>
      </w:pPr>
    </w:p>
    <w:p w14:paraId="6C43F3AA">
      <w:pPr>
        <w:pStyle w:val="130"/>
        <w:ind w:firstLine="480"/>
        <w:rPr>
          <w:rFonts w:hint="eastAsia" w:ascii="宋体" w:hAnsi="宋体" w:eastAsia="宋体" w:cs="宋体"/>
          <w:highlight w:val="none"/>
        </w:rPr>
      </w:pPr>
    </w:p>
    <w:p w14:paraId="58CE90DD">
      <w:pPr>
        <w:pStyle w:val="130"/>
        <w:ind w:firstLine="480"/>
        <w:rPr>
          <w:rFonts w:hint="eastAsia" w:ascii="宋体" w:hAnsi="宋体" w:eastAsia="宋体" w:cs="宋体"/>
          <w:highlight w:val="none"/>
        </w:rPr>
      </w:pPr>
    </w:p>
    <w:p w14:paraId="09740E63">
      <w:pPr>
        <w:pStyle w:val="130"/>
        <w:ind w:firstLine="480"/>
        <w:rPr>
          <w:rFonts w:hint="eastAsia" w:ascii="宋体" w:hAnsi="宋体" w:eastAsia="宋体" w:cs="宋体"/>
          <w:highlight w:val="none"/>
        </w:rPr>
      </w:pPr>
    </w:p>
    <w:p w14:paraId="1E88C08F">
      <w:pPr>
        <w:pStyle w:val="130"/>
        <w:ind w:firstLine="480"/>
        <w:rPr>
          <w:rFonts w:hint="eastAsia" w:ascii="宋体" w:hAnsi="宋体" w:eastAsia="宋体" w:cs="宋体"/>
          <w:highlight w:val="none"/>
        </w:rPr>
      </w:pPr>
    </w:p>
    <w:p w14:paraId="6CCD026F">
      <w:pPr>
        <w:pStyle w:val="130"/>
        <w:ind w:firstLine="480"/>
        <w:rPr>
          <w:rFonts w:hint="eastAsia" w:ascii="宋体" w:hAnsi="宋体" w:eastAsia="宋体" w:cs="宋体"/>
          <w:highlight w:val="none"/>
        </w:rPr>
      </w:pPr>
    </w:p>
    <w:p w14:paraId="6F90E3A6">
      <w:pPr>
        <w:pStyle w:val="130"/>
        <w:ind w:firstLine="480"/>
        <w:rPr>
          <w:rFonts w:hint="eastAsia" w:ascii="宋体" w:hAnsi="宋体" w:eastAsia="宋体" w:cs="宋体"/>
          <w:highlight w:val="none"/>
        </w:rPr>
      </w:pPr>
    </w:p>
    <w:p w14:paraId="2679713D">
      <w:pPr>
        <w:pStyle w:val="130"/>
        <w:ind w:firstLine="480"/>
        <w:rPr>
          <w:rFonts w:hint="eastAsia" w:ascii="宋体" w:hAnsi="宋体" w:eastAsia="宋体" w:cs="宋体"/>
          <w:highlight w:val="none"/>
        </w:rPr>
      </w:pPr>
    </w:p>
    <w:p w14:paraId="2A0E777F">
      <w:pPr>
        <w:pStyle w:val="130"/>
        <w:ind w:firstLine="480"/>
        <w:rPr>
          <w:rFonts w:hint="eastAsia" w:ascii="宋体" w:hAnsi="宋体" w:eastAsia="宋体" w:cs="宋体"/>
          <w:highlight w:val="none"/>
        </w:rPr>
      </w:pPr>
    </w:p>
    <w:p w14:paraId="1E39D336">
      <w:pPr>
        <w:pStyle w:val="2"/>
        <w:numPr>
          <w:ilvl w:val="0"/>
          <w:numId w:val="0"/>
        </w:numPr>
        <w:jc w:val="center"/>
        <w:rPr>
          <w:rFonts w:hint="eastAsia" w:ascii="Times New Roman" w:hAnsi="Times New Roman" w:eastAsia="宋体" w:cs="Times New Roman"/>
          <w:sz w:val="30"/>
          <w:szCs w:val="30"/>
          <w:highlight w:val="none"/>
        </w:rPr>
      </w:pPr>
      <w:bookmarkStart w:id="544" w:name="_Toc26170"/>
      <w:bookmarkStart w:id="545" w:name="_Toc122709930"/>
      <w:bookmarkStart w:id="546" w:name="_Toc122709342"/>
      <w:bookmarkStart w:id="547" w:name="_Toc29289"/>
      <w:bookmarkStart w:id="548" w:name="_Toc122709419"/>
      <w:bookmarkStart w:id="549" w:name="_Toc22877"/>
      <w:bookmarkStart w:id="550" w:name="_Toc31714"/>
      <w:bookmarkStart w:id="551" w:name="_Toc13761"/>
      <w:r>
        <w:rPr>
          <w:rFonts w:hint="eastAsia" w:ascii="Times New Roman" w:hAnsi="Times New Roman" w:eastAsia="宋体" w:cs="Times New Roman"/>
          <w:sz w:val="30"/>
          <w:szCs w:val="30"/>
          <w:highlight w:val="none"/>
        </w:rPr>
        <w:t>引用标准名录</w:t>
      </w:r>
      <w:bookmarkEnd w:id="542"/>
      <w:bookmarkEnd w:id="543"/>
      <w:bookmarkEnd w:id="544"/>
      <w:bookmarkEnd w:id="545"/>
      <w:bookmarkEnd w:id="546"/>
      <w:bookmarkEnd w:id="547"/>
      <w:bookmarkEnd w:id="548"/>
      <w:bookmarkEnd w:id="549"/>
      <w:bookmarkEnd w:id="550"/>
      <w:bookmarkEnd w:id="551"/>
    </w:p>
    <w:p w14:paraId="3608060F">
      <w:pPr>
        <w:rPr>
          <w:rFonts w:hint="eastAsia" w:ascii="宋体" w:hAnsi="宋体" w:eastAsia="宋体" w:cs="宋体"/>
          <w:color w:val="auto"/>
          <w:sz w:val="21"/>
          <w:szCs w:val="21"/>
          <w:highlight w:val="none"/>
          <w:lang w:val="en-US" w:eastAsia="zh-CN"/>
        </w:rPr>
      </w:pPr>
    </w:p>
    <w:p w14:paraId="76E1D2E2">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《安全色》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2893</w:t>
      </w:r>
    </w:p>
    <w:p w14:paraId="0AD0232F">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《安全标志及其使用导则》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2894</w:t>
      </w:r>
    </w:p>
    <w:p w14:paraId="74E5094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《道路交通标志和标线 第 2 部分：道路交通标志》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GB 5768.2 </w:t>
      </w:r>
    </w:p>
    <w:p w14:paraId="79553618">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《消防安全标志 第 1 部分：标志》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13495.1</w:t>
      </w:r>
    </w:p>
    <w:p w14:paraId="28B70E3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《消防安全标志设置要求》</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15630</w:t>
      </w:r>
    </w:p>
    <w:p w14:paraId="6ADEAA3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《建筑消防设施的维护管理》</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25201</w:t>
      </w:r>
    </w:p>
    <w:p w14:paraId="2BCB63FA">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《建筑照明设计标准》</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50034</w:t>
      </w:r>
    </w:p>
    <w:p w14:paraId="47AF3B72">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《空调通风系统运行管理标准》</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GB 50365  </w:t>
      </w:r>
    </w:p>
    <w:p w14:paraId="6E685AEF">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《建筑电气与智能化通用规范》</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55024</w:t>
      </w:r>
    </w:p>
    <w:p w14:paraId="56FFD87C">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《建筑防火通用规范》</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55037</w:t>
      </w:r>
    </w:p>
    <w:p w14:paraId="521C6F0D">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《公共信息图形符号 第 1 部分：通用符号》</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GB/T 10001.1</w:t>
      </w:r>
    </w:p>
    <w:p w14:paraId="3BE43BDA">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《公共信息图形符号 第 7 部分：办公教学符号》</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GB/T 10001.7</w:t>
      </w:r>
    </w:p>
    <w:p w14:paraId="32E45479">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《质量管理  组织的质量实现持续成功指南》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GB/T 19004 </w:t>
      </w:r>
    </w:p>
    <w:p w14:paraId="3E7E4CD3">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《质量管理 顾客满意 组织投诉处理指南》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GB/T 19012</w:t>
      </w:r>
    </w:p>
    <w:p w14:paraId="6413C9F7">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《生活垃圾分类标志》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GB/T 19095</w:t>
      </w:r>
    </w:p>
    <w:p w14:paraId="7856D6FB">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《机关办公区域物业服务监管和评价规范》</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GB/T 43542</w:t>
      </w:r>
    </w:p>
    <w:p w14:paraId="7D9B8066">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《保安服务操作规程与质量控制》</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GA/T 594</w:t>
      </w:r>
    </w:p>
    <w:p w14:paraId="4D2B126F">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《人民防空工程维护管理技术规程》RFJ 05 </w:t>
      </w:r>
    </w:p>
    <w:p w14:paraId="061BB2C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《固定式压力容器安全技术监察规程》</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TSG 21</w:t>
      </w:r>
    </w:p>
    <w:p w14:paraId="3CF33C52">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《电梯维护保养规则》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TSG T5002</w:t>
      </w:r>
    </w:p>
    <w:p w14:paraId="5720F3F7">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《电梯自行检测规则》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TSG T7008</w:t>
      </w:r>
    </w:p>
    <w:p w14:paraId="35CD32F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《住宅物业消防安全管理》</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XF 1283</w:t>
      </w:r>
    </w:p>
    <w:p w14:paraId="7FAF448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《公共场所集中空调通风系统清洗消毒规范》</w:t>
      </w:r>
      <w:r>
        <w:rPr>
          <w:rFonts w:hint="eastAsia" w:ascii="宋体" w:hAnsi="宋体" w:cs="宋体"/>
          <w:color w:val="auto"/>
          <w:sz w:val="24"/>
          <w:szCs w:val="24"/>
          <w:highlight w:val="none"/>
          <w:lang w:val="en-US" w:eastAsia="zh-CN"/>
        </w:rPr>
        <w:t xml:space="preserve"> WS/T 10005</w:t>
      </w:r>
    </w:p>
    <w:p w14:paraId="34C2D8B2">
      <w:pPr>
        <w:pStyle w:val="20"/>
        <w:rPr>
          <w:rFonts w:hint="eastAsia" w:ascii="宋体" w:hAnsi="宋体" w:eastAsia="宋体" w:cs="宋体"/>
          <w:color w:val="auto"/>
          <w:sz w:val="24"/>
          <w:szCs w:val="24"/>
          <w:highlight w:val="none"/>
          <w:lang w:val="en-US" w:eastAsia="zh-CN"/>
        </w:rPr>
      </w:pPr>
      <w:r>
        <w:rPr>
          <w:rFonts w:hint="eastAsia"/>
          <w:highlight w:val="none"/>
          <w:lang w:val="en-US" w:eastAsia="zh-CN"/>
        </w:rPr>
        <w:t xml:space="preserve">    </w:t>
      </w:r>
      <w:r>
        <w:rPr>
          <w:rFonts w:hint="eastAsia" w:ascii="宋体" w:hAnsi="宋体" w:cs="宋体"/>
          <w:color w:val="auto"/>
          <w:sz w:val="24"/>
          <w:szCs w:val="24"/>
          <w:highlight w:val="none"/>
          <w:lang w:val="en-US" w:eastAsia="zh-CN"/>
        </w:rPr>
        <w:t>《电动汽车充电基础设施建设技术规程</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DBJ/T 15-150</w:t>
      </w:r>
    </w:p>
    <w:p w14:paraId="08B95895">
      <w:pPr>
        <w:keepNext w:val="0"/>
        <w:keepLines w:val="0"/>
        <w:pageBreakBefore w:val="0"/>
        <w:widowControl w:val="0"/>
        <w:numPr>
          <w:ilvl w:val="0"/>
          <w:numId w:val="0"/>
        </w:numPr>
        <w:tabs>
          <w:tab w:val="left" w:pos="420"/>
        </w:tabs>
        <w:kinsoku/>
        <w:wordWrap/>
        <w:overflowPunct/>
        <w:topLinePunct w:val="0"/>
        <w:autoSpaceDE/>
        <w:autoSpaceDN/>
        <w:bidi w:val="0"/>
        <w:adjustRightInd/>
        <w:snapToGrid/>
        <w:jc w:val="both"/>
        <w:textAlignment w:val="auto"/>
        <w:rPr>
          <w:rFonts w:hint="eastAsia" w:ascii="宋体" w:hAnsi="宋体" w:cs="宋体"/>
          <w:color w:val="auto"/>
          <w:sz w:val="24"/>
          <w:szCs w:val="24"/>
          <w:highlight w:val="none"/>
        </w:rPr>
      </w:pPr>
    </w:p>
    <w:p w14:paraId="7EB167AA">
      <w:pPr>
        <w:pStyle w:val="20"/>
        <w:rPr>
          <w:rFonts w:hint="eastAsia"/>
          <w:highlight w:val="none"/>
        </w:rPr>
      </w:pPr>
    </w:p>
    <w:p w14:paraId="58249A89">
      <w:pPr>
        <w:keepNext w:val="0"/>
        <w:keepLines w:val="0"/>
        <w:pageBreakBefore w:val="0"/>
        <w:widowControl w:val="0"/>
        <w:numPr>
          <w:ilvl w:val="0"/>
          <w:numId w:val="0"/>
        </w:numPr>
        <w:tabs>
          <w:tab w:val="left" w:pos="420"/>
        </w:tabs>
        <w:kinsoku/>
        <w:wordWrap/>
        <w:overflowPunct/>
        <w:topLinePunct w:val="0"/>
        <w:autoSpaceDE/>
        <w:autoSpaceDN/>
        <w:bidi w:val="0"/>
        <w:adjustRightInd/>
        <w:snapToGrid/>
        <w:jc w:val="both"/>
        <w:textAlignment w:val="auto"/>
        <w:rPr>
          <w:rFonts w:hint="eastAsia" w:ascii="宋体" w:hAnsi="宋体" w:cs="宋体"/>
          <w:color w:val="auto"/>
          <w:sz w:val="24"/>
          <w:szCs w:val="24"/>
          <w:highlight w:val="none"/>
        </w:rPr>
      </w:pPr>
    </w:p>
    <w:p w14:paraId="2EF5C0C6">
      <w:pPr>
        <w:pStyle w:val="20"/>
        <w:rPr>
          <w:rFonts w:hint="eastAsia"/>
          <w:highlight w:val="none"/>
        </w:rPr>
      </w:pPr>
    </w:p>
    <w:p w14:paraId="4CC6D7B2">
      <w:pPr>
        <w:pStyle w:val="20"/>
        <w:rPr>
          <w:rFonts w:hint="eastAsia"/>
          <w:highlight w:val="none"/>
        </w:rPr>
      </w:pPr>
    </w:p>
    <w:p w14:paraId="6CBD866F">
      <w:pPr>
        <w:pStyle w:val="20"/>
        <w:rPr>
          <w:rFonts w:hint="eastAsia"/>
          <w:highlight w:val="none"/>
        </w:rPr>
      </w:pPr>
    </w:p>
    <w:p w14:paraId="3B484998">
      <w:pPr>
        <w:pStyle w:val="20"/>
        <w:rPr>
          <w:rFonts w:hint="eastAsia"/>
          <w:highlight w:val="none"/>
        </w:rPr>
      </w:pPr>
    </w:p>
    <w:p w14:paraId="053BE25D">
      <w:pPr>
        <w:pStyle w:val="20"/>
        <w:rPr>
          <w:rFonts w:hint="default"/>
          <w:highlight w:val="none"/>
          <w:lang w:val="en-US"/>
        </w:rPr>
      </w:pPr>
      <w:r>
        <w:rPr>
          <w:rFonts w:hint="eastAsia" w:ascii="宋体" w:hAnsi="宋体" w:cs="宋体"/>
          <w:color w:val="auto"/>
          <w:sz w:val="24"/>
          <w:szCs w:val="24"/>
          <w:highlight w:val="none"/>
          <w:lang w:val="en-US" w:eastAsia="zh-CN"/>
        </w:rPr>
        <w:t xml:space="preserve">    </w:t>
      </w:r>
    </w:p>
    <w:p w14:paraId="7BAB2B56">
      <w:pPr>
        <w:pStyle w:val="20"/>
        <w:rPr>
          <w:rFonts w:hint="eastAsia"/>
          <w:highlight w:val="none"/>
        </w:rPr>
      </w:pPr>
    </w:p>
    <w:p w14:paraId="0E10CFAC">
      <w:pPr>
        <w:pStyle w:val="20"/>
        <w:rPr>
          <w:rFonts w:hint="eastAsia"/>
          <w:highlight w:val="none"/>
        </w:rPr>
      </w:pPr>
    </w:p>
    <w:p w14:paraId="537D23D4">
      <w:pPr>
        <w:rPr>
          <w:rFonts w:hint="eastAsia" w:ascii="宋体" w:hAnsi="宋体" w:eastAsia="宋体" w:cs="宋体"/>
          <w:color w:val="auto"/>
          <w:sz w:val="21"/>
          <w:szCs w:val="21"/>
          <w:highlight w:val="none"/>
          <w:lang w:val="en-US" w:eastAsia="zh-CN"/>
        </w:rPr>
      </w:pPr>
    </w:p>
    <w:p w14:paraId="5821E69E">
      <w:pPr>
        <w:pStyle w:val="20"/>
        <w:rPr>
          <w:rFonts w:hint="eastAsia"/>
          <w:color w:val="auto"/>
          <w:highlight w:val="none"/>
          <w:lang w:val="en-US" w:eastAsia="zh-CN"/>
        </w:rPr>
      </w:pPr>
    </w:p>
    <w:p w14:paraId="539EC284">
      <w:pPr>
        <w:rPr>
          <w:rFonts w:hint="eastAsia" w:ascii="黑体" w:hAnsi="黑体" w:eastAsia="黑体" w:cs="黑体"/>
          <w:color w:val="auto"/>
          <w:highlight w:val="none"/>
        </w:rPr>
      </w:pPr>
    </w:p>
    <w:p w14:paraId="07EEC662">
      <w:pPr>
        <w:pStyle w:val="20"/>
        <w:rPr>
          <w:rFonts w:hint="eastAsia" w:ascii="黑体" w:hAnsi="黑体" w:eastAsia="黑体" w:cs="黑体"/>
          <w:color w:val="auto"/>
          <w:highlight w:val="none"/>
        </w:rPr>
      </w:pPr>
    </w:p>
    <w:p w14:paraId="45691C07">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highlight w:val="none"/>
        </w:rPr>
      </w:pPr>
    </w:p>
    <w:p w14:paraId="09E3E11A">
      <w:pPr>
        <w:spacing w:after="312" w:afterLines="100"/>
        <w:jc w:val="center"/>
        <w:outlineLvl w:val="1"/>
        <w:rPr>
          <w:rFonts w:hint="eastAsia" w:ascii="Times New Roman" w:hAnsi="Times New Roman" w:eastAsia="宋体"/>
          <w:sz w:val="36"/>
          <w:szCs w:val="36"/>
          <w:highlight w:val="none"/>
          <w:lang w:eastAsia="zh-CN"/>
        </w:rPr>
      </w:pPr>
      <w:bookmarkStart w:id="552" w:name="_Toc21723"/>
      <w:bookmarkStart w:id="553" w:name="_Toc16283"/>
      <w:bookmarkStart w:id="554" w:name="_Toc14589"/>
      <w:bookmarkStart w:id="555" w:name="_Toc10624"/>
      <w:bookmarkStart w:id="556" w:name="_Toc5379"/>
      <w:bookmarkStart w:id="557" w:name="_Toc21677"/>
      <w:r>
        <w:rPr>
          <w:rFonts w:hint="eastAsia" w:ascii="Times New Roman" w:hAnsi="Times New Roman" w:eastAsia="宋体"/>
          <w:sz w:val="36"/>
          <w:szCs w:val="36"/>
          <w:highlight w:val="none"/>
        </w:rPr>
        <w:t>附录</w:t>
      </w:r>
      <w:r>
        <w:rPr>
          <w:rFonts w:hint="eastAsia" w:ascii="Times New Roman" w:hAnsi="Times New Roman" w:eastAsia="宋体"/>
          <w:sz w:val="36"/>
          <w:szCs w:val="36"/>
          <w:highlight w:val="none"/>
          <w:lang w:val="en-US" w:eastAsia="zh-CN"/>
        </w:rPr>
        <w:t xml:space="preserve">A  </w:t>
      </w:r>
      <w:r>
        <w:rPr>
          <w:rFonts w:hint="eastAsia" w:ascii="Times New Roman" w:hAnsi="Times New Roman"/>
          <w:sz w:val="36"/>
          <w:szCs w:val="36"/>
          <w:highlight w:val="none"/>
          <w:lang w:val="en-US" w:eastAsia="zh-CN"/>
        </w:rPr>
        <w:t>保洁服务内容及要求</w:t>
      </w:r>
      <w:bookmarkEnd w:id="552"/>
      <w:bookmarkEnd w:id="553"/>
      <w:bookmarkEnd w:id="554"/>
      <w:bookmarkEnd w:id="555"/>
      <w:bookmarkEnd w:id="556"/>
      <w:bookmarkEnd w:id="557"/>
    </w:p>
    <w:p w14:paraId="54AB5798">
      <w:pPr>
        <w:pStyle w:val="59"/>
        <w:tabs>
          <w:tab w:val="center" w:pos="4201"/>
          <w:tab w:val="right" w:leader="dot" w:pos="9298"/>
        </w:tabs>
        <w:ind w:left="0" w:leftChars="0" w:firstLine="420" w:firstLineChars="200"/>
        <w:jc w:val="both"/>
        <w:rPr>
          <w:rFonts w:hint="eastAsia" w:ascii="宋体" w:hAnsi="宋体" w:eastAsia="宋体" w:cs="宋体"/>
          <w:color w:val="auto"/>
          <w:sz w:val="21"/>
          <w:highlight w:val="none"/>
          <w:lang w:val="en-US" w:eastAsia="zh-CN" w:bidi="ar-SA"/>
        </w:rPr>
      </w:pPr>
    </w:p>
    <w:p w14:paraId="3B7010E6">
      <w:pPr>
        <w:pStyle w:val="59"/>
        <w:tabs>
          <w:tab w:val="center" w:pos="4201"/>
          <w:tab w:val="right" w:leader="dot" w:pos="9298"/>
        </w:tabs>
        <w:ind w:left="0" w:leftChars="0" w:firstLine="420" w:firstLineChars="200"/>
        <w:jc w:val="both"/>
        <w:rPr>
          <w:rFonts w:hint="eastAsia" w:ascii="宋体" w:hAnsi="宋体" w:eastAsia="宋体" w:cs="宋体"/>
          <w:color w:val="auto"/>
          <w:sz w:val="21"/>
          <w:highlight w:val="none"/>
          <w:lang w:val="en-US" w:eastAsia="zh-CN" w:bidi="ar-SA"/>
        </w:rPr>
      </w:pPr>
      <w:r>
        <w:rPr>
          <w:rFonts w:hint="eastAsia" w:hAnsi="宋体" w:cs="宋体"/>
          <w:color w:val="auto"/>
          <w:sz w:val="21"/>
          <w:highlight w:val="none"/>
          <w:lang w:val="en-US" w:eastAsia="zh-CN" w:bidi="ar-SA"/>
        </w:rPr>
        <w:t>保洁服务</w:t>
      </w:r>
      <w:r>
        <w:rPr>
          <w:rFonts w:hint="eastAsia" w:ascii="宋体" w:hAnsi="宋体" w:eastAsia="宋体" w:cs="宋体"/>
          <w:color w:val="auto"/>
          <w:sz w:val="21"/>
          <w:highlight w:val="none"/>
          <w:lang w:val="en-US" w:eastAsia="zh-CN" w:bidi="ar-SA"/>
        </w:rPr>
        <w:t>内容</w:t>
      </w:r>
      <w:r>
        <w:rPr>
          <w:rFonts w:hint="eastAsia" w:hAnsi="宋体" w:cs="宋体"/>
          <w:color w:val="auto"/>
          <w:sz w:val="21"/>
          <w:highlight w:val="none"/>
          <w:lang w:val="en-US" w:eastAsia="zh-CN" w:bidi="ar-SA"/>
        </w:rPr>
        <w:t>及要求</w:t>
      </w:r>
      <w:r>
        <w:rPr>
          <w:rFonts w:hint="eastAsia" w:ascii="宋体" w:hAnsi="宋体" w:eastAsia="宋体" w:cs="宋体"/>
          <w:color w:val="auto"/>
          <w:sz w:val="21"/>
          <w:highlight w:val="none"/>
          <w:lang w:val="en-US" w:eastAsia="zh-CN" w:bidi="ar-SA"/>
        </w:rPr>
        <w:t>见表A.1。</w:t>
      </w:r>
    </w:p>
    <w:p w14:paraId="065C0A0E">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表A.1  保洁服务内容及要求</w:t>
      </w:r>
    </w:p>
    <w:tbl>
      <w:tblPr>
        <w:tblStyle w:val="38"/>
        <w:tblW w:w="9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115"/>
        <w:gridCol w:w="769"/>
        <w:gridCol w:w="1656"/>
        <w:gridCol w:w="794"/>
        <w:gridCol w:w="1781"/>
        <w:gridCol w:w="775"/>
        <w:gridCol w:w="1861"/>
      </w:tblGrid>
      <w:tr w14:paraId="53FA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824" w:type="dxa"/>
            <w:gridSpan w:val="2"/>
            <w:vMerge w:val="restart"/>
            <w:tcBorders>
              <w:top w:val="single" w:color="000000" w:sz="12" w:space="0"/>
              <w:left w:val="single" w:color="000000" w:sz="12" w:space="0"/>
              <w:right w:val="single" w:color="000000" w:sz="4" w:space="0"/>
            </w:tcBorders>
            <w:noWrap/>
            <w:vAlign w:val="center"/>
          </w:tcPr>
          <w:p w14:paraId="3522980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2425" w:type="dxa"/>
            <w:gridSpan w:val="2"/>
            <w:tcBorders>
              <w:top w:val="single" w:color="000000" w:sz="12" w:space="0"/>
              <w:left w:val="single" w:color="000000" w:sz="4" w:space="0"/>
              <w:bottom w:val="single" w:color="000000" w:sz="4" w:space="0"/>
              <w:right w:val="single" w:color="000000" w:sz="4" w:space="0"/>
            </w:tcBorders>
            <w:noWrap/>
            <w:vAlign w:val="center"/>
          </w:tcPr>
          <w:p w14:paraId="17899BEA">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cs="宋体"/>
                <w:b w:val="0"/>
                <w:bCs w:val="0"/>
                <w:i w:val="0"/>
                <w:iCs w:val="0"/>
                <w:color w:val="auto"/>
                <w:kern w:val="0"/>
                <w:sz w:val="18"/>
                <w:szCs w:val="18"/>
                <w:highlight w:val="none"/>
                <w:u w:val="none"/>
                <w:lang w:val="en-US" w:eastAsia="zh-CN" w:bidi="ar"/>
              </w:rPr>
              <w:t>优质</w:t>
            </w:r>
          </w:p>
        </w:tc>
        <w:tc>
          <w:tcPr>
            <w:tcW w:w="2575" w:type="dxa"/>
            <w:gridSpan w:val="2"/>
            <w:tcBorders>
              <w:top w:val="single" w:color="000000" w:sz="12" w:space="0"/>
              <w:left w:val="single" w:color="000000" w:sz="4" w:space="0"/>
              <w:bottom w:val="single" w:color="000000" w:sz="4" w:space="0"/>
              <w:right w:val="single" w:color="000000" w:sz="4" w:space="0"/>
            </w:tcBorders>
            <w:noWrap/>
            <w:vAlign w:val="center"/>
          </w:tcPr>
          <w:p w14:paraId="02B8E232">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eastAsia="zh-CN"/>
              </w:rPr>
            </w:pPr>
            <w:r>
              <w:rPr>
                <w:rFonts w:hint="eastAsia" w:ascii="宋体" w:hAnsi="宋体" w:cs="宋体"/>
                <w:b w:val="0"/>
                <w:bCs w:val="0"/>
                <w:i w:val="0"/>
                <w:iCs w:val="0"/>
                <w:color w:val="auto"/>
                <w:sz w:val="18"/>
                <w:szCs w:val="18"/>
                <w:highlight w:val="none"/>
                <w:u w:val="none"/>
                <w:lang w:val="en-US" w:eastAsia="zh-CN"/>
              </w:rPr>
              <w:t>良好</w:t>
            </w:r>
          </w:p>
        </w:tc>
        <w:tc>
          <w:tcPr>
            <w:tcW w:w="2636" w:type="dxa"/>
            <w:gridSpan w:val="2"/>
            <w:tcBorders>
              <w:top w:val="single" w:color="000000" w:sz="12" w:space="0"/>
              <w:left w:val="single" w:color="000000" w:sz="4" w:space="0"/>
              <w:bottom w:val="single" w:color="000000" w:sz="4" w:space="0"/>
              <w:right w:val="single" w:color="000000" w:sz="12" w:space="0"/>
            </w:tcBorders>
            <w:noWrap/>
            <w:vAlign w:val="center"/>
          </w:tcPr>
          <w:p w14:paraId="3EF4D320">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cs="宋体"/>
                <w:b w:val="0"/>
                <w:bCs w:val="0"/>
                <w:i w:val="0"/>
                <w:iCs w:val="0"/>
                <w:color w:val="auto"/>
                <w:kern w:val="0"/>
                <w:sz w:val="18"/>
                <w:szCs w:val="18"/>
                <w:highlight w:val="none"/>
                <w:u w:val="none"/>
                <w:lang w:val="en-US" w:eastAsia="zh-CN" w:bidi="ar"/>
              </w:rPr>
              <w:t>基础</w:t>
            </w:r>
          </w:p>
        </w:tc>
      </w:tr>
      <w:tr w14:paraId="1F2C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824" w:type="dxa"/>
            <w:gridSpan w:val="2"/>
            <w:vMerge w:val="continue"/>
            <w:tcBorders>
              <w:left w:val="single" w:color="000000" w:sz="12" w:space="0"/>
              <w:bottom w:val="single" w:color="000000" w:sz="12" w:space="0"/>
              <w:right w:val="single" w:color="000000" w:sz="4" w:space="0"/>
            </w:tcBorders>
            <w:noWrap/>
            <w:vAlign w:val="center"/>
          </w:tcPr>
          <w:p w14:paraId="4D1FA87A">
            <w:pPr>
              <w:jc w:val="center"/>
              <w:rPr>
                <w:rFonts w:hint="eastAsia" w:ascii="宋体" w:hAnsi="宋体" w:eastAsia="宋体" w:cs="宋体"/>
                <w:b w:val="0"/>
                <w:bCs w:val="0"/>
                <w:i w:val="0"/>
                <w:iCs w:val="0"/>
                <w:color w:val="auto"/>
                <w:sz w:val="18"/>
                <w:szCs w:val="18"/>
                <w:highlight w:val="none"/>
                <w:u w:val="none"/>
              </w:rPr>
            </w:pPr>
          </w:p>
        </w:tc>
        <w:tc>
          <w:tcPr>
            <w:tcW w:w="769" w:type="dxa"/>
            <w:tcBorders>
              <w:top w:val="single" w:color="000000" w:sz="4" w:space="0"/>
              <w:left w:val="single" w:color="000000" w:sz="4" w:space="0"/>
              <w:bottom w:val="single" w:color="000000" w:sz="12" w:space="0"/>
              <w:right w:val="single" w:color="000000" w:sz="4" w:space="0"/>
            </w:tcBorders>
            <w:noWrap/>
            <w:vAlign w:val="center"/>
          </w:tcPr>
          <w:p w14:paraId="72071E7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656" w:type="dxa"/>
            <w:tcBorders>
              <w:top w:val="single" w:color="000000" w:sz="4" w:space="0"/>
              <w:left w:val="single" w:color="000000" w:sz="4" w:space="0"/>
              <w:bottom w:val="single" w:color="000000" w:sz="12" w:space="0"/>
              <w:right w:val="single" w:color="000000" w:sz="4" w:space="0"/>
            </w:tcBorders>
            <w:noWrap/>
            <w:vAlign w:val="center"/>
          </w:tcPr>
          <w:p w14:paraId="4BD922DB">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94" w:type="dxa"/>
            <w:tcBorders>
              <w:top w:val="single" w:color="000000" w:sz="4" w:space="0"/>
              <w:left w:val="single" w:color="000000" w:sz="4" w:space="0"/>
              <w:bottom w:val="single" w:color="000000" w:sz="12" w:space="0"/>
              <w:right w:val="single" w:color="000000" w:sz="4" w:space="0"/>
            </w:tcBorders>
            <w:noWrap/>
            <w:vAlign w:val="center"/>
          </w:tcPr>
          <w:p w14:paraId="7E6468E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781" w:type="dxa"/>
            <w:tcBorders>
              <w:top w:val="single" w:color="000000" w:sz="4" w:space="0"/>
              <w:left w:val="single" w:color="000000" w:sz="4" w:space="0"/>
              <w:bottom w:val="single" w:color="000000" w:sz="12" w:space="0"/>
              <w:right w:val="single" w:color="000000" w:sz="4" w:space="0"/>
            </w:tcBorders>
            <w:noWrap/>
            <w:vAlign w:val="center"/>
          </w:tcPr>
          <w:p w14:paraId="32FE57B1">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75" w:type="dxa"/>
            <w:tcBorders>
              <w:top w:val="single" w:color="000000" w:sz="4" w:space="0"/>
              <w:left w:val="single" w:color="000000" w:sz="4" w:space="0"/>
              <w:bottom w:val="single" w:color="000000" w:sz="12" w:space="0"/>
              <w:right w:val="single" w:color="000000" w:sz="4" w:space="0"/>
            </w:tcBorders>
            <w:noWrap/>
            <w:vAlign w:val="center"/>
          </w:tcPr>
          <w:p w14:paraId="613D04BB">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861" w:type="dxa"/>
            <w:tcBorders>
              <w:top w:val="single" w:color="000000" w:sz="4" w:space="0"/>
              <w:left w:val="single" w:color="000000" w:sz="4" w:space="0"/>
              <w:bottom w:val="single" w:color="000000" w:sz="12" w:space="0"/>
              <w:right w:val="single" w:color="000000" w:sz="12" w:space="0"/>
            </w:tcBorders>
            <w:noWrap/>
            <w:vAlign w:val="center"/>
          </w:tcPr>
          <w:p w14:paraId="5B79F66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14:paraId="3EC0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restart"/>
            <w:tcBorders>
              <w:top w:val="single" w:color="000000" w:sz="12" w:space="0"/>
              <w:left w:val="single" w:color="000000" w:sz="12" w:space="0"/>
              <w:right w:val="single" w:color="000000" w:sz="4" w:space="0"/>
            </w:tcBorders>
            <w:noWrap/>
            <w:vAlign w:val="center"/>
          </w:tcPr>
          <w:p w14:paraId="1B54EBD1">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室内保洁</w:t>
            </w:r>
          </w:p>
        </w:tc>
        <w:tc>
          <w:tcPr>
            <w:tcW w:w="1115" w:type="dxa"/>
            <w:tcBorders>
              <w:top w:val="single" w:color="000000" w:sz="12" w:space="0"/>
              <w:left w:val="single" w:color="000000" w:sz="4" w:space="0"/>
              <w:bottom w:val="single" w:color="000000" w:sz="4" w:space="0"/>
              <w:right w:val="single" w:color="000000" w:sz="4" w:space="0"/>
            </w:tcBorders>
            <w:noWrap/>
            <w:vAlign w:val="center"/>
          </w:tcPr>
          <w:p w14:paraId="19076879">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地面</w:t>
            </w:r>
          </w:p>
        </w:tc>
        <w:tc>
          <w:tcPr>
            <w:tcW w:w="769" w:type="dxa"/>
            <w:tcBorders>
              <w:top w:val="single" w:color="000000" w:sz="12" w:space="0"/>
              <w:left w:val="single" w:color="000000" w:sz="4" w:space="0"/>
              <w:bottom w:val="single" w:color="000000" w:sz="4" w:space="0"/>
              <w:right w:val="single" w:color="000000" w:sz="4" w:space="0"/>
            </w:tcBorders>
            <w:noWrap/>
            <w:vAlign w:val="center"/>
          </w:tcPr>
          <w:p w14:paraId="6B63F5D3">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12" w:space="0"/>
              <w:left w:val="single" w:color="000000" w:sz="4" w:space="0"/>
              <w:bottom w:val="single" w:color="000000" w:sz="4" w:space="0"/>
              <w:right w:val="single" w:color="000000" w:sz="4" w:space="0"/>
            </w:tcBorders>
            <w:noWrap/>
            <w:vAlign w:val="center"/>
          </w:tcPr>
          <w:p w14:paraId="35867517">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目视无垃圾杂物、无污迹，干净整洁</w:t>
            </w:r>
          </w:p>
        </w:tc>
        <w:tc>
          <w:tcPr>
            <w:tcW w:w="794" w:type="dxa"/>
            <w:tcBorders>
              <w:top w:val="single" w:color="000000" w:sz="12" w:space="0"/>
              <w:left w:val="single" w:color="000000" w:sz="4" w:space="0"/>
              <w:bottom w:val="single" w:color="000000" w:sz="4" w:space="0"/>
              <w:right w:val="single" w:color="000000" w:sz="4" w:space="0"/>
            </w:tcBorders>
            <w:noWrap/>
            <w:vAlign w:val="center"/>
          </w:tcPr>
          <w:p w14:paraId="76AD2485">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12" w:space="0"/>
              <w:left w:val="single" w:color="000000" w:sz="4" w:space="0"/>
              <w:bottom w:val="single" w:color="000000" w:sz="4" w:space="0"/>
              <w:right w:val="single" w:color="000000" w:sz="4" w:space="0"/>
            </w:tcBorders>
            <w:noWrap/>
            <w:vAlign w:val="center"/>
          </w:tcPr>
          <w:p w14:paraId="4D2E9F6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目视无明显垃圾杂物、无明显污迹</w:t>
            </w:r>
          </w:p>
        </w:tc>
        <w:tc>
          <w:tcPr>
            <w:tcW w:w="775" w:type="dxa"/>
            <w:tcBorders>
              <w:top w:val="single" w:color="000000" w:sz="12" w:space="0"/>
              <w:left w:val="single" w:color="000000" w:sz="4" w:space="0"/>
              <w:bottom w:val="single" w:color="000000" w:sz="4" w:space="0"/>
              <w:right w:val="single" w:color="000000" w:sz="4" w:space="0"/>
            </w:tcBorders>
            <w:noWrap/>
            <w:vAlign w:val="center"/>
          </w:tcPr>
          <w:p w14:paraId="53651BC0">
            <w:pP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12" w:space="0"/>
              <w:left w:val="single" w:color="000000" w:sz="4" w:space="0"/>
              <w:bottom w:val="single" w:color="000000" w:sz="4" w:space="0"/>
              <w:right w:val="single" w:color="000000" w:sz="12" w:space="0"/>
            </w:tcBorders>
            <w:noWrap/>
            <w:vAlign w:val="center"/>
          </w:tcPr>
          <w:p w14:paraId="2FA2CD60">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目视无明显垃圾杂物、无明显污迹</w:t>
            </w:r>
          </w:p>
        </w:tc>
      </w:tr>
      <w:tr w14:paraId="5E23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26912982">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6F96D30A">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灯具</w:t>
            </w:r>
            <w:r>
              <w:rPr>
                <w:rFonts w:hint="eastAsia" w:ascii="宋体" w:hAnsi="宋体" w:cs="宋体"/>
                <w:color w:val="auto"/>
                <w:sz w:val="18"/>
                <w:szCs w:val="18"/>
                <w:highlight w:val="none"/>
                <w:lang w:val="en-US" w:eastAsia="zh-CN"/>
              </w:rPr>
              <w:t>（2米以下）</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C818117">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77F86EB">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目视无灰尘、无污迹、无蜘蛛网</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1CCAF406">
            <w:pP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0CBB1356">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E23F03A">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5A8DF2F4">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w:t>
            </w:r>
          </w:p>
        </w:tc>
      </w:tr>
      <w:tr w14:paraId="1A7C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30906A64">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6A615071">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玻璃（3米以下）</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00C7052">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3E7E137">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目视无污迹、无积尘</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0B49225D">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06781E4E">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目视无明显污迹、无明显积尘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22CCF44">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258FF7CB">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目视无明显污迹、无明显积尘</w:t>
            </w:r>
          </w:p>
        </w:tc>
      </w:tr>
      <w:tr w14:paraId="79DA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761347ED">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60310CED">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过道、楼梯</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7549AF9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21C3653">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目视无垃圾杂物、无污迹</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24E5660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6F7779A2">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目视无明显垃圾杂物、无明显污迹</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BB2E78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3228E3B2">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目视无明显垃圾杂物、无明显污迹</w:t>
            </w:r>
          </w:p>
        </w:tc>
      </w:tr>
      <w:tr w14:paraId="7FA1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338970C4">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0B9E2E2B">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楼梯扶手、栏杆</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6D58FE6F">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14410ED">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目视干净整洁</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0A4ED752">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61246C3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1FBD4A3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5B7631F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r>
      <w:tr w14:paraId="120B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7CA7FA89">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334FF46">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电梯扶手</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57F93283">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130CAD2">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目视干净整洁</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16113E14">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079C6A19">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20DAF1A7">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1381B916">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r>
      <w:tr w14:paraId="6BA8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0D7F8127">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50342B3F">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公共</w:t>
            </w:r>
            <w:r>
              <w:rPr>
                <w:rFonts w:hint="default" w:ascii="宋体" w:hAnsi="宋体" w:cs="宋体"/>
                <w:color w:val="auto"/>
                <w:sz w:val="18"/>
                <w:szCs w:val="18"/>
                <w:highlight w:val="none"/>
                <w:lang w:val="en-US" w:eastAsia="zh-CN"/>
              </w:rPr>
              <w:t>窗台</w:t>
            </w:r>
            <w:r>
              <w:rPr>
                <w:rFonts w:hint="eastAsia" w:ascii="宋体" w:hAnsi="宋体" w:cs="宋体"/>
                <w:color w:val="auto"/>
                <w:sz w:val="18"/>
                <w:szCs w:val="18"/>
                <w:highlight w:val="none"/>
                <w:lang w:val="en-US" w:eastAsia="zh-CN"/>
              </w:rPr>
              <w:t>（内侧）</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005B1251">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13A8D75">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目视无灰尘、呈本色</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3B075D2E">
            <w:pP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39EE22C6">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3AD2717">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64531E7F">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r>
      <w:tr w14:paraId="7B0B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right w:val="single" w:color="000000" w:sz="4" w:space="0"/>
            </w:tcBorders>
            <w:noWrap/>
            <w:vAlign w:val="center"/>
          </w:tcPr>
          <w:p w14:paraId="2C9A77F2">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3746628A">
            <w:pP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rPr>
              <w:t>指示牌</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0476F8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3984195">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目视无污迹、无破损</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6ABBE0BB">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3043CFB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目视无明显污迹、无明显破损</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2D36AFE5">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557E3761">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目视无明显污迹、无明显破损</w:t>
            </w:r>
          </w:p>
        </w:tc>
      </w:tr>
      <w:tr w14:paraId="06FA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right w:val="single" w:color="000000" w:sz="4" w:space="0"/>
            </w:tcBorders>
            <w:noWrap/>
            <w:vAlign w:val="center"/>
          </w:tcPr>
          <w:p w14:paraId="4A490B8D">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37E978AB">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电梯轿厢门</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32EC88E0">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333BC82">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目视无污迹、无灰尘，表面光亮</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02F52F14">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56D763E3">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目视无明显污迹、无明显灰尘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6CA1E8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5F0E686A">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目视无明显污迹、无明显灰尘</w:t>
            </w:r>
          </w:p>
        </w:tc>
      </w:tr>
      <w:tr w14:paraId="2A4F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right w:val="single" w:color="000000" w:sz="4" w:space="0"/>
            </w:tcBorders>
            <w:noWrap/>
            <w:vAlign w:val="center"/>
          </w:tcPr>
          <w:p w14:paraId="5A14F477">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22E1094B">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电梯轿厢地面</w:t>
            </w:r>
            <w:r>
              <w:rPr>
                <w:rFonts w:hint="eastAsia" w:ascii="宋体" w:hAnsi="宋体" w:cs="宋体"/>
                <w:i w:val="0"/>
                <w:iCs w:val="0"/>
                <w:color w:val="auto"/>
                <w:sz w:val="18"/>
                <w:szCs w:val="18"/>
                <w:highlight w:val="none"/>
                <w:u w:val="none"/>
                <w:lang w:val="en-US" w:eastAsia="zh-CN"/>
              </w:rPr>
              <w:t>和</w:t>
            </w:r>
            <w:r>
              <w:rPr>
                <w:rFonts w:hint="default" w:ascii="宋体" w:hAnsi="宋体" w:eastAsia="宋体" w:cs="宋体"/>
                <w:i w:val="0"/>
                <w:iCs w:val="0"/>
                <w:color w:val="auto"/>
                <w:sz w:val="18"/>
                <w:szCs w:val="18"/>
                <w:highlight w:val="none"/>
                <w:u w:val="none"/>
                <w:lang w:val="en-US"/>
              </w:rPr>
              <w:t>四壁</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578AB9E">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F9832C">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目视无垃圾杂物、无污迹，干净整洁、有光泽</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6651C303">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4860668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目视无明显垃圾杂物、无明显污迹</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E217D3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0DDCE2B1">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目视无明显垃圾杂物、无明显污迹</w:t>
            </w:r>
          </w:p>
        </w:tc>
      </w:tr>
      <w:tr w14:paraId="66CA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right w:val="single" w:color="000000" w:sz="4" w:space="0"/>
            </w:tcBorders>
            <w:noWrap/>
            <w:vAlign w:val="center"/>
          </w:tcPr>
          <w:p w14:paraId="359AE7FF">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2A58EA65">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电梯轿厢操作面板</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0D74512E">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CE2258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目视无污迹、无积尘</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52424F9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4EEC76C6">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目视无明显污迹、无明显积尘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B5675E2">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38A0F97F">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目视无明显污迹、无明显积尘</w:t>
            </w:r>
          </w:p>
        </w:tc>
      </w:tr>
      <w:tr w14:paraId="644C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9" w:type="dxa"/>
            <w:vMerge w:val="continue"/>
            <w:tcBorders>
              <w:left w:val="single" w:color="000000" w:sz="12" w:space="0"/>
              <w:right w:val="single" w:color="000000" w:sz="4" w:space="0"/>
            </w:tcBorders>
            <w:noWrap/>
            <w:vAlign w:val="center"/>
          </w:tcPr>
          <w:p w14:paraId="536E9FDF">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E0195C1">
            <w:pPr>
              <w:rPr>
                <w:rFonts w:hint="eastAsia"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rPr>
              <w:t>电梯轿厢沟槽</w:t>
            </w:r>
            <w:r>
              <w:rPr>
                <w:rFonts w:hint="eastAsia" w:ascii="宋体" w:hAnsi="宋体" w:cs="宋体"/>
                <w:i w:val="0"/>
                <w:iCs w:val="0"/>
                <w:color w:val="auto"/>
                <w:sz w:val="18"/>
                <w:szCs w:val="18"/>
                <w:highlight w:val="none"/>
                <w:u w:val="none"/>
                <w:lang w:val="en-US" w:eastAsia="zh-CN"/>
              </w:rPr>
              <w:t>、灯罩</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7055F5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2481A1">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目视沟槽无垃圾，灯罩内无积灰和飞虫</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742A21F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5272C7E1">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目视沟槽无明显垃圾，灯罩内无明显积灰</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CEA9B2D">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209940E2">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目视沟槽无明显垃圾，灯罩内无明显积灰</w:t>
            </w:r>
          </w:p>
        </w:tc>
      </w:tr>
      <w:tr w14:paraId="6884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bottom w:val="single" w:color="000000" w:sz="12" w:space="0"/>
              <w:right w:val="single" w:color="000000" w:sz="4" w:space="0"/>
            </w:tcBorders>
            <w:noWrap/>
            <w:vAlign w:val="center"/>
          </w:tcPr>
          <w:p w14:paraId="0F01202F">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12" w:space="0"/>
              <w:right w:val="single" w:color="000000" w:sz="4" w:space="0"/>
            </w:tcBorders>
            <w:noWrap/>
            <w:vAlign w:val="center"/>
          </w:tcPr>
          <w:p w14:paraId="68E7E56D">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公共卫生间</w:t>
            </w:r>
          </w:p>
        </w:tc>
        <w:tc>
          <w:tcPr>
            <w:tcW w:w="769" w:type="dxa"/>
            <w:tcBorders>
              <w:top w:val="single" w:color="000000" w:sz="4" w:space="0"/>
              <w:left w:val="single" w:color="000000" w:sz="4" w:space="0"/>
              <w:bottom w:val="single" w:color="000000" w:sz="12" w:space="0"/>
              <w:right w:val="single" w:color="000000" w:sz="4" w:space="0"/>
            </w:tcBorders>
            <w:noWrap/>
            <w:vAlign w:val="center"/>
          </w:tcPr>
          <w:p w14:paraId="34613323">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12" w:space="0"/>
              <w:right w:val="single" w:color="000000" w:sz="4" w:space="0"/>
            </w:tcBorders>
            <w:noWrap/>
            <w:vAlign w:val="center"/>
          </w:tcPr>
          <w:p w14:paraId="7F2795E9">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无异味、地面无积水，镜面无污渍、洗手台无水渍，便池无污迹</w:t>
            </w:r>
          </w:p>
        </w:tc>
        <w:tc>
          <w:tcPr>
            <w:tcW w:w="794" w:type="dxa"/>
            <w:tcBorders>
              <w:top w:val="single" w:color="000000" w:sz="4" w:space="0"/>
              <w:left w:val="single" w:color="000000" w:sz="4" w:space="0"/>
              <w:bottom w:val="single" w:color="000000" w:sz="12" w:space="0"/>
              <w:right w:val="single" w:color="000000" w:sz="4" w:space="0"/>
            </w:tcBorders>
            <w:noWrap/>
            <w:vAlign w:val="center"/>
          </w:tcPr>
          <w:p w14:paraId="170C5A0E">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12" w:space="0"/>
              <w:right w:val="single" w:color="000000" w:sz="4" w:space="0"/>
            </w:tcBorders>
            <w:noWrap/>
            <w:vAlign w:val="center"/>
          </w:tcPr>
          <w:p w14:paraId="50BC0A9C">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无异味、地面无明显积水，镜面无明显污渍、洗手台无明显水渍，便池无明显污迹</w:t>
            </w:r>
          </w:p>
        </w:tc>
        <w:tc>
          <w:tcPr>
            <w:tcW w:w="775" w:type="dxa"/>
            <w:tcBorders>
              <w:top w:val="single" w:color="000000" w:sz="4" w:space="0"/>
              <w:left w:val="single" w:color="000000" w:sz="4" w:space="0"/>
              <w:bottom w:val="single" w:color="000000" w:sz="12" w:space="0"/>
              <w:right w:val="single" w:color="000000" w:sz="4" w:space="0"/>
            </w:tcBorders>
            <w:noWrap/>
            <w:vAlign w:val="center"/>
          </w:tcPr>
          <w:p w14:paraId="2225B2D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4" w:space="0"/>
              <w:left w:val="single" w:color="000000" w:sz="4" w:space="0"/>
              <w:bottom w:val="single" w:color="000000" w:sz="12" w:space="0"/>
              <w:right w:val="single" w:color="000000" w:sz="12" w:space="0"/>
            </w:tcBorders>
            <w:noWrap/>
            <w:vAlign w:val="center"/>
          </w:tcPr>
          <w:p w14:paraId="7652847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无异味、地面无明显积水，镜面无明显污渍、洗手台无明显水渍，便池无明显污迹</w:t>
            </w:r>
          </w:p>
        </w:tc>
      </w:tr>
    </w:tbl>
    <w:p w14:paraId="25A2EA5A">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21"/>
          <w:highlight w:val="none"/>
          <w:lang w:val="en-US" w:eastAsia="zh-CN" w:bidi="ar-SA"/>
        </w:rPr>
        <w:t xml:space="preserve">续表A.1  </w:t>
      </w:r>
    </w:p>
    <w:tbl>
      <w:tblPr>
        <w:tblStyle w:val="38"/>
        <w:tblW w:w="9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115"/>
        <w:gridCol w:w="769"/>
        <w:gridCol w:w="1656"/>
        <w:gridCol w:w="794"/>
        <w:gridCol w:w="1781"/>
        <w:gridCol w:w="775"/>
        <w:gridCol w:w="1861"/>
      </w:tblGrid>
      <w:tr w14:paraId="31EC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824" w:type="dxa"/>
            <w:gridSpan w:val="2"/>
            <w:vMerge w:val="restart"/>
            <w:tcBorders>
              <w:top w:val="single" w:color="000000" w:sz="12" w:space="0"/>
              <w:left w:val="single" w:color="000000" w:sz="12" w:space="0"/>
              <w:right w:val="single" w:color="000000" w:sz="4" w:space="0"/>
            </w:tcBorders>
            <w:noWrap/>
            <w:vAlign w:val="center"/>
          </w:tcPr>
          <w:p w14:paraId="4C9DE55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2425" w:type="dxa"/>
            <w:gridSpan w:val="2"/>
            <w:tcBorders>
              <w:top w:val="single" w:color="000000" w:sz="12" w:space="0"/>
              <w:left w:val="single" w:color="000000" w:sz="4" w:space="0"/>
              <w:bottom w:val="single" w:color="000000" w:sz="4" w:space="0"/>
              <w:right w:val="single" w:color="000000" w:sz="4" w:space="0"/>
            </w:tcBorders>
            <w:noWrap/>
            <w:vAlign w:val="center"/>
          </w:tcPr>
          <w:p w14:paraId="0F58B6FD">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cs="宋体"/>
                <w:b w:val="0"/>
                <w:bCs w:val="0"/>
                <w:i w:val="0"/>
                <w:iCs w:val="0"/>
                <w:color w:val="auto"/>
                <w:kern w:val="0"/>
                <w:sz w:val="18"/>
                <w:szCs w:val="18"/>
                <w:highlight w:val="none"/>
                <w:u w:val="none"/>
                <w:lang w:val="en-US" w:eastAsia="zh-CN" w:bidi="ar"/>
              </w:rPr>
              <w:t>优质</w:t>
            </w:r>
          </w:p>
        </w:tc>
        <w:tc>
          <w:tcPr>
            <w:tcW w:w="2575" w:type="dxa"/>
            <w:gridSpan w:val="2"/>
            <w:tcBorders>
              <w:top w:val="single" w:color="000000" w:sz="12" w:space="0"/>
              <w:left w:val="single" w:color="000000" w:sz="4" w:space="0"/>
              <w:bottom w:val="single" w:color="000000" w:sz="4" w:space="0"/>
              <w:right w:val="single" w:color="000000" w:sz="4" w:space="0"/>
            </w:tcBorders>
            <w:noWrap/>
            <w:vAlign w:val="center"/>
          </w:tcPr>
          <w:p w14:paraId="67864976">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eastAsia="zh-CN"/>
              </w:rPr>
            </w:pPr>
            <w:r>
              <w:rPr>
                <w:rFonts w:hint="eastAsia" w:ascii="宋体" w:hAnsi="宋体" w:cs="宋体"/>
                <w:b w:val="0"/>
                <w:bCs w:val="0"/>
                <w:i w:val="0"/>
                <w:iCs w:val="0"/>
                <w:color w:val="auto"/>
                <w:sz w:val="18"/>
                <w:szCs w:val="18"/>
                <w:highlight w:val="none"/>
                <w:u w:val="none"/>
                <w:lang w:val="en-US" w:eastAsia="zh-CN"/>
              </w:rPr>
              <w:t>良好</w:t>
            </w:r>
          </w:p>
        </w:tc>
        <w:tc>
          <w:tcPr>
            <w:tcW w:w="2636" w:type="dxa"/>
            <w:gridSpan w:val="2"/>
            <w:tcBorders>
              <w:top w:val="single" w:color="000000" w:sz="12" w:space="0"/>
              <w:left w:val="single" w:color="000000" w:sz="4" w:space="0"/>
              <w:bottom w:val="single" w:color="000000" w:sz="4" w:space="0"/>
              <w:right w:val="single" w:color="000000" w:sz="12" w:space="0"/>
            </w:tcBorders>
            <w:noWrap/>
            <w:vAlign w:val="center"/>
          </w:tcPr>
          <w:p w14:paraId="0128EC59">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cs="宋体"/>
                <w:b w:val="0"/>
                <w:bCs w:val="0"/>
                <w:i w:val="0"/>
                <w:iCs w:val="0"/>
                <w:color w:val="auto"/>
                <w:kern w:val="0"/>
                <w:sz w:val="18"/>
                <w:szCs w:val="18"/>
                <w:highlight w:val="none"/>
                <w:u w:val="none"/>
                <w:lang w:val="en-US" w:eastAsia="zh-CN" w:bidi="ar"/>
              </w:rPr>
              <w:t>基础</w:t>
            </w:r>
          </w:p>
        </w:tc>
      </w:tr>
      <w:tr w14:paraId="2DB9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824" w:type="dxa"/>
            <w:gridSpan w:val="2"/>
            <w:vMerge w:val="continue"/>
            <w:tcBorders>
              <w:left w:val="single" w:color="000000" w:sz="12" w:space="0"/>
              <w:bottom w:val="single" w:color="000000" w:sz="12" w:space="0"/>
              <w:right w:val="single" w:color="000000" w:sz="4" w:space="0"/>
            </w:tcBorders>
            <w:noWrap/>
            <w:vAlign w:val="center"/>
          </w:tcPr>
          <w:p w14:paraId="7FF9DE48">
            <w:pPr>
              <w:jc w:val="center"/>
              <w:rPr>
                <w:rFonts w:hint="eastAsia" w:ascii="宋体" w:hAnsi="宋体" w:eastAsia="宋体" w:cs="宋体"/>
                <w:b w:val="0"/>
                <w:bCs w:val="0"/>
                <w:i w:val="0"/>
                <w:iCs w:val="0"/>
                <w:color w:val="auto"/>
                <w:sz w:val="18"/>
                <w:szCs w:val="18"/>
                <w:highlight w:val="none"/>
                <w:u w:val="none"/>
              </w:rPr>
            </w:pPr>
          </w:p>
        </w:tc>
        <w:tc>
          <w:tcPr>
            <w:tcW w:w="769" w:type="dxa"/>
            <w:tcBorders>
              <w:top w:val="single" w:color="000000" w:sz="4" w:space="0"/>
              <w:left w:val="single" w:color="000000" w:sz="4" w:space="0"/>
              <w:bottom w:val="single" w:color="000000" w:sz="12" w:space="0"/>
              <w:right w:val="single" w:color="000000" w:sz="4" w:space="0"/>
            </w:tcBorders>
            <w:noWrap/>
            <w:vAlign w:val="center"/>
          </w:tcPr>
          <w:p w14:paraId="368E5E18">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656" w:type="dxa"/>
            <w:tcBorders>
              <w:top w:val="single" w:color="000000" w:sz="4" w:space="0"/>
              <w:left w:val="single" w:color="000000" w:sz="4" w:space="0"/>
              <w:bottom w:val="single" w:color="000000" w:sz="12" w:space="0"/>
              <w:right w:val="single" w:color="000000" w:sz="4" w:space="0"/>
            </w:tcBorders>
            <w:noWrap/>
            <w:vAlign w:val="center"/>
          </w:tcPr>
          <w:p w14:paraId="6D683C36">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94" w:type="dxa"/>
            <w:tcBorders>
              <w:top w:val="single" w:color="000000" w:sz="4" w:space="0"/>
              <w:left w:val="single" w:color="000000" w:sz="4" w:space="0"/>
              <w:bottom w:val="single" w:color="000000" w:sz="12" w:space="0"/>
              <w:right w:val="single" w:color="000000" w:sz="4" w:space="0"/>
            </w:tcBorders>
            <w:noWrap/>
            <w:vAlign w:val="center"/>
          </w:tcPr>
          <w:p w14:paraId="19EAE268">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781" w:type="dxa"/>
            <w:tcBorders>
              <w:top w:val="single" w:color="000000" w:sz="4" w:space="0"/>
              <w:left w:val="single" w:color="000000" w:sz="4" w:space="0"/>
              <w:bottom w:val="single" w:color="000000" w:sz="12" w:space="0"/>
              <w:right w:val="single" w:color="000000" w:sz="4" w:space="0"/>
            </w:tcBorders>
            <w:noWrap/>
            <w:vAlign w:val="center"/>
          </w:tcPr>
          <w:p w14:paraId="09922A1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75" w:type="dxa"/>
            <w:tcBorders>
              <w:top w:val="single" w:color="000000" w:sz="4" w:space="0"/>
              <w:left w:val="single" w:color="000000" w:sz="4" w:space="0"/>
              <w:bottom w:val="single" w:color="000000" w:sz="12" w:space="0"/>
              <w:right w:val="single" w:color="000000" w:sz="4" w:space="0"/>
            </w:tcBorders>
            <w:noWrap/>
            <w:vAlign w:val="center"/>
          </w:tcPr>
          <w:p w14:paraId="529D426E">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861" w:type="dxa"/>
            <w:tcBorders>
              <w:top w:val="single" w:color="000000" w:sz="4" w:space="0"/>
              <w:left w:val="single" w:color="000000" w:sz="4" w:space="0"/>
              <w:bottom w:val="single" w:color="000000" w:sz="12" w:space="0"/>
              <w:right w:val="single" w:color="000000" w:sz="12" w:space="0"/>
            </w:tcBorders>
            <w:noWrap/>
            <w:vAlign w:val="center"/>
          </w:tcPr>
          <w:p w14:paraId="42AB1DB1">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14:paraId="0196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09" w:type="dxa"/>
            <w:vMerge w:val="restart"/>
            <w:tcBorders>
              <w:top w:val="single" w:color="000000" w:sz="12" w:space="0"/>
              <w:left w:val="single" w:color="000000" w:sz="12" w:space="0"/>
              <w:bottom w:val="nil"/>
              <w:right w:val="single" w:color="000000" w:sz="4" w:space="0"/>
            </w:tcBorders>
            <w:noWrap/>
            <w:vAlign w:val="center"/>
          </w:tcPr>
          <w:p w14:paraId="04D3913E">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室外保洁</w:t>
            </w:r>
          </w:p>
        </w:tc>
        <w:tc>
          <w:tcPr>
            <w:tcW w:w="1115" w:type="dxa"/>
            <w:tcBorders>
              <w:top w:val="single" w:color="000000" w:sz="12" w:space="0"/>
              <w:left w:val="single" w:color="000000" w:sz="4" w:space="0"/>
              <w:bottom w:val="single" w:color="000000" w:sz="4" w:space="0"/>
              <w:right w:val="single" w:color="000000" w:sz="4" w:space="0"/>
            </w:tcBorders>
            <w:noWrap/>
            <w:vAlign w:val="center"/>
          </w:tcPr>
          <w:p w14:paraId="6A413835">
            <w:pP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rPr>
              <w:t>标识</w:t>
            </w:r>
            <w:r>
              <w:rPr>
                <w:rFonts w:hint="eastAsia" w:ascii="宋体" w:hAnsi="宋体" w:cs="宋体"/>
                <w:i w:val="0"/>
                <w:iCs w:val="0"/>
                <w:color w:val="auto"/>
                <w:sz w:val="18"/>
                <w:szCs w:val="18"/>
                <w:highlight w:val="none"/>
                <w:u w:val="none"/>
                <w:lang w:val="en-US" w:eastAsia="zh-CN"/>
              </w:rPr>
              <w:t>、标牌</w:t>
            </w:r>
          </w:p>
        </w:tc>
        <w:tc>
          <w:tcPr>
            <w:tcW w:w="769" w:type="dxa"/>
            <w:tcBorders>
              <w:top w:val="single" w:color="000000" w:sz="12" w:space="0"/>
              <w:left w:val="single" w:color="000000" w:sz="4" w:space="0"/>
              <w:bottom w:val="single" w:color="000000" w:sz="4" w:space="0"/>
              <w:right w:val="single" w:color="000000" w:sz="4" w:space="0"/>
            </w:tcBorders>
            <w:noWrap/>
            <w:vAlign w:val="center"/>
          </w:tcPr>
          <w:p w14:paraId="6CADE60D">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12" w:space="0"/>
              <w:left w:val="single" w:color="000000" w:sz="4" w:space="0"/>
              <w:bottom w:val="single" w:color="000000" w:sz="4" w:space="0"/>
              <w:right w:val="single" w:color="000000" w:sz="4" w:space="0"/>
            </w:tcBorders>
            <w:noWrap/>
            <w:vAlign w:val="center"/>
          </w:tcPr>
          <w:p w14:paraId="180948AB">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无灰尘、无污迹、无破损</w:t>
            </w:r>
          </w:p>
        </w:tc>
        <w:tc>
          <w:tcPr>
            <w:tcW w:w="794" w:type="dxa"/>
            <w:tcBorders>
              <w:top w:val="single" w:color="000000" w:sz="12" w:space="0"/>
              <w:left w:val="single" w:color="000000" w:sz="4" w:space="0"/>
              <w:bottom w:val="single" w:color="000000" w:sz="4" w:space="0"/>
              <w:right w:val="single" w:color="000000" w:sz="4" w:space="0"/>
            </w:tcBorders>
            <w:noWrap/>
            <w:vAlign w:val="center"/>
          </w:tcPr>
          <w:p w14:paraId="34F4B219">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12" w:space="0"/>
              <w:left w:val="single" w:color="000000" w:sz="4" w:space="0"/>
              <w:bottom w:val="single" w:color="000000" w:sz="4" w:space="0"/>
              <w:right w:val="single" w:color="000000" w:sz="4" w:space="0"/>
            </w:tcBorders>
            <w:noWrap/>
            <w:vAlign w:val="center"/>
          </w:tcPr>
          <w:p w14:paraId="62BE1FE1">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无灰尘、无污迹</w:t>
            </w:r>
          </w:p>
        </w:tc>
        <w:tc>
          <w:tcPr>
            <w:tcW w:w="775" w:type="dxa"/>
            <w:tcBorders>
              <w:top w:val="single" w:color="000000" w:sz="12" w:space="0"/>
              <w:left w:val="single" w:color="000000" w:sz="4" w:space="0"/>
              <w:bottom w:val="single" w:color="000000" w:sz="4" w:space="0"/>
              <w:right w:val="single" w:color="000000" w:sz="4" w:space="0"/>
            </w:tcBorders>
            <w:noWrap/>
            <w:vAlign w:val="center"/>
          </w:tcPr>
          <w:p w14:paraId="68DE2039">
            <w:pP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12" w:space="0"/>
              <w:left w:val="single" w:color="000000" w:sz="4" w:space="0"/>
              <w:bottom w:val="single" w:color="000000" w:sz="4" w:space="0"/>
              <w:right w:val="single" w:color="000000" w:sz="12" w:space="0"/>
            </w:tcBorders>
            <w:noWrap/>
            <w:vAlign w:val="center"/>
          </w:tcPr>
          <w:p w14:paraId="11EC9FA5">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无灰尘、无污迹</w:t>
            </w:r>
          </w:p>
        </w:tc>
      </w:tr>
      <w:tr w14:paraId="6EAA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top w:val="nil"/>
              <w:left w:val="single" w:color="000000" w:sz="12" w:space="0"/>
              <w:bottom w:val="nil"/>
              <w:right w:val="single" w:color="000000" w:sz="4" w:space="0"/>
            </w:tcBorders>
            <w:noWrap/>
            <w:vAlign w:val="center"/>
          </w:tcPr>
          <w:p w14:paraId="0DD9F446">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5A3EEDC9">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雨水井（排水井）口</w:t>
            </w:r>
            <w:r>
              <w:rPr>
                <w:rFonts w:hint="eastAsia" w:ascii="宋体" w:hAnsi="宋体" w:cs="宋体"/>
                <w:color w:val="auto"/>
                <w:sz w:val="18"/>
                <w:szCs w:val="18"/>
                <w:highlight w:val="none"/>
                <w:lang w:val="en-US" w:eastAsia="zh-CN"/>
              </w:rPr>
              <w:t>、沟渠</w:t>
            </w:r>
            <w:r>
              <w:rPr>
                <w:rFonts w:hint="eastAsia" w:ascii="宋体" w:hAnsi="宋体" w:cs="宋体"/>
                <w:i w:val="0"/>
                <w:iCs w:val="0"/>
                <w:color w:val="auto"/>
                <w:sz w:val="18"/>
                <w:szCs w:val="18"/>
                <w:highlight w:val="none"/>
                <w:u w:val="none"/>
                <w:lang w:val="en-US" w:eastAsia="zh-CN"/>
              </w:rPr>
              <w:t>（井）</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3F50CD70">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8A9549C">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无垃圾杂物、无明显积水，沟渠（井）盖无破损</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440F7485">
            <w:pP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4A4B111A">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无垃圾杂物、沟渠（井）盖无破损</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0977486">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60703429">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无垃圾杂物、沟渠（井）盖无破损</w:t>
            </w:r>
          </w:p>
        </w:tc>
      </w:tr>
      <w:tr w14:paraId="769A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top w:val="nil"/>
              <w:left w:val="single" w:color="000000" w:sz="12" w:space="0"/>
              <w:bottom w:val="nil"/>
              <w:right w:val="single" w:color="000000" w:sz="4" w:space="0"/>
            </w:tcBorders>
            <w:noWrap/>
            <w:vAlign w:val="center"/>
          </w:tcPr>
          <w:p w14:paraId="52DA0952">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25DFCA36">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道路</w:t>
            </w:r>
            <w:r>
              <w:rPr>
                <w:rFonts w:hint="eastAsia" w:ascii="宋体" w:hAnsi="宋体" w:cs="宋体"/>
                <w:color w:val="auto"/>
                <w:sz w:val="18"/>
                <w:szCs w:val="18"/>
                <w:highlight w:val="none"/>
                <w:lang w:val="en-US" w:eastAsia="zh-CN"/>
              </w:rPr>
              <w:t>、广场</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660A239A">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F2731C1">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目视无垃圾杂物、无积水</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0BC8BB8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25194C38">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目视无垃圾杂物、无积水</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72EDF13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58FF0A4B">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目视无明显垃圾杂物、无明显积水</w:t>
            </w:r>
          </w:p>
        </w:tc>
      </w:tr>
      <w:tr w14:paraId="17E7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top w:val="nil"/>
              <w:left w:val="single" w:color="000000" w:sz="12" w:space="0"/>
              <w:bottom w:val="nil"/>
              <w:right w:val="single" w:color="000000" w:sz="4" w:space="0"/>
            </w:tcBorders>
            <w:noWrap/>
            <w:vAlign w:val="center"/>
          </w:tcPr>
          <w:p w14:paraId="5AC5FC51">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0B19E6A">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园林水景</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0B36BA5C">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C9F62CC">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目视无落叶、水面无垃圾杂物，保持水质洁净</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1F483C04">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2B1A0491">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目视水面无明显垃圾杂物</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F93D852">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07E72121">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目视水面无明显垃圾杂物</w:t>
            </w:r>
          </w:p>
        </w:tc>
      </w:tr>
      <w:tr w14:paraId="257F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top w:val="nil"/>
              <w:left w:val="single" w:color="000000" w:sz="12" w:space="0"/>
              <w:bottom w:val="nil"/>
              <w:right w:val="single" w:color="000000" w:sz="4" w:space="0"/>
            </w:tcBorders>
            <w:noWrap/>
            <w:vAlign w:val="center"/>
          </w:tcPr>
          <w:p w14:paraId="6A80255F">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03FD815B">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园林小品</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5E2859B6">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FAFFEE">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目视无严重破损、无污迹、无青苔。</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5977AEF4">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60C396FB">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目视无明显破损、无明显污迹、无明显青苔</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751ED3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42BD7CA9">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目视无明显破损、无明显污迹</w:t>
            </w:r>
          </w:p>
        </w:tc>
      </w:tr>
      <w:tr w14:paraId="1A6C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9" w:type="dxa"/>
            <w:vMerge w:val="continue"/>
            <w:tcBorders>
              <w:top w:val="nil"/>
              <w:left w:val="single" w:color="000000" w:sz="12" w:space="0"/>
              <w:bottom w:val="nil"/>
              <w:right w:val="single" w:color="000000" w:sz="4" w:space="0"/>
            </w:tcBorders>
            <w:noWrap/>
            <w:vAlign w:val="center"/>
          </w:tcPr>
          <w:p w14:paraId="35C6B76C">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00A77037">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停车场、车库地面</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196D049">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09870E3">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无垃圾杂物、无污迹</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50C5C8C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5B89E087">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无垃圾杂物、无污迹</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26BEA8F">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2日</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1645A772">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无垃圾杂物、无污迹</w:t>
            </w:r>
          </w:p>
        </w:tc>
      </w:tr>
      <w:tr w14:paraId="279B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top w:val="nil"/>
              <w:left w:val="single" w:color="000000" w:sz="12" w:space="0"/>
              <w:bottom w:val="nil"/>
              <w:right w:val="single" w:color="000000" w:sz="4" w:space="0"/>
            </w:tcBorders>
            <w:noWrap/>
            <w:vAlign w:val="center"/>
          </w:tcPr>
          <w:p w14:paraId="105D0497">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3B4E6C26">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停车场、车库标识牌、道闸、闸机、凸面镜</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C5D7A1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C97367C">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无灰尘、无污迹</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309874BA">
            <w:pP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0DF3E5D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无灰尘、无污迹</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9DA2C2D">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348D559A">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无灰尘、无污迹</w:t>
            </w:r>
          </w:p>
        </w:tc>
      </w:tr>
      <w:tr w14:paraId="3C97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top w:val="nil"/>
              <w:left w:val="single" w:color="000000" w:sz="12" w:space="0"/>
              <w:bottom w:val="nil"/>
              <w:right w:val="single" w:color="000000" w:sz="4" w:space="0"/>
            </w:tcBorders>
            <w:noWrap/>
            <w:vAlign w:val="center"/>
          </w:tcPr>
          <w:p w14:paraId="366A1C24">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DFA5F3E">
            <w:pP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cs="宋体"/>
                <w:color w:val="auto"/>
                <w:sz w:val="18"/>
                <w:szCs w:val="18"/>
                <w:highlight w:val="none"/>
                <w:lang w:val="en-US" w:eastAsia="zh-CN"/>
              </w:rPr>
              <w:t>停车场、车库</w:t>
            </w:r>
            <w:r>
              <w:rPr>
                <w:rFonts w:hint="eastAsia" w:ascii="宋体" w:hAnsi="宋体" w:cs="宋体"/>
                <w:color w:val="auto"/>
                <w:sz w:val="18"/>
                <w:szCs w:val="18"/>
                <w:highlight w:val="none"/>
                <w:lang w:val="en-US" w:eastAsia="zh-CN"/>
              </w:rPr>
              <w:t>沟渠</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E409A24">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8520EDD">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无垃圾杂物</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2715E138">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14BB05F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无垃圾杂物</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764B28C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11EC4B05">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无垃圾杂物</w:t>
            </w:r>
          </w:p>
        </w:tc>
      </w:tr>
      <w:tr w14:paraId="3882C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709" w:type="dxa"/>
            <w:vMerge w:val="continue"/>
            <w:tcBorders>
              <w:top w:val="nil"/>
              <w:left w:val="single" w:color="000000" w:sz="12" w:space="0"/>
              <w:bottom w:val="single" w:color="000000" w:sz="4" w:space="0"/>
              <w:right w:val="single" w:color="000000" w:sz="4" w:space="0"/>
            </w:tcBorders>
            <w:noWrap/>
            <w:vAlign w:val="center"/>
          </w:tcPr>
          <w:p w14:paraId="2213633B">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1EB5991B">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天面、屋面、平台</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749CC5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ED02FBA">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目视无污迹、无垃圾杂物、无青苔</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44ABCED2">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6EFCD45B">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1F59B6D9">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47F9C79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w:t>
            </w:r>
          </w:p>
        </w:tc>
      </w:tr>
      <w:tr w14:paraId="28C4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restart"/>
            <w:tcBorders>
              <w:top w:val="single" w:color="000000" w:sz="4" w:space="0"/>
              <w:left w:val="single" w:color="000000" w:sz="12" w:space="0"/>
              <w:right w:val="single" w:color="000000" w:sz="4" w:space="0"/>
            </w:tcBorders>
            <w:noWrap/>
            <w:vAlign w:val="center"/>
          </w:tcPr>
          <w:p w14:paraId="1690C3F8">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专项保洁</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5F11AECD">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垃圾容器清洗、消毒</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660972F">
            <w:pPr>
              <w:rPr>
                <w:rFonts w:hint="default" w:ascii="宋体" w:hAnsi="宋体" w:eastAsia="宋体" w:cs="宋体"/>
                <w:color w:val="auto"/>
                <w:sz w:val="18"/>
                <w:szCs w:val="18"/>
                <w:highlight w:val="none"/>
                <w:lang w:val="en-US" w:eastAsia="zh-CN"/>
              </w:rPr>
            </w:pPr>
            <w:r>
              <w:rPr>
                <w:rFonts w:hint="eastAsia" w:ascii="宋体" w:hAnsi="宋体" w:cs="宋体"/>
                <w:i w:val="0"/>
                <w:iCs w:val="0"/>
                <w:color w:val="auto"/>
                <w:sz w:val="18"/>
                <w:szCs w:val="18"/>
                <w:highlight w:val="none"/>
                <w:u w:val="none"/>
                <w:lang w:val="en-US" w:eastAsia="zh-CN"/>
              </w:rPr>
              <w:t>清洗</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日，蚊、蝇孳生季节，消毒处理</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1EA004F">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目视容器外观干净、无异味、垃圾无满溢</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4612F4D9">
            <w:pPr>
              <w:rPr>
                <w:rFonts w:hint="eastAsia" w:ascii="宋体" w:hAnsi="宋体" w:eastAsia="宋体" w:cs="宋体"/>
                <w:color w:val="auto"/>
                <w:sz w:val="18"/>
                <w:szCs w:val="18"/>
                <w:highlight w:val="none"/>
                <w:lang w:val="en-US" w:eastAsia="zh-CN"/>
              </w:rPr>
            </w:pPr>
            <w:r>
              <w:rPr>
                <w:rFonts w:hint="eastAsia" w:ascii="宋体" w:hAnsi="宋体" w:cs="宋体"/>
                <w:i w:val="0"/>
                <w:iCs w:val="0"/>
                <w:color w:val="auto"/>
                <w:sz w:val="18"/>
                <w:szCs w:val="18"/>
                <w:highlight w:val="none"/>
                <w:u w:val="none"/>
                <w:lang w:val="en-US" w:eastAsia="zh-CN"/>
              </w:rPr>
              <w:t>清洗</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日，蚊、蝇孳生季节，消毒处理</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4DA3F80C">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目视无明显垃无异味、垃圾无满溢</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5D322E6">
            <w:pPr>
              <w:rPr>
                <w:rFonts w:hint="eastAsia" w:ascii="宋体" w:hAnsi="宋体" w:eastAsia="宋体" w:cs="宋体"/>
                <w:color w:val="auto"/>
                <w:sz w:val="18"/>
                <w:szCs w:val="18"/>
                <w:highlight w:val="none"/>
                <w:lang w:val="en-US" w:eastAsia="zh-CN"/>
              </w:rPr>
            </w:pPr>
            <w:r>
              <w:rPr>
                <w:rFonts w:hint="eastAsia" w:ascii="宋体" w:hAnsi="宋体" w:cs="宋体"/>
                <w:i w:val="0"/>
                <w:iCs w:val="0"/>
                <w:color w:val="auto"/>
                <w:sz w:val="18"/>
                <w:szCs w:val="18"/>
                <w:highlight w:val="none"/>
                <w:u w:val="none"/>
                <w:lang w:val="en-US" w:eastAsia="zh-CN"/>
              </w:rPr>
              <w:t>清洗</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周，夏季清洗</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日，蚊、蝇孳生季节，消毒处理每周</w:t>
            </w:r>
            <w:r>
              <w:rPr>
                <w:rFonts w:hint="eastAsia" w:ascii="宋体" w:hAnsi="宋体" w:eastAsia="宋体" w:cs="宋体"/>
                <w:i w:val="0"/>
                <w:iCs w:val="0"/>
                <w:color w:val="auto"/>
                <w:sz w:val="18"/>
                <w:szCs w:val="18"/>
                <w:highlight w:val="none"/>
                <w:u w:val="none"/>
                <w:lang w:val="en-US" w:eastAsia="zh-CN"/>
              </w:rPr>
              <w:t>1次</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43ED835D">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目视无明显垃圾杂物、无明显污迹</w:t>
            </w:r>
          </w:p>
        </w:tc>
      </w:tr>
      <w:tr w14:paraId="440A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bottom w:val="single" w:color="000000" w:sz="12" w:space="0"/>
              <w:right w:val="single" w:color="000000" w:sz="4" w:space="0"/>
            </w:tcBorders>
            <w:noWrap/>
            <w:vAlign w:val="center"/>
          </w:tcPr>
          <w:p w14:paraId="3DC62EFD">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12" w:space="0"/>
              <w:right w:val="single" w:color="000000" w:sz="4" w:space="0"/>
            </w:tcBorders>
            <w:noWrap/>
            <w:vAlign w:val="center"/>
          </w:tcPr>
          <w:p w14:paraId="44B6B373">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排污管道</w:t>
            </w:r>
          </w:p>
        </w:tc>
        <w:tc>
          <w:tcPr>
            <w:tcW w:w="769" w:type="dxa"/>
            <w:tcBorders>
              <w:top w:val="single" w:color="000000" w:sz="4" w:space="0"/>
              <w:left w:val="single" w:color="000000" w:sz="4" w:space="0"/>
              <w:bottom w:val="single" w:color="000000" w:sz="12" w:space="0"/>
              <w:right w:val="single" w:color="000000" w:sz="4" w:space="0"/>
            </w:tcBorders>
            <w:noWrap/>
            <w:vAlign w:val="center"/>
          </w:tcPr>
          <w:p w14:paraId="1FED68F9">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656" w:type="dxa"/>
            <w:tcBorders>
              <w:top w:val="single" w:color="000000" w:sz="4" w:space="0"/>
              <w:left w:val="single" w:color="000000" w:sz="4" w:space="0"/>
              <w:bottom w:val="single" w:color="000000" w:sz="12" w:space="0"/>
              <w:right w:val="single" w:color="000000" w:sz="4" w:space="0"/>
            </w:tcBorders>
            <w:noWrap/>
            <w:vAlign w:val="center"/>
          </w:tcPr>
          <w:p w14:paraId="7C6EBB74">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无堵塞、无异味</w:t>
            </w:r>
          </w:p>
        </w:tc>
        <w:tc>
          <w:tcPr>
            <w:tcW w:w="794" w:type="dxa"/>
            <w:tcBorders>
              <w:top w:val="single" w:color="000000" w:sz="4" w:space="0"/>
              <w:left w:val="single" w:color="000000" w:sz="4" w:space="0"/>
              <w:bottom w:val="single" w:color="000000" w:sz="12" w:space="0"/>
              <w:right w:val="single" w:color="000000" w:sz="4" w:space="0"/>
            </w:tcBorders>
            <w:noWrap/>
            <w:vAlign w:val="center"/>
          </w:tcPr>
          <w:p w14:paraId="7C77EAF9">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1781" w:type="dxa"/>
            <w:tcBorders>
              <w:top w:val="single" w:color="000000" w:sz="4" w:space="0"/>
              <w:left w:val="single" w:color="000000" w:sz="4" w:space="0"/>
              <w:bottom w:val="single" w:color="000000" w:sz="12" w:space="0"/>
              <w:right w:val="single" w:color="000000" w:sz="4" w:space="0"/>
            </w:tcBorders>
            <w:noWrap/>
            <w:vAlign w:val="center"/>
          </w:tcPr>
          <w:p w14:paraId="32912E8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无堵塞、无异味</w:t>
            </w:r>
          </w:p>
        </w:tc>
        <w:tc>
          <w:tcPr>
            <w:tcW w:w="775" w:type="dxa"/>
            <w:tcBorders>
              <w:top w:val="single" w:color="000000" w:sz="4" w:space="0"/>
              <w:left w:val="single" w:color="000000" w:sz="4" w:space="0"/>
              <w:bottom w:val="single" w:color="000000" w:sz="12" w:space="0"/>
              <w:right w:val="single" w:color="000000" w:sz="4" w:space="0"/>
            </w:tcBorders>
            <w:noWrap/>
            <w:vAlign w:val="center"/>
          </w:tcPr>
          <w:p w14:paraId="250DA2D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半年</w:t>
            </w:r>
          </w:p>
        </w:tc>
        <w:tc>
          <w:tcPr>
            <w:tcW w:w="1861" w:type="dxa"/>
            <w:tcBorders>
              <w:top w:val="single" w:color="000000" w:sz="4" w:space="0"/>
              <w:left w:val="single" w:color="000000" w:sz="4" w:space="0"/>
              <w:bottom w:val="single" w:color="000000" w:sz="12" w:space="0"/>
              <w:right w:val="single" w:color="000000" w:sz="12" w:space="0"/>
            </w:tcBorders>
            <w:noWrap/>
            <w:vAlign w:val="center"/>
          </w:tcPr>
          <w:p w14:paraId="1C635AA7">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无堵塞、无异味</w:t>
            </w:r>
          </w:p>
        </w:tc>
      </w:tr>
    </w:tbl>
    <w:p w14:paraId="4BDFB8BC">
      <w:pPr>
        <w:rPr>
          <w:highlight w:val="none"/>
        </w:rPr>
      </w:pPr>
    </w:p>
    <w:p w14:paraId="25DF00FB">
      <w:pPr>
        <w:pStyle w:val="20"/>
        <w:rPr>
          <w:highlight w:val="none"/>
        </w:rPr>
      </w:pPr>
    </w:p>
    <w:p w14:paraId="49DE6849">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firstLine="0" w:firstLineChars="0"/>
        <w:jc w:val="center"/>
        <w:textAlignment w:val="auto"/>
        <w:rPr>
          <w:highlight w:val="none"/>
        </w:rPr>
      </w:pPr>
      <w:r>
        <w:rPr>
          <w:rFonts w:hint="eastAsia" w:ascii="宋体" w:hAnsi="宋体" w:eastAsia="宋体" w:cs="宋体"/>
          <w:color w:val="auto"/>
          <w:sz w:val="21"/>
          <w:highlight w:val="none"/>
          <w:lang w:val="en-US" w:eastAsia="zh-CN" w:bidi="ar-SA"/>
        </w:rPr>
        <w:t xml:space="preserve">续表A.1  </w:t>
      </w:r>
    </w:p>
    <w:tbl>
      <w:tblPr>
        <w:tblStyle w:val="38"/>
        <w:tblW w:w="9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115"/>
        <w:gridCol w:w="769"/>
        <w:gridCol w:w="1656"/>
        <w:gridCol w:w="794"/>
        <w:gridCol w:w="1781"/>
        <w:gridCol w:w="775"/>
        <w:gridCol w:w="1861"/>
      </w:tblGrid>
      <w:tr w14:paraId="3D12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824" w:type="dxa"/>
            <w:gridSpan w:val="2"/>
            <w:vMerge w:val="restart"/>
            <w:tcBorders>
              <w:top w:val="single" w:color="000000" w:sz="12" w:space="0"/>
              <w:left w:val="single" w:color="000000" w:sz="12" w:space="0"/>
              <w:bottom w:val="single" w:color="000000" w:sz="4" w:space="0"/>
              <w:right w:val="single" w:color="000000" w:sz="4" w:space="0"/>
            </w:tcBorders>
            <w:noWrap/>
            <w:vAlign w:val="center"/>
          </w:tcPr>
          <w:p w14:paraId="2FCB4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2425" w:type="dxa"/>
            <w:gridSpan w:val="2"/>
            <w:tcBorders>
              <w:top w:val="single" w:color="000000" w:sz="12" w:space="0"/>
              <w:left w:val="single" w:color="000000" w:sz="4" w:space="0"/>
              <w:bottom w:val="single" w:color="000000" w:sz="4" w:space="0"/>
              <w:right w:val="single" w:color="000000" w:sz="4" w:space="0"/>
            </w:tcBorders>
            <w:noWrap/>
            <w:vAlign w:val="center"/>
          </w:tcPr>
          <w:p w14:paraId="7BF9B517">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b w:val="0"/>
                <w:bCs w:val="0"/>
                <w:i w:val="0"/>
                <w:iCs w:val="0"/>
                <w:color w:val="auto"/>
                <w:kern w:val="0"/>
                <w:sz w:val="18"/>
                <w:szCs w:val="18"/>
                <w:highlight w:val="none"/>
                <w:u w:val="none"/>
                <w:lang w:val="en-US" w:eastAsia="zh-CN" w:bidi="ar"/>
              </w:rPr>
              <w:t>优质</w:t>
            </w:r>
          </w:p>
        </w:tc>
        <w:tc>
          <w:tcPr>
            <w:tcW w:w="2575" w:type="dxa"/>
            <w:gridSpan w:val="2"/>
            <w:tcBorders>
              <w:top w:val="single" w:color="000000" w:sz="12" w:space="0"/>
              <w:left w:val="single" w:color="000000" w:sz="4" w:space="0"/>
              <w:bottom w:val="single" w:color="000000" w:sz="4" w:space="0"/>
              <w:right w:val="single" w:color="000000" w:sz="4" w:space="0"/>
            </w:tcBorders>
            <w:noWrap/>
            <w:vAlign w:val="center"/>
          </w:tcPr>
          <w:p w14:paraId="441B6C81">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b w:val="0"/>
                <w:bCs w:val="0"/>
                <w:i w:val="0"/>
                <w:iCs w:val="0"/>
                <w:color w:val="auto"/>
                <w:sz w:val="18"/>
                <w:szCs w:val="18"/>
                <w:highlight w:val="none"/>
                <w:u w:val="none"/>
                <w:lang w:val="en-US" w:eastAsia="zh-CN"/>
              </w:rPr>
              <w:t>良好</w:t>
            </w:r>
          </w:p>
        </w:tc>
        <w:tc>
          <w:tcPr>
            <w:tcW w:w="2636" w:type="dxa"/>
            <w:gridSpan w:val="2"/>
            <w:tcBorders>
              <w:top w:val="single" w:color="000000" w:sz="12" w:space="0"/>
              <w:left w:val="single" w:color="000000" w:sz="4" w:space="0"/>
              <w:bottom w:val="single" w:color="000000" w:sz="4" w:space="0"/>
              <w:right w:val="single" w:color="000000" w:sz="12" w:space="0"/>
            </w:tcBorders>
            <w:noWrap/>
            <w:vAlign w:val="center"/>
          </w:tcPr>
          <w:p w14:paraId="4C7C25BD">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b w:val="0"/>
                <w:bCs w:val="0"/>
                <w:i w:val="0"/>
                <w:iCs w:val="0"/>
                <w:color w:val="auto"/>
                <w:kern w:val="0"/>
                <w:sz w:val="18"/>
                <w:szCs w:val="18"/>
                <w:highlight w:val="none"/>
                <w:u w:val="none"/>
                <w:lang w:val="en-US" w:eastAsia="zh-CN" w:bidi="ar"/>
              </w:rPr>
              <w:t>基础</w:t>
            </w:r>
          </w:p>
        </w:tc>
      </w:tr>
      <w:tr w14:paraId="3676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824" w:type="dxa"/>
            <w:gridSpan w:val="2"/>
            <w:vMerge w:val="continue"/>
            <w:tcBorders>
              <w:top w:val="single" w:color="000000" w:sz="4" w:space="0"/>
              <w:left w:val="single" w:color="000000" w:sz="12" w:space="0"/>
              <w:bottom w:val="single" w:color="000000" w:sz="12" w:space="0"/>
              <w:right w:val="single" w:color="000000" w:sz="4" w:space="0"/>
            </w:tcBorders>
            <w:noWrap/>
            <w:vAlign w:val="center"/>
          </w:tcPr>
          <w:p w14:paraId="0E2DC371">
            <w:pPr>
              <w:jc w:val="center"/>
              <w:rPr>
                <w:rFonts w:hint="eastAsia" w:ascii="宋体" w:hAnsi="宋体" w:eastAsia="宋体" w:cs="宋体"/>
                <w:i w:val="0"/>
                <w:iCs w:val="0"/>
                <w:color w:val="auto"/>
                <w:sz w:val="18"/>
                <w:szCs w:val="18"/>
                <w:highlight w:val="none"/>
                <w:u w:val="none"/>
                <w:lang w:val="en-US" w:eastAsia="zh-CN"/>
              </w:rPr>
            </w:pPr>
          </w:p>
        </w:tc>
        <w:tc>
          <w:tcPr>
            <w:tcW w:w="769" w:type="dxa"/>
            <w:tcBorders>
              <w:top w:val="single" w:color="000000" w:sz="4" w:space="0"/>
              <w:left w:val="single" w:color="000000" w:sz="4" w:space="0"/>
              <w:bottom w:val="single" w:color="000000" w:sz="12" w:space="0"/>
              <w:right w:val="single" w:color="000000" w:sz="4" w:space="0"/>
            </w:tcBorders>
            <w:noWrap/>
            <w:vAlign w:val="center"/>
          </w:tcPr>
          <w:p w14:paraId="73F385B5">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656" w:type="dxa"/>
            <w:tcBorders>
              <w:top w:val="single" w:color="000000" w:sz="4" w:space="0"/>
              <w:left w:val="single" w:color="000000" w:sz="4" w:space="0"/>
              <w:bottom w:val="single" w:color="000000" w:sz="12" w:space="0"/>
              <w:right w:val="single" w:color="000000" w:sz="4" w:space="0"/>
            </w:tcBorders>
            <w:noWrap/>
            <w:vAlign w:val="center"/>
          </w:tcPr>
          <w:p w14:paraId="6665BEFB">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94" w:type="dxa"/>
            <w:tcBorders>
              <w:top w:val="single" w:color="000000" w:sz="4" w:space="0"/>
              <w:left w:val="single" w:color="000000" w:sz="4" w:space="0"/>
              <w:bottom w:val="single" w:color="000000" w:sz="12" w:space="0"/>
              <w:right w:val="single" w:color="000000" w:sz="4" w:space="0"/>
            </w:tcBorders>
            <w:noWrap/>
            <w:vAlign w:val="center"/>
          </w:tcPr>
          <w:p w14:paraId="2417CBE4">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781" w:type="dxa"/>
            <w:tcBorders>
              <w:top w:val="single" w:color="000000" w:sz="4" w:space="0"/>
              <w:left w:val="single" w:color="000000" w:sz="4" w:space="0"/>
              <w:bottom w:val="single" w:color="000000" w:sz="12" w:space="0"/>
              <w:right w:val="single" w:color="000000" w:sz="4" w:space="0"/>
            </w:tcBorders>
            <w:noWrap/>
            <w:vAlign w:val="center"/>
          </w:tcPr>
          <w:p w14:paraId="723C21BC">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75" w:type="dxa"/>
            <w:tcBorders>
              <w:top w:val="single" w:color="000000" w:sz="4" w:space="0"/>
              <w:left w:val="single" w:color="000000" w:sz="4" w:space="0"/>
              <w:bottom w:val="single" w:color="000000" w:sz="12" w:space="0"/>
              <w:right w:val="single" w:color="000000" w:sz="4" w:space="0"/>
            </w:tcBorders>
            <w:noWrap/>
            <w:vAlign w:val="center"/>
          </w:tcPr>
          <w:p w14:paraId="31907ABC">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861" w:type="dxa"/>
            <w:tcBorders>
              <w:top w:val="single" w:color="000000" w:sz="4" w:space="0"/>
              <w:left w:val="single" w:color="000000" w:sz="4" w:space="0"/>
              <w:bottom w:val="single" w:color="000000" w:sz="12" w:space="0"/>
              <w:right w:val="single" w:color="000000" w:sz="12" w:space="0"/>
            </w:tcBorders>
            <w:noWrap/>
            <w:vAlign w:val="center"/>
          </w:tcPr>
          <w:p w14:paraId="50C15BA2">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14:paraId="3F4B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9" w:type="dxa"/>
            <w:vMerge w:val="restart"/>
            <w:tcBorders>
              <w:top w:val="single" w:color="000000" w:sz="12" w:space="0"/>
              <w:left w:val="single" w:color="000000" w:sz="12" w:space="0"/>
              <w:right w:val="single" w:color="000000" w:sz="4" w:space="0"/>
            </w:tcBorders>
            <w:noWrap/>
            <w:vAlign w:val="center"/>
          </w:tcPr>
          <w:p w14:paraId="73869974">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专项保洁</w:t>
            </w:r>
          </w:p>
        </w:tc>
        <w:tc>
          <w:tcPr>
            <w:tcW w:w="1115" w:type="dxa"/>
            <w:tcBorders>
              <w:top w:val="single" w:color="000000" w:sz="12" w:space="0"/>
              <w:left w:val="single" w:color="000000" w:sz="4" w:space="0"/>
              <w:bottom w:val="single" w:color="000000" w:sz="4" w:space="0"/>
              <w:right w:val="single" w:color="000000" w:sz="4" w:space="0"/>
            </w:tcBorders>
            <w:noWrap/>
            <w:vAlign w:val="center"/>
          </w:tcPr>
          <w:p w14:paraId="69BAF261">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化粪池、隔油池</w:t>
            </w:r>
          </w:p>
        </w:tc>
        <w:tc>
          <w:tcPr>
            <w:tcW w:w="769" w:type="dxa"/>
            <w:tcBorders>
              <w:top w:val="single" w:color="000000" w:sz="12" w:space="0"/>
              <w:left w:val="single" w:color="000000" w:sz="4" w:space="0"/>
              <w:bottom w:val="single" w:color="000000" w:sz="4" w:space="0"/>
              <w:right w:val="single" w:color="000000" w:sz="4" w:space="0"/>
            </w:tcBorders>
            <w:noWrap/>
            <w:vAlign w:val="center"/>
          </w:tcPr>
          <w:p w14:paraId="097DE5F7">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年</w:t>
            </w:r>
          </w:p>
        </w:tc>
        <w:tc>
          <w:tcPr>
            <w:tcW w:w="1656" w:type="dxa"/>
            <w:tcBorders>
              <w:top w:val="single" w:color="000000" w:sz="12" w:space="0"/>
              <w:left w:val="single" w:color="000000" w:sz="4" w:space="0"/>
              <w:bottom w:val="single" w:color="000000" w:sz="4" w:space="0"/>
              <w:right w:val="single" w:color="000000" w:sz="4" w:space="0"/>
            </w:tcBorders>
            <w:noWrap/>
            <w:vAlign w:val="center"/>
          </w:tcPr>
          <w:p w14:paraId="694FF034">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无渗漏、无堵积</w:t>
            </w:r>
          </w:p>
        </w:tc>
        <w:tc>
          <w:tcPr>
            <w:tcW w:w="794" w:type="dxa"/>
            <w:tcBorders>
              <w:top w:val="single" w:color="000000" w:sz="12" w:space="0"/>
              <w:left w:val="single" w:color="000000" w:sz="4" w:space="0"/>
              <w:bottom w:val="single" w:color="000000" w:sz="4" w:space="0"/>
              <w:right w:val="single" w:color="000000" w:sz="4" w:space="0"/>
            </w:tcBorders>
            <w:noWrap/>
            <w:vAlign w:val="center"/>
          </w:tcPr>
          <w:p w14:paraId="28D88857">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年</w:t>
            </w:r>
          </w:p>
        </w:tc>
        <w:tc>
          <w:tcPr>
            <w:tcW w:w="1781" w:type="dxa"/>
            <w:tcBorders>
              <w:top w:val="single" w:color="000000" w:sz="12" w:space="0"/>
              <w:left w:val="single" w:color="000000" w:sz="4" w:space="0"/>
              <w:bottom w:val="single" w:color="000000" w:sz="4" w:space="0"/>
              <w:right w:val="single" w:color="000000" w:sz="4" w:space="0"/>
            </w:tcBorders>
            <w:noWrap/>
            <w:vAlign w:val="center"/>
          </w:tcPr>
          <w:p w14:paraId="42A5C884">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无渗漏、无堵积</w:t>
            </w:r>
          </w:p>
        </w:tc>
        <w:tc>
          <w:tcPr>
            <w:tcW w:w="775" w:type="dxa"/>
            <w:tcBorders>
              <w:top w:val="single" w:color="000000" w:sz="12" w:space="0"/>
              <w:left w:val="single" w:color="000000" w:sz="4" w:space="0"/>
              <w:bottom w:val="single" w:color="000000" w:sz="4" w:space="0"/>
              <w:right w:val="single" w:color="000000" w:sz="4" w:space="0"/>
            </w:tcBorders>
            <w:noWrap/>
            <w:vAlign w:val="center"/>
          </w:tcPr>
          <w:p w14:paraId="3DAABE7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年</w:t>
            </w:r>
          </w:p>
        </w:tc>
        <w:tc>
          <w:tcPr>
            <w:tcW w:w="1861" w:type="dxa"/>
            <w:tcBorders>
              <w:top w:val="single" w:color="000000" w:sz="12" w:space="0"/>
              <w:left w:val="single" w:color="000000" w:sz="4" w:space="0"/>
              <w:bottom w:val="single" w:color="000000" w:sz="4" w:space="0"/>
              <w:right w:val="single" w:color="000000" w:sz="12" w:space="0"/>
            </w:tcBorders>
            <w:noWrap/>
            <w:vAlign w:val="center"/>
          </w:tcPr>
          <w:p w14:paraId="776D3AFF">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无渗漏、无堵积</w:t>
            </w:r>
          </w:p>
        </w:tc>
      </w:tr>
      <w:tr w14:paraId="0432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9" w:type="dxa"/>
            <w:vMerge w:val="continue"/>
            <w:tcBorders>
              <w:left w:val="single" w:color="000000" w:sz="12" w:space="0"/>
              <w:right w:val="single" w:color="000000" w:sz="4" w:space="0"/>
            </w:tcBorders>
            <w:noWrap/>
            <w:vAlign w:val="center"/>
          </w:tcPr>
          <w:p w14:paraId="1A2E6109">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nil"/>
              <w:right w:val="single" w:color="000000" w:sz="4" w:space="0"/>
            </w:tcBorders>
            <w:noWrap/>
            <w:vAlign w:val="center"/>
          </w:tcPr>
          <w:p w14:paraId="79ADAB84">
            <w:pP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大堂、电梯轿厢地面等石材</w:t>
            </w:r>
            <w:r>
              <w:rPr>
                <w:rFonts w:hint="eastAsia" w:ascii="宋体" w:hAnsi="宋体" w:cs="宋体"/>
                <w:i w:val="0"/>
                <w:iCs w:val="0"/>
                <w:color w:val="auto"/>
                <w:sz w:val="18"/>
                <w:szCs w:val="18"/>
                <w:highlight w:val="none"/>
                <w:u w:val="none"/>
                <w:lang w:val="en-US" w:eastAsia="zh-CN"/>
              </w:rPr>
              <w:t>晶面处理</w:t>
            </w:r>
          </w:p>
        </w:tc>
        <w:tc>
          <w:tcPr>
            <w:tcW w:w="769" w:type="dxa"/>
            <w:tcBorders>
              <w:top w:val="single" w:color="000000" w:sz="4" w:space="0"/>
              <w:left w:val="single" w:color="000000" w:sz="4" w:space="0"/>
              <w:bottom w:val="nil"/>
              <w:right w:val="single" w:color="000000" w:sz="4" w:space="0"/>
            </w:tcBorders>
            <w:noWrap/>
            <w:vAlign w:val="center"/>
          </w:tcPr>
          <w:p w14:paraId="34653D2F">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656" w:type="dxa"/>
            <w:tcBorders>
              <w:top w:val="single" w:color="000000" w:sz="4" w:space="0"/>
              <w:left w:val="single" w:color="000000" w:sz="4" w:space="0"/>
              <w:bottom w:val="nil"/>
              <w:right w:val="single" w:color="000000" w:sz="4" w:space="0"/>
            </w:tcBorders>
            <w:noWrap/>
            <w:vAlign w:val="center"/>
          </w:tcPr>
          <w:p w14:paraId="7C9693B1">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目视材质表面光洁、无灰尘</w:t>
            </w:r>
          </w:p>
        </w:tc>
        <w:tc>
          <w:tcPr>
            <w:tcW w:w="794" w:type="dxa"/>
            <w:tcBorders>
              <w:top w:val="single" w:color="000000" w:sz="4" w:space="0"/>
              <w:left w:val="single" w:color="000000" w:sz="4" w:space="0"/>
              <w:bottom w:val="nil"/>
              <w:right w:val="single" w:color="000000" w:sz="4" w:space="0"/>
            </w:tcBorders>
            <w:noWrap/>
            <w:vAlign w:val="center"/>
          </w:tcPr>
          <w:p w14:paraId="3B8F111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nil"/>
              <w:right w:val="single" w:color="000000" w:sz="4" w:space="0"/>
            </w:tcBorders>
            <w:noWrap/>
            <w:vAlign w:val="center"/>
          </w:tcPr>
          <w:p w14:paraId="19A0CE3D">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目视材质表面光洁、无灰尘</w:t>
            </w:r>
          </w:p>
        </w:tc>
        <w:tc>
          <w:tcPr>
            <w:tcW w:w="775" w:type="dxa"/>
            <w:tcBorders>
              <w:top w:val="single" w:color="000000" w:sz="4" w:space="0"/>
              <w:left w:val="single" w:color="000000" w:sz="4" w:space="0"/>
              <w:bottom w:val="nil"/>
              <w:right w:val="single" w:color="000000" w:sz="4" w:space="0"/>
            </w:tcBorders>
            <w:noWrap/>
            <w:vAlign w:val="center"/>
          </w:tcPr>
          <w:p w14:paraId="66789CAD">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nil"/>
              <w:right w:val="single" w:color="000000" w:sz="12" w:space="0"/>
            </w:tcBorders>
            <w:noWrap/>
            <w:vAlign w:val="center"/>
          </w:tcPr>
          <w:p w14:paraId="2857135B">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目视材质表面光洁、无灰尘</w:t>
            </w:r>
          </w:p>
        </w:tc>
      </w:tr>
      <w:tr w14:paraId="6693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9" w:type="dxa"/>
            <w:vMerge w:val="continue"/>
            <w:tcBorders>
              <w:left w:val="single" w:color="000000" w:sz="12" w:space="0"/>
              <w:bottom w:val="single" w:color="000000" w:sz="12" w:space="0"/>
              <w:right w:val="single" w:color="000000" w:sz="4" w:space="0"/>
            </w:tcBorders>
            <w:noWrap/>
            <w:vAlign w:val="center"/>
          </w:tcPr>
          <w:p w14:paraId="05C160D1">
            <w:pPr>
              <w:rPr>
                <w:rFonts w:hint="eastAsia" w:ascii="宋体" w:hAnsi="宋体" w:cs="宋体"/>
                <w:color w:val="auto"/>
                <w:sz w:val="18"/>
                <w:szCs w:val="18"/>
                <w:highlight w:val="none"/>
                <w:lang w:val="en-US" w:eastAsia="zh-CN"/>
              </w:rPr>
            </w:pPr>
          </w:p>
        </w:tc>
        <w:tc>
          <w:tcPr>
            <w:tcW w:w="1115" w:type="dxa"/>
            <w:tcBorders>
              <w:top w:val="nil"/>
              <w:left w:val="single" w:color="000000" w:sz="4" w:space="0"/>
              <w:bottom w:val="single" w:color="000000" w:sz="12" w:space="0"/>
              <w:right w:val="single" w:color="000000" w:sz="4" w:space="0"/>
            </w:tcBorders>
            <w:noWrap/>
            <w:vAlign w:val="center"/>
          </w:tcPr>
          <w:p w14:paraId="11181309">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地毯</w:t>
            </w:r>
          </w:p>
        </w:tc>
        <w:tc>
          <w:tcPr>
            <w:tcW w:w="769" w:type="dxa"/>
            <w:tcBorders>
              <w:top w:val="nil"/>
              <w:left w:val="single" w:color="000000" w:sz="4" w:space="0"/>
              <w:bottom w:val="single" w:color="000000" w:sz="12" w:space="0"/>
              <w:right w:val="single" w:color="000000" w:sz="4" w:space="0"/>
            </w:tcBorders>
            <w:noWrap/>
            <w:vAlign w:val="center"/>
          </w:tcPr>
          <w:p w14:paraId="048BD4A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3</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1656" w:type="dxa"/>
            <w:tcBorders>
              <w:top w:val="nil"/>
              <w:left w:val="single" w:color="000000" w:sz="4" w:space="0"/>
              <w:bottom w:val="single" w:color="000000" w:sz="12" w:space="0"/>
              <w:right w:val="single" w:color="000000" w:sz="4" w:space="0"/>
            </w:tcBorders>
            <w:noWrap/>
            <w:vAlign w:val="center"/>
          </w:tcPr>
          <w:p w14:paraId="171C6750">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目视无灰尘、无污迹</w:t>
            </w:r>
          </w:p>
        </w:tc>
        <w:tc>
          <w:tcPr>
            <w:tcW w:w="794" w:type="dxa"/>
            <w:tcBorders>
              <w:top w:val="nil"/>
              <w:left w:val="single" w:color="000000" w:sz="4" w:space="0"/>
              <w:bottom w:val="single" w:color="000000" w:sz="12" w:space="0"/>
              <w:right w:val="single" w:color="000000" w:sz="4" w:space="0"/>
            </w:tcBorders>
            <w:noWrap/>
            <w:vAlign w:val="center"/>
          </w:tcPr>
          <w:p w14:paraId="3E139E5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1781" w:type="dxa"/>
            <w:tcBorders>
              <w:top w:val="nil"/>
              <w:left w:val="single" w:color="000000" w:sz="4" w:space="0"/>
              <w:bottom w:val="single" w:color="000000" w:sz="12" w:space="0"/>
              <w:right w:val="single" w:color="000000" w:sz="4" w:space="0"/>
            </w:tcBorders>
            <w:noWrap/>
            <w:vAlign w:val="center"/>
          </w:tcPr>
          <w:p w14:paraId="1FDF9B9A">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目视无灰尘、无污迹</w:t>
            </w:r>
          </w:p>
        </w:tc>
        <w:tc>
          <w:tcPr>
            <w:tcW w:w="775" w:type="dxa"/>
            <w:tcBorders>
              <w:top w:val="nil"/>
              <w:left w:val="single" w:color="000000" w:sz="4" w:space="0"/>
              <w:bottom w:val="single" w:color="000000" w:sz="12" w:space="0"/>
              <w:right w:val="single" w:color="000000" w:sz="4" w:space="0"/>
            </w:tcBorders>
            <w:noWrap/>
            <w:vAlign w:val="center"/>
          </w:tcPr>
          <w:p w14:paraId="3011659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1861" w:type="dxa"/>
            <w:tcBorders>
              <w:top w:val="nil"/>
              <w:left w:val="single" w:color="000000" w:sz="4" w:space="0"/>
              <w:bottom w:val="single" w:color="000000" w:sz="12" w:space="0"/>
              <w:right w:val="single" w:color="000000" w:sz="12" w:space="0"/>
            </w:tcBorders>
            <w:noWrap/>
            <w:vAlign w:val="center"/>
          </w:tcPr>
          <w:p w14:paraId="69D31E79">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目视无灰尘、无污迹</w:t>
            </w:r>
          </w:p>
        </w:tc>
      </w:tr>
    </w:tbl>
    <w:p w14:paraId="52EA2A5C">
      <w:pPr>
        <w:tabs>
          <w:tab w:val="left" w:pos="1842"/>
        </w:tabs>
        <w:bidi w:val="0"/>
        <w:jc w:val="left"/>
        <w:rPr>
          <w:rFonts w:hint="eastAsia"/>
          <w:color w:val="auto"/>
          <w:highlight w:val="none"/>
          <w:lang w:val="en-US" w:eastAsia="zh-CN"/>
        </w:rPr>
      </w:pPr>
    </w:p>
    <w:p w14:paraId="030DA8F4">
      <w:pPr>
        <w:pStyle w:val="20"/>
        <w:rPr>
          <w:rFonts w:hint="eastAsia"/>
          <w:highlight w:val="none"/>
          <w:lang w:val="en-US" w:eastAsia="zh-CN"/>
        </w:rPr>
      </w:pPr>
    </w:p>
    <w:p w14:paraId="06C38C19">
      <w:pPr>
        <w:rPr>
          <w:rFonts w:hint="eastAsia"/>
          <w:highlight w:val="none"/>
          <w:lang w:val="en-US" w:eastAsia="zh-CN"/>
        </w:rPr>
      </w:pPr>
    </w:p>
    <w:p w14:paraId="0D92755C">
      <w:pPr>
        <w:pStyle w:val="20"/>
        <w:rPr>
          <w:rFonts w:hint="eastAsia"/>
          <w:highlight w:val="none"/>
          <w:lang w:val="en-US" w:eastAsia="zh-CN"/>
        </w:rPr>
      </w:pPr>
    </w:p>
    <w:p w14:paraId="673D5AA0">
      <w:pPr>
        <w:rPr>
          <w:rFonts w:hint="eastAsia"/>
          <w:highlight w:val="none"/>
          <w:lang w:val="en-US" w:eastAsia="zh-CN"/>
        </w:rPr>
      </w:pPr>
    </w:p>
    <w:p w14:paraId="5696B3E1">
      <w:pPr>
        <w:pStyle w:val="20"/>
        <w:rPr>
          <w:rFonts w:hint="eastAsia"/>
          <w:highlight w:val="none"/>
          <w:lang w:val="en-US" w:eastAsia="zh-CN"/>
        </w:rPr>
      </w:pPr>
    </w:p>
    <w:p w14:paraId="02A97F0D">
      <w:pPr>
        <w:rPr>
          <w:rFonts w:hint="eastAsia"/>
          <w:highlight w:val="none"/>
          <w:lang w:val="en-US" w:eastAsia="zh-CN"/>
        </w:rPr>
      </w:pPr>
    </w:p>
    <w:p w14:paraId="42C9B080">
      <w:pPr>
        <w:pStyle w:val="20"/>
        <w:rPr>
          <w:rFonts w:hint="eastAsia"/>
          <w:highlight w:val="none"/>
          <w:lang w:val="en-US" w:eastAsia="zh-CN"/>
        </w:rPr>
      </w:pPr>
    </w:p>
    <w:p w14:paraId="04407A13">
      <w:pPr>
        <w:rPr>
          <w:rFonts w:hint="eastAsia"/>
          <w:highlight w:val="none"/>
          <w:lang w:val="en-US" w:eastAsia="zh-CN"/>
        </w:rPr>
      </w:pPr>
    </w:p>
    <w:p w14:paraId="1BA6F811">
      <w:pPr>
        <w:pStyle w:val="20"/>
        <w:rPr>
          <w:rFonts w:hint="eastAsia"/>
          <w:highlight w:val="none"/>
          <w:lang w:val="en-US" w:eastAsia="zh-CN"/>
        </w:rPr>
      </w:pPr>
    </w:p>
    <w:p w14:paraId="0A4AA218">
      <w:pPr>
        <w:rPr>
          <w:rFonts w:hint="eastAsia"/>
          <w:highlight w:val="none"/>
          <w:lang w:val="en-US" w:eastAsia="zh-CN"/>
        </w:rPr>
      </w:pPr>
    </w:p>
    <w:p w14:paraId="0EB80DE6">
      <w:pPr>
        <w:pStyle w:val="20"/>
        <w:rPr>
          <w:rFonts w:hint="eastAsia"/>
          <w:highlight w:val="none"/>
          <w:lang w:val="en-US" w:eastAsia="zh-CN"/>
        </w:rPr>
      </w:pPr>
    </w:p>
    <w:p w14:paraId="0E26C27B">
      <w:pPr>
        <w:rPr>
          <w:rFonts w:hint="eastAsia"/>
          <w:highlight w:val="none"/>
          <w:lang w:val="en-US" w:eastAsia="zh-CN"/>
        </w:rPr>
      </w:pPr>
    </w:p>
    <w:p w14:paraId="3047DFEF">
      <w:pPr>
        <w:pStyle w:val="20"/>
        <w:rPr>
          <w:rFonts w:hint="eastAsia"/>
          <w:highlight w:val="none"/>
          <w:lang w:val="en-US" w:eastAsia="zh-CN"/>
        </w:rPr>
      </w:pPr>
    </w:p>
    <w:p w14:paraId="09314F33">
      <w:pPr>
        <w:rPr>
          <w:rFonts w:hint="eastAsia"/>
          <w:highlight w:val="none"/>
          <w:lang w:val="en-US" w:eastAsia="zh-CN"/>
        </w:rPr>
      </w:pPr>
    </w:p>
    <w:p w14:paraId="187F02E2">
      <w:pPr>
        <w:pStyle w:val="20"/>
        <w:rPr>
          <w:rFonts w:hint="eastAsia"/>
          <w:highlight w:val="none"/>
          <w:lang w:val="en-US" w:eastAsia="zh-CN"/>
        </w:rPr>
      </w:pPr>
    </w:p>
    <w:p w14:paraId="28B1C965">
      <w:pPr>
        <w:rPr>
          <w:rFonts w:hint="eastAsia"/>
          <w:highlight w:val="none"/>
          <w:lang w:val="en-US" w:eastAsia="zh-CN"/>
        </w:rPr>
      </w:pPr>
    </w:p>
    <w:p w14:paraId="6379EDA9">
      <w:pPr>
        <w:pStyle w:val="20"/>
        <w:rPr>
          <w:rFonts w:hint="eastAsia"/>
          <w:highlight w:val="none"/>
          <w:lang w:val="en-US" w:eastAsia="zh-CN"/>
        </w:rPr>
      </w:pPr>
    </w:p>
    <w:p w14:paraId="0D3D71FB">
      <w:pPr>
        <w:rPr>
          <w:rFonts w:hint="eastAsia"/>
          <w:highlight w:val="none"/>
          <w:lang w:val="en-US" w:eastAsia="zh-CN"/>
        </w:rPr>
      </w:pPr>
    </w:p>
    <w:p w14:paraId="1CB5518F">
      <w:pPr>
        <w:pStyle w:val="20"/>
        <w:rPr>
          <w:rFonts w:hint="eastAsia"/>
          <w:highlight w:val="none"/>
          <w:lang w:val="en-US" w:eastAsia="zh-CN"/>
        </w:rPr>
      </w:pPr>
    </w:p>
    <w:p w14:paraId="05999185">
      <w:pPr>
        <w:rPr>
          <w:rFonts w:hint="eastAsia"/>
          <w:highlight w:val="none"/>
          <w:lang w:val="en-US" w:eastAsia="zh-CN"/>
        </w:rPr>
      </w:pPr>
    </w:p>
    <w:p w14:paraId="2DF1233C">
      <w:pPr>
        <w:pStyle w:val="20"/>
        <w:rPr>
          <w:rFonts w:hint="eastAsia"/>
          <w:highlight w:val="none"/>
          <w:lang w:val="en-US" w:eastAsia="zh-CN"/>
        </w:rPr>
      </w:pPr>
    </w:p>
    <w:p w14:paraId="437BB744">
      <w:pPr>
        <w:rPr>
          <w:rFonts w:hint="eastAsia"/>
          <w:highlight w:val="none"/>
          <w:lang w:val="en-US" w:eastAsia="zh-CN"/>
        </w:rPr>
      </w:pPr>
    </w:p>
    <w:p w14:paraId="4554E081">
      <w:pPr>
        <w:pStyle w:val="20"/>
        <w:rPr>
          <w:rFonts w:hint="eastAsia"/>
          <w:highlight w:val="none"/>
          <w:lang w:val="en-US" w:eastAsia="zh-CN"/>
        </w:rPr>
      </w:pPr>
    </w:p>
    <w:p w14:paraId="160C7C74">
      <w:pPr>
        <w:rPr>
          <w:rFonts w:hint="eastAsia"/>
          <w:highlight w:val="none"/>
          <w:lang w:val="en-US" w:eastAsia="zh-CN"/>
        </w:rPr>
      </w:pPr>
    </w:p>
    <w:p w14:paraId="7D9B6A40">
      <w:pPr>
        <w:pStyle w:val="20"/>
        <w:rPr>
          <w:rFonts w:hint="eastAsia"/>
          <w:highlight w:val="none"/>
          <w:lang w:val="en-US" w:eastAsia="zh-CN"/>
        </w:rPr>
      </w:pPr>
    </w:p>
    <w:p w14:paraId="551F0E38">
      <w:pPr>
        <w:tabs>
          <w:tab w:val="left" w:pos="1842"/>
        </w:tabs>
        <w:bidi w:val="0"/>
        <w:jc w:val="left"/>
        <w:rPr>
          <w:rFonts w:hint="eastAsia"/>
          <w:color w:val="auto"/>
          <w:highlight w:val="none"/>
          <w:lang w:val="en-US" w:eastAsia="zh-CN"/>
        </w:rPr>
      </w:pPr>
    </w:p>
    <w:p w14:paraId="3F4DF624">
      <w:pPr>
        <w:pStyle w:val="20"/>
        <w:rPr>
          <w:rFonts w:hint="eastAsia"/>
          <w:color w:val="auto"/>
          <w:highlight w:val="none"/>
          <w:lang w:val="en-US" w:eastAsia="zh-CN"/>
        </w:rPr>
      </w:pPr>
    </w:p>
    <w:p w14:paraId="26C3AD1A">
      <w:pPr>
        <w:pStyle w:val="20"/>
        <w:rPr>
          <w:rFonts w:hint="eastAsia"/>
          <w:color w:val="auto"/>
          <w:highlight w:val="none"/>
          <w:lang w:val="en-US" w:eastAsia="zh-CN"/>
        </w:rPr>
      </w:pPr>
    </w:p>
    <w:p w14:paraId="4DC8DA58">
      <w:pPr>
        <w:pStyle w:val="20"/>
        <w:rPr>
          <w:rFonts w:hint="eastAsia"/>
          <w:color w:val="auto"/>
          <w:highlight w:val="none"/>
          <w:lang w:val="en-US" w:eastAsia="zh-CN"/>
        </w:rPr>
      </w:pPr>
    </w:p>
    <w:p w14:paraId="47CFD40C">
      <w:pPr>
        <w:pStyle w:val="20"/>
        <w:rPr>
          <w:rFonts w:hint="eastAsia"/>
          <w:color w:val="auto"/>
          <w:highlight w:val="none"/>
          <w:lang w:val="en-US" w:eastAsia="zh-CN"/>
        </w:rPr>
      </w:pPr>
    </w:p>
    <w:p w14:paraId="58CEA155">
      <w:pPr>
        <w:pStyle w:val="20"/>
        <w:rPr>
          <w:rFonts w:hint="eastAsia"/>
          <w:color w:val="auto"/>
          <w:highlight w:val="none"/>
          <w:lang w:val="en-US" w:eastAsia="zh-CN"/>
        </w:rPr>
      </w:pPr>
    </w:p>
    <w:p w14:paraId="690870D9">
      <w:pPr>
        <w:pStyle w:val="20"/>
        <w:rPr>
          <w:rFonts w:hint="eastAsia"/>
          <w:color w:val="auto"/>
          <w:highlight w:val="none"/>
          <w:lang w:val="en-US" w:eastAsia="zh-CN"/>
        </w:rPr>
      </w:pPr>
    </w:p>
    <w:p w14:paraId="1689A3B2">
      <w:pPr>
        <w:tabs>
          <w:tab w:val="left" w:pos="1842"/>
        </w:tabs>
        <w:bidi w:val="0"/>
        <w:jc w:val="left"/>
        <w:rPr>
          <w:rFonts w:hint="eastAsia"/>
          <w:color w:val="auto"/>
          <w:highlight w:val="none"/>
          <w:lang w:val="en-US" w:eastAsia="zh-CN"/>
        </w:rPr>
      </w:pPr>
    </w:p>
    <w:p w14:paraId="00CB58E1">
      <w:pPr>
        <w:tabs>
          <w:tab w:val="left" w:pos="1842"/>
        </w:tabs>
        <w:bidi w:val="0"/>
        <w:jc w:val="left"/>
        <w:rPr>
          <w:rFonts w:hint="eastAsia"/>
          <w:color w:val="auto"/>
          <w:highlight w:val="none"/>
          <w:lang w:val="en-US" w:eastAsia="zh-CN"/>
        </w:rPr>
      </w:pPr>
    </w:p>
    <w:p w14:paraId="5C1296E9">
      <w:pPr>
        <w:jc w:val="center"/>
        <w:rPr>
          <w:rFonts w:ascii="Times New Roman" w:hAnsi="Times New Roman" w:eastAsia="黑体"/>
          <w:highlight w:val="none"/>
        </w:rPr>
      </w:pPr>
      <w:r>
        <w:rPr>
          <w:rFonts w:ascii="Times New Roman" w:hAnsi="Times New Roman" w:eastAsia="黑体"/>
          <w:highlight w:val="none"/>
        </w:rPr>
        <w:t>广东省标准</w:t>
      </w:r>
    </w:p>
    <w:p w14:paraId="04BC98C8">
      <w:pPr>
        <w:jc w:val="center"/>
        <w:rPr>
          <w:rFonts w:ascii="Times New Roman" w:hAnsi="Times New Roman" w:eastAsia="黑体"/>
          <w:highlight w:val="none"/>
        </w:rPr>
      </w:pPr>
    </w:p>
    <w:p w14:paraId="4F0F69B6">
      <w:pPr>
        <w:jc w:val="center"/>
        <w:rPr>
          <w:rFonts w:ascii="Times New Roman" w:hAnsi="Times New Roman" w:eastAsia="黑体"/>
          <w:sz w:val="32"/>
          <w:szCs w:val="84"/>
          <w:highlight w:val="none"/>
        </w:rPr>
      </w:pPr>
      <w:r>
        <w:rPr>
          <w:rFonts w:hint="eastAsia" w:ascii="Times New Roman" w:hAnsi="Times New Roman" w:eastAsia="黑体"/>
          <w:sz w:val="32"/>
          <w:szCs w:val="84"/>
          <w:highlight w:val="none"/>
        </w:rPr>
        <w:t>党政机关办公区物业服务标准</w:t>
      </w:r>
    </w:p>
    <w:p w14:paraId="3066B9D7">
      <w:pPr>
        <w:spacing w:line="360" w:lineRule="exact"/>
        <w:jc w:val="center"/>
        <w:rPr>
          <w:rFonts w:ascii="Times New Roman" w:hAnsi="Times New Roman" w:eastAsia="黑体"/>
          <w:kern w:val="0"/>
          <w:szCs w:val="21"/>
          <w:highlight w:val="none"/>
        </w:rPr>
      </w:pPr>
      <w:r>
        <w:rPr>
          <w:rFonts w:hint="eastAsia" w:ascii="Times New Roman" w:hAnsi="Times New Roman" w:eastAsia="黑体"/>
          <w:kern w:val="0"/>
          <w:highlight w:val="none"/>
        </w:rPr>
        <w:t>Party and government office area property service standards</w:t>
      </w:r>
    </w:p>
    <w:p w14:paraId="1A271728">
      <w:pPr>
        <w:spacing w:line="360" w:lineRule="exact"/>
        <w:jc w:val="center"/>
        <w:rPr>
          <w:rFonts w:ascii="Times New Roman" w:hAnsi="Times New Roman" w:eastAsia="黑体"/>
          <w:kern w:val="0"/>
          <w:szCs w:val="21"/>
          <w:highlight w:val="none"/>
        </w:rPr>
      </w:pPr>
    </w:p>
    <w:p w14:paraId="4B9311B1">
      <w:pPr>
        <w:spacing w:line="360" w:lineRule="exact"/>
        <w:jc w:val="center"/>
        <w:rPr>
          <w:rFonts w:ascii="Times New Roman" w:hAnsi="Times New Roman"/>
          <w:highlight w:val="none"/>
        </w:rPr>
      </w:pPr>
    </w:p>
    <w:p w14:paraId="150CFE46">
      <w:pPr>
        <w:spacing w:line="360" w:lineRule="exact"/>
        <w:jc w:val="center"/>
        <w:rPr>
          <w:rFonts w:ascii="Times New Roman" w:hAnsi="Times New Roman"/>
          <w:highlight w:val="none"/>
        </w:rPr>
      </w:pPr>
      <w:r>
        <w:rPr>
          <w:rFonts w:ascii="Times New Roman" w:hAnsi="Times New Roman"/>
          <w:highlight w:val="none"/>
        </w:rPr>
        <w:t>DBJ XX-XX-2020</w:t>
      </w:r>
    </w:p>
    <w:p w14:paraId="3C41EC02">
      <w:pPr>
        <w:pStyle w:val="2"/>
        <w:jc w:val="center"/>
        <w:rPr>
          <w:rFonts w:ascii="Times New Roman" w:hAnsi="Times New Roman"/>
          <w:sz w:val="30"/>
          <w:szCs w:val="30"/>
          <w:highlight w:val="none"/>
        </w:rPr>
      </w:pPr>
      <w:bookmarkStart w:id="558" w:name="_Toc20266"/>
      <w:bookmarkStart w:id="559" w:name="_Toc30634"/>
      <w:bookmarkStart w:id="560" w:name="_Toc13005"/>
      <w:bookmarkStart w:id="561" w:name="_Toc19772"/>
      <w:bookmarkStart w:id="562" w:name="_Toc9747"/>
      <w:bookmarkStart w:id="563" w:name="_Toc5762"/>
      <w:r>
        <w:rPr>
          <w:rFonts w:ascii="Times New Roman" w:hAnsi="Times New Roman"/>
          <w:sz w:val="30"/>
          <w:szCs w:val="30"/>
          <w:highlight w:val="none"/>
        </w:rPr>
        <w:t>条 文 说 明</w:t>
      </w:r>
      <w:bookmarkEnd w:id="558"/>
      <w:bookmarkEnd w:id="559"/>
      <w:bookmarkEnd w:id="560"/>
      <w:bookmarkEnd w:id="561"/>
      <w:bookmarkEnd w:id="562"/>
      <w:bookmarkEnd w:id="563"/>
    </w:p>
    <w:p w14:paraId="4F466064">
      <w:pPr>
        <w:rPr>
          <w:rFonts w:ascii="Times New Roman" w:hAnsi="Times New Roman"/>
          <w:sz w:val="28"/>
          <w:szCs w:val="28"/>
          <w:highlight w:val="none"/>
        </w:rPr>
      </w:pPr>
    </w:p>
    <w:p w14:paraId="312B334E">
      <w:pPr>
        <w:rPr>
          <w:rFonts w:ascii="Times New Roman" w:hAnsi="Times New Roman"/>
          <w:sz w:val="28"/>
          <w:szCs w:val="28"/>
          <w:highlight w:val="none"/>
        </w:rPr>
      </w:pPr>
    </w:p>
    <w:p w14:paraId="341DC5D3">
      <w:pPr>
        <w:rPr>
          <w:rFonts w:ascii="Times New Roman" w:hAnsi="Times New Roman"/>
          <w:sz w:val="28"/>
          <w:szCs w:val="28"/>
          <w:highlight w:val="none"/>
        </w:rPr>
      </w:pPr>
    </w:p>
    <w:p w14:paraId="66EC0465">
      <w:pPr>
        <w:rPr>
          <w:rFonts w:ascii="Times New Roman" w:hAnsi="Times New Roman"/>
          <w:sz w:val="28"/>
          <w:szCs w:val="28"/>
          <w:highlight w:val="none"/>
        </w:rPr>
      </w:pPr>
    </w:p>
    <w:p w14:paraId="3A77BF4C">
      <w:pPr>
        <w:rPr>
          <w:rFonts w:ascii="Times New Roman" w:hAnsi="Times New Roman"/>
          <w:sz w:val="28"/>
          <w:szCs w:val="28"/>
          <w:highlight w:val="none"/>
        </w:rPr>
      </w:pPr>
    </w:p>
    <w:p w14:paraId="17DA138E">
      <w:pPr>
        <w:rPr>
          <w:rFonts w:ascii="Times New Roman" w:hAnsi="Times New Roman"/>
          <w:sz w:val="28"/>
          <w:szCs w:val="28"/>
          <w:highlight w:val="none"/>
        </w:rPr>
      </w:pPr>
    </w:p>
    <w:p w14:paraId="4AD2BD34">
      <w:pPr>
        <w:rPr>
          <w:rFonts w:ascii="Times New Roman" w:hAnsi="Times New Roman"/>
          <w:sz w:val="28"/>
          <w:szCs w:val="28"/>
          <w:highlight w:val="none"/>
        </w:rPr>
      </w:pPr>
    </w:p>
    <w:p w14:paraId="1EA5E5AC">
      <w:pPr>
        <w:widowControl/>
        <w:jc w:val="left"/>
        <w:rPr>
          <w:rFonts w:ascii="Times New Roman" w:hAnsi="Times New Roman"/>
          <w:sz w:val="28"/>
          <w:szCs w:val="28"/>
          <w:highlight w:val="none"/>
        </w:rPr>
      </w:pPr>
      <w:r>
        <w:rPr>
          <w:rFonts w:ascii="Times New Roman" w:hAnsi="Times New Roman"/>
          <w:sz w:val="28"/>
          <w:szCs w:val="28"/>
          <w:highlight w:val="none"/>
        </w:rPr>
        <w:br w:type="page"/>
      </w:r>
    </w:p>
    <w:p w14:paraId="7AF99919">
      <w:pPr>
        <w:pStyle w:val="35"/>
        <w:jc w:val="center"/>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制 定 说 明</w:t>
      </w:r>
    </w:p>
    <w:p w14:paraId="6883C67B">
      <w:pPr>
        <w:tabs>
          <w:tab w:val="left" w:pos="7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《党政机关办公区物业服务标准》DBJ/T XXX-XXXX，经广东省住房和城乡建设厅XX年XX月XX日以第XX号公告批准、发布。</w:t>
      </w:r>
    </w:p>
    <w:p w14:paraId="72B554EB">
      <w:pPr>
        <w:tabs>
          <w:tab w:val="left" w:pos="7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本标准编制过程中，编制组进行了广泛调查研究，认真总结了广东省党政机关办公区物业服务的实践经验，广泛征求了有关单位和专家的意见，对主要问题进行了反复讨论与修改。</w:t>
      </w:r>
    </w:p>
    <w:p w14:paraId="6A537303">
      <w:pPr>
        <w:tabs>
          <w:tab w:val="left" w:pos="720"/>
        </w:tabs>
        <w:spacing w:line="360" w:lineRule="auto"/>
        <w:ind w:firstLine="480" w:firstLineChars="200"/>
        <w:rPr>
          <w:highlight w:val="none"/>
        </w:rPr>
      </w:pPr>
      <w:r>
        <w:rPr>
          <w:rFonts w:hint="eastAsia" w:ascii="宋体" w:hAnsi="宋体" w:eastAsia="宋体" w:cs="宋体"/>
          <w:sz w:val="24"/>
          <w:szCs w:val="24"/>
          <w:highlight w:val="none"/>
        </w:rPr>
        <w:t>为便于广大设计、科研、学校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物业</w:t>
      </w:r>
      <w:r>
        <w:rPr>
          <w:rFonts w:hint="eastAsia" w:ascii="宋体" w:hAnsi="宋体" w:eastAsia="宋体" w:cs="宋体"/>
          <w:sz w:val="24"/>
          <w:szCs w:val="24"/>
          <w:highlight w:val="none"/>
        </w:rPr>
        <w:t>等单位有关人员在使用本标准时能正确理解和执行条文规定，《党政机关办公区物业服务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2C8F7538">
      <w:pPr>
        <w:pStyle w:val="35"/>
        <w:jc w:val="center"/>
        <w:rPr>
          <w:rFonts w:ascii="Times New Roman" w:hAnsi="Times New Roman" w:cs="Times New Roman"/>
          <w:b/>
          <w:color w:val="auto"/>
          <w:sz w:val="32"/>
          <w:szCs w:val="32"/>
          <w:highlight w:val="none"/>
        </w:rPr>
      </w:pPr>
    </w:p>
    <w:p w14:paraId="644693B0">
      <w:pPr>
        <w:keepNext w:val="0"/>
        <w:keepLines w:val="0"/>
        <w:pageBreakBefore/>
        <w:spacing w:line="360" w:lineRule="auto"/>
        <w:jc w:val="center"/>
        <w:outlineLvl w:val="9"/>
        <w:rPr>
          <w:rFonts w:hint="eastAsia" w:ascii="Times New Roman" w:hAnsi="Times New Roman" w:eastAsia="宋体" w:cs="Times New Roman"/>
          <w:b/>
          <w:bCs/>
          <w:sz w:val="30"/>
          <w:highlight w:val="none"/>
          <w:lang w:val="en-US" w:eastAsia="zh-CN"/>
        </w:rPr>
      </w:pPr>
      <w:r>
        <w:rPr>
          <w:rFonts w:hint="eastAsia" w:ascii="Times New Roman" w:hAnsi="Times New Roman" w:cs="Times New Roman"/>
          <w:b/>
          <w:bCs/>
          <w:sz w:val="30"/>
          <w:highlight w:val="none"/>
          <w:lang w:val="en-US" w:eastAsia="zh-CN"/>
        </w:rPr>
        <w:t>3</w:t>
      </w:r>
      <w:r>
        <w:rPr>
          <w:rFonts w:hint="eastAsia" w:ascii="Times New Roman" w:hAnsi="Times New Roman" w:eastAsia="宋体" w:cs="Times New Roman"/>
          <w:b/>
          <w:bCs/>
          <w:sz w:val="30"/>
          <w:highlight w:val="none"/>
          <w:lang w:val="en-US" w:eastAsia="zh-CN"/>
        </w:rPr>
        <w:t xml:space="preserve"> </w:t>
      </w:r>
      <w:r>
        <w:rPr>
          <w:rFonts w:hint="eastAsia" w:cs="Times New Roman"/>
          <w:b/>
          <w:bCs/>
          <w:sz w:val="30"/>
          <w:highlight w:val="none"/>
          <w:lang w:val="en-US" w:eastAsia="zh-CN"/>
        </w:rPr>
        <w:t>通用管理</w:t>
      </w:r>
      <w:r>
        <w:rPr>
          <w:rFonts w:hint="eastAsia" w:ascii="Times New Roman" w:hAnsi="Times New Roman" w:eastAsia="宋体" w:cs="Times New Roman"/>
          <w:b/>
          <w:bCs/>
          <w:sz w:val="30"/>
          <w:highlight w:val="none"/>
          <w:lang w:val="en-US" w:eastAsia="zh-CN"/>
        </w:rPr>
        <w:t>要求</w:t>
      </w:r>
    </w:p>
    <w:p w14:paraId="4F687FB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default" w:ascii="宋体" w:hAnsi="宋体" w:eastAsia="宋体" w:cs="宋体"/>
          <w:b/>
          <w:bCs/>
          <w:color w:val="auto"/>
          <w:sz w:val="24"/>
          <w:szCs w:val="24"/>
          <w:highlight w:val="none"/>
          <w:lang w:val="en-US"/>
        </w:rPr>
      </w:pPr>
      <w:bookmarkStart w:id="564" w:name="_Toc16025"/>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  </w:t>
      </w:r>
      <w:bookmarkEnd w:id="564"/>
      <w:r>
        <w:rPr>
          <w:rFonts w:hint="eastAsia" w:ascii="宋体" w:hAnsi="宋体" w:cs="宋体"/>
          <w:b/>
          <w:bCs/>
          <w:color w:val="auto"/>
          <w:sz w:val="24"/>
          <w:szCs w:val="24"/>
          <w:highlight w:val="none"/>
          <w:lang w:val="en-US" w:eastAsia="zh-CN"/>
        </w:rPr>
        <w:t>服务分包</w:t>
      </w:r>
    </w:p>
    <w:p w14:paraId="056AD88B">
      <w:pPr>
        <w:spacing w:line="360" w:lineRule="auto"/>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3.2.1  </w:t>
      </w:r>
      <w:r>
        <w:rPr>
          <w:rFonts w:hint="eastAsia" w:ascii="宋体" w:hAnsi="宋体" w:cs="宋体"/>
          <w:color w:val="auto"/>
          <w:sz w:val="24"/>
          <w:szCs w:val="24"/>
          <w:highlight w:val="none"/>
          <w:lang w:val="en-US" w:eastAsia="zh-CN"/>
        </w:rPr>
        <w:t>专业服务供应商：在物业服务中，是指那些作为社会服务资源的提供者、统筹者与组织者，为物业企业提供专业、高效的服务支持的企业或个人。他们不再仅仅是客户服务需求的生产者，而是可以通过提供间接服务、人文服务和信息服务，组织和整合社会化专业服务的所有资源，共同为客户提供服务解决方案，以达到甚至超出客户的需求目标。这些专业服务供应商可能包括各种领域的专家和企业，如维修工程师、安全顾问、具有相应资质或资格许可的电梯/消防维保机构、防雷检测机构、有害生物防制机构等，他们各自具备专业技能和知识，能够为客户提供专业、细致的服务。他们不仅能够提升物业服务的整体质量和效率，还能够增强客户对物业服务的满意度和信任度。</w:t>
      </w:r>
    </w:p>
    <w:p w14:paraId="502A9242">
      <w:pPr>
        <w:pStyle w:val="20"/>
        <w:rPr>
          <w:rFonts w:hint="eastAsia" w:ascii="宋体" w:hAnsi="宋体" w:cs="宋体"/>
          <w:color w:val="auto"/>
          <w:sz w:val="24"/>
          <w:szCs w:val="24"/>
          <w:highlight w:val="none"/>
          <w:lang w:val="en-US" w:eastAsia="zh-CN"/>
        </w:rPr>
      </w:pPr>
    </w:p>
    <w:p w14:paraId="605E5DD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物业服务人员</w:t>
      </w:r>
    </w:p>
    <w:p w14:paraId="2247516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Ⅰ  基本要求</w:t>
      </w:r>
    </w:p>
    <w:p w14:paraId="3810B915">
      <w:pPr>
        <w:bidi w:val="0"/>
        <w:spacing w:line="360" w:lineRule="auto"/>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3.4.3  </w:t>
      </w:r>
      <w:r>
        <w:rPr>
          <w:rFonts w:hint="eastAsia" w:ascii="宋体" w:hAnsi="宋体" w:cs="宋体"/>
          <w:color w:val="auto"/>
          <w:sz w:val="24"/>
          <w:szCs w:val="24"/>
          <w:highlight w:val="none"/>
          <w:lang w:val="en-US" w:eastAsia="zh-CN"/>
        </w:rPr>
        <w:t>党政机关办公区服务的物业服务人员应持卫生健康管理部门认可的体检机构出具的体检报告方可上岗，这既是对个人健康的保障，也是对公共安全和社会责任的体现。这主要是基于以下几个原因：</w:t>
      </w:r>
    </w:p>
    <w:p w14:paraId="42D51FD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  健康保障：体检报告是评估个人健康状况的重要依据。通过体检，可以及时发现并预防潜在的健康问题，从而确保物业服务人员在工作岗位上保持健康状态，避免因健康问题而影响工作效率和</w:t>
      </w:r>
      <w:r>
        <w:rPr>
          <w:rFonts w:hint="eastAsia" w:ascii="宋体" w:hAnsi="宋体" w:eastAsia="宋体" w:cs="宋体"/>
          <w:color w:val="auto"/>
          <w:sz w:val="24"/>
          <w:szCs w:val="24"/>
          <w:highlight w:val="none"/>
          <w:lang w:val="en-US" w:eastAsia="zh-CN" w:bidi="ar-SA"/>
        </w:rPr>
        <w:t>服务</w:t>
      </w:r>
      <w:r>
        <w:rPr>
          <w:rFonts w:hint="eastAsia" w:ascii="宋体" w:hAnsi="宋体" w:eastAsia="宋体" w:cs="宋体"/>
          <w:sz w:val="24"/>
          <w:szCs w:val="24"/>
          <w:highlight w:val="none"/>
          <w:lang w:val="en-US" w:eastAsia="zh-CN"/>
        </w:rPr>
        <w:t>质量。</w:t>
      </w:r>
    </w:p>
    <w:p w14:paraId="24219CB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安全防范：</w:t>
      </w:r>
      <w:r>
        <w:rPr>
          <w:rFonts w:hint="eastAsia" w:ascii="宋体" w:hAnsi="宋体" w:cs="宋体"/>
          <w:color w:val="auto"/>
          <w:sz w:val="24"/>
          <w:szCs w:val="24"/>
          <w:highlight w:val="none"/>
          <w:lang w:val="en-US" w:eastAsia="zh-CN"/>
        </w:rPr>
        <w:t>党政机关办公区</w:t>
      </w:r>
      <w:r>
        <w:rPr>
          <w:rFonts w:hint="eastAsia" w:ascii="宋体" w:hAnsi="宋体" w:eastAsia="宋体" w:cs="宋体"/>
          <w:sz w:val="24"/>
          <w:szCs w:val="24"/>
          <w:highlight w:val="none"/>
          <w:lang w:val="en-US" w:eastAsia="zh-CN"/>
        </w:rPr>
        <w:t>作为公共机构，对员工的健康状况有着严格的要求。持有体检报告的物业服务人员被证明没有携带传染性疾病或其他可能危害公共安全的健康问题，这有助于保障</w:t>
      </w:r>
      <w:r>
        <w:rPr>
          <w:rFonts w:hint="eastAsia" w:ascii="宋体" w:hAnsi="宋体" w:cs="宋体"/>
          <w:color w:val="auto"/>
          <w:sz w:val="24"/>
          <w:szCs w:val="24"/>
          <w:highlight w:val="none"/>
          <w:lang w:val="en-US" w:eastAsia="zh-CN"/>
        </w:rPr>
        <w:t>党政机关办公区</w:t>
      </w:r>
      <w:r>
        <w:rPr>
          <w:rFonts w:hint="eastAsia" w:ascii="宋体" w:hAnsi="宋体" w:eastAsia="宋体" w:cs="宋体"/>
          <w:sz w:val="24"/>
          <w:szCs w:val="24"/>
          <w:highlight w:val="none"/>
          <w:lang w:val="en-US" w:eastAsia="zh-CN"/>
        </w:rPr>
        <w:t>内部以及来访人员的安全。</w:t>
      </w:r>
    </w:p>
    <w:p w14:paraId="7CCA704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  职责要求：物业服务人员的工作涉及多个方面，包括保洁、秩序维护、接待等。这些工作都需要良好的健康状况作为支撑。持有体检报告可以证明物业服务人员具备从事相关工作的身体条件，符合</w:t>
      </w:r>
      <w:r>
        <w:rPr>
          <w:rFonts w:hint="eastAsia" w:ascii="宋体" w:hAnsi="宋体" w:cs="宋体"/>
          <w:color w:val="auto"/>
          <w:sz w:val="24"/>
          <w:szCs w:val="24"/>
          <w:highlight w:val="none"/>
          <w:lang w:val="en-US" w:eastAsia="zh-CN"/>
        </w:rPr>
        <w:t>党政机关办公区</w:t>
      </w:r>
      <w:r>
        <w:rPr>
          <w:rFonts w:hint="eastAsia" w:ascii="宋体" w:hAnsi="宋体" w:eastAsia="宋体" w:cs="宋体"/>
          <w:sz w:val="24"/>
          <w:szCs w:val="24"/>
          <w:highlight w:val="none"/>
          <w:lang w:val="en-US" w:eastAsia="zh-CN"/>
        </w:rPr>
        <w:t>对员工的健康要求。</w:t>
      </w:r>
    </w:p>
    <w:p w14:paraId="0E632D3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  合规性：</w:t>
      </w:r>
      <w:r>
        <w:rPr>
          <w:rFonts w:hint="eastAsia" w:ascii="宋体" w:hAnsi="宋体" w:cs="宋体"/>
          <w:color w:val="auto"/>
          <w:sz w:val="24"/>
          <w:szCs w:val="24"/>
          <w:highlight w:val="none"/>
          <w:lang w:val="en-US" w:eastAsia="zh-CN"/>
        </w:rPr>
        <w:t>党政机关办公区</w:t>
      </w:r>
      <w:r>
        <w:rPr>
          <w:rFonts w:hint="eastAsia" w:ascii="宋体" w:hAnsi="宋体" w:eastAsia="宋体" w:cs="宋体"/>
          <w:sz w:val="24"/>
          <w:szCs w:val="24"/>
          <w:highlight w:val="none"/>
          <w:lang w:val="en-US" w:eastAsia="zh-CN"/>
        </w:rPr>
        <w:t>在招聘和管理员工时需要遵守相关的法律法规和政策要求。要求物业服务人员持体检报告上岗是符合相关规定的做法，可以确保招聘流程的合规性和公正性。</w:t>
      </w:r>
    </w:p>
    <w:p w14:paraId="617EEB6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Ⅱ  </w:t>
      </w:r>
      <w:r>
        <w:rPr>
          <w:rFonts w:hint="eastAsia" w:ascii="宋体" w:hAnsi="宋体" w:cs="宋体"/>
          <w:b/>
          <w:bCs/>
          <w:color w:val="auto"/>
          <w:sz w:val="24"/>
          <w:szCs w:val="24"/>
          <w:highlight w:val="none"/>
          <w:lang w:val="en-US" w:eastAsia="zh-CN"/>
        </w:rPr>
        <w:t>会务</w:t>
      </w:r>
      <w:r>
        <w:rPr>
          <w:rFonts w:hint="eastAsia" w:ascii="宋体" w:hAnsi="宋体" w:eastAsia="宋体" w:cs="宋体"/>
          <w:b/>
          <w:bCs/>
          <w:color w:val="auto"/>
          <w:sz w:val="24"/>
          <w:szCs w:val="24"/>
          <w:highlight w:val="none"/>
          <w:lang w:val="en-US" w:eastAsia="zh-CN"/>
        </w:rPr>
        <w:t>服务人员</w:t>
      </w:r>
    </w:p>
    <w:p w14:paraId="5FCE479C">
      <w:pPr>
        <w:pStyle w:val="2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eastAsia="黑体" w:cs="Times New Roman"/>
          <w:b/>
          <w:bCs/>
          <w:color w:val="auto"/>
          <w:kern w:val="2"/>
          <w:sz w:val="24"/>
          <w:szCs w:val="24"/>
          <w:highlight w:val="none"/>
          <w:lang w:val="en-US" w:eastAsia="zh-CN" w:bidi="ar-SA"/>
        </w:rPr>
        <w:t xml:space="preserve">3.4.6  </w:t>
      </w:r>
      <w:r>
        <w:rPr>
          <w:rFonts w:hint="eastAsia" w:ascii="宋体" w:hAnsi="宋体" w:eastAsia="宋体" w:cs="宋体"/>
          <w:b w:val="0"/>
          <w:bCs w:val="0"/>
          <w:color w:val="auto"/>
          <w:kern w:val="2"/>
          <w:sz w:val="24"/>
          <w:szCs w:val="24"/>
          <w:highlight w:val="none"/>
          <w:lang w:val="en-US" w:eastAsia="zh-CN" w:bidi="ar-SA"/>
        </w:rPr>
        <w:t>物业服务</w:t>
      </w:r>
      <w:r>
        <w:rPr>
          <w:rFonts w:hint="eastAsia" w:ascii="宋体" w:hAnsi="宋体" w:cs="宋体"/>
          <w:b w:val="0"/>
          <w:bCs w:val="0"/>
          <w:color w:val="auto"/>
          <w:kern w:val="2"/>
          <w:sz w:val="24"/>
          <w:szCs w:val="24"/>
          <w:highlight w:val="none"/>
          <w:lang w:val="en-US" w:eastAsia="zh-CN" w:bidi="ar-SA"/>
        </w:rPr>
        <w:t>中心</w:t>
      </w:r>
      <w:r>
        <w:rPr>
          <w:rFonts w:hint="eastAsia" w:ascii="宋体" w:hAnsi="宋体" w:eastAsia="宋体" w:cs="宋体"/>
          <w:b w:val="0"/>
          <w:bCs w:val="0"/>
          <w:color w:val="auto"/>
          <w:kern w:val="2"/>
          <w:sz w:val="24"/>
          <w:szCs w:val="24"/>
          <w:highlight w:val="none"/>
          <w:lang w:val="en-US" w:eastAsia="zh-CN" w:bidi="ar-SA"/>
        </w:rPr>
        <w:t>的会务服务人员包括会务现场服务人员和会务设备操作人员。会务现场服务人员主要负责会议前的准备工作，如茶水、会议用品的摆放，保持会议室与服务区的干净整洁，会议条幅、指示牌的摆放及悬挂以及会后的会场整理等。他们还需要负责客人遗留物品的收集整理并及时上报，使用清洁工具的保养及维护。在会议进行中，他们可能需要提供临时的服务支持，如会议临时更改信息的通知及发放等。会务设备操作人员则主要负责学校机关会议室音视频会议设备（如MCU、视频终端、音视频矩阵、调音台、拼接屏等）的日常管理、操作、维护、保养工作。他们需要确保这些设备在会议期间能够正常运行，为会议的顺利进行提供技术支持。这两类会务服务人员在物业服务中都扮演着重要的角色，他们的工作保障了会议的顺利进行和参会人员的良好体验。</w:t>
      </w:r>
    </w:p>
    <w:p w14:paraId="7E8A93A6">
      <w:pPr>
        <w:rPr>
          <w:rFonts w:hint="eastAsia" w:ascii="宋体" w:hAnsi="宋体" w:eastAsia="宋体" w:cs="宋体"/>
          <w:b w:val="0"/>
          <w:bCs w:val="0"/>
          <w:color w:val="auto"/>
          <w:kern w:val="2"/>
          <w:sz w:val="24"/>
          <w:szCs w:val="24"/>
          <w:highlight w:val="none"/>
          <w:lang w:val="en-US" w:eastAsia="zh-CN" w:bidi="ar-SA"/>
        </w:rPr>
      </w:pPr>
    </w:p>
    <w:p w14:paraId="08C48287">
      <w:pPr>
        <w:pStyle w:val="20"/>
        <w:rPr>
          <w:rFonts w:hint="eastAsia" w:ascii="宋体" w:hAnsi="宋体" w:eastAsia="宋体" w:cs="宋体"/>
          <w:b w:val="0"/>
          <w:bCs w:val="0"/>
          <w:color w:val="auto"/>
          <w:kern w:val="2"/>
          <w:sz w:val="24"/>
          <w:szCs w:val="24"/>
          <w:highlight w:val="none"/>
          <w:lang w:val="en-US" w:eastAsia="zh-CN" w:bidi="ar-SA"/>
        </w:rPr>
      </w:pPr>
    </w:p>
    <w:p w14:paraId="3AAD23FB">
      <w:pPr>
        <w:rPr>
          <w:rFonts w:hint="eastAsia" w:ascii="宋体" w:hAnsi="宋体" w:eastAsia="宋体" w:cs="宋体"/>
          <w:b w:val="0"/>
          <w:bCs w:val="0"/>
          <w:color w:val="auto"/>
          <w:kern w:val="2"/>
          <w:sz w:val="24"/>
          <w:szCs w:val="24"/>
          <w:highlight w:val="none"/>
          <w:lang w:val="en-US" w:eastAsia="zh-CN" w:bidi="ar-SA"/>
        </w:rPr>
      </w:pPr>
    </w:p>
    <w:p w14:paraId="38061DF3">
      <w:pPr>
        <w:pStyle w:val="20"/>
        <w:rPr>
          <w:rFonts w:hint="eastAsia" w:ascii="宋体" w:hAnsi="宋体" w:eastAsia="宋体" w:cs="宋体"/>
          <w:b w:val="0"/>
          <w:bCs w:val="0"/>
          <w:color w:val="auto"/>
          <w:kern w:val="2"/>
          <w:sz w:val="24"/>
          <w:szCs w:val="24"/>
          <w:highlight w:val="none"/>
          <w:lang w:val="en-US" w:eastAsia="zh-CN" w:bidi="ar-SA"/>
        </w:rPr>
      </w:pPr>
    </w:p>
    <w:p w14:paraId="057E2F7A">
      <w:pPr>
        <w:rPr>
          <w:rFonts w:hint="eastAsia" w:ascii="宋体" w:hAnsi="宋体" w:eastAsia="宋体" w:cs="宋体"/>
          <w:b w:val="0"/>
          <w:bCs w:val="0"/>
          <w:color w:val="auto"/>
          <w:kern w:val="2"/>
          <w:sz w:val="24"/>
          <w:szCs w:val="24"/>
          <w:highlight w:val="none"/>
          <w:lang w:val="en-US" w:eastAsia="zh-CN" w:bidi="ar-SA"/>
        </w:rPr>
      </w:pPr>
    </w:p>
    <w:p w14:paraId="4A789D82">
      <w:pPr>
        <w:pStyle w:val="20"/>
        <w:rPr>
          <w:rFonts w:hint="eastAsia" w:ascii="宋体" w:hAnsi="宋体" w:eastAsia="宋体" w:cs="宋体"/>
          <w:b w:val="0"/>
          <w:bCs w:val="0"/>
          <w:color w:val="auto"/>
          <w:kern w:val="2"/>
          <w:sz w:val="24"/>
          <w:szCs w:val="24"/>
          <w:highlight w:val="none"/>
          <w:lang w:val="en-US" w:eastAsia="zh-CN" w:bidi="ar-SA"/>
        </w:rPr>
      </w:pPr>
    </w:p>
    <w:p w14:paraId="7D5CB1F5">
      <w:pPr>
        <w:rPr>
          <w:rFonts w:hint="eastAsia" w:ascii="宋体" w:hAnsi="宋体" w:eastAsia="宋体" w:cs="宋体"/>
          <w:b w:val="0"/>
          <w:bCs w:val="0"/>
          <w:color w:val="auto"/>
          <w:kern w:val="2"/>
          <w:sz w:val="24"/>
          <w:szCs w:val="24"/>
          <w:highlight w:val="none"/>
          <w:lang w:val="en-US" w:eastAsia="zh-CN" w:bidi="ar-SA"/>
        </w:rPr>
      </w:pPr>
    </w:p>
    <w:p w14:paraId="00412F5A">
      <w:pPr>
        <w:pStyle w:val="20"/>
        <w:rPr>
          <w:rFonts w:hint="eastAsia" w:ascii="宋体" w:hAnsi="宋体" w:eastAsia="宋体" w:cs="宋体"/>
          <w:b w:val="0"/>
          <w:bCs w:val="0"/>
          <w:color w:val="auto"/>
          <w:kern w:val="2"/>
          <w:sz w:val="24"/>
          <w:szCs w:val="24"/>
          <w:highlight w:val="none"/>
          <w:lang w:val="en-US" w:eastAsia="zh-CN" w:bidi="ar-SA"/>
        </w:rPr>
      </w:pPr>
    </w:p>
    <w:p w14:paraId="6756EF96">
      <w:pPr>
        <w:rPr>
          <w:rFonts w:hint="eastAsia" w:ascii="宋体" w:hAnsi="宋体" w:eastAsia="宋体" w:cs="宋体"/>
          <w:b w:val="0"/>
          <w:bCs w:val="0"/>
          <w:color w:val="auto"/>
          <w:kern w:val="2"/>
          <w:sz w:val="24"/>
          <w:szCs w:val="24"/>
          <w:highlight w:val="none"/>
          <w:lang w:val="en-US" w:eastAsia="zh-CN" w:bidi="ar-SA"/>
        </w:rPr>
      </w:pPr>
    </w:p>
    <w:p w14:paraId="48C6D52B">
      <w:pPr>
        <w:pStyle w:val="20"/>
        <w:rPr>
          <w:rFonts w:hint="eastAsia" w:ascii="宋体" w:hAnsi="宋体" w:eastAsia="宋体" w:cs="宋体"/>
          <w:b w:val="0"/>
          <w:bCs w:val="0"/>
          <w:color w:val="auto"/>
          <w:kern w:val="2"/>
          <w:sz w:val="24"/>
          <w:szCs w:val="24"/>
          <w:highlight w:val="none"/>
          <w:lang w:val="en-US" w:eastAsia="zh-CN" w:bidi="ar-SA"/>
        </w:rPr>
      </w:pPr>
    </w:p>
    <w:p w14:paraId="069DC11F">
      <w:pPr>
        <w:rPr>
          <w:rFonts w:hint="eastAsia" w:ascii="宋体" w:hAnsi="宋体" w:eastAsia="宋体" w:cs="宋体"/>
          <w:b w:val="0"/>
          <w:bCs w:val="0"/>
          <w:color w:val="auto"/>
          <w:kern w:val="2"/>
          <w:sz w:val="24"/>
          <w:szCs w:val="24"/>
          <w:highlight w:val="none"/>
          <w:lang w:val="en-US" w:eastAsia="zh-CN" w:bidi="ar-SA"/>
        </w:rPr>
      </w:pPr>
    </w:p>
    <w:p w14:paraId="39BB50DC">
      <w:pPr>
        <w:pStyle w:val="20"/>
        <w:rPr>
          <w:rFonts w:hint="eastAsia" w:ascii="宋体" w:hAnsi="宋体" w:eastAsia="宋体" w:cs="宋体"/>
          <w:b w:val="0"/>
          <w:bCs w:val="0"/>
          <w:color w:val="auto"/>
          <w:kern w:val="2"/>
          <w:sz w:val="24"/>
          <w:szCs w:val="24"/>
          <w:highlight w:val="none"/>
          <w:lang w:val="en-US" w:eastAsia="zh-CN" w:bidi="ar-SA"/>
        </w:rPr>
      </w:pPr>
    </w:p>
    <w:p w14:paraId="1059F836">
      <w:pPr>
        <w:rPr>
          <w:rFonts w:hint="eastAsia" w:ascii="宋体" w:hAnsi="宋体" w:eastAsia="宋体" w:cs="宋体"/>
          <w:b w:val="0"/>
          <w:bCs w:val="0"/>
          <w:color w:val="auto"/>
          <w:kern w:val="2"/>
          <w:sz w:val="24"/>
          <w:szCs w:val="24"/>
          <w:highlight w:val="none"/>
          <w:lang w:val="en-US" w:eastAsia="zh-CN" w:bidi="ar-SA"/>
        </w:rPr>
      </w:pPr>
    </w:p>
    <w:p w14:paraId="1748D01D">
      <w:pPr>
        <w:pStyle w:val="20"/>
        <w:rPr>
          <w:rFonts w:hint="eastAsia" w:ascii="宋体" w:hAnsi="宋体" w:eastAsia="宋体" w:cs="宋体"/>
          <w:b w:val="0"/>
          <w:bCs w:val="0"/>
          <w:color w:val="auto"/>
          <w:kern w:val="2"/>
          <w:sz w:val="24"/>
          <w:szCs w:val="24"/>
          <w:highlight w:val="none"/>
          <w:lang w:val="en-US" w:eastAsia="zh-CN" w:bidi="ar-SA"/>
        </w:rPr>
      </w:pPr>
    </w:p>
    <w:p w14:paraId="6FB96CBC">
      <w:pPr>
        <w:rPr>
          <w:rFonts w:hint="eastAsia" w:ascii="宋体" w:hAnsi="宋体" w:eastAsia="宋体" w:cs="宋体"/>
          <w:b w:val="0"/>
          <w:bCs w:val="0"/>
          <w:color w:val="auto"/>
          <w:kern w:val="2"/>
          <w:sz w:val="24"/>
          <w:szCs w:val="24"/>
          <w:highlight w:val="none"/>
          <w:lang w:val="en-US" w:eastAsia="zh-CN" w:bidi="ar-SA"/>
        </w:rPr>
      </w:pPr>
    </w:p>
    <w:p w14:paraId="5561B091">
      <w:pPr>
        <w:pStyle w:val="20"/>
        <w:rPr>
          <w:rFonts w:hint="eastAsia" w:ascii="宋体" w:hAnsi="宋体" w:eastAsia="宋体" w:cs="宋体"/>
          <w:b w:val="0"/>
          <w:bCs w:val="0"/>
          <w:color w:val="auto"/>
          <w:kern w:val="2"/>
          <w:sz w:val="24"/>
          <w:szCs w:val="24"/>
          <w:highlight w:val="none"/>
          <w:lang w:val="en-US" w:eastAsia="zh-CN" w:bidi="ar-SA"/>
        </w:rPr>
      </w:pPr>
    </w:p>
    <w:p w14:paraId="10C17F18">
      <w:pPr>
        <w:rPr>
          <w:rFonts w:hint="eastAsia" w:ascii="宋体" w:hAnsi="宋体" w:eastAsia="宋体" w:cs="宋体"/>
          <w:b w:val="0"/>
          <w:bCs w:val="0"/>
          <w:color w:val="auto"/>
          <w:kern w:val="2"/>
          <w:sz w:val="24"/>
          <w:szCs w:val="24"/>
          <w:highlight w:val="none"/>
          <w:lang w:val="en-US" w:eastAsia="zh-CN" w:bidi="ar-SA"/>
        </w:rPr>
      </w:pPr>
    </w:p>
    <w:p w14:paraId="15D36397">
      <w:pPr>
        <w:pStyle w:val="20"/>
        <w:rPr>
          <w:rFonts w:hint="eastAsia" w:ascii="宋体" w:hAnsi="宋体" w:eastAsia="宋体" w:cs="宋体"/>
          <w:b w:val="0"/>
          <w:bCs w:val="0"/>
          <w:color w:val="auto"/>
          <w:kern w:val="2"/>
          <w:sz w:val="24"/>
          <w:szCs w:val="24"/>
          <w:highlight w:val="none"/>
          <w:lang w:val="en-US" w:eastAsia="zh-CN" w:bidi="ar-SA"/>
        </w:rPr>
      </w:pPr>
    </w:p>
    <w:p w14:paraId="6696DD3F">
      <w:pPr>
        <w:rPr>
          <w:rFonts w:hint="eastAsia" w:ascii="宋体" w:hAnsi="宋体" w:eastAsia="宋体" w:cs="宋体"/>
          <w:b w:val="0"/>
          <w:bCs w:val="0"/>
          <w:color w:val="auto"/>
          <w:kern w:val="2"/>
          <w:sz w:val="24"/>
          <w:szCs w:val="24"/>
          <w:highlight w:val="none"/>
          <w:lang w:val="en-US" w:eastAsia="zh-CN" w:bidi="ar-SA"/>
        </w:rPr>
      </w:pPr>
    </w:p>
    <w:p w14:paraId="5914D76B">
      <w:pPr>
        <w:pStyle w:val="20"/>
        <w:rPr>
          <w:rFonts w:hint="eastAsia" w:ascii="宋体" w:hAnsi="宋体" w:eastAsia="宋体" w:cs="宋体"/>
          <w:b w:val="0"/>
          <w:bCs w:val="0"/>
          <w:color w:val="auto"/>
          <w:kern w:val="2"/>
          <w:sz w:val="24"/>
          <w:szCs w:val="24"/>
          <w:highlight w:val="none"/>
          <w:lang w:val="en-US" w:eastAsia="zh-CN" w:bidi="ar-SA"/>
        </w:rPr>
      </w:pPr>
    </w:p>
    <w:p w14:paraId="414C8ACE">
      <w:pPr>
        <w:rPr>
          <w:rFonts w:hint="eastAsia"/>
          <w:highlight w:val="none"/>
          <w:lang w:val="en-US" w:eastAsia="zh-CN"/>
        </w:rPr>
      </w:pPr>
    </w:p>
    <w:p w14:paraId="7AD7FD83">
      <w:pPr>
        <w:pStyle w:val="20"/>
        <w:rPr>
          <w:rFonts w:hint="eastAsia" w:ascii="宋体" w:hAnsi="宋体" w:eastAsia="宋体" w:cs="宋体"/>
          <w:b w:val="0"/>
          <w:bCs w:val="0"/>
          <w:color w:val="auto"/>
          <w:kern w:val="2"/>
          <w:sz w:val="24"/>
          <w:szCs w:val="24"/>
          <w:highlight w:val="none"/>
          <w:lang w:val="en-US" w:eastAsia="zh-CN" w:bidi="ar-SA"/>
        </w:rPr>
      </w:pPr>
    </w:p>
    <w:p w14:paraId="3225FF59">
      <w:pPr>
        <w:pStyle w:val="2"/>
        <w:keepNext w:val="0"/>
        <w:keepLines w:val="0"/>
        <w:pageBreakBefore/>
        <w:spacing w:line="240" w:lineRule="auto"/>
        <w:jc w:val="center"/>
        <w:rPr>
          <w:rFonts w:hint="eastAsia" w:ascii="宋体" w:hAnsi="宋体" w:eastAsia="宋体" w:cs="宋体"/>
          <w:sz w:val="30"/>
          <w:highlight w:val="none"/>
          <w:lang w:val="en-US" w:eastAsia="zh-CN"/>
        </w:rPr>
      </w:pPr>
      <w:bookmarkStart w:id="565" w:name="_Toc184"/>
      <w:bookmarkStart w:id="566" w:name="_Toc29113"/>
      <w:bookmarkStart w:id="567" w:name="_Toc8219"/>
      <w:bookmarkStart w:id="568" w:name="_Toc7816"/>
      <w:bookmarkStart w:id="569" w:name="_Toc4284"/>
      <w:bookmarkStart w:id="570" w:name="_Toc11067"/>
      <w:bookmarkStart w:id="571" w:name="_Toc29487"/>
      <w:r>
        <w:rPr>
          <w:rFonts w:hint="eastAsia" w:ascii="宋体" w:hAnsi="宋体" w:eastAsia="宋体" w:cs="宋体"/>
          <w:sz w:val="30"/>
          <w:highlight w:val="none"/>
          <w:lang w:val="en-US" w:eastAsia="zh-CN"/>
        </w:rPr>
        <w:t>8 房屋及设施设备</w:t>
      </w:r>
      <w:bookmarkEnd w:id="565"/>
      <w:r>
        <w:rPr>
          <w:rFonts w:hint="eastAsia" w:ascii="宋体" w:hAnsi="宋体" w:eastAsia="宋体" w:cs="宋体"/>
          <w:sz w:val="30"/>
          <w:highlight w:val="none"/>
          <w:lang w:val="en-US" w:eastAsia="zh-CN"/>
        </w:rPr>
        <w:t>管理</w:t>
      </w:r>
      <w:bookmarkEnd w:id="566"/>
      <w:bookmarkEnd w:id="567"/>
      <w:bookmarkEnd w:id="568"/>
      <w:bookmarkEnd w:id="569"/>
      <w:bookmarkEnd w:id="570"/>
      <w:bookmarkEnd w:id="571"/>
    </w:p>
    <w:p w14:paraId="33E63EC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eastAsia="宋体" w:cs="宋体"/>
          <w:b/>
          <w:bCs/>
          <w:color w:val="auto"/>
          <w:sz w:val="24"/>
          <w:szCs w:val="24"/>
          <w:highlight w:val="none"/>
          <w:lang w:val="en-US" w:eastAsia="zh-CN"/>
        </w:rPr>
      </w:pPr>
      <w:bookmarkStart w:id="572" w:name="_Toc21237"/>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供配电系统</w:t>
      </w:r>
      <w:bookmarkEnd w:id="572"/>
    </w:p>
    <w:p w14:paraId="51AF236B">
      <w:pPr>
        <w:spacing w:line="360" w:lineRule="auto"/>
        <w:rPr>
          <w:rFonts w:hint="eastAsia" w:ascii="宋体" w:hAnsi="宋体" w:cs="宋体"/>
          <w:b w:val="0"/>
          <w:i w:val="0"/>
          <w:color w:val="auto"/>
          <w:sz w:val="24"/>
          <w:szCs w:val="24"/>
          <w:highlight w:val="none"/>
          <w:lang w:val="en-US" w:eastAsia="zh-CN" w:bidi="ar-SA"/>
        </w:rPr>
      </w:pPr>
      <w:r>
        <w:rPr>
          <w:rFonts w:hint="eastAsia" w:ascii="Times New Roman" w:hAnsi="Times New Roman" w:cs="Times New Roman"/>
          <w:b/>
          <w:bCs/>
          <w:i w:val="0"/>
          <w:color w:val="auto"/>
          <w:kern w:val="2"/>
          <w:sz w:val="24"/>
          <w:szCs w:val="24"/>
          <w:highlight w:val="none"/>
          <w:lang w:val="en-US" w:eastAsia="zh-CN" w:bidi="ar-SA"/>
        </w:rPr>
        <w:t>8</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4</w:t>
      </w:r>
      <w:r>
        <w:rPr>
          <w:rFonts w:hint="default" w:ascii="Times New Roman" w:hAnsi="Times New Roman" w:eastAsia="宋体" w:cs="Times New Roman"/>
          <w:b/>
          <w:bCs/>
          <w:i w:val="0"/>
          <w:color w:val="auto"/>
          <w:sz w:val="24"/>
          <w:szCs w:val="24"/>
          <w:highlight w:val="none"/>
          <w:lang w:val="en-US" w:eastAsia="zh-CN" w:bidi="ar-SA"/>
        </w:rPr>
        <w:t>.</w:t>
      </w:r>
      <w:r>
        <w:rPr>
          <w:rFonts w:hint="eastAsia" w:ascii="Times New Roman" w:hAnsi="Times New Roman" w:cs="Times New Roman"/>
          <w:b/>
          <w:bCs/>
          <w:i w:val="0"/>
          <w:color w:val="auto"/>
          <w:sz w:val="24"/>
          <w:szCs w:val="24"/>
          <w:highlight w:val="none"/>
          <w:lang w:val="en-US" w:eastAsia="zh-CN" w:bidi="ar-SA"/>
        </w:rPr>
        <w:t>4</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cs="宋体"/>
          <w:b w:val="0"/>
          <w:i w:val="0"/>
          <w:color w:val="auto"/>
          <w:sz w:val="24"/>
          <w:szCs w:val="24"/>
          <w:highlight w:val="none"/>
          <w:lang w:val="en-US" w:eastAsia="zh-CN" w:bidi="ar-SA"/>
        </w:rPr>
        <w:t>供配电系统中的避雷装置是指一系列用于防止雷电对电力设备和系统造成损害的设备。这些装置通常包括接闪器（如避雷针、避雷带、避雷网等）、引下线、接地装置以及电涌保护器（SPD）等。</w:t>
      </w:r>
    </w:p>
    <w:p w14:paraId="6A249670">
      <w:pPr>
        <w:spacing w:line="360" w:lineRule="auto"/>
        <w:ind w:firstLine="480" w:firstLineChars="200"/>
        <w:rPr>
          <w:rFonts w:hint="eastAsia" w:ascii="宋体" w:hAnsi="宋体" w:cs="宋体"/>
          <w:b w:val="0"/>
          <w:i w:val="0"/>
          <w:color w:val="auto"/>
          <w:sz w:val="24"/>
          <w:szCs w:val="24"/>
          <w:highlight w:val="none"/>
          <w:lang w:val="en-US" w:eastAsia="zh-CN" w:bidi="ar-SA"/>
        </w:rPr>
      </w:pPr>
      <w:r>
        <w:rPr>
          <w:rFonts w:hint="eastAsia" w:ascii="宋体" w:hAnsi="宋体" w:cs="宋体"/>
          <w:b w:val="0"/>
          <w:i w:val="0"/>
          <w:color w:val="auto"/>
          <w:sz w:val="24"/>
          <w:szCs w:val="24"/>
          <w:highlight w:val="none"/>
          <w:lang w:val="en-US" w:eastAsia="zh-CN" w:bidi="ar-SA"/>
        </w:rPr>
        <w:t>接闪器是避雷装置中直接接受雷电电击的金属物件，它通过引下线和接地装置与大地相连，当雷电击中建筑物时，电流通过接闪器、引下线和接地装置泄入大地，从而保护建筑物免受雷击。</w:t>
      </w:r>
    </w:p>
    <w:p w14:paraId="03F73FBA">
      <w:pPr>
        <w:spacing w:line="360" w:lineRule="auto"/>
        <w:ind w:firstLine="480" w:firstLineChars="200"/>
        <w:rPr>
          <w:rFonts w:hint="eastAsia" w:ascii="宋体" w:hAnsi="宋体" w:cs="宋体"/>
          <w:b w:val="0"/>
          <w:i w:val="0"/>
          <w:color w:val="auto"/>
          <w:sz w:val="24"/>
          <w:szCs w:val="24"/>
          <w:highlight w:val="none"/>
          <w:lang w:val="en-US" w:eastAsia="zh-CN" w:bidi="ar-SA"/>
        </w:rPr>
      </w:pPr>
      <w:r>
        <w:rPr>
          <w:rFonts w:hint="eastAsia" w:ascii="宋体" w:hAnsi="宋体" w:cs="宋体"/>
          <w:b w:val="0"/>
          <w:i w:val="0"/>
          <w:color w:val="auto"/>
          <w:sz w:val="24"/>
          <w:szCs w:val="24"/>
          <w:highlight w:val="none"/>
          <w:lang w:val="en-US" w:eastAsia="zh-CN" w:bidi="ar-SA"/>
        </w:rPr>
        <w:t>引下线是连接接闪器与接地装置的金属导体，它负责将雷电电流从接闪器传导至接地装置。</w:t>
      </w:r>
    </w:p>
    <w:p w14:paraId="1FAC67AC">
      <w:pPr>
        <w:spacing w:line="360" w:lineRule="auto"/>
        <w:ind w:firstLine="480" w:firstLineChars="200"/>
        <w:rPr>
          <w:rFonts w:hint="eastAsia" w:ascii="宋体" w:hAnsi="宋体" w:cs="宋体"/>
          <w:b w:val="0"/>
          <w:i w:val="0"/>
          <w:color w:val="auto"/>
          <w:sz w:val="24"/>
          <w:szCs w:val="24"/>
          <w:highlight w:val="none"/>
          <w:lang w:val="en-US" w:eastAsia="zh-CN" w:bidi="ar-SA"/>
        </w:rPr>
      </w:pPr>
      <w:r>
        <w:rPr>
          <w:rFonts w:hint="eastAsia" w:ascii="宋体" w:hAnsi="宋体" w:cs="宋体"/>
          <w:b w:val="0"/>
          <w:i w:val="0"/>
          <w:color w:val="auto"/>
          <w:sz w:val="24"/>
          <w:szCs w:val="24"/>
          <w:highlight w:val="none"/>
          <w:lang w:val="en-US" w:eastAsia="zh-CN" w:bidi="ar-SA"/>
        </w:rPr>
        <w:t>接地装置则是将雷电电流引入大地的导体，通过它可以将雷电电流有效地泄入大地，避免雷电对设备和系统造成损害。</w:t>
      </w:r>
    </w:p>
    <w:p w14:paraId="067CAD08">
      <w:pPr>
        <w:spacing w:line="360" w:lineRule="auto"/>
        <w:ind w:firstLine="480" w:firstLineChars="200"/>
        <w:rPr>
          <w:rFonts w:hint="eastAsia" w:ascii="宋体" w:hAnsi="宋体" w:cs="宋体"/>
          <w:b w:val="0"/>
          <w:i w:val="0"/>
          <w:color w:val="auto"/>
          <w:sz w:val="24"/>
          <w:szCs w:val="24"/>
          <w:highlight w:val="none"/>
          <w:lang w:val="en-US" w:eastAsia="zh-CN" w:bidi="ar-SA"/>
        </w:rPr>
      </w:pPr>
      <w:r>
        <w:rPr>
          <w:rFonts w:hint="eastAsia" w:ascii="宋体" w:hAnsi="宋体" w:cs="宋体"/>
          <w:b w:val="0"/>
          <w:i w:val="0"/>
          <w:color w:val="auto"/>
          <w:sz w:val="24"/>
          <w:szCs w:val="24"/>
          <w:highlight w:val="none"/>
          <w:lang w:val="en-US" w:eastAsia="zh-CN" w:bidi="ar-SA"/>
        </w:rPr>
        <w:t>电涌保护器（SPD）则是一种用于限制瞬态过电压和分泄电涌电流的器件，它可以有效地保护电力设备和系统免受雷电过电压和电涌电流的损害。</w:t>
      </w:r>
    </w:p>
    <w:p w14:paraId="096E1A7A">
      <w:pPr>
        <w:spacing w:line="360" w:lineRule="auto"/>
        <w:ind w:firstLine="480" w:firstLineChars="200"/>
        <w:rPr>
          <w:rFonts w:hint="eastAsia" w:ascii="宋体" w:hAnsi="宋体" w:cs="宋体"/>
          <w:b w:val="0"/>
          <w:i w:val="0"/>
          <w:color w:val="auto"/>
          <w:sz w:val="24"/>
          <w:szCs w:val="24"/>
          <w:highlight w:val="none"/>
          <w:lang w:val="en-US" w:eastAsia="zh-CN" w:bidi="ar-SA"/>
        </w:rPr>
      </w:pPr>
      <w:r>
        <w:rPr>
          <w:rFonts w:hint="eastAsia" w:ascii="宋体" w:hAnsi="宋体" w:cs="宋体"/>
          <w:b w:val="0"/>
          <w:i w:val="0"/>
          <w:color w:val="auto"/>
          <w:sz w:val="24"/>
          <w:szCs w:val="24"/>
          <w:highlight w:val="none"/>
          <w:lang w:val="en-US" w:eastAsia="zh-CN" w:bidi="ar-SA"/>
        </w:rPr>
        <w:t>避雷装置在供配电系统中起到了至关重要的作用，它能够有效地保护电力设备和系统免受雷电的侵害，确保供配电系统的安全稳定运行。</w:t>
      </w:r>
    </w:p>
    <w:p w14:paraId="51C2796C">
      <w:pPr>
        <w:pStyle w:val="20"/>
        <w:rPr>
          <w:rFonts w:hint="eastAsia"/>
          <w:highlight w:val="none"/>
          <w:lang w:val="en-US" w:eastAsia="zh-CN"/>
        </w:rPr>
      </w:pPr>
    </w:p>
    <w:p w14:paraId="349BBE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消防</w:t>
      </w:r>
      <w:r>
        <w:rPr>
          <w:rFonts w:hint="eastAsia" w:ascii="宋体" w:hAnsi="宋体" w:eastAsia="宋体" w:cs="宋体"/>
          <w:b/>
          <w:bCs/>
          <w:color w:val="auto"/>
          <w:sz w:val="24"/>
          <w:szCs w:val="24"/>
          <w:highlight w:val="none"/>
          <w:lang w:val="en-US" w:eastAsia="zh-CN"/>
        </w:rPr>
        <w:t>系统</w:t>
      </w:r>
    </w:p>
    <w:p w14:paraId="4DDE7663">
      <w:pPr>
        <w:pStyle w:val="20"/>
        <w:spacing w:line="360" w:lineRule="auto"/>
        <w:rPr>
          <w:rFonts w:hint="eastAsia" w:ascii="宋体" w:hAnsi="宋体" w:eastAsia="宋体" w:cs="宋体"/>
          <w:sz w:val="24"/>
          <w:szCs w:val="24"/>
          <w:highlight w:val="none"/>
          <w:lang w:val="en-US" w:eastAsia="zh-CN"/>
        </w:rPr>
      </w:pPr>
      <w:r>
        <w:rPr>
          <w:rFonts w:hint="eastAsia" w:cs="Times New Roman"/>
          <w:b/>
          <w:bCs/>
          <w:i w:val="0"/>
          <w:color w:val="auto"/>
          <w:kern w:val="2"/>
          <w:sz w:val="24"/>
          <w:szCs w:val="24"/>
          <w:highlight w:val="none"/>
          <w:lang w:val="en-US" w:eastAsia="zh-CN" w:bidi="ar-SA"/>
        </w:rPr>
        <w:t>8</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cs="Times New Roman"/>
          <w:b/>
          <w:bCs/>
          <w:i w:val="0"/>
          <w:color w:val="auto"/>
          <w:kern w:val="2"/>
          <w:sz w:val="24"/>
          <w:szCs w:val="24"/>
          <w:highlight w:val="none"/>
          <w:lang w:val="en-US" w:eastAsia="zh-CN" w:bidi="ar-SA"/>
        </w:rPr>
        <w:t>6</w:t>
      </w:r>
      <w:r>
        <w:rPr>
          <w:rFonts w:hint="default" w:ascii="Times New Roman" w:hAnsi="Times New Roman" w:eastAsia="宋体" w:cs="Times New Roman"/>
          <w:b/>
          <w:bCs/>
          <w:i w:val="0"/>
          <w:color w:val="auto"/>
          <w:sz w:val="24"/>
          <w:szCs w:val="24"/>
          <w:highlight w:val="none"/>
          <w:lang w:val="en-US" w:eastAsia="zh-CN" w:bidi="ar-SA"/>
        </w:rPr>
        <w:t>.</w:t>
      </w:r>
      <w:r>
        <w:rPr>
          <w:rFonts w:hint="eastAsia" w:cs="Times New Roman"/>
          <w:b/>
          <w:bCs/>
          <w:i w:val="0"/>
          <w:color w:val="auto"/>
          <w:sz w:val="24"/>
          <w:szCs w:val="24"/>
          <w:highlight w:val="none"/>
          <w:lang w:val="en-US" w:eastAsia="zh-CN" w:bidi="ar-SA"/>
        </w:rPr>
        <w:t xml:space="preserve">9  </w:t>
      </w:r>
      <w:r>
        <w:rPr>
          <w:rFonts w:hint="eastAsia" w:ascii="宋体" w:hAnsi="宋体" w:eastAsia="宋体" w:cs="宋体"/>
          <w:sz w:val="24"/>
          <w:szCs w:val="24"/>
          <w:highlight w:val="none"/>
          <w:lang w:val="en-US" w:eastAsia="zh-CN"/>
        </w:rPr>
        <w:t>防火分区和防烟分区在建筑物内部的设计中起到非常关键的作用，它们的主要目的是在火灾发生时，尽可能地将火势和烟雾控制在一定范围内，以减少火灾对人员和财产的损失。</w:t>
      </w:r>
    </w:p>
    <w:p w14:paraId="65B271BC">
      <w:pPr>
        <w:pStyle w:val="2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防火分区是指通过楼板、防火墙、防火门、防火窗、防火卷帘等分隔设施，将建筑内部划分为若干防火单元，这些防火单元能在一定时间内防止火灾向同一建筑的其余部分蔓延。</w:t>
      </w:r>
    </w:p>
    <w:p w14:paraId="54EE6CE6">
      <w:pPr>
        <w:pStyle w:val="2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防火墙是防火分区的主要构成部分，它是防止火灾蔓延至其他建筑或相邻防火分区的重要设施，其耐火极限应大于等于3小时。</w:t>
      </w:r>
    </w:p>
    <w:p w14:paraId="13A84C18">
      <w:pPr>
        <w:pStyle w:val="2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防火隔墙则是用于防止火灾蔓延至相邻区域的设施，其耐火极限根据规范来确定。</w:t>
      </w:r>
    </w:p>
    <w:p w14:paraId="77A5ED0B">
      <w:pPr>
        <w:pStyle w:val="2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防烟分区则是在设置排烟系统的场所或部位，利用挡烟垂壁、挡烟梁等设施，控制火灾产生的烟气流动，使烟气封闭于着火区域顶部空间范围内，防止进入同一防火分区其余部分，最终通过排烟设施将烟气排至室外。防烟分区的目的主要是为了在火灾时将烟气控制在一定范围内，提高排烟口的排烟效果，为人员疏散和消防扑救提供有利条件。</w:t>
      </w:r>
    </w:p>
    <w:p w14:paraId="79931B3D">
      <w:pPr>
        <w:pStyle w:val="2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防火分区和防烟分区在建筑设计中都非常重要，它们能够有效地减少火灾对人员和财产的损失，为人们提供更安全的生活环境。</w:t>
      </w:r>
    </w:p>
    <w:p w14:paraId="5FC71F34">
      <w:pPr>
        <w:rPr>
          <w:rFonts w:hint="eastAsia" w:ascii="宋体" w:hAnsi="宋体" w:eastAsia="宋体" w:cs="宋体"/>
          <w:sz w:val="24"/>
          <w:szCs w:val="24"/>
          <w:highlight w:val="none"/>
          <w:lang w:val="en-US" w:eastAsia="zh-CN"/>
        </w:rPr>
      </w:pPr>
    </w:p>
    <w:p w14:paraId="10B721BB">
      <w:pPr>
        <w:pStyle w:val="20"/>
        <w:rPr>
          <w:rFonts w:hint="eastAsia" w:ascii="宋体" w:hAnsi="宋体" w:eastAsia="宋体" w:cs="宋体"/>
          <w:sz w:val="24"/>
          <w:szCs w:val="24"/>
          <w:highlight w:val="none"/>
          <w:lang w:val="en-US" w:eastAsia="zh-CN"/>
        </w:rPr>
      </w:pPr>
    </w:p>
    <w:p w14:paraId="27388B8F">
      <w:pPr>
        <w:rPr>
          <w:rFonts w:hint="eastAsia" w:ascii="宋体" w:hAnsi="宋体" w:eastAsia="宋体" w:cs="宋体"/>
          <w:sz w:val="24"/>
          <w:szCs w:val="24"/>
          <w:highlight w:val="none"/>
          <w:lang w:val="en-US" w:eastAsia="zh-CN"/>
        </w:rPr>
      </w:pPr>
    </w:p>
    <w:p w14:paraId="7047F743">
      <w:pPr>
        <w:pStyle w:val="20"/>
        <w:rPr>
          <w:rFonts w:hint="eastAsia" w:ascii="宋体" w:hAnsi="宋体" w:eastAsia="宋体" w:cs="宋体"/>
          <w:sz w:val="24"/>
          <w:szCs w:val="24"/>
          <w:highlight w:val="none"/>
          <w:lang w:val="en-US" w:eastAsia="zh-CN"/>
        </w:rPr>
      </w:pPr>
    </w:p>
    <w:p w14:paraId="11F476B7">
      <w:pPr>
        <w:rPr>
          <w:rFonts w:hint="eastAsia" w:ascii="宋体" w:hAnsi="宋体" w:eastAsia="宋体" w:cs="宋体"/>
          <w:sz w:val="24"/>
          <w:szCs w:val="24"/>
          <w:highlight w:val="none"/>
          <w:lang w:val="en-US" w:eastAsia="zh-CN"/>
        </w:rPr>
      </w:pPr>
    </w:p>
    <w:p w14:paraId="4E34DCEB">
      <w:pPr>
        <w:pStyle w:val="20"/>
        <w:rPr>
          <w:rFonts w:hint="eastAsia" w:ascii="宋体" w:hAnsi="宋体" w:eastAsia="宋体" w:cs="宋体"/>
          <w:sz w:val="24"/>
          <w:szCs w:val="24"/>
          <w:highlight w:val="none"/>
          <w:lang w:val="en-US" w:eastAsia="zh-CN"/>
        </w:rPr>
      </w:pPr>
    </w:p>
    <w:p w14:paraId="2ED8FAC7">
      <w:pPr>
        <w:rPr>
          <w:rFonts w:hint="eastAsia" w:ascii="宋体" w:hAnsi="宋体" w:eastAsia="宋体" w:cs="宋体"/>
          <w:sz w:val="24"/>
          <w:szCs w:val="24"/>
          <w:highlight w:val="none"/>
          <w:lang w:val="en-US" w:eastAsia="zh-CN"/>
        </w:rPr>
      </w:pPr>
    </w:p>
    <w:p w14:paraId="7ACE4245">
      <w:pPr>
        <w:pStyle w:val="20"/>
        <w:rPr>
          <w:rFonts w:hint="eastAsia" w:ascii="宋体" w:hAnsi="宋体" w:eastAsia="宋体" w:cs="宋体"/>
          <w:sz w:val="24"/>
          <w:szCs w:val="24"/>
          <w:highlight w:val="none"/>
          <w:lang w:val="en-US" w:eastAsia="zh-CN"/>
        </w:rPr>
      </w:pPr>
    </w:p>
    <w:p w14:paraId="2DC3AE27">
      <w:pPr>
        <w:rPr>
          <w:rFonts w:hint="eastAsia" w:ascii="宋体" w:hAnsi="宋体" w:eastAsia="宋体" w:cs="宋体"/>
          <w:sz w:val="24"/>
          <w:szCs w:val="24"/>
          <w:highlight w:val="none"/>
          <w:lang w:val="en-US" w:eastAsia="zh-CN"/>
        </w:rPr>
      </w:pPr>
    </w:p>
    <w:p w14:paraId="13BF00CD">
      <w:pPr>
        <w:pStyle w:val="20"/>
        <w:rPr>
          <w:rFonts w:hint="eastAsia" w:ascii="宋体" w:hAnsi="宋体" w:eastAsia="宋体" w:cs="宋体"/>
          <w:sz w:val="24"/>
          <w:szCs w:val="24"/>
          <w:highlight w:val="none"/>
          <w:lang w:val="en-US" w:eastAsia="zh-CN"/>
        </w:rPr>
      </w:pPr>
    </w:p>
    <w:p w14:paraId="67518AEB">
      <w:pPr>
        <w:rPr>
          <w:rFonts w:hint="eastAsia" w:ascii="宋体" w:hAnsi="宋体" w:eastAsia="宋体" w:cs="宋体"/>
          <w:sz w:val="24"/>
          <w:szCs w:val="24"/>
          <w:highlight w:val="none"/>
          <w:lang w:val="en-US" w:eastAsia="zh-CN"/>
        </w:rPr>
      </w:pPr>
    </w:p>
    <w:p w14:paraId="1DF0DAFD">
      <w:pPr>
        <w:pStyle w:val="20"/>
        <w:rPr>
          <w:rFonts w:hint="eastAsia" w:ascii="宋体" w:hAnsi="宋体" w:eastAsia="宋体" w:cs="宋体"/>
          <w:sz w:val="24"/>
          <w:szCs w:val="24"/>
          <w:highlight w:val="none"/>
          <w:lang w:val="en-US" w:eastAsia="zh-CN"/>
        </w:rPr>
      </w:pPr>
    </w:p>
    <w:p w14:paraId="184984CE">
      <w:pPr>
        <w:rPr>
          <w:rFonts w:hint="eastAsia" w:ascii="宋体" w:hAnsi="宋体" w:eastAsia="宋体" w:cs="宋体"/>
          <w:sz w:val="24"/>
          <w:szCs w:val="24"/>
          <w:highlight w:val="none"/>
          <w:lang w:val="en-US" w:eastAsia="zh-CN"/>
        </w:rPr>
      </w:pPr>
    </w:p>
    <w:p w14:paraId="18325138">
      <w:pPr>
        <w:pStyle w:val="20"/>
        <w:rPr>
          <w:rFonts w:hint="eastAsia" w:ascii="宋体" w:hAnsi="宋体" w:eastAsia="宋体" w:cs="宋体"/>
          <w:sz w:val="24"/>
          <w:szCs w:val="24"/>
          <w:highlight w:val="none"/>
          <w:lang w:val="en-US" w:eastAsia="zh-CN"/>
        </w:rPr>
      </w:pPr>
    </w:p>
    <w:p w14:paraId="26437AFE">
      <w:pPr>
        <w:rPr>
          <w:rFonts w:hint="eastAsia" w:ascii="宋体" w:hAnsi="宋体" w:eastAsia="宋体" w:cs="宋体"/>
          <w:sz w:val="24"/>
          <w:szCs w:val="24"/>
          <w:highlight w:val="none"/>
          <w:lang w:val="en-US" w:eastAsia="zh-CN"/>
        </w:rPr>
      </w:pPr>
    </w:p>
    <w:p w14:paraId="33F94184">
      <w:pPr>
        <w:pStyle w:val="20"/>
        <w:rPr>
          <w:rFonts w:hint="eastAsia" w:ascii="宋体" w:hAnsi="宋体" w:eastAsia="宋体" w:cs="宋体"/>
          <w:sz w:val="24"/>
          <w:szCs w:val="24"/>
          <w:highlight w:val="none"/>
          <w:lang w:val="en-US" w:eastAsia="zh-CN"/>
        </w:rPr>
      </w:pPr>
    </w:p>
    <w:p w14:paraId="1AF05803">
      <w:pPr>
        <w:rPr>
          <w:rFonts w:hint="eastAsia" w:ascii="宋体" w:hAnsi="宋体" w:eastAsia="宋体" w:cs="宋体"/>
          <w:sz w:val="24"/>
          <w:szCs w:val="24"/>
          <w:highlight w:val="none"/>
          <w:lang w:val="en-US" w:eastAsia="zh-CN"/>
        </w:rPr>
      </w:pPr>
    </w:p>
    <w:p w14:paraId="572775E0">
      <w:pPr>
        <w:pStyle w:val="20"/>
        <w:rPr>
          <w:rFonts w:hint="eastAsia" w:ascii="宋体" w:hAnsi="宋体" w:eastAsia="宋体" w:cs="宋体"/>
          <w:sz w:val="24"/>
          <w:szCs w:val="24"/>
          <w:highlight w:val="none"/>
          <w:lang w:val="en-US" w:eastAsia="zh-CN"/>
        </w:rPr>
      </w:pPr>
    </w:p>
    <w:p w14:paraId="29CD8B93">
      <w:pPr>
        <w:rPr>
          <w:rFonts w:hint="eastAsia" w:ascii="宋体" w:hAnsi="宋体" w:eastAsia="宋体" w:cs="宋体"/>
          <w:sz w:val="24"/>
          <w:szCs w:val="24"/>
          <w:highlight w:val="none"/>
          <w:lang w:val="en-US" w:eastAsia="zh-CN"/>
        </w:rPr>
      </w:pPr>
    </w:p>
    <w:p w14:paraId="3306E15C">
      <w:pPr>
        <w:pStyle w:val="20"/>
        <w:rPr>
          <w:rFonts w:hint="eastAsia" w:ascii="宋体" w:hAnsi="宋体" w:eastAsia="宋体" w:cs="宋体"/>
          <w:sz w:val="24"/>
          <w:szCs w:val="24"/>
          <w:highlight w:val="none"/>
          <w:lang w:val="en-US" w:eastAsia="zh-CN"/>
        </w:rPr>
      </w:pPr>
    </w:p>
    <w:p w14:paraId="3BC14F81">
      <w:pPr>
        <w:rPr>
          <w:rFonts w:hint="eastAsia" w:ascii="宋体" w:hAnsi="宋体" w:eastAsia="宋体" w:cs="宋体"/>
          <w:sz w:val="24"/>
          <w:szCs w:val="24"/>
          <w:highlight w:val="none"/>
          <w:lang w:val="en-US" w:eastAsia="zh-CN"/>
        </w:rPr>
      </w:pPr>
    </w:p>
    <w:p w14:paraId="22F70914">
      <w:pPr>
        <w:pStyle w:val="20"/>
        <w:rPr>
          <w:rFonts w:hint="eastAsia" w:ascii="宋体" w:hAnsi="宋体" w:eastAsia="宋体" w:cs="宋体"/>
          <w:sz w:val="24"/>
          <w:szCs w:val="24"/>
          <w:highlight w:val="none"/>
          <w:lang w:val="en-US" w:eastAsia="zh-CN"/>
        </w:rPr>
      </w:pPr>
    </w:p>
    <w:p w14:paraId="7D213E20">
      <w:pPr>
        <w:rPr>
          <w:rFonts w:hint="eastAsia" w:ascii="宋体" w:hAnsi="宋体" w:eastAsia="宋体" w:cs="宋体"/>
          <w:sz w:val="24"/>
          <w:szCs w:val="24"/>
          <w:highlight w:val="none"/>
          <w:lang w:val="en-US" w:eastAsia="zh-CN"/>
        </w:rPr>
      </w:pPr>
    </w:p>
    <w:p w14:paraId="0762E36E">
      <w:pPr>
        <w:pStyle w:val="20"/>
        <w:rPr>
          <w:rFonts w:hint="eastAsia" w:ascii="宋体" w:hAnsi="宋体" w:eastAsia="宋体" w:cs="宋体"/>
          <w:sz w:val="24"/>
          <w:szCs w:val="24"/>
          <w:highlight w:val="none"/>
          <w:lang w:val="en-US" w:eastAsia="zh-CN"/>
        </w:rPr>
      </w:pPr>
    </w:p>
    <w:p w14:paraId="1710FD71">
      <w:pPr>
        <w:rPr>
          <w:rFonts w:hint="eastAsia"/>
          <w:highlight w:val="none"/>
          <w:lang w:val="en-US" w:eastAsia="zh-CN"/>
        </w:rPr>
      </w:pPr>
    </w:p>
    <w:p w14:paraId="430396BC">
      <w:pPr>
        <w:rPr>
          <w:rFonts w:hint="eastAsia" w:ascii="宋体" w:hAnsi="宋体" w:eastAsia="宋体" w:cs="宋体"/>
          <w:sz w:val="24"/>
          <w:szCs w:val="24"/>
          <w:highlight w:val="none"/>
          <w:lang w:val="en-US" w:eastAsia="zh-CN"/>
        </w:rPr>
      </w:pPr>
    </w:p>
    <w:p w14:paraId="3B56453F">
      <w:pPr>
        <w:rPr>
          <w:rFonts w:hint="eastAsia" w:ascii="宋体" w:hAnsi="宋体" w:eastAsia="宋体" w:cs="宋体"/>
          <w:sz w:val="24"/>
          <w:szCs w:val="24"/>
          <w:highlight w:val="none"/>
          <w:lang w:val="en-US" w:eastAsia="zh-CN"/>
        </w:rPr>
      </w:pPr>
    </w:p>
    <w:p w14:paraId="34F9ABDA">
      <w:pPr>
        <w:pStyle w:val="2"/>
        <w:keepNext w:val="0"/>
        <w:keepLines w:val="0"/>
        <w:pageBreakBefore/>
        <w:spacing w:line="240" w:lineRule="auto"/>
        <w:jc w:val="center"/>
        <w:rPr>
          <w:rFonts w:hint="eastAsia" w:ascii="宋体" w:hAnsi="宋体" w:eastAsia="宋体" w:cs="宋体"/>
          <w:sz w:val="30"/>
          <w:highlight w:val="none"/>
          <w:lang w:val="en-US" w:eastAsia="zh-CN"/>
        </w:rPr>
      </w:pPr>
      <w:bookmarkStart w:id="573" w:name="_Toc32406"/>
      <w:bookmarkStart w:id="574" w:name="_Toc28373"/>
      <w:bookmarkStart w:id="575" w:name="_Toc19421"/>
      <w:bookmarkStart w:id="576" w:name="_Toc30537"/>
      <w:bookmarkStart w:id="577" w:name="_Toc3320"/>
      <w:bookmarkStart w:id="578" w:name="_Toc22908"/>
      <w:r>
        <w:rPr>
          <w:rFonts w:hint="eastAsia" w:ascii="宋体" w:hAnsi="宋体" w:eastAsia="宋体" w:cs="宋体"/>
          <w:sz w:val="30"/>
          <w:highlight w:val="none"/>
          <w:lang w:val="en-US" w:eastAsia="zh-CN"/>
        </w:rPr>
        <w:t>9 安 全 服 务</w:t>
      </w:r>
      <w:bookmarkEnd w:id="573"/>
      <w:bookmarkEnd w:id="574"/>
      <w:bookmarkEnd w:id="575"/>
      <w:bookmarkEnd w:id="576"/>
      <w:bookmarkEnd w:id="577"/>
      <w:bookmarkEnd w:id="578"/>
    </w:p>
    <w:p w14:paraId="3467B2C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消防安全</w:t>
      </w:r>
    </w:p>
    <w:p w14:paraId="3532A8D8">
      <w:pPr>
        <w:bidi w:val="0"/>
        <w:spacing w:line="360" w:lineRule="auto"/>
        <w:rPr>
          <w:rFonts w:hint="eastAsia"/>
          <w:sz w:val="24"/>
          <w:szCs w:val="24"/>
          <w:highlight w:val="none"/>
          <w:lang w:val="en-US" w:eastAsia="zh-CN"/>
        </w:rPr>
      </w:pPr>
      <w:r>
        <w:rPr>
          <w:rFonts w:hint="eastAsia" w:ascii="宋体" w:hAnsi="宋体" w:cs="宋体"/>
          <w:b/>
          <w:bCs/>
          <w:i w:val="0"/>
          <w:color w:val="auto"/>
          <w:kern w:val="2"/>
          <w:sz w:val="24"/>
          <w:szCs w:val="24"/>
          <w:highlight w:val="none"/>
          <w:lang w:val="en-US" w:eastAsia="zh-CN" w:bidi="ar-SA"/>
        </w:rPr>
        <w:t>9</w:t>
      </w:r>
      <w:r>
        <w:rPr>
          <w:rFonts w:hint="eastAsia" w:ascii="宋体" w:hAnsi="宋体" w:eastAsia="宋体" w:cs="宋体"/>
          <w:b/>
          <w:bCs/>
          <w:i w:val="0"/>
          <w:color w:val="auto"/>
          <w:kern w:val="2"/>
          <w:sz w:val="24"/>
          <w:szCs w:val="24"/>
          <w:highlight w:val="none"/>
          <w:lang w:val="en-US" w:eastAsia="zh-CN" w:bidi="ar-SA"/>
        </w:rPr>
        <w:t>.5</w:t>
      </w:r>
      <w:r>
        <w:rPr>
          <w:rFonts w:hint="eastAsia" w:ascii="宋体" w:hAnsi="宋体" w:eastAsia="宋体" w:cs="宋体"/>
          <w:b/>
          <w:bCs/>
          <w:i w:val="0"/>
          <w:color w:val="auto"/>
          <w:sz w:val="24"/>
          <w:szCs w:val="24"/>
          <w:highlight w:val="none"/>
          <w:lang w:val="en-US" w:eastAsia="zh-CN" w:bidi="ar-SA"/>
        </w:rPr>
        <w:t xml:space="preserve">.3  </w:t>
      </w:r>
      <w:r>
        <w:rPr>
          <w:rFonts w:hint="eastAsia"/>
          <w:sz w:val="24"/>
          <w:szCs w:val="24"/>
          <w:highlight w:val="none"/>
          <w:lang w:val="en-US" w:eastAsia="zh-CN"/>
        </w:rPr>
        <w:t>消防控制室是设有火灾自动报警控制设备和消防控制设备，用于接收、显示、处理火灾报警信号，控制相关消防设施的专门处所。</w:t>
      </w:r>
    </w:p>
    <w:p w14:paraId="55373F90">
      <w:pPr>
        <w:bidi w:val="0"/>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在物业服务方面，消防控制室是一个至关重要的设施，其主要功能和作用体现在以下几个方面：接收、显示和处理火灾报警信号：消防控制室设有火灾自动报警控制设备和消防控制设备，能够接收、显示并处理来自建筑物内各种火灾报警装置的信号。这有助于及时发现火灾，为后续的应急处理提供重要信息。控制相关消防设施：在火灾发生时，消防控制室可以控制启动消防广播、消防应急照明、消防电梯、防火卷帘、防火门、消防防排烟系统以及各类消防灭火系统等。通过及时启动这些设施，可以迅速有效地进行灭火和疏散工作，保障人员和财产的安全。</w:t>
      </w:r>
    </w:p>
    <w:p w14:paraId="1A27C020">
      <w:pPr>
        <w:bidi w:val="0"/>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消防控制室在物业服务中扮演着至关重要的角色，是保障建筑消防安全的重要设施之一。物业管理人员需要重视消防控制室的建设和管理工作，确保其能够正常运行并发挥应有的作用。</w:t>
      </w:r>
    </w:p>
    <w:p w14:paraId="2817EF95">
      <w:pPr>
        <w:pStyle w:val="2"/>
        <w:keepNext w:val="0"/>
        <w:keepLines w:val="0"/>
        <w:pageBreakBefore/>
        <w:spacing w:line="240" w:lineRule="auto"/>
        <w:jc w:val="center"/>
        <w:rPr>
          <w:rFonts w:hint="eastAsia"/>
          <w:highlight w:val="none"/>
          <w:lang w:val="en-US" w:eastAsia="zh-CN"/>
        </w:rPr>
      </w:pPr>
      <w:bookmarkStart w:id="579" w:name="_Toc3098"/>
      <w:bookmarkStart w:id="580" w:name="_Toc10687"/>
      <w:bookmarkStart w:id="581" w:name="_Toc19370"/>
      <w:bookmarkStart w:id="582" w:name="_Toc24480"/>
      <w:bookmarkStart w:id="583" w:name="_Toc15170"/>
      <w:bookmarkStart w:id="584" w:name="_Toc27656"/>
      <w:bookmarkStart w:id="585" w:name="_Toc868"/>
      <w:r>
        <w:rPr>
          <w:rFonts w:hint="eastAsia" w:cs="Times New Roman"/>
          <w:sz w:val="30"/>
          <w:highlight w:val="none"/>
          <w:lang w:val="en-US" w:eastAsia="zh-CN"/>
        </w:rPr>
        <w:t>10</w:t>
      </w:r>
      <w:r>
        <w:rPr>
          <w:rFonts w:hint="eastAsia" w:ascii="Times New Roman" w:hAnsi="Times New Roman" w:eastAsia="宋体" w:cs="Times New Roman"/>
          <w:sz w:val="30"/>
          <w:highlight w:val="none"/>
          <w:lang w:val="en-US" w:eastAsia="zh-CN"/>
        </w:rPr>
        <w:t xml:space="preserve"> </w:t>
      </w:r>
      <w:r>
        <w:rPr>
          <w:rFonts w:hint="eastAsia" w:ascii="宋体" w:hAnsi="宋体" w:eastAsia="宋体" w:cs="宋体"/>
          <w:b/>
          <w:bCs/>
          <w:sz w:val="30"/>
          <w:highlight w:val="none"/>
          <w:lang w:val="en-US" w:eastAsia="zh-CN"/>
        </w:rPr>
        <w:t>应  急  管  理</w:t>
      </w:r>
      <w:bookmarkEnd w:id="579"/>
      <w:bookmarkEnd w:id="580"/>
      <w:bookmarkEnd w:id="581"/>
      <w:bookmarkEnd w:id="582"/>
      <w:bookmarkEnd w:id="583"/>
      <w:bookmarkEnd w:id="584"/>
      <w:bookmarkEnd w:id="585"/>
    </w:p>
    <w:p w14:paraId="079AAF3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586" w:name="_Toc1085"/>
      <w:bookmarkStart w:id="587" w:name="_Toc31454"/>
      <w:bookmarkStart w:id="588" w:name="_Toc27401"/>
      <w:bookmarkStart w:id="589" w:name="_Toc30187"/>
      <w:bookmarkStart w:id="590" w:name="_Toc31906"/>
      <w:bookmarkStart w:id="591" w:name="_Toc9437"/>
      <w:bookmarkStart w:id="592" w:name="_Toc23147"/>
      <w:r>
        <w:rPr>
          <w:rFonts w:hint="eastAsia" w:ascii="宋体" w:hAnsi="宋体" w:cs="宋体"/>
          <w:b/>
          <w:bCs/>
          <w:color w:val="auto"/>
          <w:sz w:val="24"/>
          <w:szCs w:val="24"/>
          <w:highlight w:val="none"/>
          <w:lang w:val="en-US" w:eastAsia="zh-CN"/>
        </w:rPr>
        <w:t>10</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防恐应急防范</w:t>
      </w:r>
      <w:bookmarkEnd w:id="586"/>
      <w:bookmarkEnd w:id="587"/>
      <w:bookmarkEnd w:id="588"/>
      <w:bookmarkEnd w:id="589"/>
      <w:bookmarkEnd w:id="590"/>
      <w:bookmarkEnd w:id="591"/>
      <w:bookmarkEnd w:id="592"/>
    </w:p>
    <w:p w14:paraId="7D12ECCD">
      <w:p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随着党政机关办公区后勤服务的社会化推广，物业服务企业为党政机关提供人员来访登记、车辆进出管理、秩序维护等安全保卫工作。因此党政机关办公区的</w:t>
      </w:r>
      <w:r>
        <w:rPr>
          <w:rFonts w:hint="default"/>
          <w:sz w:val="24"/>
          <w:szCs w:val="24"/>
          <w:highlight w:val="none"/>
          <w:lang w:val="en-US" w:eastAsia="zh-CN"/>
        </w:rPr>
        <w:t>物业服务</w:t>
      </w:r>
      <w:r>
        <w:rPr>
          <w:rFonts w:hint="eastAsia"/>
          <w:sz w:val="24"/>
          <w:szCs w:val="24"/>
          <w:highlight w:val="none"/>
          <w:lang w:val="en-US" w:eastAsia="zh-CN"/>
        </w:rPr>
        <w:t>应包含</w:t>
      </w:r>
      <w:r>
        <w:rPr>
          <w:rFonts w:hint="default"/>
          <w:sz w:val="24"/>
          <w:szCs w:val="24"/>
          <w:highlight w:val="none"/>
          <w:lang w:val="en-US" w:eastAsia="zh-CN"/>
        </w:rPr>
        <w:t>防恐应急防范</w:t>
      </w:r>
      <w:r>
        <w:rPr>
          <w:rFonts w:hint="eastAsia"/>
          <w:sz w:val="24"/>
          <w:szCs w:val="24"/>
          <w:highlight w:val="none"/>
          <w:lang w:val="en-US" w:eastAsia="zh-CN"/>
        </w:rPr>
        <w:t>。</w:t>
      </w:r>
      <w:r>
        <w:rPr>
          <w:rFonts w:hint="default"/>
          <w:sz w:val="24"/>
          <w:szCs w:val="24"/>
          <w:highlight w:val="none"/>
          <w:lang w:val="en-US" w:eastAsia="zh-CN"/>
        </w:rPr>
        <w:t>防恐应急防范是一项综合性的工作</w:t>
      </w:r>
      <w:r>
        <w:rPr>
          <w:rFonts w:hint="eastAsia"/>
          <w:sz w:val="24"/>
          <w:szCs w:val="24"/>
          <w:highlight w:val="none"/>
          <w:lang w:val="en-US" w:eastAsia="zh-CN"/>
        </w:rPr>
        <w:t>，</w:t>
      </w:r>
      <w:r>
        <w:rPr>
          <w:rFonts w:hint="default"/>
          <w:sz w:val="24"/>
          <w:szCs w:val="24"/>
          <w:highlight w:val="none"/>
          <w:lang w:val="en-US" w:eastAsia="zh-CN"/>
        </w:rPr>
        <w:t>需要物业管理服务人员具备高度的安全意识和专业技能，为预防和应对恐怖袭击事件</w:t>
      </w:r>
      <w:r>
        <w:rPr>
          <w:rFonts w:hint="eastAsia"/>
          <w:sz w:val="24"/>
          <w:szCs w:val="24"/>
          <w:highlight w:val="none"/>
          <w:lang w:val="en-US" w:eastAsia="zh-CN"/>
        </w:rPr>
        <w:t>而</w:t>
      </w:r>
      <w:r>
        <w:rPr>
          <w:rFonts w:hint="default"/>
          <w:sz w:val="24"/>
          <w:szCs w:val="24"/>
          <w:highlight w:val="none"/>
          <w:lang w:val="en-US" w:eastAsia="zh-CN"/>
        </w:rPr>
        <w:t>采取的一系列安全措施和应急响应措施。这些科学有效的措施和机制旨在确保物业</w:t>
      </w:r>
      <w:r>
        <w:rPr>
          <w:rFonts w:hint="eastAsia"/>
          <w:sz w:val="24"/>
          <w:szCs w:val="24"/>
          <w:highlight w:val="none"/>
          <w:lang w:val="en-US" w:eastAsia="zh-CN"/>
        </w:rPr>
        <w:t>服务</w:t>
      </w:r>
      <w:r>
        <w:rPr>
          <w:rFonts w:hint="default"/>
          <w:sz w:val="24"/>
          <w:szCs w:val="24"/>
          <w:highlight w:val="none"/>
          <w:lang w:val="en-US" w:eastAsia="zh-CN"/>
        </w:rPr>
        <w:t>区域内的人员和财产安全，维护正常的社会秩序。</w:t>
      </w:r>
    </w:p>
    <w:p w14:paraId="305FECC3">
      <w:pPr>
        <w:pStyle w:val="20"/>
        <w:ind w:firstLine="480" w:firstLineChars="200"/>
        <w:rPr>
          <w:rFonts w:hint="default"/>
          <w:sz w:val="24"/>
          <w:szCs w:val="24"/>
          <w:highlight w:val="none"/>
          <w:lang w:val="en-US" w:eastAsia="zh-CN"/>
        </w:rPr>
      </w:pPr>
      <w:r>
        <w:rPr>
          <w:rFonts w:hint="default"/>
          <w:sz w:val="24"/>
          <w:szCs w:val="24"/>
          <w:highlight w:val="none"/>
          <w:lang w:val="en-US" w:eastAsia="zh-CN"/>
        </w:rPr>
        <w:t>党政机关办公区物业服务的防恐应急防范的必要性主要体现在以下几个方面：</w:t>
      </w:r>
    </w:p>
    <w:p w14:paraId="1E2C6270">
      <w:pPr>
        <w:pStyle w:val="20"/>
        <w:spacing w:line="360" w:lineRule="auto"/>
        <w:ind w:firstLine="480" w:firstLineChars="200"/>
        <w:rPr>
          <w:rFonts w:hint="default" w:ascii="Calibri" w:hAnsi="Calibri" w:eastAsia="宋体" w:cs="Times New Roman"/>
          <w:kern w:val="2"/>
          <w:sz w:val="24"/>
          <w:szCs w:val="24"/>
          <w:highlight w:val="none"/>
          <w:lang w:val="en-US" w:eastAsia="zh-CN" w:bidi="ar-SA"/>
        </w:rPr>
      </w:pPr>
      <w:r>
        <w:rPr>
          <w:rFonts w:hint="default" w:ascii="Calibri" w:hAnsi="Calibri" w:eastAsia="宋体" w:cs="Times New Roman"/>
          <w:kern w:val="2"/>
          <w:sz w:val="24"/>
          <w:szCs w:val="24"/>
          <w:highlight w:val="none"/>
          <w:lang w:val="en-US" w:eastAsia="zh-CN" w:bidi="ar-SA"/>
        </w:rPr>
        <w:t xml:space="preserve">1 </w:t>
      </w:r>
      <w:r>
        <w:rPr>
          <w:rFonts w:hint="eastAsia" w:ascii="Calibri" w:hAnsi="Calibri" w:eastAsia="宋体" w:cs="Times New Roman"/>
          <w:kern w:val="2"/>
          <w:sz w:val="24"/>
          <w:szCs w:val="24"/>
          <w:highlight w:val="none"/>
          <w:lang w:val="en-US" w:eastAsia="zh-CN" w:bidi="ar-SA"/>
        </w:rPr>
        <w:t xml:space="preserve"> </w:t>
      </w:r>
      <w:r>
        <w:rPr>
          <w:rFonts w:hint="default" w:ascii="Calibri" w:hAnsi="Calibri" w:eastAsia="宋体" w:cs="Times New Roman"/>
          <w:kern w:val="2"/>
          <w:sz w:val="24"/>
          <w:szCs w:val="24"/>
          <w:highlight w:val="none"/>
          <w:lang w:val="en-US" w:eastAsia="zh-CN" w:bidi="ar-SA"/>
        </w:rPr>
        <w:t>党政机关作为国家的</w:t>
      </w:r>
      <w:r>
        <w:rPr>
          <w:rFonts w:hint="eastAsia" w:ascii="Calibri" w:hAnsi="Calibri" w:cs="Times New Roman"/>
          <w:kern w:val="2"/>
          <w:sz w:val="24"/>
          <w:szCs w:val="24"/>
          <w:highlight w:val="none"/>
          <w:lang w:val="en-US" w:eastAsia="zh-CN" w:bidi="ar-SA"/>
        </w:rPr>
        <w:t>职能管理</w:t>
      </w:r>
      <w:r>
        <w:rPr>
          <w:rFonts w:hint="default" w:ascii="Calibri" w:hAnsi="Calibri" w:eastAsia="宋体" w:cs="Times New Roman"/>
          <w:kern w:val="2"/>
          <w:sz w:val="24"/>
          <w:szCs w:val="24"/>
          <w:highlight w:val="none"/>
          <w:lang w:val="en-US" w:eastAsia="zh-CN" w:bidi="ar-SA"/>
        </w:rPr>
        <w:t>机构，其所在物业区域的安全稳定直接关系到社会的稳定。一旦发生恐怖袭击事件，不仅会造成直接的人员伤亡和财产损失，更可能引发社会恐慌和政治动荡。因此，加强党政机关</w:t>
      </w:r>
      <w:r>
        <w:rPr>
          <w:rFonts w:hint="eastAsia" w:ascii="Calibri" w:hAnsi="Calibri" w:cs="Times New Roman"/>
          <w:kern w:val="2"/>
          <w:sz w:val="24"/>
          <w:szCs w:val="24"/>
          <w:highlight w:val="none"/>
          <w:lang w:val="en-US" w:eastAsia="zh-CN" w:bidi="ar-SA"/>
        </w:rPr>
        <w:t>办公区</w:t>
      </w:r>
      <w:r>
        <w:rPr>
          <w:rFonts w:hint="default" w:ascii="Calibri" w:hAnsi="Calibri" w:eastAsia="宋体" w:cs="Times New Roman"/>
          <w:kern w:val="2"/>
          <w:sz w:val="24"/>
          <w:szCs w:val="24"/>
          <w:highlight w:val="none"/>
          <w:lang w:val="en-US" w:eastAsia="zh-CN" w:bidi="ar-SA"/>
        </w:rPr>
        <w:t>物业服务的防恐应急防范，是保障核心区域安全、维护国家政权稳定的必然要求。</w:t>
      </w:r>
    </w:p>
    <w:p w14:paraId="208A8BBD">
      <w:pPr>
        <w:pStyle w:val="20"/>
        <w:spacing w:line="360" w:lineRule="auto"/>
        <w:ind w:firstLine="480" w:firstLineChars="200"/>
        <w:rPr>
          <w:rFonts w:hint="default" w:ascii="Calibri" w:hAnsi="Calibri" w:eastAsia="宋体" w:cs="Times New Roman"/>
          <w:kern w:val="2"/>
          <w:sz w:val="24"/>
          <w:szCs w:val="24"/>
          <w:highlight w:val="none"/>
          <w:lang w:val="en-US" w:eastAsia="zh-CN" w:bidi="ar-SA"/>
        </w:rPr>
      </w:pPr>
      <w:r>
        <w:rPr>
          <w:rFonts w:hint="default" w:ascii="Calibri" w:hAnsi="Calibri" w:eastAsia="宋体" w:cs="Times New Roman"/>
          <w:kern w:val="2"/>
          <w:sz w:val="24"/>
          <w:szCs w:val="24"/>
          <w:highlight w:val="none"/>
          <w:lang w:val="en-US" w:eastAsia="zh-CN" w:bidi="ar-SA"/>
        </w:rPr>
        <w:t xml:space="preserve">2 </w:t>
      </w:r>
      <w:r>
        <w:rPr>
          <w:rFonts w:hint="eastAsia" w:ascii="Calibri" w:hAnsi="Calibri" w:cs="Times New Roman"/>
          <w:kern w:val="2"/>
          <w:sz w:val="24"/>
          <w:szCs w:val="24"/>
          <w:highlight w:val="none"/>
          <w:lang w:val="en-US" w:eastAsia="zh-CN" w:bidi="ar-SA"/>
        </w:rPr>
        <w:t xml:space="preserve"> </w:t>
      </w:r>
      <w:r>
        <w:rPr>
          <w:rFonts w:hint="default" w:ascii="Calibri" w:hAnsi="Calibri" w:eastAsia="宋体" w:cs="Times New Roman"/>
          <w:kern w:val="2"/>
          <w:sz w:val="24"/>
          <w:szCs w:val="24"/>
          <w:highlight w:val="none"/>
          <w:lang w:val="en-US" w:eastAsia="zh-CN" w:bidi="ar-SA"/>
        </w:rPr>
        <w:t>加强物业服务的防恐应急防范，可以有效预防和应对恐怖袭击事件的发生。通过建立健全的预警机制、完善应急预案</w:t>
      </w:r>
      <w:r>
        <w:rPr>
          <w:rFonts w:hint="eastAsia" w:ascii="Calibri" w:hAnsi="Calibri" w:cs="Times New Roman"/>
          <w:kern w:val="2"/>
          <w:sz w:val="24"/>
          <w:szCs w:val="24"/>
          <w:highlight w:val="none"/>
          <w:lang w:val="en-US" w:eastAsia="zh-CN" w:bidi="ar-SA"/>
        </w:rPr>
        <w:t>、常态化应急演练</w:t>
      </w:r>
      <w:r>
        <w:rPr>
          <w:rFonts w:hint="default" w:ascii="Calibri" w:hAnsi="Calibri" w:eastAsia="宋体" w:cs="Times New Roman"/>
          <w:kern w:val="2"/>
          <w:sz w:val="24"/>
          <w:szCs w:val="24"/>
          <w:highlight w:val="none"/>
          <w:lang w:val="en-US" w:eastAsia="zh-CN" w:bidi="ar-SA"/>
        </w:rPr>
        <w:t>等措施，可以及时发现并消除潜在的恐怖威胁，确保党政机关的安全运行。通过加强防恐应急防范工作，还可以提升党政机关的形象和公信力，增强人民群众对政府的信任和支持。</w:t>
      </w:r>
    </w:p>
    <w:p w14:paraId="38A0F715">
      <w:pPr>
        <w:spacing w:line="360" w:lineRule="auto"/>
        <w:ind w:firstLine="480" w:firstLineChars="200"/>
        <w:rPr>
          <w:rFonts w:hint="default"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 xml:space="preserve">3 </w:t>
      </w:r>
      <w:r>
        <w:rPr>
          <w:rFonts w:hint="default" w:ascii="Calibri" w:hAnsi="Calibri" w:eastAsia="宋体" w:cs="Times New Roman"/>
          <w:kern w:val="2"/>
          <w:sz w:val="24"/>
          <w:szCs w:val="24"/>
          <w:highlight w:val="none"/>
          <w:lang w:val="en-US" w:eastAsia="zh-CN" w:bidi="ar-SA"/>
        </w:rPr>
        <w:t xml:space="preserve"> 通过加强防恐应急防范工作，可以有效遏制恐怖袭击事件的发生，减少社会恐慌和不安定因素的产生。这有助于维护社会的稳定和谐，为经济发展提供良好的社会环境。</w:t>
      </w:r>
    </w:p>
    <w:p w14:paraId="4991C8CB">
      <w:pPr>
        <w:rPr>
          <w:rFonts w:hint="default" w:ascii="Calibri" w:hAnsi="Calibri" w:eastAsia="宋体" w:cs="Times New Roman"/>
          <w:kern w:val="2"/>
          <w:sz w:val="24"/>
          <w:szCs w:val="24"/>
          <w:highlight w:val="none"/>
          <w:lang w:val="en-US" w:eastAsia="zh-CN" w:bidi="ar-SA"/>
        </w:rPr>
      </w:pPr>
    </w:p>
    <w:p w14:paraId="72AD1CAB">
      <w:pPr>
        <w:rPr>
          <w:rFonts w:hint="default"/>
          <w:sz w:val="24"/>
          <w:szCs w:val="24"/>
          <w:highlight w:val="none"/>
          <w:lang w:val="en-US" w:eastAsia="zh-CN"/>
        </w:rPr>
      </w:pPr>
    </w:p>
    <w:p w14:paraId="6B0C844D">
      <w:pPr>
        <w:pStyle w:val="20"/>
        <w:rPr>
          <w:rFonts w:hint="default"/>
          <w:sz w:val="24"/>
          <w:szCs w:val="24"/>
          <w:highlight w:val="none"/>
          <w:lang w:val="en-US" w:eastAsia="zh-CN"/>
        </w:rPr>
      </w:pPr>
    </w:p>
    <w:p w14:paraId="1EE1584C">
      <w:pPr>
        <w:rPr>
          <w:rFonts w:hint="default"/>
          <w:sz w:val="24"/>
          <w:szCs w:val="24"/>
          <w:highlight w:val="none"/>
          <w:lang w:val="en-US" w:eastAsia="zh-CN"/>
        </w:rPr>
      </w:pPr>
    </w:p>
    <w:p w14:paraId="10D337CB">
      <w:pPr>
        <w:pStyle w:val="20"/>
        <w:rPr>
          <w:rFonts w:hint="default"/>
          <w:sz w:val="24"/>
          <w:szCs w:val="24"/>
          <w:highlight w:val="none"/>
          <w:lang w:val="en-US" w:eastAsia="zh-CN"/>
        </w:rPr>
      </w:pPr>
    </w:p>
    <w:p w14:paraId="1881DC88">
      <w:pPr>
        <w:rPr>
          <w:rFonts w:hint="default"/>
          <w:sz w:val="24"/>
          <w:szCs w:val="24"/>
          <w:highlight w:val="none"/>
          <w:lang w:val="en-US" w:eastAsia="zh-CN"/>
        </w:rPr>
      </w:pPr>
    </w:p>
    <w:p w14:paraId="42CD692A">
      <w:pPr>
        <w:pStyle w:val="20"/>
        <w:rPr>
          <w:rFonts w:hint="default"/>
          <w:sz w:val="24"/>
          <w:szCs w:val="24"/>
          <w:highlight w:val="none"/>
          <w:lang w:val="en-US" w:eastAsia="zh-CN"/>
        </w:rPr>
      </w:pPr>
    </w:p>
    <w:p w14:paraId="4EB68859">
      <w:pPr>
        <w:rPr>
          <w:rFonts w:hint="default"/>
          <w:sz w:val="24"/>
          <w:szCs w:val="24"/>
          <w:highlight w:val="none"/>
          <w:lang w:val="en-US" w:eastAsia="zh-CN"/>
        </w:rPr>
      </w:pPr>
    </w:p>
    <w:p w14:paraId="07F72041">
      <w:pPr>
        <w:pStyle w:val="20"/>
        <w:rPr>
          <w:rFonts w:hint="default"/>
          <w:sz w:val="24"/>
          <w:szCs w:val="24"/>
          <w:highlight w:val="none"/>
          <w:lang w:val="en-US" w:eastAsia="zh-CN"/>
        </w:rPr>
      </w:pPr>
    </w:p>
    <w:p w14:paraId="49B34224">
      <w:pPr>
        <w:pStyle w:val="20"/>
        <w:rPr>
          <w:rFonts w:hint="default"/>
          <w:sz w:val="24"/>
          <w:szCs w:val="24"/>
          <w:highlight w:val="none"/>
          <w:lang w:val="en-US" w:eastAsia="zh-CN"/>
        </w:rPr>
      </w:pPr>
    </w:p>
    <w:p w14:paraId="08930D3E">
      <w:pPr>
        <w:rPr>
          <w:rFonts w:hint="default"/>
          <w:sz w:val="24"/>
          <w:szCs w:val="24"/>
          <w:highlight w:val="none"/>
          <w:lang w:val="en-US" w:eastAsia="zh-CN"/>
        </w:rPr>
      </w:pPr>
    </w:p>
    <w:p w14:paraId="762044E9">
      <w:pPr>
        <w:pStyle w:val="2"/>
        <w:bidi w:val="0"/>
        <w:jc w:val="center"/>
        <w:rPr>
          <w:rFonts w:hint="eastAsia" w:ascii="宋体" w:hAnsi="宋体" w:eastAsia="宋体" w:cs="宋体"/>
          <w:sz w:val="30"/>
          <w:szCs w:val="30"/>
          <w:highlight w:val="none"/>
          <w:lang w:val="en-US" w:eastAsia="zh-CN"/>
        </w:rPr>
      </w:pPr>
      <w:bookmarkStart w:id="593" w:name="_Toc19881"/>
      <w:bookmarkStart w:id="594" w:name="_Toc22942"/>
      <w:bookmarkStart w:id="595" w:name="_Toc16099"/>
      <w:bookmarkStart w:id="596" w:name="_Toc2804"/>
      <w:bookmarkStart w:id="597" w:name="_Toc25600"/>
      <w:bookmarkStart w:id="598" w:name="_Toc25717"/>
      <w:r>
        <w:rPr>
          <w:rFonts w:hint="eastAsia" w:ascii="宋体" w:hAnsi="宋体" w:eastAsia="宋体" w:cs="宋体"/>
          <w:sz w:val="30"/>
          <w:szCs w:val="30"/>
          <w:highlight w:val="none"/>
          <w:lang w:val="en-US" w:eastAsia="zh-CN"/>
        </w:rPr>
        <w:t xml:space="preserve">11 </w:t>
      </w:r>
      <w:bookmarkEnd w:id="593"/>
      <w:bookmarkEnd w:id="594"/>
      <w:bookmarkEnd w:id="595"/>
      <w:bookmarkEnd w:id="596"/>
      <w:bookmarkEnd w:id="597"/>
      <w:bookmarkEnd w:id="598"/>
      <w:r>
        <w:rPr>
          <w:rFonts w:hint="eastAsia" w:ascii="宋体" w:hAnsi="宋体" w:eastAsia="宋体" w:cs="宋体"/>
          <w:sz w:val="30"/>
          <w:szCs w:val="30"/>
          <w:highlight w:val="none"/>
          <w:lang w:val="en-US" w:eastAsia="zh-CN"/>
        </w:rPr>
        <w:t>额外专业服务</w:t>
      </w:r>
    </w:p>
    <w:p w14:paraId="20F8B83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Ⅲ  会议、招待用餐</w:t>
      </w:r>
    </w:p>
    <w:p w14:paraId="59D54280">
      <w:pPr>
        <w:bidi w:val="0"/>
        <w:spacing w:line="360" w:lineRule="auto"/>
        <w:rPr>
          <w:rFonts w:hint="eastAsia"/>
          <w:sz w:val="24"/>
          <w:szCs w:val="24"/>
          <w:highlight w:val="none"/>
          <w:lang w:val="en-US" w:eastAsia="zh-CN"/>
        </w:rPr>
      </w:pPr>
      <w:r>
        <w:rPr>
          <w:rFonts w:hint="eastAsia" w:ascii="宋体" w:hAnsi="宋体" w:eastAsia="宋体" w:cs="宋体"/>
          <w:b/>
          <w:bCs/>
          <w:i w:val="0"/>
          <w:color w:val="auto"/>
          <w:kern w:val="2"/>
          <w:sz w:val="24"/>
          <w:szCs w:val="24"/>
          <w:highlight w:val="none"/>
          <w:lang w:val="en-US" w:eastAsia="zh-CN" w:bidi="ar-SA"/>
        </w:rPr>
        <w:t>1</w:t>
      </w:r>
      <w:r>
        <w:rPr>
          <w:rFonts w:hint="eastAsia" w:ascii="宋体" w:hAnsi="宋体" w:cs="宋体"/>
          <w:b/>
          <w:bCs/>
          <w:i w:val="0"/>
          <w:color w:val="auto"/>
          <w:kern w:val="2"/>
          <w:sz w:val="24"/>
          <w:szCs w:val="24"/>
          <w:highlight w:val="none"/>
          <w:lang w:val="en-US" w:eastAsia="zh-CN" w:bidi="ar-SA"/>
        </w:rPr>
        <w:t>1</w:t>
      </w:r>
      <w:r>
        <w:rPr>
          <w:rFonts w:hint="eastAsia" w:ascii="宋体" w:hAnsi="宋体" w:eastAsia="宋体" w:cs="宋体"/>
          <w:b/>
          <w:bCs/>
          <w:i w:val="0"/>
          <w:color w:val="auto"/>
          <w:kern w:val="2"/>
          <w:sz w:val="24"/>
          <w:szCs w:val="24"/>
          <w:highlight w:val="none"/>
          <w:lang w:val="en-US" w:eastAsia="zh-CN" w:bidi="ar-SA"/>
        </w:rPr>
        <w:t>.</w:t>
      </w:r>
      <w:r>
        <w:rPr>
          <w:rFonts w:hint="eastAsia" w:ascii="宋体" w:hAnsi="宋体" w:cs="宋体"/>
          <w:b/>
          <w:bCs/>
          <w:i w:val="0"/>
          <w:color w:val="auto"/>
          <w:kern w:val="2"/>
          <w:sz w:val="24"/>
          <w:szCs w:val="24"/>
          <w:highlight w:val="none"/>
          <w:lang w:val="en-US" w:eastAsia="zh-CN" w:bidi="ar-SA"/>
        </w:rPr>
        <w:t>1</w:t>
      </w:r>
      <w:r>
        <w:rPr>
          <w:rFonts w:hint="eastAsia" w:ascii="宋体" w:hAnsi="宋体" w:eastAsia="宋体" w:cs="宋体"/>
          <w:b/>
          <w:bCs/>
          <w:i w:val="0"/>
          <w:color w:val="auto"/>
          <w:sz w:val="24"/>
          <w:szCs w:val="24"/>
          <w:highlight w:val="none"/>
          <w:lang w:val="en-US" w:eastAsia="zh-CN" w:bidi="ar-SA"/>
        </w:rPr>
        <w:t>.</w:t>
      </w:r>
      <w:r>
        <w:rPr>
          <w:rFonts w:hint="eastAsia" w:ascii="宋体" w:hAnsi="宋体" w:cs="宋体"/>
          <w:b/>
          <w:bCs/>
          <w:i w:val="0"/>
          <w:color w:val="auto"/>
          <w:sz w:val="24"/>
          <w:szCs w:val="24"/>
          <w:highlight w:val="none"/>
          <w:lang w:val="en-US" w:eastAsia="zh-CN" w:bidi="ar-SA"/>
        </w:rPr>
        <w:t>12</w:t>
      </w:r>
      <w:r>
        <w:rPr>
          <w:rFonts w:hint="eastAsia" w:ascii="宋体" w:hAnsi="宋体" w:eastAsia="宋体" w:cs="宋体"/>
          <w:b/>
          <w:bCs/>
          <w:i w:val="0"/>
          <w:color w:val="auto"/>
          <w:sz w:val="24"/>
          <w:szCs w:val="24"/>
          <w:highlight w:val="none"/>
          <w:lang w:val="en-US" w:eastAsia="zh-CN" w:bidi="ar-SA"/>
        </w:rPr>
        <w:t xml:space="preserve">  </w:t>
      </w:r>
      <w:r>
        <w:rPr>
          <w:rFonts w:hint="eastAsia"/>
          <w:sz w:val="24"/>
          <w:szCs w:val="24"/>
          <w:highlight w:val="none"/>
          <w:lang w:val="en-US" w:eastAsia="zh-CN"/>
        </w:rPr>
        <w:t>陪餐的经办人员是指会议或招待举办方陪同参会或招待人员到食堂餐厅用餐的相关工作人员，而非物业服务人员。</w:t>
      </w:r>
    </w:p>
    <w:p w14:paraId="6D694E1B">
      <w:pPr>
        <w:pStyle w:val="20"/>
        <w:rPr>
          <w:rFonts w:hint="default"/>
          <w:highlight w:val="none"/>
          <w:lang w:val="en-US" w:eastAsia="zh-CN"/>
        </w:rPr>
      </w:pPr>
    </w:p>
    <w:p w14:paraId="50CA6B16">
      <w:pPr>
        <w:rPr>
          <w:rFonts w:hint="default"/>
          <w:highlight w:val="none"/>
          <w:lang w:val="en-US" w:eastAsia="zh-CN"/>
        </w:rPr>
      </w:pPr>
    </w:p>
    <w:p w14:paraId="3D28A920">
      <w:pPr>
        <w:spacing w:line="360" w:lineRule="auto"/>
        <w:rPr>
          <w:rFonts w:hint="eastAsia"/>
          <w:sz w:val="24"/>
          <w:szCs w:val="24"/>
          <w:highlight w:val="none"/>
          <w:lang w:val="en-US" w:eastAsia="zh-CN"/>
        </w:rPr>
      </w:pPr>
    </w:p>
    <w:p w14:paraId="02EB6511">
      <w:pPr>
        <w:pStyle w:val="16"/>
        <w:rPr>
          <w:rFonts w:hint="default"/>
          <w:color w:val="auto"/>
          <w:highlight w:val="none"/>
          <w:lang w:val="en-US" w:eastAsia="zh-CN"/>
        </w:rPr>
      </w:pPr>
    </w:p>
    <w:sectPr>
      <w:headerReference r:id="rId11" w:type="default"/>
      <w:footerReference r:id="rId13" w:type="default"/>
      <w:headerReference r:id="rId12" w:type="even"/>
      <w:footerReference r:id="rId14" w:type="even"/>
      <w:pgSz w:w="11907" w:h="16839"/>
      <w:pgMar w:top="1418" w:right="1134" w:bottom="1134" w:left="1418" w:header="1418" w:footer="113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7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D9">
    <w:pPr>
      <w:pStyle w:val="27"/>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E6E507">
                          <w:pPr>
                            <w:pStyle w:val="27"/>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OJj8kBAACa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a8ocdzixC/fv11+/Lr8/Epe&#10;5v70AWpMuwuYmIa3fsDc2Q/ozLIHFW3+oiCCcezu+dpdOSQi8qP1ar2uMCQwNl8Qnz08DxHSO+kt&#10;yUZDI46vdJWfPkAaU+eUXM35W21MGaFxfzkQM3tY5j5yzFYa9sMkaO/bM+rpcfINdbjolJj3Dhub&#10;l2Q24mzsZ+MYoj50SG1ZeEF4c0xIonDLFUbYqTCOrKib1ivvxJ/3kvXw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ss4mPyQEAAJoDAAAOAAAAAAAAAAEAIAAAAB4BAABkcnMvZTJvRG9j&#10;LnhtbFBLBQYAAAAABgAGAFkBAABZBQAAAAA=&#10;">
              <v:fill on="f" focussize="0,0"/>
              <v:stroke on="f"/>
              <v:imagedata o:title=""/>
              <o:lock v:ext="edit" aspectratio="f"/>
              <v:textbox inset="0mm,0mm,0mm,0mm" style="mso-fit-shape-to-text:t;">
                <w:txbxContent>
                  <w:p w14:paraId="51E6E507">
                    <w:pPr>
                      <w:pStyle w:val="2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EAB6">
    <w:pPr>
      <w:pStyle w:val="56"/>
      <w:rPr>
        <w:rStyle w:val="42"/>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1B7FC">
                          <w:pPr>
                            <w:pStyle w:val="27"/>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I</w:t>
                          </w:r>
                          <w:r>
                            <w:rPr>
                              <w:rFonts w:hint="default" w:ascii="Times New Roman" w:hAnsi="Times New Roman" w:eastAsia="宋体" w:cs="Times New Roman"/>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beEsk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9xt4SyQEAAJoDAAAOAAAAAAAAAAEAIAAAAB4BAABkcnMvZTJvRG9j&#10;LnhtbFBLBQYAAAAABgAGAFkBAABZBQAAAAA=&#10;">
              <v:fill on="f" focussize="0,0"/>
              <v:stroke on="f"/>
              <v:imagedata o:title=""/>
              <o:lock v:ext="edit" aspectratio="f"/>
              <v:textbox inset="0mm,0mm,0mm,0mm" style="mso-fit-shape-to-text:t;">
                <w:txbxContent>
                  <w:p w14:paraId="0011B7FC">
                    <w:pPr>
                      <w:pStyle w:val="27"/>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I</w:t>
                    </w:r>
                    <w:r>
                      <w:rPr>
                        <w:rFonts w:hint="default" w:ascii="Times New Roman" w:hAnsi="Times New Roman" w:eastAsia="宋体" w:cs="Times New Roman"/>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5221">
    <w:pPr>
      <w:pStyle w:val="27"/>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1C0A00">
                          <w:pPr>
                            <w:pStyle w:val="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wduskBAACa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bihxHGLE7/8+H75+fvy6xt5&#10;nf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DB26yQEAAJoDAAAOAAAAAAAAAAEAIAAAAB4BAABkcnMvZTJvRG9j&#10;LnhtbFBLBQYAAAAABgAGAFkBAABZBQAAAAA=&#10;">
              <v:fill on="f" focussize="0,0"/>
              <v:stroke on="f"/>
              <v:imagedata o:title=""/>
              <o:lock v:ext="edit" aspectratio="f"/>
              <v:textbox inset="0mm,0mm,0mm,0mm" style="mso-fit-shape-to-text:t;">
                <w:txbxContent>
                  <w:p w14:paraId="7C1C0A00">
                    <w:pPr>
                      <w:pStyle w:val="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9EB4">
    <w:pPr>
      <w:pStyle w:val="2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5658A">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III</w:t>
                          </w:r>
                          <w:r>
                            <w:rPr>
                              <w:i w:val="0"/>
                              <w:iCs w:val="0"/>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E5658A">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III</w:t>
                    </w:r>
                    <w:r>
                      <w:rPr>
                        <w:i w:val="0"/>
                        <w:iCs w:val="0"/>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068A">
    <w:pPr>
      <w:pStyle w:val="2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380A8">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w:t>
                          </w:r>
                          <w:r>
                            <w:rPr>
                              <w:i w:val="0"/>
                              <w:iCs w:val="0"/>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D380A8">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w:t>
                    </w:r>
                    <w:r>
                      <w:rPr>
                        <w:i w:val="0"/>
                        <w:iCs w:val="0"/>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EDE0E">
    <w:pPr>
      <w:pStyle w:val="56"/>
      <w:rPr>
        <w:rStyle w:val="42"/>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28AC7">
                          <w:pPr>
                            <w:pStyle w:val="2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428AC7">
                    <w:pPr>
                      <w:pStyle w:val="2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CA38E">
    <w:pPr>
      <w:pStyle w:val="27"/>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D6387">
                          <w:pPr>
                            <w:pStyle w:val="27"/>
                          </w:pPr>
                          <w:r>
                            <w:fldChar w:fldCharType="begin"/>
                          </w:r>
                          <w:r>
                            <w:instrText xml:space="preserve"> PAGE  \* MERGEFORMAT </w:instrText>
                          </w:r>
                          <w:r>
                            <w:fldChar w:fldCharType="separate"/>
                          </w:r>
                          <w:r>
                            <w:t>LVI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77D6387">
                    <w:pPr>
                      <w:pStyle w:val="27"/>
                    </w:pPr>
                    <w:r>
                      <w:fldChar w:fldCharType="begin"/>
                    </w:r>
                    <w:r>
                      <w:instrText xml:space="preserve"> PAGE  \* MERGEFORMAT </w:instrText>
                    </w:r>
                    <w:r>
                      <w:fldChar w:fldCharType="separate"/>
                    </w:r>
                    <w:r>
                      <w:t>LVI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4720">
    <w:pPr>
      <w:jc w:val="right"/>
      <w:rPr>
        <w:rFonts w:hint="default" w:ascii="黑体" w:eastAsia="黑体"/>
        <w:spacing w:val="1"/>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2A00A">
    <w:pPr>
      <w:pStyle w:val="28"/>
      <w:pBdr>
        <w:bottom w:val="none" w:color="auto" w:sz="0" w:space="0"/>
      </w:pBdr>
      <w:jc w:val="left"/>
      <w:rPr>
        <w:rFonts w:hint="eastAsia" w:ascii="黑体" w:eastAsia="黑体"/>
        <w:color w:val="000000"/>
        <w:spacing w:val="1"/>
        <w:kern w:val="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00BAE">
    <w:pPr>
      <w:pStyle w:val="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08B14">
    <w:pPr>
      <w:pBdr>
        <w:bottom w:val="none" w:color="auto" w:sz="0" w:space="0"/>
      </w:pBdr>
      <w:jc w:val="right"/>
      <w:rPr>
        <w:rFonts w:hint="eastAsia" w:ascii="黑体" w:eastAsia="黑体"/>
        <w:color w:val="000000"/>
        <w:spacing w:val="1"/>
        <w:kern w:val="0"/>
        <w:sz w:val="21"/>
        <w:szCs w:val="21"/>
        <w:highlight w:val="yellow"/>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FCCE">
    <w:pPr>
      <w:pStyle w:val="28"/>
      <w:pBdr>
        <w:bottom w:val="none" w:color="auto" w:sz="0" w:space="0"/>
      </w:pBdr>
      <w:jc w:val="left"/>
      <w:rPr>
        <w:rFonts w:hint="eastAsia" w:ascii="黑体" w:eastAsia="黑体"/>
        <w:color w:val="000000"/>
        <w:spacing w:val="1"/>
        <w:kern w:val="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pStyle w:val="12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F"/>
    <w:multiLevelType w:val="multilevel"/>
    <w:tmpl w:val="0000000F"/>
    <w:lvl w:ilvl="0" w:tentative="0">
      <w:start w:val="1"/>
      <w:numFmt w:val="none"/>
      <w:pStyle w:val="94"/>
      <w:lvlText w:val=""/>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3"/>
    <w:multiLevelType w:val="multilevel"/>
    <w:tmpl w:val="00000013"/>
    <w:lvl w:ilvl="0" w:tentative="0">
      <w:start w:val="1"/>
      <w:numFmt w:val="lowerLetter"/>
      <w:pStyle w:val="128"/>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0000014"/>
    <w:multiLevelType w:val="multilevel"/>
    <w:tmpl w:val="00000014"/>
    <w:lvl w:ilvl="0" w:tentative="0">
      <w:start w:val="1"/>
      <w:numFmt w:val="none"/>
      <w:pStyle w:val="111"/>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5"/>
    <w:multiLevelType w:val="multilevel"/>
    <w:tmpl w:val="00000015"/>
    <w:lvl w:ilvl="0" w:tentative="0">
      <w:start w:val="1"/>
      <w:numFmt w:val="none"/>
      <w:pStyle w:val="87"/>
      <w:lvlText w:val=""/>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8"/>
    <w:multiLevelType w:val="multilevel"/>
    <w:tmpl w:val="00000018"/>
    <w:lvl w:ilvl="0" w:tentative="0">
      <w:start w:val="1"/>
      <w:numFmt w:val="none"/>
      <w:pStyle w:val="113"/>
      <w:lvlText w:val=""/>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9"/>
    <w:multiLevelType w:val="multilevel"/>
    <w:tmpl w:val="00000019"/>
    <w:lvl w:ilvl="0" w:tentative="0">
      <w:start w:val="1"/>
      <w:numFmt w:val="none"/>
      <w:pStyle w:val="115"/>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A"/>
    <w:multiLevelType w:val="multilevel"/>
    <w:tmpl w:val="0000001A"/>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D"/>
    <w:multiLevelType w:val="multilevel"/>
    <w:tmpl w:val="0000001D"/>
    <w:lvl w:ilvl="0" w:tentative="0">
      <w:start w:val="1"/>
      <w:numFmt w:val="none"/>
      <w:pStyle w:val="125"/>
      <w:lvlText w:val=""/>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F"/>
    <w:multiLevelType w:val="multilevel"/>
    <w:tmpl w:val="0000001F"/>
    <w:lvl w:ilvl="0" w:tentative="0">
      <w:start w:val="1"/>
      <w:numFmt w:val="decimal"/>
      <w:pStyle w:val="9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20"/>
    <w:multiLevelType w:val="multilevel"/>
    <w:tmpl w:val="00000020"/>
    <w:lvl w:ilvl="0" w:tentative="0">
      <w:start w:val="1"/>
      <w:numFmt w:val="upperLetter"/>
      <w:pStyle w:val="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96"/>
      <w:suff w:val="nothing"/>
      <w:lvlText w:val="%1.%2　"/>
      <w:lvlJc w:val="left"/>
      <w:pPr>
        <w:ind w:left="315"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21"/>
    <w:multiLevelType w:val="multilevel"/>
    <w:tmpl w:val="00000021"/>
    <w:lvl w:ilvl="0" w:tentative="0">
      <w:start w:val="1"/>
      <w:numFmt w:val="none"/>
      <w:pStyle w:val="58"/>
      <w:suff w:val="nothing"/>
      <w:lvlText w:val=""/>
      <w:lvlJc w:val="left"/>
      <w:pPr>
        <w:ind w:left="0" w:firstLine="0"/>
      </w:pPr>
      <w:rPr>
        <w:rFonts w:hint="default" w:ascii="Times New Roman" w:hAnsi="Times New Roman"/>
        <w:b/>
        <w:i w:val="0"/>
        <w:sz w:val="21"/>
      </w:rPr>
    </w:lvl>
    <w:lvl w:ilvl="1" w:tentative="0">
      <w:start w:val="1"/>
      <w:numFmt w:val="decimal"/>
      <w:pStyle w:val="62"/>
      <w:suff w:val="nothing"/>
      <w:lvlText w:val="%1%2　"/>
      <w:lvlJc w:val="left"/>
      <w:pPr>
        <w:ind w:left="0" w:firstLine="0"/>
      </w:pPr>
      <w:rPr>
        <w:rFonts w:hint="eastAsia" w:ascii="黑体" w:hAnsi="Times New Roman" w:eastAsia="黑体"/>
        <w:b w:val="0"/>
        <w:i w:val="0"/>
        <w:sz w:val="21"/>
      </w:rPr>
    </w:lvl>
    <w:lvl w:ilvl="2" w:tentative="0">
      <w:start w:val="1"/>
      <w:numFmt w:val="decimal"/>
      <w:pStyle w:val="63"/>
      <w:suff w:val="nothing"/>
      <w:lvlText w:val="%1%2.%3　"/>
      <w:lvlJc w:val="left"/>
      <w:pPr>
        <w:ind w:left="1575" w:firstLine="0"/>
      </w:pPr>
      <w:rPr>
        <w:rFonts w:hint="eastAsia" w:ascii="宋体" w:hAnsi="宋体" w:eastAsia="宋体"/>
        <w:b w:val="0"/>
        <w:i w:val="0"/>
        <w:color w:val="000000"/>
        <w:sz w:val="21"/>
      </w:rPr>
    </w:lvl>
    <w:lvl w:ilvl="3" w:tentative="0">
      <w:start w:val="1"/>
      <w:numFmt w:val="decimal"/>
      <w:pStyle w:val="78"/>
      <w:suff w:val="nothing"/>
      <w:lvlText w:val="%1%2.%3.%4　"/>
      <w:lvlJc w:val="left"/>
      <w:pPr>
        <w:ind w:left="735" w:firstLine="0"/>
      </w:pPr>
      <w:rPr>
        <w:rFonts w:hint="eastAsia" w:ascii="黑体" w:hAnsi="Times New Roman" w:eastAsia="黑体"/>
        <w:b w:val="0"/>
        <w:i w:val="0"/>
        <w:sz w:val="21"/>
      </w:rPr>
    </w:lvl>
    <w:lvl w:ilvl="4" w:tentative="0">
      <w:start w:val="1"/>
      <w:numFmt w:val="decimal"/>
      <w:pStyle w:val="68"/>
      <w:suff w:val="nothing"/>
      <w:lvlText w:val="%1%2.%3.%4.%5　"/>
      <w:lvlJc w:val="left"/>
      <w:pPr>
        <w:ind w:left="105"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00000022"/>
    <w:multiLevelType w:val="multilevel"/>
    <w:tmpl w:val="00000022"/>
    <w:lvl w:ilvl="0" w:tentative="0">
      <w:start w:val="1"/>
      <w:numFmt w:val="none"/>
      <w:pStyle w:val="112"/>
      <w:lvlText w:val=""/>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4"/>
    <w:multiLevelType w:val="multilevel"/>
    <w:tmpl w:val="00000024"/>
    <w:lvl w:ilvl="0" w:tentative="0">
      <w:start w:val="1"/>
      <w:numFmt w:val="none"/>
      <w:pStyle w:val="86"/>
      <w:lvlText w:val=""/>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C541AEA"/>
    <w:multiLevelType w:val="multilevel"/>
    <w:tmpl w:val="0C541AEA"/>
    <w:lvl w:ilvl="0" w:tentative="0">
      <w:start w:val="1"/>
      <w:numFmt w:val="decimal"/>
      <w:suff w:val="space"/>
      <w:lvlText w:val="%1"/>
      <w:lvlJc w:val="left"/>
      <w:pPr>
        <w:ind w:left="0" w:firstLine="0"/>
      </w:pPr>
      <w:rPr>
        <w:rFonts w:hint="eastAsia"/>
        <w:lang w:bidi="zh-CN"/>
      </w:rPr>
    </w:lvl>
    <w:lvl w:ilvl="1" w:tentative="0">
      <w:start w:val="0"/>
      <w:numFmt w:val="decimal"/>
      <w:suff w:val="space"/>
      <w:lvlText w:val="%1.%2"/>
      <w:lvlJc w:val="left"/>
      <w:pPr>
        <w:ind w:left="0" w:firstLine="0"/>
      </w:pPr>
      <w:rPr>
        <w:rFonts w:hint="eastAsia"/>
      </w:rPr>
    </w:lvl>
    <w:lvl w:ilvl="2" w:tentative="0">
      <w:start w:val="1"/>
      <w:numFmt w:val="decimal"/>
      <w:pStyle w:val="129"/>
      <w:suff w:val="space"/>
      <w:lvlText w:val="%1.%2.%3"/>
      <w:lvlJc w:val="left"/>
      <w:pPr>
        <w:ind w:left="568" w:firstLine="0"/>
      </w:pPr>
      <w:rPr>
        <w:rFonts w:hint="default" w:ascii="Times New Roman" w:hAnsi="Times New Roman"/>
        <w:b/>
        <w:i w:val="0"/>
      </w:rPr>
    </w:lvl>
    <w:lvl w:ilvl="3" w:tentative="0">
      <w:start w:val="1"/>
      <w:numFmt w:val="decimal"/>
      <w:suff w:val="space"/>
      <w:lvlText w:val="%1.%2.%3.%4"/>
      <w:lvlJc w:val="left"/>
      <w:pPr>
        <w:ind w:left="0" w:firstLine="0"/>
      </w:pPr>
      <w:rPr>
        <w:rFonts w:hint="eastAsia"/>
      </w:rPr>
    </w:lvl>
    <w:lvl w:ilvl="4" w:tentative="0">
      <w:start w:val="1"/>
      <w:numFmt w:val="none"/>
      <w:lvlRestart w:val="0"/>
      <w:suff w:val="space"/>
      <w:lvlText w:val="表%1.%2.%3"/>
      <w:lvlJc w:val="center"/>
      <w:pPr>
        <w:ind w:left="0" w:firstLine="288"/>
      </w:pPr>
      <w:rPr>
        <w:rFonts w:hint="eastAsia"/>
        <w:lang w:val="en-US"/>
      </w:rPr>
    </w:lvl>
    <w:lvl w:ilvl="5" w:tentative="0">
      <w:start w:val="1"/>
      <w:numFmt w:val="none"/>
      <w:lvlRestart w:val="0"/>
      <w:suff w:val="space"/>
      <w:lvlText w:val="图%1.%2.%3"/>
      <w:lvlJc w:val="center"/>
      <w:pPr>
        <w:ind w:left="0" w:firstLine="288"/>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5">
    <w:nsid w:val="1997947F"/>
    <w:multiLevelType w:val="singleLevel"/>
    <w:tmpl w:val="1997947F"/>
    <w:lvl w:ilvl="0" w:tentative="0">
      <w:start w:val="1"/>
      <w:numFmt w:val="decimal"/>
      <w:lvlText w:val="%1)"/>
      <w:lvlJc w:val="left"/>
      <w:pPr>
        <w:ind w:left="425" w:hanging="425"/>
      </w:pPr>
      <w:rPr>
        <w:rFonts w:hint="default"/>
      </w:rPr>
    </w:lvl>
  </w:abstractNum>
  <w:num w:numId="1">
    <w:abstractNumId w:val="11"/>
  </w:num>
  <w:num w:numId="2">
    <w:abstractNumId w:val="0"/>
  </w:num>
  <w:num w:numId="3">
    <w:abstractNumId w:val="13"/>
  </w:num>
  <w:num w:numId="4">
    <w:abstractNumId w:val="4"/>
  </w:num>
  <w:num w:numId="5">
    <w:abstractNumId w:val="10"/>
  </w:num>
  <w:num w:numId="6">
    <w:abstractNumId w:val="9"/>
  </w:num>
  <w:num w:numId="7">
    <w:abstractNumId w:val="1"/>
  </w:num>
  <w:num w:numId="8">
    <w:abstractNumId w:val="7"/>
  </w:num>
  <w:num w:numId="9">
    <w:abstractNumId w:val="3"/>
  </w:num>
  <w:num w:numId="10">
    <w:abstractNumId w:val="12"/>
  </w:num>
  <w:num w:numId="11">
    <w:abstractNumId w:val="5"/>
  </w:num>
  <w:num w:numId="12">
    <w:abstractNumId w:val="6"/>
  </w:num>
  <w:num w:numId="13">
    <w:abstractNumId w:val="8"/>
  </w:num>
  <w:num w:numId="14">
    <w:abstractNumId w:val="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hyphenationZone w:val="36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 w:name="KSO_WPS_MARK_KEY" w:val="7da62668-5c16-4cf6-826d-669a363fe455"/>
  </w:docVars>
  <w:rsids>
    <w:rsidRoot w:val="00172A27"/>
    <w:rsid w:val="00001725"/>
    <w:rsid w:val="0000214A"/>
    <w:rsid w:val="00002C4F"/>
    <w:rsid w:val="00003BE2"/>
    <w:rsid w:val="00003F9F"/>
    <w:rsid w:val="0000418B"/>
    <w:rsid w:val="0000490D"/>
    <w:rsid w:val="00005E3A"/>
    <w:rsid w:val="00005E79"/>
    <w:rsid w:val="00006259"/>
    <w:rsid w:val="00006309"/>
    <w:rsid w:val="00007412"/>
    <w:rsid w:val="00010D34"/>
    <w:rsid w:val="0001167D"/>
    <w:rsid w:val="00011736"/>
    <w:rsid w:val="0001198C"/>
    <w:rsid w:val="00012C1F"/>
    <w:rsid w:val="00013580"/>
    <w:rsid w:val="0001384C"/>
    <w:rsid w:val="00015A2D"/>
    <w:rsid w:val="00015A3A"/>
    <w:rsid w:val="000168B6"/>
    <w:rsid w:val="00016CE2"/>
    <w:rsid w:val="00016D56"/>
    <w:rsid w:val="0001745F"/>
    <w:rsid w:val="00017B86"/>
    <w:rsid w:val="000206E1"/>
    <w:rsid w:val="00021205"/>
    <w:rsid w:val="000213D4"/>
    <w:rsid w:val="00021C44"/>
    <w:rsid w:val="00022164"/>
    <w:rsid w:val="00023106"/>
    <w:rsid w:val="000234DF"/>
    <w:rsid w:val="000244D4"/>
    <w:rsid w:val="00024D50"/>
    <w:rsid w:val="00025815"/>
    <w:rsid w:val="00025B87"/>
    <w:rsid w:val="00026BAB"/>
    <w:rsid w:val="00027D87"/>
    <w:rsid w:val="00030516"/>
    <w:rsid w:val="0003062B"/>
    <w:rsid w:val="00030675"/>
    <w:rsid w:val="00032164"/>
    <w:rsid w:val="000328F3"/>
    <w:rsid w:val="00033235"/>
    <w:rsid w:val="00034326"/>
    <w:rsid w:val="00034B80"/>
    <w:rsid w:val="000355A3"/>
    <w:rsid w:val="00035912"/>
    <w:rsid w:val="00035C60"/>
    <w:rsid w:val="00035DD9"/>
    <w:rsid w:val="00035E5E"/>
    <w:rsid w:val="00036BC8"/>
    <w:rsid w:val="000371EF"/>
    <w:rsid w:val="000372D6"/>
    <w:rsid w:val="000377C5"/>
    <w:rsid w:val="0003797D"/>
    <w:rsid w:val="00037EDF"/>
    <w:rsid w:val="00040458"/>
    <w:rsid w:val="000406A8"/>
    <w:rsid w:val="00041076"/>
    <w:rsid w:val="000418B8"/>
    <w:rsid w:val="00041933"/>
    <w:rsid w:val="000426E9"/>
    <w:rsid w:val="00042B39"/>
    <w:rsid w:val="00042D68"/>
    <w:rsid w:val="00043D01"/>
    <w:rsid w:val="00043E63"/>
    <w:rsid w:val="000442C8"/>
    <w:rsid w:val="00044B2E"/>
    <w:rsid w:val="00044EED"/>
    <w:rsid w:val="00045024"/>
    <w:rsid w:val="00045292"/>
    <w:rsid w:val="00045FFF"/>
    <w:rsid w:val="00046249"/>
    <w:rsid w:val="00047CB0"/>
    <w:rsid w:val="0005000F"/>
    <w:rsid w:val="00050093"/>
    <w:rsid w:val="0005069A"/>
    <w:rsid w:val="00050A6E"/>
    <w:rsid w:val="00050C83"/>
    <w:rsid w:val="00050CDB"/>
    <w:rsid w:val="00051F19"/>
    <w:rsid w:val="0005222D"/>
    <w:rsid w:val="00052C37"/>
    <w:rsid w:val="0005345A"/>
    <w:rsid w:val="0005347F"/>
    <w:rsid w:val="00054550"/>
    <w:rsid w:val="00054882"/>
    <w:rsid w:val="00054930"/>
    <w:rsid w:val="000557BF"/>
    <w:rsid w:val="0005582D"/>
    <w:rsid w:val="000559D8"/>
    <w:rsid w:val="00055D0C"/>
    <w:rsid w:val="00056A02"/>
    <w:rsid w:val="00060342"/>
    <w:rsid w:val="000609EA"/>
    <w:rsid w:val="00060DC6"/>
    <w:rsid w:val="000613BE"/>
    <w:rsid w:val="00061EF3"/>
    <w:rsid w:val="00062ABD"/>
    <w:rsid w:val="00062B14"/>
    <w:rsid w:val="000635DC"/>
    <w:rsid w:val="000642A0"/>
    <w:rsid w:val="00065062"/>
    <w:rsid w:val="00065A0F"/>
    <w:rsid w:val="00065C68"/>
    <w:rsid w:val="0006719C"/>
    <w:rsid w:val="00067600"/>
    <w:rsid w:val="000679E5"/>
    <w:rsid w:val="00070FFC"/>
    <w:rsid w:val="000710A7"/>
    <w:rsid w:val="000712C3"/>
    <w:rsid w:val="000717BB"/>
    <w:rsid w:val="0007181C"/>
    <w:rsid w:val="0007440D"/>
    <w:rsid w:val="000746CD"/>
    <w:rsid w:val="00074A8D"/>
    <w:rsid w:val="00074AE0"/>
    <w:rsid w:val="00074D51"/>
    <w:rsid w:val="000751F7"/>
    <w:rsid w:val="00075CA7"/>
    <w:rsid w:val="000762B4"/>
    <w:rsid w:val="000765F6"/>
    <w:rsid w:val="00076A8C"/>
    <w:rsid w:val="00076FCD"/>
    <w:rsid w:val="00077989"/>
    <w:rsid w:val="000779CB"/>
    <w:rsid w:val="00077A6B"/>
    <w:rsid w:val="00080587"/>
    <w:rsid w:val="00080D3C"/>
    <w:rsid w:val="00080DB1"/>
    <w:rsid w:val="00080E33"/>
    <w:rsid w:val="0008101A"/>
    <w:rsid w:val="00081E1F"/>
    <w:rsid w:val="000855A3"/>
    <w:rsid w:val="00085CC0"/>
    <w:rsid w:val="0008639F"/>
    <w:rsid w:val="00086899"/>
    <w:rsid w:val="0008718D"/>
    <w:rsid w:val="000873B6"/>
    <w:rsid w:val="00090491"/>
    <w:rsid w:val="00090942"/>
    <w:rsid w:val="00090AE5"/>
    <w:rsid w:val="00091231"/>
    <w:rsid w:val="000913C1"/>
    <w:rsid w:val="00092023"/>
    <w:rsid w:val="000932B5"/>
    <w:rsid w:val="000941AA"/>
    <w:rsid w:val="00094245"/>
    <w:rsid w:val="00094CD5"/>
    <w:rsid w:val="00094E32"/>
    <w:rsid w:val="00094FBF"/>
    <w:rsid w:val="00095084"/>
    <w:rsid w:val="00095F8B"/>
    <w:rsid w:val="0009607F"/>
    <w:rsid w:val="00096360"/>
    <w:rsid w:val="000967F2"/>
    <w:rsid w:val="0009752A"/>
    <w:rsid w:val="00097651"/>
    <w:rsid w:val="000978A2"/>
    <w:rsid w:val="000A0862"/>
    <w:rsid w:val="000A1FD2"/>
    <w:rsid w:val="000A25DA"/>
    <w:rsid w:val="000A2BBA"/>
    <w:rsid w:val="000A2E4D"/>
    <w:rsid w:val="000A335A"/>
    <w:rsid w:val="000A35B4"/>
    <w:rsid w:val="000A3A9E"/>
    <w:rsid w:val="000A3C62"/>
    <w:rsid w:val="000A4415"/>
    <w:rsid w:val="000A47C7"/>
    <w:rsid w:val="000A5328"/>
    <w:rsid w:val="000A56E5"/>
    <w:rsid w:val="000A6DEB"/>
    <w:rsid w:val="000A6EAA"/>
    <w:rsid w:val="000B04F6"/>
    <w:rsid w:val="000B0990"/>
    <w:rsid w:val="000B10A8"/>
    <w:rsid w:val="000B1584"/>
    <w:rsid w:val="000B166D"/>
    <w:rsid w:val="000B17DA"/>
    <w:rsid w:val="000B1F52"/>
    <w:rsid w:val="000B2290"/>
    <w:rsid w:val="000B35E5"/>
    <w:rsid w:val="000B39CD"/>
    <w:rsid w:val="000B3BD8"/>
    <w:rsid w:val="000B47C7"/>
    <w:rsid w:val="000B49E1"/>
    <w:rsid w:val="000B6C35"/>
    <w:rsid w:val="000B70F1"/>
    <w:rsid w:val="000C20DC"/>
    <w:rsid w:val="000C2586"/>
    <w:rsid w:val="000C26E0"/>
    <w:rsid w:val="000C2BF9"/>
    <w:rsid w:val="000C2DD8"/>
    <w:rsid w:val="000C3FAB"/>
    <w:rsid w:val="000C3FBC"/>
    <w:rsid w:val="000C41DD"/>
    <w:rsid w:val="000C4769"/>
    <w:rsid w:val="000C486F"/>
    <w:rsid w:val="000C4A05"/>
    <w:rsid w:val="000C4D38"/>
    <w:rsid w:val="000C5ADF"/>
    <w:rsid w:val="000C64D0"/>
    <w:rsid w:val="000C66A8"/>
    <w:rsid w:val="000C6A40"/>
    <w:rsid w:val="000C7006"/>
    <w:rsid w:val="000C7839"/>
    <w:rsid w:val="000D13B3"/>
    <w:rsid w:val="000D20CE"/>
    <w:rsid w:val="000D31E0"/>
    <w:rsid w:val="000D3263"/>
    <w:rsid w:val="000D330C"/>
    <w:rsid w:val="000D3374"/>
    <w:rsid w:val="000D36D5"/>
    <w:rsid w:val="000D3F5C"/>
    <w:rsid w:val="000D400C"/>
    <w:rsid w:val="000D5472"/>
    <w:rsid w:val="000D56BE"/>
    <w:rsid w:val="000D6253"/>
    <w:rsid w:val="000D6981"/>
    <w:rsid w:val="000D6AF1"/>
    <w:rsid w:val="000D6E0E"/>
    <w:rsid w:val="000D756F"/>
    <w:rsid w:val="000D7A1A"/>
    <w:rsid w:val="000E0047"/>
    <w:rsid w:val="000E0D33"/>
    <w:rsid w:val="000E2A22"/>
    <w:rsid w:val="000E2A61"/>
    <w:rsid w:val="000E31E1"/>
    <w:rsid w:val="000E345A"/>
    <w:rsid w:val="000E4105"/>
    <w:rsid w:val="000E435D"/>
    <w:rsid w:val="000E49BE"/>
    <w:rsid w:val="000E5435"/>
    <w:rsid w:val="000E56D8"/>
    <w:rsid w:val="000E584E"/>
    <w:rsid w:val="000E6301"/>
    <w:rsid w:val="000E6F1F"/>
    <w:rsid w:val="000E789D"/>
    <w:rsid w:val="000F10D8"/>
    <w:rsid w:val="000F1351"/>
    <w:rsid w:val="000F1483"/>
    <w:rsid w:val="000F1A4B"/>
    <w:rsid w:val="000F2BEC"/>
    <w:rsid w:val="000F321A"/>
    <w:rsid w:val="000F3AC2"/>
    <w:rsid w:val="000F59D6"/>
    <w:rsid w:val="000F622F"/>
    <w:rsid w:val="000F6524"/>
    <w:rsid w:val="000F6634"/>
    <w:rsid w:val="000F6EF0"/>
    <w:rsid w:val="000F7424"/>
    <w:rsid w:val="00101D84"/>
    <w:rsid w:val="0010266C"/>
    <w:rsid w:val="001027A8"/>
    <w:rsid w:val="001028D3"/>
    <w:rsid w:val="00102C86"/>
    <w:rsid w:val="00103A1D"/>
    <w:rsid w:val="00104EB5"/>
    <w:rsid w:val="00105E48"/>
    <w:rsid w:val="00107445"/>
    <w:rsid w:val="00107F39"/>
    <w:rsid w:val="00110571"/>
    <w:rsid w:val="00110C41"/>
    <w:rsid w:val="001116B0"/>
    <w:rsid w:val="00111AB2"/>
    <w:rsid w:val="00111D24"/>
    <w:rsid w:val="00111E2B"/>
    <w:rsid w:val="00112ACA"/>
    <w:rsid w:val="00113075"/>
    <w:rsid w:val="001130D3"/>
    <w:rsid w:val="00113133"/>
    <w:rsid w:val="001134D0"/>
    <w:rsid w:val="001138A6"/>
    <w:rsid w:val="001141C1"/>
    <w:rsid w:val="001147F5"/>
    <w:rsid w:val="00115268"/>
    <w:rsid w:val="001155B4"/>
    <w:rsid w:val="00115B79"/>
    <w:rsid w:val="0011616F"/>
    <w:rsid w:val="00116D30"/>
    <w:rsid w:val="00117A47"/>
    <w:rsid w:val="001216BD"/>
    <w:rsid w:val="00122272"/>
    <w:rsid w:val="00123C19"/>
    <w:rsid w:val="00124530"/>
    <w:rsid w:val="0012466A"/>
    <w:rsid w:val="00124900"/>
    <w:rsid w:val="00124E85"/>
    <w:rsid w:val="00126066"/>
    <w:rsid w:val="00127E0B"/>
    <w:rsid w:val="00130CDE"/>
    <w:rsid w:val="00130F1C"/>
    <w:rsid w:val="001312C5"/>
    <w:rsid w:val="00132349"/>
    <w:rsid w:val="00132546"/>
    <w:rsid w:val="001325CF"/>
    <w:rsid w:val="00132E7F"/>
    <w:rsid w:val="00133523"/>
    <w:rsid w:val="00133715"/>
    <w:rsid w:val="0013393D"/>
    <w:rsid w:val="00133C78"/>
    <w:rsid w:val="0013411A"/>
    <w:rsid w:val="00134892"/>
    <w:rsid w:val="0013495D"/>
    <w:rsid w:val="00134992"/>
    <w:rsid w:val="00134A9E"/>
    <w:rsid w:val="00134FCA"/>
    <w:rsid w:val="00135014"/>
    <w:rsid w:val="001353B4"/>
    <w:rsid w:val="001358FD"/>
    <w:rsid w:val="0013645B"/>
    <w:rsid w:val="0013673B"/>
    <w:rsid w:val="0013690A"/>
    <w:rsid w:val="00136B08"/>
    <w:rsid w:val="001372F3"/>
    <w:rsid w:val="00137CBA"/>
    <w:rsid w:val="001405A3"/>
    <w:rsid w:val="00140601"/>
    <w:rsid w:val="001406A1"/>
    <w:rsid w:val="00140957"/>
    <w:rsid w:val="0014264A"/>
    <w:rsid w:val="00143011"/>
    <w:rsid w:val="00143222"/>
    <w:rsid w:val="00143748"/>
    <w:rsid w:val="00143C36"/>
    <w:rsid w:val="001442FD"/>
    <w:rsid w:val="001455EA"/>
    <w:rsid w:val="0014586B"/>
    <w:rsid w:val="001458FB"/>
    <w:rsid w:val="00145D86"/>
    <w:rsid w:val="00146396"/>
    <w:rsid w:val="001472E6"/>
    <w:rsid w:val="0014761E"/>
    <w:rsid w:val="00147B3F"/>
    <w:rsid w:val="0015059C"/>
    <w:rsid w:val="00150FDA"/>
    <w:rsid w:val="00151B19"/>
    <w:rsid w:val="0015259F"/>
    <w:rsid w:val="0015355A"/>
    <w:rsid w:val="001539D2"/>
    <w:rsid w:val="00153BA5"/>
    <w:rsid w:val="00153E4E"/>
    <w:rsid w:val="00153EB2"/>
    <w:rsid w:val="00154736"/>
    <w:rsid w:val="00154760"/>
    <w:rsid w:val="00154B34"/>
    <w:rsid w:val="00155592"/>
    <w:rsid w:val="001555EB"/>
    <w:rsid w:val="00156861"/>
    <w:rsid w:val="001574A6"/>
    <w:rsid w:val="00157B1D"/>
    <w:rsid w:val="00157D3C"/>
    <w:rsid w:val="001614AF"/>
    <w:rsid w:val="00161523"/>
    <w:rsid w:val="0016171E"/>
    <w:rsid w:val="001618F0"/>
    <w:rsid w:val="00161E5C"/>
    <w:rsid w:val="001625C1"/>
    <w:rsid w:val="001627E5"/>
    <w:rsid w:val="00163743"/>
    <w:rsid w:val="0016381D"/>
    <w:rsid w:val="00163FC9"/>
    <w:rsid w:val="00164786"/>
    <w:rsid w:val="00164853"/>
    <w:rsid w:val="00164C56"/>
    <w:rsid w:val="001654DA"/>
    <w:rsid w:val="00165C8D"/>
    <w:rsid w:val="00166076"/>
    <w:rsid w:val="00167123"/>
    <w:rsid w:val="001677CD"/>
    <w:rsid w:val="00167FDD"/>
    <w:rsid w:val="001700D5"/>
    <w:rsid w:val="001701C2"/>
    <w:rsid w:val="00170356"/>
    <w:rsid w:val="00171763"/>
    <w:rsid w:val="00171EDA"/>
    <w:rsid w:val="00171F2C"/>
    <w:rsid w:val="0017268F"/>
    <w:rsid w:val="00172897"/>
    <w:rsid w:val="00172C9C"/>
    <w:rsid w:val="00172DB9"/>
    <w:rsid w:val="00173B91"/>
    <w:rsid w:val="00173E86"/>
    <w:rsid w:val="00174317"/>
    <w:rsid w:val="00174696"/>
    <w:rsid w:val="0017496D"/>
    <w:rsid w:val="00174D10"/>
    <w:rsid w:val="00174EEF"/>
    <w:rsid w:val="00174F02"/>
    <w:rsid w:val="001751EA"/>
    <w:rsid w:val="0017695A"/>
    <w:rsid w:val="001769B9"/>
    <w:rsid w:val="00176AA0"/>
    <w:rsid w:val="00176C3C"/>
    <w:rsid w:val="001774A8"/>
    <w:rsid w:val="00180A07"/>
    <w:rsid w:val="00181774"/>
    <w:rsid w:val="00182094"/>
    <w:rsid w:val="001822B8"/>
    <w:rsid w:val="00182F8E"/>
    <w:rsid w:val="001831DE"/>
    <w:rsid w:val="001831EB"/>
    <w:rsid w:val="0018415A"/>
    <w:rsid w:val="00185672"/>
    <w:rsid w:val="00185ABE"/>
    <w:rsid w:val="00185CC9"/>
    <w:rsid w:val="00186C2A"/>
    <w:rsid w:val="00187011"/>
    <w:rsid w:val="00187257"/>
    <w:rsid w:val="00187433"/>
    <w:rsid w:val="00187892"/>
    <w:rsid w:val="0018799F"/>
    <w:rsid w:val="00190AB4"/>
    <w:rsid w:val="00190B2F"/>
    <w:rsid w:val="00191AC1"/>
    <w:rsid w:val="00191E3C"/>
    <w:rsid w:val="00192C13"/>
    <w:rsid w:val="00193D79"/>
    <w:rsid w:val="00193DD9"/>
    <w:rsid w:val="00193E8F"/>
    <w:rsid w:val="00197482"/>
    <w:rsid w:val="0019783F"/>
    <w:rsid w:val="00197B53"/>
    <w:rsid w:val="00197EE4"/>
    <w:rsid w:val="001A0461"/>
    <w:rsid w:val="001A07E0"/>
    <w:rsid w:val="001A1472"/>
    <w:rsid w:val="001A1A65"/>
    <w:rsid w:val="001A1FF0"/>
    <w:rsid w:val="001A20FB"/>
    <w:rsid w:val="001A2540"/>
    <w:rsid w:val="001A38FB"/>
    <w:rsid w:val="001A408F"/>
    <w:rsid w:val="001A40C6"/>
    <w:rsid w:val="001A55F9"/>
    <w:rsid w:val="001A5AA6"/>
    <w:rsid w:val="001A5D12"/>
    <w:rsid w:val="001A6169"/>
    <w:rsid w:val="001A6319"/>
    <w:rsid w:val="001A6327"/>
    <w:rsid w:val="001A763B"/>
    <w:rsid w:val="001A7EA7"/>
    <w:rsid w:val="001B182C"/>
    <w:rsid w:val="001B1A0B"/>
    <w:rsid w:val="001B1F87"/>
    <w:rsid w:val="001B2146"/>
    <w:rsid w:val="001B29A4"/>
    <w:rsid w:val="001B29E5"/>
    <w:rsid w:val="001B31FA"/>
    <w:rsid w:val="001B3A77"/>
    <w:rsid w:val="001B3E76"/>
    <w:rsid w:val="001B40B5"/>
    <w:rsid w:val="001B4626"/>
    <w:rsid w:val="001B4CA9"/>
    <w:rsid w:val="001B5AB8"/>
    <w:rsid w:val="001B6144"/>
    <w:rsid w:val="001B618C"/>
    <w:rsid w:val="001B6218"/>
    <w:rsid w:val="001B6FFA"/>
    <w:rsid w:val="001B738F"/>
    <w:rsid w:val="001B75C5"/>
    <w:rsid w:val="001B7817"/>
    <w:rsid w:val="001C01F0"/>
    <w:rsid w:val="001C0DA7"/>
    <w:rsid w:val="001C1349"/>
    <w:rsid w:val="001C1400"/>
    <w:rsid w:val="001C1742"/>
    <w:rsid w:val="001C19FD"/>
    <w:rsid w:val="001C1A36"/>
    <w:rsid w:val="001C203F"/>
    <w:rsid w:val="001C20E2"/>
    <w:rsid w:val="001C211A"/>
    <w:rsid w:val="001C267A"/>
    <w:rsid w:val="001C2841"/>
    <w:rsid w:val="001C2918"/>
    <w:rsid w:val="001C2D9D"/>
    <w:rsid w:val="001C2EFE"/>
    <w:rsid w:val="001C3181"/>
    <w:rsid w:val="001C3CD7"/>
    <w:rsid w:val="001C4089"/>
    <w:rsid w:val="001C41FE"/>
    <w:rsid w:val="001C4953"/>
    <w:rsid w:val="001C6631"/>
    <w:rsid w:val="001C7182"/>
    <w:rsid w:val="001C74D0"/>
    <w:rsid w:val="001C74FB"/>
    <w:rsid w:val="001C7E7F"/>
    <w:rsid w:val="001D02BA"/>
    <w:rsid w:val="001D06CF"/>
    <w:rsid w:val="001D0BBB"/>
    <w:rsid w:val="001D0EFF"/>
    <w:rsid w:val="001D1E2C"/>
    <w:rsid w:val="001D2308"/>
    <w:rsid w:val="001D3372"/>
    <w:rsid w:val="001D3EEB"/>
    <w:rsid w:val="001D3EFD"/>
    <w:rsid w:val="001D40C1"/>
    <w:rsid w:val="001D4371"/>
    <w:rsid w:val="001D4808"/>
    <w:rsid w:val="001D55D9"/>
    <w:rsid w:val="001D632C"/>
    <w:rsid w:val="001D63AB"/>
    <w:rsid w:val="001D6B84"/>
    <w:rsid w:val="001D732E"/>
    <w:rsid w:val="001D7B16"/>
    <w:rsid w:val="001D7F36"/>
    <w:rsid w:val="001D7FB5"/>
    <w:rsid w:val="001E0140"/>
    <w:rsid w:val="001E1D7B"/>
    <w:rsid w:val="001E2374"/>
    <w:rsid w:val="001E247C"/>
    <w:rsid w:val="001E4678"/>
    <w:rsid w:val="001E5284"/>
    <w:rsid w:val="001E5AEE"/>
    <w:rsid w:val="001E6DD3"/>
    <w:rsid w:val="001E71BE"/>
    <w:rsid w:val="001E7901"/>
    <w:rsid w:val="001F2054"/>
    <w:rsid w:val="001F2ABE"/>
    <w:rsid w:val="001F2DD2"/>
    <w:rsid w:val="001F331A"/>
    <w:rsid w:val="001F3798"/>
    <w:rsid w:val="001F497F"/>
    <w:rsid w:val="001F4A23"/>
    <w:rsid w:val="001F522E"/>
    <w:rsid w:val="001F5B1A"/>
    <w:rsid w:val="001F607B"/>
    <w:rsid w:val="001F669C"/>
    <w:rsid w:val="0020096A"/>
    <w:rsid w:val="00200A35"/>
    <w:rsid w:val="002016E9"/>
    <w:rsid w:val="002024CE"/>
    <w:rsid w:val="00202959"/>
    <w:rsid w:val="00203274"/>
    <w:rsid w:val="00203CE5"/>
    <w:rsid w:val="002044B3"/>
    <w:rsid w:val="002049FC"/>
    <w:rsid w:val="00205221"/>
    <w:rsid w:val="00205AFE"/>
    <w:rsid w:val="0020765E"/>
    <w:rsid w:val="00207E23"/>
    <w:rsid w:val="00210A6B"/>
    <w:rsid w:val="00210FD1"/>
    <w:rsid w:val="00211318"/>
    <w:rsid w:val="00211B9B"/>
    <w:rsid w:val="00211E7E"/>
    <w:rsid w:val="002122A7"/>
    <w:rsid w:val="00213303"/>
    <w:rsid w:val="00213675"/>
    <w:rsid w:val="00213A12"/>
    <w:rsid w:val="0021457D"/>
    <w:rsid w:val="002145B5"/>
    <w:rsid w:val="0021532B"/>
    <w:rsid w:val="00216574"/>
    <w:rsid w:val="00217746"/>
    <w:rsid w:val="00217C12"/>
    <w:rsid w:val="00220435"/>
    <w:rsid w:val="0022044B"/>
    <w:rsid w:val="00220926"/>
    <w:rsid w:val="00220965"/>
    <w:rsid w:val="00220BBB"/>
    <w:rsid w:val="00220CAC"/>
    <w:rsid w:val="00220FB2"/>
    <w:rsid w:val="00220FBB"/>
    <w:rsid w:val="00221D1B"/>
    <w:rsid w:val="00222684"/>
    <w:rsid w:val="0022287B"/>
    <w:rsid w:val="00224077"/>
    <w:rsid w:val="002242B1"/>
    <w:rsid w:val="0022461A"/>
    <w:rsid w:val="002246A1"/>
    <w:rsid w:val="00224706"/>
    <w:rsid w:val="00224826"/>
    <w:rsid w:val="00224D9D"/>
    <w:rsid w:val="00225064"/>
    <w:rsid w:val="002258F3"/>
    <w:rsid w:val="00226030"/>
    <w:rsid w:val="002266AC"/>
    <w:rsid w:val="00226B70"/>
    <w:rsid w:val="00230F2E"/>
    <w:rsid w:val="00231544"/>
    <w:rsid w:val="00231B7F"/>
    <w:rsid w:val="00231CC9"/>
    <w:rsid w:val="00231ED1"/>
    <w:rsid w:val="002328E8"/>
    <w:rsid w:val="00232F19"/>
    <w:rsid w:val="00233260"/>
    <w:rsid w:val="00233602"/>
    <w:rsid w:val="0023370C"/>
    <w:rsid w:val="002344CA"/>
    <w:rsid w:val="00234E71"/>
    <w:rsid w:val="002359A9"/>
    <w:rsid w:val="00235AA3"/>
    <w:rsid w:val="00235C3D"/>
    <w:rsid w:val="002370EC"/>
    <w:rsid w:val="0023767F"/>
    <w:rsid w:val="0024005D"/>
    <w:rsid w:val="002402FD"/>
    <w:rsid w:val="00240AC1"/>
    <w:rsid w:val="00240E9E"/>
    <w:rsid w:val="00241430"/>
    <w:rsid w:val="00241CCE"/>
    <w:rsid w:val="00242084"/>
    <w:rsid w:val="00242362"/>
    <w:rsid w:val="00242467"/>
    <w:rsid w:val="0024299E"/>
    <w:rsid w:val="00242AB6"/>
    <w:rsid w:val="002437AC"/>
    <w:rsid w:val="0024398C"/>
    <w:rsid w:val="00243A21"/>
    <w:rsid w:val="00243B11"/>
    <w:rsid w:val="00243D0E"/>
    <w:rsid w:val="00244193"/>
    <w:rsid w:val="00244226"/>
    <w:rsid w:val="00245002"/>
    <w:rsid w:val="002452D1"/>
    <w:rsid w:val="00245313"/>
    <w:rsid w:val="0024599B"/>
    <w:rsid w:val="00245F8F"/>
    <w:rsid w:val="00246255"/>
    <w:rsid w:val="00246420"/>
    <w:rsid w:val="00247254"/>
    <w:rsid w:val="00250BAB"/>
    <w:rsid w:val="00250DF7"/>
    <w:rsid w:val="002514AE"/>
    <w:rsid w:val="00251567"/>
    <w:rsid w:val="00251DA8"/>
    <w:rsid w:val="00252FD2"/>
    <w:rsid w:val="002543CE"/>
    <w:rsid w:val="00255AB5"/>
    <w:rsid w:val="002566A6"/>
    <w:rsid w:val="00257450"/>
    <w:rsid w:val="00260145"/>
    <w:rsid w:val="002608B1"/>
    <w:rsid w:val="002609EA"/>
    <w:rsid w:val="00260B58"/>
    <w:rsid w:val="00260B8E"/>
    <w:rsid w:val="00260C44"/>
    <w:rsid w:val="00260CA6"/>
    <w:rsid w:val="00260EE3"/>
    <w:rsid w:val="00261AD0"/>
    <w:rsid w:val="00261D85"/>
    <w:rsid w:val="0026217F"/>
    <w:rsid w:val="0026306E"/>
    <w:rsid w:val="00264272"/>
    <w:rsid w:val="00264408"/>
    <w:rsid w:val="0026585F"/>
    <w:rsid w:val="0026586A"/>
    <w:rsid w:val="00266EC9"/>
    <w:rsid w:val="0026719C"/>
    <w:rsid w:val="002672FF"/>
    <w:rsid w:val="002702CC"/>
    <w:rsid w:val="002707ED"/>
    <w:rsid w:val="00270F06"/>
    <w:rsid w:val="00271036"/>
    <w:rsid w:val="002737A1"/>
    <w:rsid w:val="00273E18"/>
    <w:rsid w:val="00273E73"/>
    <w:rsid w:val="00274295"/>
    <w:rsid w:val="002750C7"/>
    <w:rsid w:val="0027563C"/>
    <w:rsid w:val="00275D8D"/>
    <w:rsid w:val="00276A6C"/>
    <w:rsid w:val="00276B3D"/>
    <w:rsid w:val="002776B1"/>
    <w:rsid w:val="00280C5E"/>
    <w:rsid w:val="00281661"/>
    <w:rsid w:val="00281C1F"/>
    <w:rsid w:val="0028205C"/>
    <w:rsid w:val="002831F3"/>
    <w:rsid w:val="00283438"/>
    <w:rsid w:val="00283987"/>
    <w:rsid w:val="002843E3"/>
    <w:rsid w:val="00287A40"/>
    <w:rsid w:val="00290F9A"/>
    <w:rsid w:val="002912EE"/>
    <w:rsid w:val="002928D5"/>
    <w:rsid w:val="00293889"/>
    <w:rsid w:val="00294181"/>
    <w:rsid w:val="002941FC"/>
    <w:rsid w:val="0029465F"/>
    <w:rsid w:val="0029486A"/>
    <w:rsid w:val="00294A83"/>
    <w:rsid w:val="002954CE"/>
    <w:rsid w:val="002954DC"/>
    <w:rsid w:val="0029558F"/>
    <w:rsid w:val="00295BF5"/>
    <w:rsid w:val="002960FB"/>
    <w:rsid w:val="00297B9F"/>
    <w:rsid w:val="002A0033"/>
    <w:rsid w:val="002A0139"/>
    <w:rsid w:val="002A05D6"/>
    <w:rsid w:val="002A064A"/>
    <w:rsid w:val="002A075F"/>
    <w:rsid w:val="002A0EB1"/>
    <w:rsid w:val="002A1765"/>
    <w:rsid w:val="002A3A34"/>
    <w:rsid w:val="002A3DE8"/>
    <w:rsid w:val="002A43BC"/>
    <w:rsid w:val="002A4403"/>
    <w:rsid w:val="002A4699"/>
    <w:rsid w:val="002A4910"/>
    <w:rsid w:val="002A4DAF"/>
    <w:rsid w:val="002A58F4"/>
    <w:rsid w:val="002A62B4"/>
    <w:rsid w:val="002A6913"/>
    <w:rsid w:val="002A71EC"/>
    <w:rsid w:val="002A72A0"/>
    <w:rsid w:val="002A7A05"/>
    <w:rsid w:val="002B0155"/>
    <w:rsid w:val="002B0B22"/>
    <w:rsid w:val="002B124B"/>
    <w:rsid w:val="002B13EE"/>
    <w:rsid w:val="002B15EA"/>
    <w:rsid w:val="002B1B6A"/>
    <w:rsid w:val="002B1BA0"/>
    <w:rsid w:val="002B264D"/>
    <w:rsid w:val="002B391D"/>
    <w:rsid w:val="002B3C49"/>
    <w:rsid w:val="002B3F52"/>
    <w:rsid w:val="002B404F"/>
    <w:rsid w:val="002B5980"/>
    <w:rsid w:val="002B65AD"/>
    <w:rsid w:val="002B69BD"/>
    <w:rsid w:val="002B6DE9"/>
    <w:rsid w:val="002B6E65"/>
    <w:rsid w:val="002B78B1"/>
    <w:rsid w:val="002B7F82"/>
    <w:rsid w:val="002C2114"/>
    <w:rsid w:val="002C36FC"/>
    <w:rsid w:val="002C3942"/>
    <w:rsid w:val="002C3E37"/>
    <w:rsid w:val="002C4D7D"/>
    <w:rsid w:val="002C4DEE"/>
    <w:rsid w:val="002C4E8D"/>
    <w:rsid w:val="002C5270"/>
    <w:rsid w:val="002C6524"/>
    <w:rsid w:val="002C70EB"/>
    <w:rsid w:val="002C73A1"/>
    <w:rsid w:val="002C78AF"/>
    <w:rsid w:val="002C7F3C"/>
    <w:rsid w:val="002D07FC"/>
    <w:rsid w:val="002D0EB9"/>
    <w:rsid w:val="002D15DC"/>
    <w:rsid w:val="002D2375"/>
    <w:rsid w:val="002D27E1"/>
    <w:rsid w:val="002D2C1C"/>
    <w:rsid w:val="002D33C9"/>
    <w:rsid w:val="002D383A"/>
    <w:rsid w:val="002D51CE"/>
    <w:rsid w:val="002D5677"/>
    <w:rsid w:val="002D6683"/>
    <w:rsid w:val="002D6711"/>
    <w:rsid w:val="002D6936"/>
    <w:rsid w:val="002D76E2"/>
    <w:rsid w:val="002E001B"/>
    <w:rsid w:val="002E030B"/>
    <w:rsid w:val="002E0312"/>
    <w:rsid w:val="002E038F"/>
    <w:rsid w:val="002E0F07"/>
    <w:rsid w:val="002E1830"/>
    <w:rsid w:val="002E25D4"/>
    <w:rsid w:val="002E35E0"/>
    <w:rsid w:val="002E4A5C"/>
    <w:rsid w:val="002E52A3"/>
    <w:rsid w:val="002E5353"/>
    <w:rsid w:val="002E5A02"/>
    <w:rsid w:val="002E64E5"/>
    <w:rsid w:val="002E69A8"/>
    <w:rsid w:val="002E6BC2"/>
    <w:rsid w:val="002E6DB6"/>
    <w:rsid w:val="002E6F09"/>
    <w:rsid w:val="002E7AC8"/>
    <w:rsid w:val="002F0F99"/>
    <w:rsid w:val="002F15D8"/>
    <w:rsid w:val="002F1BC9"/>
    <w:rsid w:val="002F1F77"/>
    <w:rsid w:val="002F23C7"/>
    <w:rsid w:val="002F2C98"/>
    <w:rsid w:val="002F2F46"/>
    <w:rsid w:val="002F38E8"/>
    <w:rsid w:val="002F3A99"/>
    <w:rsid w:val="002F3CDD"/>
    <w:rsid w:val="002F44A3"/>
    <w:rsid w:val="002F4833"/>
    <w:rsid w:val="002F5820"/>
    <w:rsid w:val="002F5DB9"/>
    <w:rsid w:val="002F6727"/>
    <w:rsid w:val="002F6B65"/>
    <w:rsid w:val="002F6E1F"/>
    <w:rsid w:val="002F6F39"/>
    <w:rsid w:val="002F78D7"/>
    <w:rsid w:val="00300CCA"/>
    <w:rsid w:val="00300EDC"/>
    <w:rsid w:val="00301B2F"/>
    <w:rsid w:val="00303106"/>
    <w:rsid w:val="003039DA"/>
    <w:rsid w:val="00303CBF"/>
    <w:rsid w:val="0030487C"/>
    <w:rsid w:val="00305B82"/>
    <w:rsid w:val="00305C75"/>
    <w:rsid w:val="0030625A"/>
    <w:rsid w:val="00307D62"/>
    <w:rsid w:val="00310864"/>
    <w:rsid w:val="0031121E"/>
    <w:rsid w:val="00311694"/>
    <w:rsid w:val="00311769"/>
    <w:rsid w:val="00311ECF"/>
    <w:rsid w:val="00312344"/>
    <w:rsid w:val="00313107"/>
    <w:rsid w:val="00313CA4"/>
    <w:rsid w:val="0031468E"/>
    <w:rsid w:val="00314D21"/>
    <w:rsid w:val="003150AC"/>
    <w:rsid w:val="0031558B"/>
    <w:rsid w:val="003156FF"/>
    <w:rsid w:val="00316280"/>
    <w:rsid w:val="003165BD"/>
    <w:rsid w:val="00317078"/>
    <w:rsid w:val="0031736E"/>
    <w:rsid w:val="003173BA"/>
    <w:rsid w:val="00317FF1"/>
    <w:rsid w:val="0032061D"/>
    <w:rsid w:val="003208E5"/>
    <w:rsid w:val="003208FF"/>
    <w:rsid w:val="00320F62"/>
    <w:rsid w:val="003210CF"/>
    <w:rsid w:val="0032172C"/>
    <w:rsid w:val="00321E11"/>
    <w:rsid w:val="00321EBF"/>
    <w:rsid w:val="003224FB"/>
    <w:rsid w:val="00323786"/>
    <w:rsid w:val="0032393C"/>
    <w:rsid w:val="00323D53"/>
    <w:rsid w:val="003240B2"/>
    <w:rsid w:val="0032418C"/>
    <w:rsid w:val="00324196"/>
    <w:rsid w:val="00325D36"/>
    <w:rsid w:val="00325FCF"/>
    <w:rsid w:val="0032631B"/>
    <w:rsid w:val="00326779"/>
    <w:rsid w:val="0032683B"/>
    <w:rsid w:val="00326AAB"/>
    <w:rsid w:val="00326F77"/>
    <w:rsid w:val="003271A6"/>
    <w:rsid w:val="00327425"/>
    <w:rsid w:val="003306E3"/>
    <w:rsid w:val="0033122E"/>
    <w:rsid w:val="0033270E"/>
    <w:rsid w:val="0033294D"/>
    <w:rsid w:val="00332D2C"/>
    <w:rsid w:val="00332D42"/>
    <w:rsid w:val="003333F7"/>
    <w:rsid w:val="00335942"/>
    <w:rsid w:val="003365C4"/>
    <w:rsid w:val="00336727"/>
    <w:rsid w:val="003370F7"/>
    <w:rsid w:val="003415CB"/>
    <w:rsid w:val="00341693"/>
    <w:rsid w:val="0034197E"/>
    <w:rsid w:val="00341AB0"/>
    <w:rsid w:val="00341EAC"/>
    <w:rsid w:val="00342441"/>
    <w:rsid w:val="003432E8"/>
    <w:rsid w:val="003434B0"/>
    <w:rsid w:val="00344292"/>
    <w:rsid w:val="003445B1"/>
    <w:rsid w:val="00344CD7"/>
    <w:rsid w:val="003455F5"/>
    <w:rsid w:val="0034587B"/>
    <w:rsid w:val="00345C90"/>
    <w:rsid w:val="00346170"/>
    <w:rsid w:val="00346566"/>
    <w:rsid w:val="003466A1"/>
    <w:rsid w:val="003467DE"/>
    <w:rsid w:val="00346A7B"/>
    <w:rsid w:val="00346C4D"/>
    <w:rsid w:val="00346EE6"/>
    <w:rsid w:val="0034786A"/>
    <w:rsid w:val="00347946"/>
    <w:rsid w:val="0035000F"/>
    <w:rsid w:val="00351956"/>
    <w:rsid w:val="00352B79"/>
    <w:rsid w:val="0035351C"/>
    <w:rsid w:val="00353D3A"/>
    <w:rsid w:val="00353E09"/>
    <w:rsid w:val="00354540"/>
    <w:rsid w:val="003554B2"/>
    <w:rsid w:val="00355874"/>
    <w:rsid w:val="00355D80"/>
    <w:rsid w:val="003562B6"/>
    <w:rsid w:val="00356736"/>
    <w:rsid w:val="0035731C"/>
    <w:rsid w:val="00357429"/>
    <w:rsid w:val="00360194"/>
    <w:rsid w:val="003608EB"/>
    <w:rsid w:val="00360981"/>
    <w:rsid w:val="0036136D"/>
    <w:rsid w:val="003617BE"/>
    <w:rsid w:val="0036371E"/>
    <w:rsid w:val="003638C3"/>
    <w:rsid w:val="003639D0"/>
    <w:rsid w:val="00363D49"/>
    <w:rsid w:val="00365463"/>
    <w:rsid w:val="00365756"/>
    <w:rsid w:val="00365970"/>
    <w:rsid w:val="00365D2E"/>
    <w:rsid w:val="00366AE8"/>
    <w:rsid w:val="00367087"/>
    <w:rsid w:val="00367100"/>
    <w:rsid w:val="0036719B"/>
    <w:rsid w:val="00367226"/>
    <w:rsid w:val="003677C1"/>
    <w:rsid w:val="00367D75"/>
    <w:rsid w:val="00370BF1"/>
    <w:rsid w:val="003717FA"/>
    <w:rsid w:val="00371BC9"/>
    <w:rsid w:val="00371C18"/>
    <w:rsid w:val="0037244E"/>
    <w:rsid w:val="00372C50"/>
    <w:rsid w:val="00372FEB"/>
    <w:rsid w:val="00373715"/>
    <w:rsid w:val="00373740"/>
    <w:rsid w:val="00374A8F"/>
    <w:rsid w:val="00374B53"/>
    <w:rsid w:val="00375A16"/>
    <w:rsid w:val="00376452"/>
    <w:rsid w:val="00376E53"/>
    <w:rsid w:val="0037780D"/>
    <w:rsid w:val="0038049A"/>
    <w:rsid w:val="0038055B"/>
    <w:rsid w:val="003809C1"/>
    <w:rsid w:val="00380AE0"/>
    <w:rsid w:val="0038126D"/>
    <w:rsid w:val="00381598"/>
    <w:rsid w:val="003819ED"/>
    <w:rsid w:val="003831F5"/>
    <w:rsid w:val="00383DF6"/>
    <w:rsid w:val="00384329"/>
    <w:rsid w:val="003848B8"/>
    <w:rsid w:val="00384F82"/>
    <w:rsid w:val="00385476"/>
    <w:rsid w:val="0038562A"/>
    <w:rsid w:val="0038578F"/>
    <w:rsid w:val="00391623"/>
    <w:rsid w:val="00391DC0"/>
    <w:rsid w:val="00394A56"/>
    <w:rsid w:val="00394F41"/>
    <w:rsid w:val="0039546E"/>
    <w:rsid w:val="00395C45"/>
    <w:rsid w:val="003961A4"/>
    <w:rsid w:val="00396425"/>
    <w:rsid w:val="003A00C9"/>
    <w:rsid w:val="003A27FE"/>
    <w:rsid w:val="003A2B29"/>
    <w:rsid w:val="003A3745"/>
    <w:rsid w:val="003A3BC6"/>
    <w:rsid w:val="003A4082"/>
    <w:rsid w:val="003A413D"/>
    <w:rsid w:val="003A42D4"/>
    <w:rsid w:val="003A4CF1"/>
    <w:rsid w:val="003A4E6E"/>
    <w:rsid w:val="003A5CC2"/>
    <w:rsid w:val="003A6A32"/>
    <w:rsid w:val="003A6BF2"/>
    <w:rsid w:val="003A7814"/>
    <w:rsid w:val="003A7BB9"/>
    <w:rsid w:val="003B0311"/>
    <w:rsid w:val="003B161D"/>
    <w:rsid w:val="003B202C"/>
    <w:rsid w:val="003B255F"/>
    <w:rsid w:val="003B36E2"/>
    <w:rsid w:val="003B3744"/>
    <w:rsid w:val="003B3B18"/>
    <w:rsid w:val="003B4701"/>
    <w:rsid w:val="003B4DA5"/>
    <w:rsid w:val="003B5463"/>
    <w:rsid w:val="003B5482"/>
    <w:rsid w:val="003B5690"/>
    <w:rsid w:val="003B6439"/>
    <w:rsid w:val="003B6F7B"/>
    <w:rsid w:val="003B7934"/>
    <w:rsid w:val="003C0DDE"/>
    <w:rsid w:val="003C223B"/>
    <w:rsid w:val="003C26B8"/>
    <w:rsid w:val="003C29E2"/>
    <w:rsid w:val="003C2DC5"/>
    <w:rsid w:val="003C35E6"/>
    <w:rsid w:val="003C376C"/>
    <w:rsid w:val="003C3BE8"/>
    <w:rsid w:val="003C3C98"/>
    <w:rsid w:val="003C414E"/>
    <w:rsid w:val="003C596A"/>
    <w:rsid w:val="003C5DD3"/>
    <w:rsid w:val="003C5FC0"/>
    <w:rsid w:val="003C60F1"/>
    <w:rsid w:val="003C67A2"/>
    <w:rsid w:val="003C6A67"/>
    <w:rsid w:val="003C6B92"/>
    <w:rsid w:val="003C7D5B"/>
    <w:rsid w:val="003D008D"/>
    <w:rsid w:val="003D0600"/>
    <w:rsid w:val="003D1701"/>
    <w:rsid w:val="003D23C7"/>
    <w:rsid w:val="003D3687"/>
    <w:rsid w:val="003D4D57"/>
    <w:rsid w:val="003D578E"/>
    <w:rsid w:val="003D62BF"/>
    <w:rsid w:val="003D63FF"/>
    <w:rsid w:val="003D6A78"/>
    <w:rsid w:val="003D6CFA"/>
    <w:rsid w:val="003D6D8D"/>
    <w:rsid w:val="003E0991"/>
    <w:rsid w:val="003E0F2A"/>
    <w:rsid w:val="003E281E"/>
    <w:rsid w:val="003E390C"/>
    <w:rsid w:val="003E4974"/>
    <w:rsid w:val="003E4FBB"/>
    <w:rsid w:val="003E51FE"/>
    <w:rsid w:val="003E54F5"/>
    <w:rsid w:val="003E5F80"/>
    <w:rsid w:val="003E6EE9"/>
    <w:rsid w:val="003E7172"/>
    <w:rsid w:val="003E72FE"/>
    <w:rsid w:val="003E78C6"/>
    <w:rsid w:val="003E7D26"/>
    <w:rsid w:val="003E7F7C"/>
    <w:rsid w:val="003F0221"/>
    <w:rsid w:val="003F050F"/>
    <w:rsid w:val="003F0E13"/>
    <w:rsid w:val="003F19BB"/>
    <w:rsid w:val="003F1A2F"/>
    <w:rsid w:val="003F202E"/>
    <w:rsid w:val="003F21D3"/>
    <w:rsid w:val="003F2356"/>
    <w:rsid w:val="003F25C3"/>
    <w:rsid w:val="003F281A"/>
    <w:rsid w:val="003F2F92"/>
    <w:rsid w:val="003F39F0"/>
    <w:rsid w:val="003F3BB0"/>
    <w:rsid w:val="003F4D4C"/>
    <w:rsid w:val="003F541C"/>
    <w:rsid w:val="003F5692"/>
    <w:rsid w:val="003F5983"/>
    <w:rsid w:val="003F5995"/>
    <w:rsid w:val="003F5A91"/>
    <w:rsid w:val="003F5B4C"/>
    <w:rsid w:val="003F5FEC"/>
    <w:rsid w:val="003F6D8E"/>
    <w:rsid w:val="003F772D"/>
    <w:rsid w:val="003F7B49"/>
    <w:rsid w:val="00400BD2"/>
    <w:rsid w:val="00401929"/>
    <w:rsid w:val="00401C67"/>
    <w:rsid w:val="00402C3D"/>
    <w:rsid w:val="004030F5"/>
    <w:rsid w:val="00403746"/>
    <w:rsid w:val="004044E6"/>
    <w:rsid w:val="00404D06"/>
    <w:rsid w:val="004059BB"/>
    <w:rsid w:val="00405C03"/>
    <w:rsid w:val="00406184"/>
    <w:rsid w:val="004067BA"/>
    <w:rsid w:val="0041006B"/>
    <w:rsid w:val="00410B5A"/>
    <w:rsid w:val="00411F2D"/>
    <w:rsid w:val="00413638"/>
    <w:rsid w:val="00415B04"/>
    <w:rsid w:val="00415BF2"/>
    <w:rsid w:val="004161B9"/>
    <w:rsid w:val="00416253"/>
    <w:rsid w:val="004167EC"/>
    <w:rsid w:val="00417024"/>
    <w:rsid w:val="004170C4"/>
    <w:rsid w:val="0041717E"/>
    <w:rsid w:val="004172A8"/>
    <w:rsid w:val="00417C8A"/>
    <w:rsid w:val="004201F5"/>
    <w:rsid w:val="00420771"/>
    <w:rsid w:val="00420C48"/>
    <w:rsid w:val="00420D18"/>
    <w:rsid w:val="0042160D"/>
    <w:rsid w:val="004219F9"/>
    <w:rsid w:val="00421A78"/>
    <w:rsid w:val="004225B5"/>
    <w:rsid w:val="004226F4"/>
    <w:rsid w:val="0042304A"/>
    <w:rsid w:val="00423B59"/>
    <w:rsid w:val="00423CFC"/>
    <w:rsid w:val="00423FD1"/>
    <w:rsid w:val="004248DE"/>
    <w:rsid w:val="00424AC5"/>
    <w:rsid w:val="00426D8F"/>
    <w:rsid w:val="004275A5"/>
    <w:rsid w:val="00427A70"/>
    <w:rsid w:val="0043034C"/>
    <w:rsid w:val="00430CF1"/>
    <w:rsid w:val="0043114C"/>
    <w:rsid w:val="0043135C"/>
    <w:rsid w:val="004325FF"/>
    <w:rsid w:val="004328D7"/>
    <w:rsid w:val="00432DDF"/>
    <w:rsid w:val="0043331B"/>
    <w:rsid w:val="00433820"/>
    <w:rsid w:val="004339AD"/>
    <w:rsid w:val="00433C33"/>
    <w:rsid w:val="00434436"/>
    <w:rsid w:val="00434997"/>
    <w:rsid w:val="00434AC3"/>
    <w:rsid w:val="00434D5D"/>
    <w:rsid w:val="0043576C"/>
    <w:rsid w:val="0043581E"/>
    <w:rsid w:val="00436284"/>
    <w:rsid w:val="00436D09"/>
    <w:rsid w:val="00436DD5"/>
    <w:rsid w:val="0043785D"/>
    <w:rsid w:val="004414B7"/>
    <w:rsid w:val="0044154B"/>
    <w:rsid w:val="00441E28"/>
    <w:rsid w:val="00442CED"/>
    <w:rsid w:val="00442E6C"/>
    <w:rsid w:val="00443189"/>
    <w:rsid w:val="00443439"/>
    <w:rsid w:val="00444A11"/>
    <w:rsid w:val="00444E01"/>
    <w:rsid w:val="004455BE"/>
    <w:rsid w:val="004462AA"/>
    <w:rsid w:val="00446D97"/>
    <w:rsid w:val="004476F8"/>
    <w:rsid w:val="004502B2"/>
    <w:rsid w:val="0045075C"/>
    <w:rsid w:val="00450D5B"/>
    <w:rsid w:val="00451076"/>
    <w:rsid w:val="00451D86"/>
    <w:rsid w:val="0045242A"/>
    <w:rsid w:val="004529E2"/>
    <w:rsid w:val="00452A7D"/>
    <w:rsid w:val="004534FA"/>
    <w:rsid w:val="00455E55"/>
    <w:rsid w:val="0045606B"/>
    <w:rsid w:val="00456BE1"/>
    <w:rsid w:val="00456DB4"/>
    <w:rsid w:val="0045746E"/>
    <w:rsid w:val="004578A0"/>
    <w:rsid w:val="00457B87"/>
    <w:rsid w:val="00460047"/>
    <w:rsid w:val="004600C1"/>
    <w:rsid w:val="0046074F"/>
    <w:rsid w:val="00460B74"/>
    <w:rsid w:val="00460EDA"/>
    <w:rsid w:val="00461251"/>
    <w:rsid w:val="0046175F"/>
    <w:rsid w:val="0046219B"/>
    <w:rsid w:val="004623B5"/>
    <w:rsid w:val="004628BA"/>
    <w:rsid w:val="004638DC"/>
    <w:rsid w:val="00463C07"/>
    <w:rsid w:val="00464C7B"/>
    <w:rsid w:val="00464DC9"/>
    <w:rsid w:val="004656CB"/>
    <w:rsid w:val="00465C28"/>
    <w:rsid w:val="00466A00"/>
    <w:rsid w:val="00467CA3"/>
    <w:rsid w:val="00467D36"/>
    <w:rsid w:val="004707AD"/>
    <w:rsid w:val="004715EA"/>
    <w:rsid w:val="00471EA8"/>
    <w:rsid w:val="00472B25"/>
    <w:rsid w:val="00472E90"/>
    <w:rsid w:val="0047415B"/>
    <w:rsid w:val="00474514"/>
    <w:rsid w:val="00474CBE"/>
    <w:rsid w:val="00475C12"/>
    <w:rsid w:val="00476370"/>
    <w:rsid w:val="004770DA"/>
    <w:rsid w:val="00480318"/>
    <w:rsid w:val="00480678"/>
    <w:rsid w:val="00480A85"/>
    <w:rsid w:val="00480FBF"/>
    <w:rsid w:val="00481054"/>
    <w:rsid w:val="0048219D"/>
    <w:rsid w:val="00482DBE"/>
    <w:rsid w:val="00482F87"/>
    <w:rsid w:val="004832D7"/>
    <w:rsid w:val="00483CF1"/>
    <w:rsid w:val="00483F5B"/>
    <w:rsid w:val="00484196"/>
    <w:rsid w:val="004847F9"/>
    <w:rsid w:val="0048534F"/>
    <w:rsid w:val="004859AA"/>
    <w:rsid w:val="004859E7"/>
    <w:rsid w:val="00485CF3"/>
    <w:rsid w:val="00485DD1"/>
    <w:rsid w:val="00490D5F"/>
    <w:rsid w:val="00490E8E"/>
    <w:rsid w:val="0049221F"/>
    <w:rsid w:val="004931F4"/>
    <w:rsid w:val="0049354E"/>
    <w:rsid w:val="004937DF"/>
    <w:rsid w:val="00494947"/>
    <w:rsid w:val="00494993"/>
    <w:rsid w:val="00494A48"/>
    <w:rsid w:val="00495553"/>
    <w:rsid w:val="00495637"/>
    <w:rsid w:val="00495F28"/>
    <w:rsid w:val="004961CE"/>
    <w:rsid w:val="004A00BB"/>
    <w:rsid w:val="004A0DA1"/>
    <w:rsid w:val="004A208C"/>
    <w:rsid w:val="004A2167"/>
    <w:rsid w:val="004A2189"/>
    <w:rsid w:val="004A21B8"/>
    <w:rsid w:val="004A25FF"/>
    <w:rsid w:val="004A3A88"/>
    <w:rsid w:val="004A3DA3"/>
    <w:rsid w:val="004A46C1"/>
    <w:rsid w:val="004A48BF"/>
    <w:rsid w:val="004A5B51"/>
    <w:rsid w:val="004A7438"/>
    <w:rsid w:val="004A7A3F"/>
    <w:rsid w:val="004A7BD1"/>
    <w:rsid w:val="004B0B78"/>
    <w:rsid w:val="004B0D03"/>
    <w:rsid w:val="004B0F13"/>
    <w:rsid w:val="004B144C"/>
    <w:rsid w:val="004B1527"/>
    <w:rsid w:val="004B1AED"/>
    <w:rsid w:val="004B1B99"/>
    <w:rsid w:val="004B298A"/>
    <w:rsid w:val="004B2BDF"/>
    <w:rsid w:val="004B2F06"/>
    <w:rsid w:val="004B594D"/>
    <w:rsid w:val="004B68A5"/>
    <w:rsid w:val="004B7215"/>
    <w:rsid w:val="004B7599"/>
    <w:rsid w:val="004B7C19"/>
    <w:rsid w:val="004C0530"/>
    <w:rsid w:val="004C0637"/>
    <w:rsid w:val="004C0D57"/>
    <w:rsid w:val="004C1435"/>
    <w:rsid w:val="004C1B8A"/>
    <w:rsid w:val="004C2825"/>
    <w:rsid w:val="004C5685"/>
    <w:rsid w:val="004C5957"/>
    <w:rsid w:val="004C596C"/>
    <w:rsid w:val="004C60E5"/>
    <w:rsid w:val="004C612F"/>
    <w:rsid w:val="004C67B1"/>
    <w:rsid w:val="004C78DB"/>
    <w:rsid w:val="004C7BDF"/>
    <w:rsid w:val="004C7C82"/>
    <w:rsid w:val="004D077B"/>
    <w:rsid w:val="004D1319"/>
    <w:rsid w:val="004D1573"/>
    <w:rsid w:val="004D20A5"/>
    <w:rsid w:val="004D309B"/>
    <w:rsid w:val="004D3535"/>
    <w:rsid w:val="004D3563"/>
    <w:rsid w:val="004D3846"/>
    <w:rsid w:val="004D4668"/>
    <w:rsid w:val="004D4A7C"/>
    <w:rsid w:val="004D4AE1"/>
    <w:rsid w:val="004D4E12"/>
    <w:rsid w:val="004D5648"/>
    <w:rsid w:val="004D58CE"/>
    <w:rsid w:val="004D7CD2"/>
    <w:rsid w:val="004D7DAA"/>
    <w:rsid w:val="004D7E8A"/>
    <w:rsid w:val="004E0D0D"/>
    <w:rsid w:val="004E0E87"/>
    <w:rsid w:val="004E16B7"/>
    <w:rsid w:val="004E1BDC"/>
    <w:rsid w:val="004E25B5"/>
    <w:rsid w:val="004E28E2"/>
    <w:rsid w:val="004E2B0E"/>
    <w:rsid w:val="004E2BC2"/>
    <w:rsid w:val="004E3E19"/>
    <w:rsid w:val="004E4AAE"/>
    <w:rsid w:val="004E60A2"/>
    <w:rsid w:val="004E7AF4"/>
    <w:rsid w:val="004F0288"/>
    <w:rsid w:val="004F036D"/>
    <w:rsid w:val="004F165A"/>
    <w:rsid w:val="004F1848"/>
    <w:rsid w:val="004F1941"/>
    <w:rsid w:val="004F1F46"/>
    <w:rsid w:val="004F2D6F"/>
    <w:rsid w:val="004F3FED"/>
    <w:rsid w:val="004F46AB"/>
    <w:rsid w:val="004F57BA"/>
    <w:rsid w:val="004F5A8D"/>
    <w:rsid w:val="004F64F6"/>
    <w:rsid w:val="004F6AE8"/>
    <w:rsid w:val="004F739A"/>
    <w:rsid w:val="004F73C3"/>
    <w:rsid w:val="004F77A9"/>
    <w:rsid w:val="004F794A"/>
    <w:rsid w:val="0050033F"/>
    <w:rsid w:val="00501265"/>
    <w:rsid w:val="0050222D"/>
    <w:rsid w:val="0050273D"/>
    <w:rsid w:val="00502775"/>
    <w:rsid w:val="00502852"/>
    <w:rsid w:val="00502F02"/>
    <w:rsid w:val="005044F8"/>
    <w:rsid w:val="0050453A"/>
    <w:rsid w:val="0050585F"/>
    <w:rsid w:val="00505FCA"/>
    <w:rsid w:val="00506008"/>
    <w:rsid w:val="0050600A"/>
    <w:rsid w:val="005074B2"/>
    <w:rsid w:val="00507ED5"/>
    <w:rsid w:val="00510C0A"/>
    <w:rsid w:val="005113F0"/>
    <w:rsid w:val="005117D4"/>
    <w:rsid w:val="00511B84"/>
    <w:rsid w:val="0051207F"/>
    <w:rsid w:val="0051258B"/>
    <w:rsid w:val="005125B1"/>
    <w:rsid w:val="005127E6"/>
    <w:rsid w:val="00512C49"/>
    <w:rsid w:val="005141D6"/>
    <w:rsid w:val="00515F2C"/>
    <w:rsid w:val="00516342"/>
    <w:rsid w:val="00516D79"/>
    <w:rsid w:val="00517241"/>
    <w:rsid w:val="00517C60"/>
    <w:rsid w:val="00520DA0"/>
    <w:rsid w:val="00520FA5"/>
    <w:rsid w:val="005215DF"/>
    <w:rsid w:val="005218C6"/>
    <w:rsid w:val="00521A4E"/>
    <w:rsid w:val="005228E4"/>
    <w:rsid w:val="00522B5F"/>
    <w:rsid w:val="00522E26"/>
    <w:rsid w:val="00523288"/>
    <w:rsid w:val="005232DF"/>
    <w:rsid w:val="005265F9"/>
    <w:rsid w:val="00526B20"/>
    <w:rsid w:val="0052794E"/>
    <w:rsid w:val="00527BF4"/>
    <w:rsid w:val="005309CE"/>
    <w:rsid w:val="00531AA2"/>
    <w:rsid w:val="00533225"/>
    <w:rsid w:val="00533506"/>
    <w:rsid w:val="00533A4A"/>
    <w:rsid w:val="0053491B"/>
    <w:rsid w:val="00534BA2"/>
    <w:rsid w:val="00534DC2"/>
    <w:rsid w:val="005351B0"/>
    <w:rsid w:val="0053560F"/>
    <w:rsid w:val="0053781E"/>
    <w:rsid w:val="00537E7A"/>
    <w:rsid w:val="00541EF6"/>
    <w:rsid w:val="00542530"/>
    <w:rsid w:val="005437E8"/>
    <w:rsid w:val="005448D0"/>
    <w:rsid w:val="005463FC"/>
    <w:rsid w:val="00546E16"/>
    <w:rsid w:val="005475FC"/>
    <w:rsid w:val="005476D5"/>
    <w:rsid w:val="00547836"/>
    <w:rsid w:val="00547E95"/>
    <w:rsid w:val="00550720"/>
    <w:rsid w:val="0055161B"/>
    <w:rsid w:val="00551BB3"/>
    <w:rsid w:val="00551CC4"/>
    <w:rsid w:val="00551E31"/>
    <w:rsid w:val="00552885"/>
    <w:rsid w:val="00552DD8"/>
    <w:rsid w:val="00553052"/>
    <w:rsid w:val="00553529"/>
    <w:rsid w:val="00554394"/>
    <w:rsid w:val="00554F6B"/>
    <w:rsid w:val="00555237"/>
    <w:rsid w:val="0055632A"/>
    <w:rsid w:val="0055791A"/>
    <w:rsid w:val="00560C83"/>
    <w:rsid w:val="00561CAD"/>
    <w:rsid w:val="005629A3"/>
    <w:rsid w:val="005641FD"/>
    <w:rsid w:val="0056589D"/>
    <w:rsid w:val="005659B0"/>
    <w:rsid w:val="00565C76"/>
    <w:rsid w:val="00565F37"/>
    <w:rsid w:val="0056624E"/>
    <w:rsid w:val="00566316"/>
    <w:rsid w:val="00566468"/>
    <w:rsid w:val="00566B80"/>
    <w:rsid w:val="00566D88"/>
    <w:rsid w:val="00566EBF"/>
    <w:rsid w:val="00567150"/>
    <w:rsid w:val="005706A1"/>
    <w:rsid w:val="00570AF9"/>
    <w:rsid w:val="005713C6"/>
    <w:rsid w:val="0057168A"/>
    <w:rsid w:val="005716D0"/>
    <w:rsid w:val="0057227E"/>
    <w:rsid w:val="005728A8"/>
    <w:rsid w:val="00572EDE"/>
    <w:rsid w:val="00573229"/>
    <w:rsid w:val="0057322F"/>
    <w:rsid w:val="0057333C"/>
    <w:rsid w:val="00573692"/>
    <w:rsid w:val="00574D8E"/>
    <w:rsid w:val="00574D9C"/>
    <w:rsid w:val="00575D3C"/>
    <w:rsid w:val="00575E76"/>
    <w:rsid w:val="00577814"/>
    <w:rsid w:val="00580715"/>
    <w:rsid w:val="00580C20"/>
    <w:rsid w:val="00581198"/>
    <w:rsid w:val="00581E73"/>
    <w:rsid w:val="0058237C"/>
    <w:rsid w:val="0058290A"/>
    <w:rsid w:val="0058361C"/>
    <w:rsid w:val="0058415D"/>
    <w:rsid w:val="005848E3"/>
    <w:rsid w:val="00584C2F"/>
    <w:rsid w:val="00585EC8"/>
    <w:rsid w:val="00586504"/>
    <w:rsid w:val="00587364"/>
    <w:rsid w:val="00587580"/>
    <w:rsid w:val="00587D39"/>
    <w:rsid w:val="00590417"/>
    <w:rsid w:val="005908D2"/>
    <w:rsid w:val="00590CD3"/>
    <w:rsid w:val="00591302"/>
    <w:rsid w:val="00591535"/>
    <w:rsid w:val="0059191B"/>
    <w:rsid w:val="00592C94"/>
    <w:rsid w:val="00595435"/>
    <w:rsid w:val="005957B0"/>
    <w:rsid w:val="00595C7D"/>
    <w:rsid w:val="00596121"/>
    <w:rsid w:val="0059622A"/>
    <w:rsid w:val="005966A4"/>
    <w:rsid w:val="005967CA"/>
    <w:rsid w:val="005968EF"/>
    <w:rsid w:val="005969E0"/>
    <w:rsid w:val="00596B10"/>
    <w:rsid w:val="00596DDA"/>
    <w:rsid w:val="00596EA0"/>
    <w:rsid w:val="005975B0"/>
    <w:rsid w:val="005976C7"/>
    <w:rsid w:val="00597C09"/>
    <w:rsid w:val="005A19CA"/>
    <w:rsid w:val="005A19FD"/>
    <w:rsid w:val="005A26DB"/>
    <w:rsid w:val="005A2FB3"/>
    <w:rsid w:val="005A317C"/>
    <w:rsid w:val="005A3E08"/>
    <w:rsid w:val="005A4BE8"/>
    <w:rsid w:val="005A4CCC"/>
    <w:rsid w:val="005A6056"/>
    <w:rsid w:val="005A6B18"/>
    <w:rsid w:val="005A6B86"/>
    <w:rsid w:val="005A7A4B"/>
    <w:rsid w:val="005B0F4A"/>
    <w:rsid w:val="005B1F44"/>
    <w:rsid w:val="005B2270"/>
    <w:rsid w:val="005B2E52"/>
    <w:rsid w:val="005B3793"/>
    <w:rsid w:val="005B3BA6"/>
    <w:rsid w:val="005B4060"/>
    <w:rsid w:val="005B4385"/>
    <w:rsid w:val="005B44DA"/>
    <w:rsid w:val="005B4706"/>
    <w:rsid w:val="005B4839"/>
    <w:rsid w:val="005B6531"/>
    <w:rsid w:val="005B72CF"/>
    <w:rsid w:val="005B7A50"/>
    <w:rsid w:val="005B7E9E"/>
    <w:rsid w:val="005C1561"/>
    <w:rsid w:val="005C21D5"/>
    <w:rsid w:val="005C2607"/>
    <w:rsid w:val="005C2A79"/>
    <w:rsid w:val="005C314F"/>
    <w:rsid w:val="005C3C85"/>
    <w:rsid w:val="005C560D"/>
    <w:rsid w:val="005C5D4A"/>
    <w:rsid w:val="005C7BAA"/>
    <w:rsid w:val="005C7F31"/>
    <w:rsid w:val="005D0A35"/>
    <w:rsid w:val="005D0BCF"/>
    <w:rsid w:val="005D235E"/>
    <w:rsid w:val="005D23A0"/>
    <w:rsid w:val="005D3713"/>
    <w:rsid w:val="005D41D1"/>
    <w:rsid w:val="005D44C5"/>
    <w:rsid w:val="005D4DFF"/>
    <w:rsid w:val="005D4FCB"/>
    <w:rsid w:val="005D50D2"/>
    <w:rsid w:val="005D5D83"/>
    <w:rsid w:val="005D5F1A"/>
    <w:rsid w:val="005D5FDC"/>
    <w:rsid w:val="005D63FF"/>
    <w:rsid w:val="005D7457"/>
    <w:rsid w:val="005D7B46"/>
    <w:rsid w:val="005D7DA4"/>
    <w:rsid w:val="005E0505"/>
    <w:rsid w:val="005E1887"/>
    <w:rsid w:val="005E1C05"/>
    <w:rsid w:val="005E2886"/>
    <w:rsid w:val="005E2A73"/>
    <w:rsid w:val="005E3B44"/>
    <w:rsid w:val="005E430A"/>
    <w:rsid w:val="005E4F35"/>
    <w:rsid w:val="005E5DC4"/>
    <w:rsid w:val="005E636C"/>
    <w:rsid w:val="005E794A"/>
    <w:rsid w:val="005E7E04"/>
    <w:rsid w:val="005F072D"/>
    <w:rsid w:val="005F176D"/>
    <w:rsid w:val="005F1AD7"/>
    <w:rsid w:val="005F1FD8"/>
    <w:rsid w:val="005F223B"/>
    <w:rsid w:val="005F2B0C"/>
    <w:rsid w:val="005F2F0B"/>
    <w:rsid w:val="005F30D8"/>
    <w:rsid w:val="005F3FF7"/>
    <w:rsid w:val="005F4209"/>
    <w:rsid w:val="005F57F6"/>
    <w:rsid w:val="005F5AE7"/>
    <w:rsid w:val="005F5CD3"/>
    <w:rsid w:val="005F5D5E"/>
    <w:rsid w:val="005F6E0D"/>
    <w:rsid w:val="005F6EB8"/>
    <w:rsid w:val="005F7148"/>
    <w:rsid w:val="005F78B6"/>
    <w:rsid w:val="0060006B"/>
    <w:rsid w:val="006002A6"/>
    <w:rsid w:val="00600DEA"/>
    <w:rsid w:val="00601212"/>
    <w:rsid w:val="00602908"/>
    <w:rsid w:val="00602F61"/>
    <w:rsid w:val="00603949"/>
    <w:rsid w:val="00603EA4"/>
    <w:rsid w:val="00604A5C"/>
    <w:rsid w:val="00604C30"/>
    <w:rsid w:val="006053EE"/>
    <w:rsid w:val="0060549D"/>
    <w:rsid w:val="006060C4"/>
    <w:rsid w:val="00606D5C"/>
    <w:rsid w:val="00607699"/>
    <w:rsid w:val="00607C19"/>
    <w:rsid w:val="00612FB6"/>
    <w:rsid w:val="0061398E"/>
    <w:rsid w:val="00613B58"/>
    <w:rsid w:val="00613FAC"/>
    <w:rsid w:val="00614B8D"/>
    <w:rsid w:val="00615FFA"/>
    <w:rsid w:val="00616859"/>
    <w:rsid w:val="00620C63"/>
    <w:rsid w:val="00620E23"/>
    <w:rsid w:val="006215DC"/>
    <w:rsid w:val="0062181E"/>
    <w:rsid w:val="006223D2"/>
    <w:rsid w:val="00622939"/>
    <w:rsid w:val="00622D78"/>
    <w:rsid w:val="006231C8"/>
    <w:rsid w:val="00623969"/>
    <w:rsid w:val="006247AD"/>
    <w:rsid w:val="00624852"/>
    <w:rsid w:val="00625995"/>
    <w:rsid w:val="006259C0"/>
    <w:rsid w:val="006274DF"/>
    <w:rsid w:val="00630E6C"/>
    <w:rsid w:val="00630EF2"/>
    <w:rsid w:val="0063104C"/>
    <w:rsid w:val="00631ED6"/>
    <w:rsid w:val="006320AD"/>
    <w:rsid w:val="006327E6"/>
    <w:rsid w:val="00632F28"/>
    <w:rsid w:val="006330E1"/>
    <w:rsid w:val="0063389B"/>
    <w:rsid w:val="00633B35"/>
    <w:rsid w:val="00633C2A"/>
    <w:rsid w:val="00634720"/>
    <w:rsid w:val="00634FC0"/>
    <w:rsid w:val="00635C40"/>
    <w:rsid w:val="0063629D"/>
    <w:rsid w:val="006367C1"/>
    <w:rsid w:val="0063767A"/>
    <w:rsid w:val="00637780"/>
    <w:rsid w:val="00637D24"/>
    <w:rsid w:val="006404C9"/>
    <w:rsid w:val="00641044"/>
    <w:rsid w:val="006410B7"/>
    <w:rsid w:val="006413B3"/>
    <w:rsid w:val="006438F0"/>
    <w:rsid w:val="006443D9"/>
    <w:rsid w:val="006443FF"/>
    <w:rsid w:val="00644A61"/>
    <w:rsid w:val="00645039"/>
    <w:rsid w:val="00645155"/>
    <w:rsid w:val="00645CE8"/>
    <w:rsid w:val="006460B2"/>
    <w:rsid w:val="00646B69"/>
    <w:rsid w:val="006470E0"/>
    <w:rsid w:val="006471C0"/>
    <w:rsid w:val="006478E4"/>
    <w:rsid w:val="00647DE5"/>
    <w:rsid w:val="006500D2"/>
    <w:rsid w:val="00650793"/>
    <w:rsid w:val="00650868"/>
    <w:rsid w:val="00651999"/>
    <w:rsid w:val="00651C90"/>
    <w:rsid w:val="0065243E"/>
    <w:rsid w:val="0065248F"/>
    <w:rsid w:val="00652AB9"/>
    <w:rsid w:val="00653242"/>
    <w:rsid w:val="006535A0"/>
    <w:rsid w:val="00653AFC"/>
    <w:rsid w:val="00654144"/>
    <w:rsid w:val="006542F3"/>
    <w:rsid w:val="00654614"/>
    <w:rsid w:val="006547F1"/>
    <w:rsid w:val="00654AA5"/>
    <w:rsid w:val="006552D2"/>
    <w:rsid w:val="00655CD9"/>
    <w:rsid w:val="00655D55"/>
    <w:rsid w:val="00657076"/>
    <w:rsid w:val="0065781C"/>
    <w:rsid w:val="00657A8D"/>
    <w:rsid w:val="00657DD4"/>
    <w:rsid w:val="0066056B"/>
    <w:rsid w:val="00660EF6"/>
    <w:rsid w:val="00660FAB"/>
    <w:rsid w:val="00661A9C"/>
    <w:rsid w:val="00662B0D"/>
    <w:rsid w:val="00662D22"/>
    <w:rsid w:val="00663E47"/>
    <w:rsid w:val="006643CC"/>
    <w:rsid w:val="006643E4"/>
    <w:rsid w:val="00664EAE"/>
    <w:rsid w:val="006656C9"/>
    <w:rsid w:val="00665BAD"/>
    <w:rsid w:val="00665EB7"/>
    <w:rsid w:val="0066632E"/>
    <w:rsid w:val="0066647B"/>
    <w:rsid w:val="006666BE"/>
    <w:rsid w:val="006669E7"/>
    <w:rsid w:val="00666CA1"/>
    <w:rsid w:val="0066740C"/>
    <w:rsid w:val="006677E2"/>
    <w:rsid w:val="0066787F"/>
    <w:rsid w:val="00670AD6"/>
    <w:rsid w:val="00670CC9"/>
    <w:rsid w:val="00670D58"/>
    <w:rsid w:val="006712B3"/>
    <w:rsid w:val="00671BF4"/>
    <w:rsid w:val="00671C5A"/>
    <w:rsid w:val="00671F10"/>
    <w:rsid w:val="00671F8F"/>
    <w:rsid w:val="00672507"/>
    <w:rsid w:val="00673184"/>
    <w:rsid w:val="00673254"/>
    <w:rsid w:val="00673305"/>
    <w:rsid w:val="00673EB8"/>
    <w:rsid w:val="00674380"/>
    <w:rsid w:val="006744EF"/>
    <w:rsid w:val="006763B8"/>
    <w:rsid w:val="00676772"/>
    <w:rsid w:val="00676A47"/>
    <w:rsid w:val="006776FA"/>
    <w:rsid w:val="00677955"/>
    <w:rsid w:val="00677A41"/>
    <w:rsid w:val="00677C52"/>
    <w:rsid w:val="00677DA5"/>
    <w:rsid w:val="006806E6"/>
    <w:rsid w:val="006810CD"/>
    <w:rsid w:val="00681DBC"/>
    <w:rsid w:val="00682407"/>
    <w:rsid w:val="00682861"/>
    <w:rsid w:val="00682C6D"/>
    <w:rsid w:val="00683643"/>
    <w:rsid w:val="00683F62"/>
    <w:rsid w:val="006842BD"/>
    <w:rsid w:val="00684A76"/>
    <w:rsid w:val="00684AC8"/>
    <w:rsid w:val="0068518E"/>
    <w:rsid w:val="00685BEE"/>
    <w:rsid w:val="00685E17"/>
    <w:rsid w:val="0068642C"/>
    <w:rsid w:val="00686DB9"/>
    <w:rsid w:val="00686FD8"/>
    <w:rsid w:val="006878F5"/>
    <w:rsid w:val="00687BBB"/>
    <w:rsid w:val="0069098C"/>
    <w:rsid w:val="0069246B"/>
    <w:rsid w:val="00695866"/>
    <w:rsid w:val="0069610F"/>
    <w:rsid w:val="0069644E"/>
    <w:rsid w:val="00696461"/>
    <w:rsid w:val="00696A85"/>
    <w:rsid w:val="00696B12"/>
    <w:rsid w:val="00696BA7"/>
    <w:rsid w:val="00696C31"/>
    <w:rsid w:val="00696DEB"/>
    <w:rsid w:val="00697047"/>
    <w:rsid w:val="00697203"/>
    <w:rsid w:val="006974B0"/>
    <w:rsid w:val="00697C5E"/>
    <w:rsid w:val="00697D1E"/>
    <w:rsid w:val="006A060D"/>
    <w:rsid w:val="006A10E8"/>
    <w:rsid w:val="006A341C"/>
    <w:rsid w:val="006A529F"/>
    <w:rsid w:val="006A58E0"/>
    <w:rsid w:val="006A61D8"/>
    <w:rsid w:val="006A6407"/>
    <w:rsid w:val="006A6671"/>
    <w:rsid w:val="006A6BC0"/>
    <w:rsid w:val="006A7289"/>
    <w:rsid w:val="006A7913"/>
    <w:rsid w:val="006A7C6E"/>
    <w:rsid w:val="006A7E00"/>
    <w:rsid w:val="006B02FC"/>
    <w:rsid w:val="006B0335"/>
    <w:rsid w:val="006B055E"/>
    <w:rsid w:val="006B0D0F"/>
    <w:rsid w:val="006B1615"/>
    <w:rsid w:val="006B2DB5"/>
    <w:rsid w:val="006B3177"/>
    <w:rsid w:val="006B33A6"/>
    <w:rsid w:val="006B3D29"/>
    <w:rsid w:val="006B5E48"/>
    <w:rsid w:val="006B635E"/>
    <w:rsid w:val="006B6CC4"/>
    <w:rsid w:val="006B7E78"/>
    <w:rsid w:val="006B7E8E"/>
    <w:rsid w:val="006B7F59"/>
    <w:rsid w:val="006C0238"/>
    <w:rsid w:val="006C16FE"/>
    <w:rsid w:val="006C18C5"/>
    <w:rsid w:val="006C1D04"/>
    <w:rsid w:val="006C33D7"/>
    <w:rsid w:val="006C3C65"/>
    <w:rsid w:val="006C4026"/>
    <w:rsid w:val="006C4379"/>
    <w:rsid w:val="006C440E"/>
    <w:rsid w:val="006C4CE8"/>
    <w:rsid w:val="006C62E2"/>
    <w:rsid w:val="006C6D15"/>
    <w:rsid w:val="006C7321"/>
    <w:rsid w:val="006C7381"/>
    <w:rsid w:val="006C78F4"/>
    <w:rsid w:val="006D02F9"/>
    <w:rsid w:val="006D036D"/>
    <w:rsid w:val="006D0F0E"/>
    <w:rsid w:val="006D1456"/>
    <w:rsid w:val="006D244F"/>
    <w:rsid w:val="006D280A"/>
    <w:rsid w:val="006D29D9"/>
    <w:rsid w:val="006D3B23"/>
    <w:rsid w:val="006D3BA6"/>
    <w:rsid w:val="006D415C"/>
    <w:rsid w:val="006D50C1"/>
    <w:rsid w:val="006D5212"/>
    <w:rsid w:val="006D5CA7"/>
    <w:rsid w:val="006D5DBD"/>
    <w:rsid w:val="006D687D"/>
    <w:rsid w:val="006D68C3"/>
    <w:rsid w:val="006D6BAF"/>
    <w:rsid w:val="006D6FF7"/>
    <w:rsid w:val="006D795E"/>
    <w:rsid w:val="006D7DFE"/>
    <w:rsid w:val="006D7E91"/>
    <w:rsid w:val="006D7F61"/>
    <w:rsid w:val="006E01A4"/>
    <w:rsid w:val="006E0427"/>
    <w:rsid w:val="006E13EB"/>
    <w:rsid w:val="006E1B69"/>
    <w:rsid w:val="006E1DB9"/>
    <w:rsid w:val="006E1F2C"/>
    <w:rsid w:val="006E214B"/>
    <w:rsid w:val="006E28EB"/>
    <w:rsid w:val="006E2A5E"/>
    <w:rsid w:val="006E2A72"/>
    <w:rsid w:val="006E2E7C"/>
    <w:rsid w:val="006E3A53"/>
    <w:rsid w:val="006E45AA"/>
    <w:rsid w:val="006E4EBB"/>
    <w:rsid w:val="006E4F9C"/>
    <w:rsid w:val="006E5369"/>
    <w:rsid w:val="006E5A63"/>
    <w:rsid w:val="006E5EF8"/>
    <w:rsid w:val="006E67EC"/>
    <w:rsid w:val="006E6F22"/>
    <w:rsid w:val="006E6FD4"/>
    <w:rsid w:val="006E74AC"/>
    <w:rsid w:val="006E7E0A"/>
    <w:rsid w:val="006E7FD4"/>
    <w:rsid w:val="006F0591"/>
    <w:rsid w:val="006F0F31"/>
    <w:rsid w:val="006F103E"/>
    <w:rsid w:val="006F198F"/>
    <w:rsid w:val="006F1E28"/>
    <w:rsid w:val="006F259F"/>
    <w:rsid w:val="006F3337"/>
    <w:rsid w:val="006F38DD"/>
    <w:rsid w:val="006F3A3E"/>
    <w:rsid w:val="006F3F7B"/>
    <w:rsid w:val="006F407A"/>
    <w:rsid w:val="006F44DC"/>
    <w:rsid w:val="006F573A"/>
    <w:rsid w:val="006F5ABF"/>
    <w:rsid w:val="006F5B2D"/>
    <w:rsid w:val="006F5B4A"/>
    <w:rsid w:val="006F60B4"/>
    <w:rsid w:val="006F63B3"/>
    <w:rsid w:val="006F6498"/>
    <w:rsid w:val="006F6698"/>
    <w:rsid w:val="006F68F6"/>
    <w:rsid w:val="006F6920"/>
    <w:rsid w:val="006F727A"/>
    <w:rsid w:val="006F76E6"/>
    <w:rsid w:val="006F7AB7"/>
    <w:rsid w:val="006F7B4D"/>
    <w:rsid w:val="007001A8"/>
    <w:rsid w:val="00700AE7"/>
    <w:rsid w:val="00700BC6"/>
    <w:rsid w:val="0070106C"/>
    <w:rsid w:val="00701303"/>
    <w:rsid w:val="0070147D"/>
    <w:rsid w:val="00702EF0"/>
    <w:rsid w:val="00703A48"/>
    <w:rsid w:val="00704A7B"/>
    <w:rsid w:val="00704BD6"/>
    <w:rsid w:val="00705372"/>
    <w:rsid w:val="00705828"/>
    <w:rsid w:val="0070593E"/>
    <w:rsid w:val="00705F00"/>
    <w:rsid w:val="00705F06"/>
    <w:rsid w:val="00705FF5"/>
    <w:rsid w:val="007063DA"/>
    <w:rsid w:val="00706BF7"/>
    <w:rsid w:val="00707016"/>
    <w:rsid w:val="00710281"/>
    <w:rsid w:val="007103EB"/>
    <w:rsid w:val="00710778"/>
    <w:rsid w:val="00710A36"/>
    <w:rsid w:val="00711396"/>
    <w:rsid w:val="00712146"/>
    <w:rsid w:val="0071250C"/>
    <w:rsid w:val="00712AFE"/>
    <w:rsid w:val="00713674"/>
    <w:rsid w:val="00713B96"/>
    <w:rsid w:val="00714BB0"/>
    <w:rsid w:val="00714F7E"/>
    <w:rsid w:val="007165B7"/>
    <w:rsid w:val="00716904"/>
    <w:rsid w:val="00716CDA"/>
    <w:rsid w:val="007174AE"/>
    <w:rsid w:val="00717D1C"/>
    <w:rsid w:val="007200DC"/>
    <w:rsid w:val="00720735"/>
    <w:rsid w:val="00720750"/>
    <w:rsid w:val="00721110"/>
    <w:rsid w:val="00722401"/>
    <w:rsid w:val="00722EC6"/>
    <w:rsid w:val="00723633"/>
    <w:rsid w:val="00723D20"/>
    <w:rsid w:val="007241AB"/>
    <w:rsid w:val="007252EF"/>
    <w:rsid w:val="00725535"/>
    <w:rsid w:val="007256CE"/>
    <w:rsid w:val="00725D17"/>
    <w:rsid w:val="00726347"/>
    <w:rsid w:val="00730163"/>
    <w:rsid w:val="0073089A"/>
    <w:rsid w:val="007309FC"/>
    <w:rsid w:val="007311BF"/>
    <w:rsid w:val="00731217"/>
    <w:rsid w:val="0073151A"/>
    <w:rsid w:val="00731965"/>
    <w:rsid w:val="00731E84"/>
    <w:rsid w:val="00731F03"/>
    <w:rsid w:val="00732059"/>
    <w:rsid w:val="00732260"/>
    <w:rsid w:val="00732BF4"/>
    <w:rsid w:val="007330B3"/>
    <w:rsid w:val="00733AC7"/>
    <w:rsid w:val="00733E59"/>
    <w:rsid w:val="00734D10"/>
    <w:rsid w:val="00734D18"/>
    <w:rsid w:val="00734E05"/>
    <w:rsid w:val="00734E0F"/>
    <w:rsid w:val="00734F40"/>
    <w:rsid w:val="007350E0"/>
    <w:rsid w:val="007356C9"/>
    <w:rsid w:val="007358F6"/>
    <w:rsid w:val="00736290"/>
    <w:rsid w:val="00736BAA"/>
    <w:rsid w:val="007370A3"/>
    <w:rsid w:val="0073741E"/>
    <w:rsid w:val="007374F7"/>
    <w:rsid w:val="00737807"/>
    <w:rsid w:val="00737ABE"/>
    <w:rsid w:val="007406EE"/>
    <w:rsid w:val="00741352"/>
    <w:rsid w:val="00741717"/>
    <w:rsid w:val="0074171C"/>
    <w:rsid w:val="00741ABF"/>
    <w:rsid w:val="0074256E"/>
    <w:rsid w:val="007426D8"/>
    <w:rsid w:val="00742DF9"/>
    <w:rsid w:val="00743735"/>
    <w:rsid w:val="00743AF4"/>
    <w:rsid w:val="00744589"/>
    <w:rsid w:val="00745654"/>
    <w:rsid w:val="007458F3"/>
    <w:rsid w:val="00745AEE"/>
    <w:rsid w:val="00745F8F"/>
    <w:rsid w:val="00746078"/>
    <w:rsid w:val="00746906"/>
    <w:rsid w:val="00746B24"/>
    <w:rsid w:val="00747D02"/>
    <w:rsid w:val="00750997"/>
    <w:rsid w:val="00750D5A"/>
    <w:rsid w:val="00751105"/>
    <w:rsid w:val="007516FA"/>
    <w:rsid w:val="00753272"/>
    <w:rsid w:val="0075368C"/>
    <w:rsid w:val="00753967"/>
    <w:rsid w:val="00754B1C"/>
    <w:rsid w:val="00755185"/>
    <w:rsid w:val="00755CE5"/>
    <w:rsid w:val="00755F7E"/>
    <w:rsid w:val="00756914"/>
    <w:rsid w:val="00757276"/>
    <w:rsid w:val="00760B39"/>
    <w:rsid w:val="00760EB4"/>
    <w:rsid w:val="007614CC"/>
    <w:rsid w:val="00761B26"/>
    <w:rsid w:val="00762C2D"/>
    <w:rsid w:val="0076407F"/>
    <w:rsid w:val="007668C3"/>
    <w:rsid w:val="00767032"/>
    <w:rsid w:val="007670DF"/>
    <w:rsid w:val="00767586"/>
    <w:rsid w:val="00767DBF"/>
    <w:rsid w:val="00770145"/>
    <w:rsid w:val="00770433"/>
    <w:rsid w:val="00770865"/>
    <w:rsid w:val="00771B6E"/>
    <w:rsid w:val="00772006"/>
    <w:rsid w:val="007726A4"/>
    <w:rsid w:val="007730A4"/>
    <w:rsid w:val="007742B2"/>
    <w:rsid w:val="007748E0"/>
    <w:rsid w:val="00775E47"/>
    <w:rsid w:val="0077678D"/>
    <w:rsid w:val="00776C64"/>
    <w:rsid w:val="00776CFD"/>
    <w:rsid w:val="007773C7"/>
    <w:rsid w:val="00777565"/>
    <w:rsid w:val="007776FD"/>
    <w:rsid w:val="00777E54"/>
    <w:rsid w:val="00780851"/>
    <w:rsid w:val="00781101"/>
    <w:rsid w:val="007813BB"/>
    <w:rsid w:val="007815DE"/>
    <w:rsid w:val="007815F2"/>
    <w:rsid w:val="0078163E"/>
    <w:rsid w:val="00781A80"/>
    <w:rsid w:val="00781F2A"/>
    <w:rsid w:val="00782268"/>
    <w:rsid w:val="007825EF"/>
    <w:rsid w:val="00782E12"/>
    <w:rsid w:val="00782E88"/>
    <w:rsid w:val="007830B3"/>
    <w:rsid w:val="007831C6"/>
    <w:rsid w:val="007836BB"/>
    <w:rsid w:val="007838F6"/>
    <w:rsid w:val="00783E28"/>
    <w:rsid w:val="00783F7F"/>
    <w:rsid w:val="007846AF"/>
    <w:rsid w:val="0078487A"/>
    <w:rsid w:val="00785072"/>
    <w:rsid w:val="0078512F"/>
    <w:rsid w:val="00785464"/>
    <w:rsid w:val="00785DDF"/>
    <w:rsid w:val="0078710A"/>
    <w:rsid w:val="0078710D"/>
    <w:rsid w:val="00790285"/>
    <w:rsid w:val="007911E9"/>
    <w:rsid w:val="007920AD"/>
    <w:rsid w:val="00792281"/>
    <w:rsid w:val="007924EB"/>
    <w:rsid w:val="00792903"/>
    <w:rsid w:val="00792D4C"/>
    <w:rsid w:val="00792FFF"/>
    <w:rsid w:val="007932C0"/>
    <w:rsid w:val="00795B0E"/>
    <w:rsid w:val="00796790"/>
    <w:rsid w:val="0079711C"/>
    <w:rsid w:val="00797A7F"/>
    <w:rsid w:val="007A0873"/>
    <w:rsid w:val="007A1315"/>
    <w:rsid w:val="007A1765"/>
    <w:rsid w:val="007A1B25"/>
    <w:rsid w:val="007A1D2D"/>
    <w:rsid w:val="007A1F89"/>
    <w:rsid w:val="007A3078"/>
    <w:rsid w:val="007A3A02"/>
    <w:rsid w:val="007A3F32"/>
    <w:rsid w:val="007A46EC"/>
    <w:rsid w:val="007A5174"/>
    <w:rsid w:val="007A53D3"/>
    <w:rsid w:val="007A5462"/>
    <w:rsid w:val="007A55D3"/>
    <w:rsid w:val="007A6225"/>
    <w:rsid w:val="007A6356"/>
    <w:rsid w:val="007A6415"/>
    <w:rsid w:val="007A66F8"/>
    <w:rsid w:val="007A6AD6"/>
    <w:rsid w:val="007A7AC8"/>
    <w:rsid w:val="007A7B07"/>
    <w:rsid w:val="007B015E"/>
    <w:rsid w:val="007B01A9"/>
    <w:rsid w:val="007B0309"/>
    <w:rsid w:val="007B0774"/>
    <w:rsid w:val="007B29BC"/>
    <w:rsid w:val="007B2CF9"/>
    <w:rsid w:val="007B2E6A"/>
    <w:rsid w:val="007B301C"/>
    <w:rsid w:val="007B3492"/>
    <w:rsid w:val="007B36CE"/>
    <w:rsid w:val="007B3992"/>
    <w:rsid w:val="007B40CD"/>
    <w:rsid w:val="007B41AA"/>
    <w:rsid w:val="007B4BE2"/>
    <w:rsid w:val="007B4EB3"/>
    <w:rsid w:val="007B4FBA"/>
    <w:rsid w:val="007B5E8B"/>
    <w:rsid w:val="007B5FAE"/>
    <w:rsid w:val="007B64BE"/>
    <w:rsid w:val="007B68AC"/>
    <w:rsid w:val="007B765A"/>
    <w:rsid w:val="007C081C"/>
    <w:rsid w:val="007C0AEE"/>
    <w:rsid w:val="007C10F0"/>
    <w:rsid w:val="007C11F4"/>
    <w:rsid w:val="007C1231"/>
    <w:rsid w:val="007C164D"/>
    <w:rsid w:val="007C23FD"/>
    <w:rsid w:val="007C3E74"/>
    <w:rsid w:val="007C4E85"/>
    <w:rsid w:val="007C513D"/>
    <w:rsid w:val="007C5C47"/>
    <w:rsid w:val="007C7547"/>
    <w:rsid w:val="007D04DE"/>
    <w:rsid w:val="007D2715"/>
    <w:rsid w:val="007D2A52"/>
    <w:rsid w:val="007D301B"/>
    <w:rsid w:val="007D36DD"/>
    <w:rsid w:val="007D3821"/>
    <w:rsid w:val="007D5BE5"/>
    <w:rsid w:val="007D6021"/>
    <w:rsid w:val="007D65DF"/>
    <w:rsid w:val="007D7D67"/>
    <w:rsid w:val="007E022A"/>
    <w:rsid w:val="007E131A"/>
    <w:rsid w:val="007E1948"/>
    <w:rsid w:val="007E2192"/>
    <w:rsid w:val="007E2307"/>
    <w:rsid w:val="007E270E"/>
    <w:rsid w:val="007E2A1D"/>
    <w:rsid w:val="007E2B4E"/>
    <w:rsid w:val="007E2E74"/>
    <w:rsid w:val="007E312A"/>
    <w:rsid w:val="007E3208"/>
    <w:rsid w:val="007E36A7"/>
    <w:rsid w:val="007E3919"/>
    <w:rsid w:val="007E3F28"/>
    <w:rsid w:val="007E482D"/>
    <w:rsid w:val="007E4B6B"/>
    <w:rsid w:val="007E4E21"/>
    <w:rsid w:val="007E4FAB"/>
    <w:rsid w:val="007E506A"/>
    <w:rsid w:val="007E61F5"/>
    <w:rsid w:val="007E64CD"/>
    <w:rsid w:val="007E6D4E"/>
    <w:rsid w:val="007E7EC3"/>
    <w:rsid w:val="007F0101"/>
    <w:rsid w:val="007F074B"/>
    <w:rsid w:val="007F0C58"/>
    <w:rsid w:val="007F0F61"/>
    <w:rsid w:val="007F153F"/>
    <w:rsid w:val="007F18DA"/>
    <w:rsid w:val="007F1C7C"/>
    <w:rsid w:val="007F2884"/>
    <w:rsid w:val="007F2C87"/>
    <w:rsid w:val="007F30CE"/>
    <w:rsid w:val="007F3A83"/>
    <w:rsid w:val="007F42D9"/>
    <w:rsid w:val="007F4F7A"/>
    <w:rsid w:val="007F5A54"/>
    <w:rsid w:val="007F660F"/>
    <w:rsid w:val="007F707C"/>
    <w:rsid w:val="007F73F0"/>
    <w:rsid w:val="007F7631"/>
    <w:rsid w:val="008001C0"/>
    <w:rsid w:val="00800767"/>
    <w:rsid w:val="00801465"/>
    <w:rsid w:val="00801ACC"/>
    <w:rsid w:val="00802150"/>
    <w:rsid w:val="00802A3F"/>
    <w:rsid w:val="00802C12"/>
    <w:rsid w:val="008041D5"/>
    <w:rsid w:val="00804F91"/>
    <w:rsid w:val="00805211"/>
    <w:rsid w:val="00805AFF"/>
    <w:rsid w:val="00806181"/>
    <w:rsid w:val="00806371"/>
    <w:rsid w:val="00807008"/>
    <w:rsid w:val="00807E0A"/>
    <w:rsid w:val="00810166"/>
    <w:rsid w:val="00810ABC"/>
    <w:rsid w:val="00811833"/>
    <w:rsid w:val="00811A9C"/>
    <w:rsid w:val="008121FD"/>
    <w:rsid w:val="00812D54"/>
    <w:rsid w:val="0081317D"/>
    <w:rsid w:val="008144DD"/>
    <w:rsid w:val="00814DA0"/>
    <w:rsid w:val="00814FB1"/>
    <w:rsid w:val="00816563"/>
    <w:rsid w:val="008178D3"/>
    <w:rsid w:val="00817932"/>
    <w:rsid w:val="00817BB4"/>
    <w:rsid w:val="0082032D"/>
    <w:rsid w:val="00820A3E"/>
    <w:rsid w:val="00820A71"/>
    <w:rsid w:val="00820F36"/>
    <w:rsid w:val="00820F6F"/>
    <w:rsid w:val="00822BF5"/>
    <w:rsid w:val="00823433"/>
    <w:rsid w:val="00823BA3"/>
    <w:rsid w:val="00823D31"/>
    <w:rsid w:val="00824E9E"/>
    <w:rsid w:val="00824EE3"/>
    <w:rsid w:val="008251F0"/>
    <w:rsid w:val="00825369"/>
    <w:rsid w:val="00825644"/>
    <w:rsid w:val="008256E0"/>
    <w:rsid w:val="008259A7"/>
    <w:rsid w:val="008262FE"/>
    <w:rsid w:val="008264EE"/>
    <w:rsid w:val="008265DB"/>
    <w:rsid w:val="00826D04"/>
    <w:rsid w:val="00827777"/>
    <w:rsid w:val="00827B35"/>
    <w:rsid w:val="00827C61"/>
    <w:rsid w:val="008302CC"/>
    <w:rsid w:val="008302F2"/>
    <w:rsid w:val="008308D0"/>
    <w:rsid w:val="00830F9C"/>
    <w:rsid w:val="00831A7F"/>
    <w:rsid w:val="00831B00"/>
    <w:rsid w:val="008331E0"/>
    <w:rsid w:val="00833CF0"/>
    <w:rsid w:val="00833F7B"/>
    <w:rsid w:val="00834366"/>
    <w:rsid w:val="00835699"/>
    <w:rsid w:val="00835A06"/>
    <w:rsid w:val="00835B65"/>
    <w:rsid w:val="00835E28"/>
    <w:rsid w:val="00836057"/>
    <w:rsid w:val="008367DF"/>
    <w:rsid w:val="0083764C"/>
    <w:rsid w:val="008379DB"/>
    <w:rsid w:val="008401B9"/>
    <w:rsid w:val="00840534"/>
    <w:rsid w:val="0084084C"/>
    <w:rsid w:val="00840ABC"/>
    <w:rsid w:val="0084117E"/>
    <w:rsid w:val="0084149D"/>
    <w:rsid w:val="00841C7F"/>
    <w:rsid w:val="0084262F"/>
    <w:rsid w:val="008427E7"/>
    <w:rsid w:val="00842D73"/>
    <w:rsid w:val="008433B8"/>
    <w:rsid w:val="00843822"/>
    <w:rsid w:val="008443E6"/>
    <w:rsid w:val="00844A4B"/>
    <w:rsid w:val="00844CCD"/>
    <w:rsid w:val="00844E16"/>
    <w:rsid w:val="008451B2"/>
    <w:rsid w:val="008455EC"/>
    <w:rsid w:val="008456AD"/>
    <w:rsid w:val="00845D3E"/>
    <w:rsid w:val="008462AC"/>
    <w:rsid w:val="008465B5"/>
    <w:rsid w:val="00846A43"/>
    <w:rsid w:val="00846A8E"/>
    <w:rsid w:val="00846B39"/>
    <w:rsid w:val="00846FC4"/>
    <w:rsid w:val="00846FE6"/>
    <w:rsid w:val="008473B8"/>
    <w:rsid w:val="008475C0"/>
    <w:rsid w:val="00847DD3"/>
    <w:rsid w:val="00847F72"/>
    <w:rsid w:val="008506D5"/>
    <w:rsid w:val="00850EFF"/>
    <w:rsid w:val="008516E0"/>
    <w:rsid w:val="00851854"/>
    <w:rsid w:val="00851F68"/>
    <w:rsid w:val="008521D5"/>
    <w:rsid w:val="008523C5"/>
    <w:rsid w:val="008529A2"/>
    <w:rsid w:val="008532B1"/>
    <w:rsid w:val="0085351E"/>
    <w:rsid w:val="008535AB"/>
    <w:rsid w:val="00854CE1"/>
    <w:rsid w:val="00855FE2"/>
    <w:rsid w:val="008563C2"/>
    <w:rsid w:val="0085647C"/>
    <w:rsid w:val="00856DC1"/>
    <w:rsid w:val="0085716A"/>
    <w:rsid w:val="00860532"/>
    <w:rsid w:val="00860748"/>
    <w:rsid w:val="00860F29"/>
    <w:rsid w:val="008614DB"/>
    <w:rsid w:val="00861CAC"/>
    <w:rsid w:val="00862901"/>
    <w:rsid w:val="00862E69"/>
    <w:rsid w:val="00863BD8"/>
    <w:rsid w:val="00863E2B"/>
    <w:rsid w:val="00864C9B"/>
    <w:rsid w:val="008650D0"/>
    <w:rsid w:val="008669CC"/>
    <w:rsid w:val="00866DE1"/>
    <w:rsid w:val="0086764B"/>
    <w:rsid w:val="00867818"/>
    <w:rsid w:val="00867E0C"/>
    <w:rsid w:val="00867F7A"/>
    <w:rsid w:val="008702D3"/>
    <w:rsid w:val="008710A4"/>
    <w:rsid w:val="008723E8"/>
    <w:rsid w:val="00872D93"/>
    <w:rsid w:val="00873043"/>
    <w:rsid w:val="008730BF"/>
    <w:rsid w:val="00873799"/>
    <w:rsid w:val="00873ADF"/>
    <w:rsid w:val="00874BBF"/>
    <w:rsid w:val="00874F7C"/>
    <w:rsid w:val="0087502B"/>
    <w:rsid w:val="0087599B"/>
    <w:rsid w:val="00875BFF"/>
    <w:rsid w:val="008772A9"/>
    <w:rsid w:val="008773E5"/>
    <w:rsid w:val="008774C0"/>
    <w:rsid w:val="00877A31"/>
    <w:rsid w:val="00877E0E"/>
    <w:rsid w:val="0088028E"/>
    <w:rsid w:val="00880D47"/>
    <w:rsid w:val="00882A5C"/>
    <w:rsid w:val="00882B54"/>
    <w:rsid w:val="00882C2F"/>
    <w:rsid w:val="008840E4"/>
    <w:rsid w:val="00884422"/>
    <w:rsid w:val="00884520"/>
    <w:rsid w:val="00884872"/>
    <w:rsid w:val="00886110"/>
    <w:rsid w:val="0088724A"/>
    <w:rsid w:val="00890787"/>
    <w:rsid w:val="00890AC5"/>
    <w:rsid w:val="00890EA0"/>
    <w:rsid w:val="00891295"/>
    <w:rsid w:val="00891CA7"/>
    <w:rsid w:val="00892DDA"/>
    <w:rsid w:val="00892F5D"/>
    <w:rsid w:val="00893220"/>
    <w:rsid w:val="00893DE0"/>
    <w:rsid w:val="0089417D"/>
    <w:rsid w:val="00894510"/>
    <w:rsid w:val="00895294"/>
    <w:rsid w:val="0089575A"/>
    <w:rsid w:val="00895CD3"/>
    <w:rsid w:val="008966A9"/>
    <w:rsid w:val="008968E2"/>
    <w:rsid w:val="00897034"/>
    <w:rsid w:val="008974B9"/>
    <w:rsid w:val="00897C19"/>
    <w:rsid w:val="008A0365"/>
    <w:rsid w:val="008A0B2C"/>
    <w:rsid w:val="008A0C25"/>
    <w:rsid w:val="008A0E0B"/>
    <w:rsid w:val="008A13F7"/>
    <w:rsid w:val="008A16C2"/>
    <w:rsid w:val="008A21B6"/>
    <w:rsid w:val="008A2269"/>
    <w:rsid w:val="008A24E0"/>
    <w:rsid w:val="008A2B88"/>
    <w:rsid w:val="008A3973"/>
    <w:rsid w:val="008A3C55"/>
    <w:rsid w:val="008A40BB"/>
    <w:rsid w:val="008A4566"/>
    <w:rsid w:val="008A486B"/>
    <w:rsid w:val="008A5388"/>
    <w:rsid w:val="008A5720"/>
    <w:rsid w:val="008A6240"/>
    <w:rsid w:val="008A6296"/>
    <w:rsid w:val="008A66FC"/>
    <w:rsid w:val="008A6A2D"/>
    <w:rsid w:val="008A6CD7"/>
    <w:rsid w:val="008A6E92"/>
    <w:rsid w:val="008A728C"/>
    <w:rsid w:val="008A72A9"/>
    <w:rsid w:val="008A78E0"/>
    <w:rsid w:val="008B00C1"/>
    <w:rsid w:val="008B02D6"/>
    <w:rsid w:val="008B0957"/>
    <w:rsid w:val="008B12D4"/>
    <w:rsid w:val="008B15FC"/>
    <w:rsid w:val="008B1D5C"/>
    <w:rsid w:val="008B241D"/>
    <w:rsid w:val="008B2C35"/>
    <w:rsid w:val="008B2C66"/>
    <w:rsid w:val="008B4121"/>
    <w:rsid w:val="008B42AF"/>
    <w:rsid w:val="008B5080"/>
    <w:rsid w:val="008B52B1"/>
    <w:rsid w:val="008B538B"/>
    <w:rsid w:val="008B6449"/>
    <w:rsid w:val="008B68C5"/>
    <w:rsid w:val="008B734E"/>
    <w:rsid w:val="008B742E"/>
    <w:rsid w:val="008B7647"/>
    <w:rsid w:val="008B7CA4"/>
    <w:rsid w:val="008C06AC"/>
    <w:rsid w:val="008C11F4"/>
    <w:rsid w:val="008C1BE4"/>
    <w:rsid w:val="008C1ECF"/>
    <w:rsid w:val="008C1F56"/>
    <w:rsid w:val="008C2096"/>
    <w:rsid w:val="008C2340"/>
    <w:rsid w:val="008C2910"/>
    <w:rsid w:val="008C29A7"/>
    <w:rsid w:val="008C3362"/>
    <w:rsid w:val="008C399B"/>
    <w:rsid w:val="008C44C7"/>
    <w:rsid w:val="008C4597"/>
    <w:rsid w:val="008C48D3"/>
    <w:rsid w:val="008C4900"/>
    <w:rsid w:val="008C49C9"/>
    <w:rsid w:val="008C4E89"/>
    <w:rsid w:val="008C5080"/>
    <w:rsid w:val="008C5C8C"/>
    <w:rsid w:val="008C609B"/>
    <w:rsid w:val="008D0A18"/>
    <w:rsid w:val="008D1639"/>
    <w:rsid w:val="008D234C"/>
    <w:rsid w:val="008D27C7"/>
    <w:rsid w:val="008D289C"/>
    <w:rsid w:val="008D33C1"/>
    <w:rsid w:val="008D38B0"/>
    <w:rsid w:val="008D390E"/>
    <w:rsid w:val="008D3A19"/>
    <w:rsid w:val="008D3DFB"/>
    <w:rsid w:val="008D427F"/>
    <w:rsid w:val="008D4424"/>
    <w:rsid w:val="008D476B"/>
    <w:rsid w:val="008D48C1"/>
    <w:rsid w:val="008D4F2C"/>
    <w:rsid w:val="008D5988"/>
    <w:rsid w:val="008D5C6D"/>
    <w:rsid w:val="008D5E14"/>
    <w:rsid w:val="008D5FF6"/>
    <w:rsid w:val="008D64A5"/>
    <w:rsid w:val="008D6D21"/>
    <w:rsid w:val="008D721A"/>
    <w:rsid w:val="008D7800"/>
    <w:rsid w:val="008E01DD"/>
    <w:rsid w:val="008E0502"/>
    <w:rsid w:val="008E0828"/>
    <w:rsid w:val="008E0957"/>
    <w:rsid w:val="008E0CF0"/>
    <w:rsid w:val="008E14C7"/>
    <w:rsid w:val="008E1D07"/>
    <w:rsid w:val="008E1F69"/>
    <w:rsid w:val="008E206D"/>
    <w:rsid w:val="008E2951"/>
    <w:rsid w:val="008E2AD6"/>
    <w:rsid w:val="008E2E20"/>
    <w:rsid w:val="008E30D8"/>
    <w:rsid w:val="008E31A7"/>
    <w:rsid w:val="008E3990"/>
    <w:rsid w:val="008E41A5"/>
    <w:rsid w:val="008E43E6"/>
    <w:rsid w:val="008E4D64"/>
    <w:rsid w:val="008E5CCD"/>
    <w:rsid w:val="008E646F"/>
    <w:rsid w:val="008E69D5"/>
    <w:rsid w:val="008F01D7"/>
    <w:rsid w:val="008F0463"/>
    <w:rsid w:val="008F0C89"/>
    <w:rsid w:val="008F0F07"/>
    <w:rsid w:val="008F143C"/>
    <w:rsid w:val="008F3093"/>
    <w:rsid w:val="008F3291"/>
    <w:rsid w:val="008F5325"/>
    <w:rsid w:val="008F5A03"/>
    <w:rsid w:val="008F5CDB"/>
    <w:rsid w:val="008F6BBA"/>
    <w:rsid w:val="008F6C61"/>
    <w:rsid w:val="008F77C4"/>
    <w:rsid w:val="0090061A"/>
    <w:rsid w:val="009008D8"/>
    <w:rsid w:val="00901045"/>
    <w:rsid w:val="0090145C"/>
    <w:rsid w:val="00901923"/>
    <w:rsid w:val="00902F70"/>
    <w:rsid w:val="00903173"/>
    <w:rsid w:val="009038B6"/>
    <w:rsid w:val="00904212"/>
    <w:rsid w:val="00904FB1"/>
    <w:rsid w:val="0090551C"/>
    <w:rsid w:val="009079E7"/>
    <w:rsid w:val="00910AA0"/>
    <w:rsid w:val="009114E0"/>
    <w:rsid w:val="0091304C"/>
    <w:rsid w:val="00913252"/>
    <w:rsid w:val="0091389F"/>
    <w:rsid w:val="00913FB6"/>
    <w:rsid w:val="009140E5"/>
    <w:rsid w:val="009154ED"/>
    <w:rsid w:val="0091569A"/>
    <w:rsid w:val="009164F7"/>
    <w:rsid w:val="00916EA4"/>
    <w:rsid w:val="00917136"/>
    <w:rsid w:val="0091769F"/>
    <w:rsid w:val="00921099"/>
    <w:rsid w:val="009212CF"/>
    <w:rsid w:val="00921755"/>
    <w:rsid w:val="00922BB7"/>
    <w:rsid w:val="009230ED"/>
    <w:rsid w:val="0092310D"/>
    <w:rsid w:val="0092362A"/>
    <w:rsid w:val="009238E0"/>
    <w:rsid w:val="009239B8"/>
    <w:rsid w:val="00923E3E"/>
    <w:rsid w:val="00924A36"/>
    <w:rsid w:val="00925144"/>
    <w:rsid w:val="00926B32"/>
    <w:rsid w:val="00926E82"/>
    <w:rsid w:val="009270C7"/>
    <w:rsid w:val="00927255"/>
    <w:rsid w:val="00927385"/>
    <w:rsid w:val="009276F3"/>
    <w:rsid w:val="009311A3"/>
    <w:rsid w:val="0093177F"/>
    <w:rsid w:val="0093185C"/>
    <w:rsid w:val="00931D4C"/>
    <w:rsid w:val="009329F8"/>
    <w:rsid w:val="00932CCF"/>
    <w:rsid w:val="00932DCD"/>
    <w:rsid w:val="00933264"/>
    <w:rsid w:val="00933730"/>
    <w:rsid w:val="00933907"/>
    <w:rsid w:val="00933E13"/>
    <w:rsid w:val="00934E50"/>
    <w:rsid w:val="009350ED"/>
    <w:rsid w:val="00935F1A"/>
    <w:rsid w:val="00936DDF"/>
    <w:rsid w:val="00936ECC"/>
    <w:rsid w:val="00936F80"/>
    <w:rsid w:val="00940838"/>
    <w:rsid w:val="00940968"/>
    <w:rsid w:val="00941D4B"/>
    <w:rsid w:val="009424BD"/>
    <w:rsid w:val="009426FD"/>
    <w:rsid w:val="00942BAA"/>
    <w:rsid w:val="00942C77"/>
    <w:rsid w:val="0094348D"/>
    <w:rsid w:val="009436C8"/>
    <w:rsid w:val="00943A93"/>
    <w:rsid w:val="00943E19"/>
    <w:rsid w:val="00943EF2"/>
    <w:rsid w:val="0094422F"/>
    <w:rsid w:val="00944771"/>
    <w:rsid w:val="0094529F"/>
    <w:rsid w:val="00945602"/>
    <w:rsid w:val="00945D7C"/>
    <w:rsid w:val="00946478"/>
    <w:rsid w:val="0094659D"/>
    <w:rsid w:val="00947848"/>
    <w:rsid w:val="0095036C"/>
    <w:rsid w:val="00950479"/>
    <w:rsid w:val="009504F7"/>
    <w:rsid w:val="00950C0C"/>
    <w:rsid w:val="00951679"/>
    <w:rsid w:val="00951849"/>
    <w:rsid w:val="0095316A"/>
    <w:rsid w:val="0095386F"/>
    <w:rsid w:val="00953CB3"/>
    <w:rsid w:val="00953FB4"/>
    <w:rsid w:val="00954F83"/>
    <w:rsid w:val="00955684"/>
    <w:rsid w:val="00955CBF"/>
    <w:rsid w:val="00956272"/>
    <w:rsid w:val="00956318"/>
    <w:rsid w:val="009564DE"/>
    <w:rsid w:val="00956A23"/>
    <w:rsid w:val="00956FC2"/>
    <w:rsid w:val="009576CC"/>
    <w:rsid w:val="00957AB3"/>
    <w:rsid w:val="00957E5F"/>
    <w:rsid w:val="009601A3"/>
    <w:rsid w:val="00960DFC"/>
    <w:rsid w:val="00961C0B"/>
    <w:rsid w:val="00962981"/>
    <w:rsid w:val="009633AF"/>
    <w:rsid w:val="00963C75"/>
    <w:rsid w:val="0096401D"/>
    <w:rsid w:val="00964445"/>
    <w:rsid w:val="0096457B"/>
    <w:rsid w:val="0096494E"/>
    <w:rsid w:val="00964E50"/>
    <w:rsid w:val="00965EAE"/>
    <w:rsid w:val="0096612B"/>
    <w:rsid w:val="009667F7"/>
    <w:rsid w:val="0096691B"/>
    <w:rsid w:val="00967368"/>
    <w:rsid w:val="00970DC5"/>
    <w:rsid w:val="009713D8"/>
    <w:rsid w:val="00972449"/>
    <w:rsid w:val="0097258F"/>
    <w:rsid w:val="00972950"/>
    <w:rsid w:val="00972B90"/>
    <w:rsid w:val="0097316E"/>
    <w:rsid w:val="00973668"/>
    <w:rsid w:val="00975B58"/>
    <w:rsid w:val="00975E10"/>
    <w:rsid w:val="00976BF5"/>
    <w:rsid w:val="00976C73"/>
    <w:rsid w:val="0098023E"/>
    <w:rsid w:val="009806D7"/>
    <w:rsid w:val="009812A6"/>
    <w:rsid w:val="009817BC"/>
    <w:rsid w:val="00981B61"/>
    <w:rsid w:val="00982971"/>
    <w:rsid w:val="009831DB"/>
    <w:rsid w:val="00983D26"/>
    <w:rsid w:val="009845B0"/>
    <w:rsid w:val="00984839"/>
    <w:rsid w:val="00985387"/>
    <w:rsid w:val="00985BEF"/>
    <w:rsid w:val="0098743D"/>
    <w:rsid w:val="009874EE"/>
    <w:rsid w:val="00987787"/>
    <w:rsid w:val="00990367"/>
    <w:rsid w:val="009908C9"/>
    <w:rsid w:val="00990B07"/>
    <w:rsid w:val="00991E29"/>
    <w:rsid w:val="0099226E"/>
    <w:rsid w:val="00992401"/>
    <w:rsid w:val="00992F16"/>
    <w:rsid w:val="009944C4"/>
    <w:rsid w:val="0099473F"/>
    <w:rsid w:val="00995192"/>
    <w:rsid w:val="00995FFB"/>
    <w:rsid w:val="009973D5"/>
    <w:rsid w:val="009A0185"/>
    <w:rsid w:val="009A0C6D"/>
    <w:rsid w:val="009A1494"/>
    <w:rsid w:val="009A19F4"/>
    <w:rsid w:val="009A1C7F"/>
    <w:rsid w:val="009A1F8C"/>
    <w:rsid w:val="009A3805"/>
    <w:rsid w:val="009A3C2D"/>
    <w:rsid w:val="009A3EB2"/>
    <w:rsid w:val="009A3FDB"/>
    <w:rsid w:val="009A4251"/>
    <w:rsid w:val="009A4B50"/>
    <w:rsid w:val="009A4DB0"/>
    <w:rsid w:val="009A59F7"/>
    <w:rsid w:val="009A5F41"/>
    <w:rsid w:val="009A6BB2"/>
    <w:rsid w:val="009A6FE6"/>
    <w:rsid w:val="009A754D"/>
    <w:rsid w:val="009A757A"/>
    <w:rsid w:val="009A7CC9"/>
    <w:rsid w:val="009B0D29"/>
    <w:rsid w:val="009B159D"/>
    <w:rsid w:val="009B2674"/>
    <w:rsid w:val="009B333E"/>
    <w:rsid w:val="009B3AD9"/>
    <w:rsid w:val="009B3BE9"/>
    <w:rsid w:val="009B4440"/>
    <w:rsid w:val="009B4737"/>
    <w:rsid w:val="009B62C0"/>
    <w:rsid w:val="009B6B53"/>
    <w:rsid w:val="009B771B"/>
    <w:rsid w:val="009C039B"/>
    <w:rsid w:val="009C06DE"/>
    <w:rsid w:val="009C0EBD"/>
    <w:rsid w:val="009C115F"/>
    <w:rsid w:val="009C1240"/>
    <w:rsid w:val="009C1F1A"/>
    <w:rsid w:val="009C2107"/>
    <w:rsid w:val="009C240A"/>
    <w:rsid w:val="009C268E"/>
    <w:rsid w:val="009C3041"/>
    <w:rsid w:val="009C3650"/>
    <w:rsid w:val="009C4324"/>
    <w:rsid w:val="009C445E"/>
    <w:rsid w:val="009C4556"/>
    <w:rsid w:val="009C4BC0"/>
    <w:rsid w:val="009C4F3A"/>
    <w:rsid w:val="009C561D"/>
    <w:rsid w:val="009C6E84"/>
    <w:rsid w:val="009C78FF"/>
    <w:rsid w:val="009C7D5B"/>
    <w:rsid w:val="009D0293"/>
    <w:rsid w:val="009D0EB8"/>
    <w:rsid w:val="009D1280"/>
    <w:rsid w:val="009D1CC7"/>
    <w:rsid w:val="009D1DF6"/>
    <w:rsid w:val="009D2058"/>
    <w:rsid w:val="009D20BC"/>
    <w:rsid w:val="009D2634"/>
    <w:rsid w:val="009D3029"/>
    <w:rsid w:val="009D39D4"/>
    <w:rsid w:val="009D3C73"/>
    <w:rsid w:val="009D4D74"/>
    <w:rsid w:val="009D52CE"/>
    <w:rsid w:val="009D5A69"/>
    <w:rsid w:val="009D5B0D"/>
    <w:rsid w:val="009D607D"/>
    <w:rsid w:val="009D6586"/>
    <w:rsid w:val="009D67A9"/>
    <w:rsid w:val="009E0195"/>
    <w:rsid w:val="009E0850"/>
    <w:rsid w:val="009E0EDD"/>
    <w:rsid w:val="009E14B8"/>
    <w:rsid w:val="009E2288"/>
    <w:rsid w:val="009E2EA0"/>
    <w:rsid w:val="009E359B"/>
    <w:rsid w:val="009E3742"/>
    <w:rsid w:val="009E4341"/>
    <w:rsid w:val="009E4A3D"/>
    <w:rsid w:val="009E60F7"/>
    <w:rsid w:val="009E60FD"/>
    <w:rsid w:val="009E650F"/>
    <w:rsid w:val="009E6596"/>
    <w:rsid w:val="009E65F7"/>
    <w:rsid w:val="009E6B53"/>
    <w:rsid w:val="009E6F58"/>
    <w:rsid w:val="009E788A"/>
    <w:rsid w:val="009E7A21"/>
    <w:rsid w:val="009F1A0B"/>
    <w:rsid w:val="009F32C2"/>
    <w:rsid w:val="009F3AAD"/>
    <w:rsid w:val="009F498A"/>
    <w:rsid w:val="009F4D94"/>
    <w:rsid w:val="009F517A"/>
    <w:rsid w:val="009F6407"/>
    <w:rsid w:val="009F64FB"/>
    <w:rsid w:val="009F6EFE"/>
    <w:rsid w:val="009F759E"/>
    <w:rsid w:val="009F78A4"/>
    <w:rsid w:val="00A00332"/>
    <w:rsid w:val="00A0186F"/>
    <w:rsid w:val="00A01A71"/>
    <w:rsid w:val="00A026F2"/>
    <w:rsid w:val="00A02A2B"/>
    <w:rsid w:val="00A0428F"/>
    <w:rsid w:val="00A04C40"/>
    <w:rsid w:val="00A05212"/>
    <w:rsid w:val="00A0523A"/>
    <w:rsid w:val="00A0523B"/>
    <w:rsid w:val="00A055A1"/>
    <w:rsid w:val="00A06807"/>
    <w:rsid w:val="00A10E6F"/>
    <w:rsid w:val="00A1174F"/>
    <w:rsid w:val="00A12501"/>
    <w:rsid w:val="00A127DD"/>
    <w:rsid w:val="00A13602"/>
    <w:rsid w:val="00A14942"/>
    <w:rsid w:val="00A1511C"/>
    <w:rsid w:val="00A154D8"/>
    <w:rsid w:val="00A156DC"/>
    <w:rsid w:val="00A157A8"/>
    <w:rsid w:val="00A17B8A"/>
    <w:rsid w:val="00A206AC"/>
    <w:rsid w:val="00A20859"/>
    <w:rsid w:val="00A20861"/>
    <w:rsid w:val="00A20D1C"/>
    <w:rsid w:val="00A20F79"/>
    <w:rsid w:val="00A21324"/>
    <w:rsid w:val="00A21C62"/>
    <w:rsid w:val="00A2270B"/>
    <w:rsid w:val="00A22728"/>
    <w:rsid w:val="00A231B2"/>
    <w:rsid w:val="00A23B16"/>
    <w:rsid w:val="00A23F95"/>
    <w:rsid w:val="00A24478"/>
    <w:rsid w:val="00A249DD"/>
    <w:rsid w:val="00A265F1"/>
    <w:rsid w:val="00A26AE0"/>
    <w:rsid w:val="00A26C21"/>
    <w:rsid w:val="00A26EBC"/>
    <w:rsid w:val="00A274A9"/>
    <w:rsid w:val="00A276F5"/>
    <w:rsid w:val="00A30A27"/>
    <w:rsid w:val="00A30FED"/>
    <w:rsid w:val="00A321CB"/>
    <w:rsid w:val="00A3237B"/>
    <w:rsid w:val="00A331E8"/>
    <w:rsid w:val="00A33343"/>
    <w:rsid w:val="00A33FEB"/>
    <w:rsid w:val="00A34BD8"/>
    <w:rsid w:val="00A35A0B"/>
    <w:rsid w:val="00A3640C"/>
    <w:rsid w:val="00A3651D"/>
    <w:rsid w:val="00A366E7"/>
    <w:rsid w:val="00A36D9D"/>
    <w:rsid w:val="00A376B6"/>
    <w:rsid w:val="00A37A06"/>
    <w:rsid w:val="00A37AC7"/>
    <w:rsid w:val="00A37C30"/>
    <w:rsid w:val="00A407AE"/>
    <w:rsid w:val="00A41004"/>
    <w:rsid w:val="00A4161A"/>
    <w:rsid w:val="00A41B0D"/>
    <w:rsid w:val="00A41B4E"/>
    <w:rsid w:val="00A41C72"/>
    <w:rsid w:val="00A4202A"/>
    <w:rsid w:val="00A43653"/>
    <w:rsid w:val="00A444CA"/>
    <w:rsid w:val="00A44C2B"/>
    <w:rsid w:val="00A45481"/>
    <w:rsid w:val="00A478A8"/>
    <w:rsid w:val="00A47A32"/>
    <w:rsid w:val="00A47B98"/>
    <w:rsid w:val="00A51782"/>
    <w:rsid w:val="00A51FE4"/>
    <w:rsid w:val="00A52305"/>
    <w:rsid w:val="00A52BDC"/>
    <w:rsid w:val="00A52CC4"/>
    <w:rsid w:val="00A52E79"/>
    <w:rsid w:val="00A530B1"/>
    <w:rsid w:val="00A53B1E"/>
    <w:rsid w:val="00A54633"/>
    <w:rsid w:val="00A54778"/>
    <w:rsid w:val="00A55036"/>
    <w:rsid w:val="00A55271"/>
    <w:rsid w:val="00A563D0"/>
    <w:rsid w:val="00A5681C"/>
    <w:rsid w:val="00A57537"/>
    <w:rsid w:val="00A57937"/>
    <w:rsid w:val="00A60C22"/>
    <w:rsid w:val="00A60C27"/>
    <w:rsid w:val="00A61418"/>
    <w:rsid w:val="00A61427"/>
    <w:rsid w:val="00A622E7"/>
    <w:rsid w:val="00A62A57"/>
    <w:rsid w:val="00A64126"/>
    <w:rsid w:val="00A643A1"/>
    <w:rsid w:val="00A65A46"/>
    <w:rsid w:val="00A663E2"/>
    <w:rsid w:val="00A66B9D"/>
    <w:rsid w:val="00A66BB7"/>
    <w:rsid w:val="00A67683"/>
    <w:rsid w:val="00A67C8A"/>
    <w:rsid w:val="00A70588"/>
    <w:rsid w:val="00A70772"/>
    <w:rsid w:val="00A70C6C"/>
    <w:rsid w:val="00A70F70"/>
    <w:rsid w:val="00A70FF7"/>
    <w:rsid w:val="00A7243C"/>
    <w:rsid w:val="00A72625"/>
    <w:rsid w:val="00A72ADC"/>
    <w:rsid w:val="00A72DD4"/>
    <w:rsid w:val="00A734C7"/>
    <w:rsid w:val="00A735AA"/>
    <w:rsid w:val="00A73920"/>
    <w:rsid w:val="00A74806"/>
    <w:rsid w:val="00A74B02"/>
    <w:rsid w:val="00A75C3A"/>
    <w:rsid w:val="00A769AE"/>
    <w:rsid w:val="00A7711F"/>
    <w:rsid w:val="00A7725C"/>
    <w:rsid w:val="00A80600"/>
    <w:rsid w:val="00A80BCD"/>
    <w:rsid w:val="00A82F5C"/>
    <w:rsid w:val="00A82F7F"/>
    <w:rsid w:val="00A8368A"/>
    <w:rsid w:val="00A8385A"/>
    <w:rsid w:val="00A84545"/>
    <w:rsid w:val="00A8493B"/>
    <w:rsid w:val="00A864A6"/>
    <w:rsid w:val="00A866AF"/>
    <w:rsid w:val="00A87257"/>
    <w:rsid w:val="00A900E4"/>
    <w:rsid w:val="00A90B3F"/>
    <w:rsid w:val="00A91237"/>
    <w:rsid w:val="00A916FF"/>
    <w:rsid w:val="00A919F5"/>
    <w:rsid w:val="00A927E3"/>
    <w:rsid w:val="00A92F2C"/>
    <w:rsid w:val="00A9384A"/>
    <w:rsid w:val="00A93E4E"/>
    <w:rsid w:val="00A94303"/>
    <w:rsid w:val="00A952AC"/>
    <w:rsid w:val="00A953E7"/>
    <w:rsid w:val="00A95B0F"/>
    <w:rsid w:val="00A95CDF"/>
    <w:rsid w:val="00A95FC9"/>
    <w:rsid w:val="00A9641D"/>
    <w:rsid w:val="00A96CC5"/>
    <w:rsid w:val="00A97579"/>
    <w:rsid w:val="00A977E4"/>
    <w:rsid w:val="00AA04EB"/>
    <w:rsid w:val="00AA069E"/>
    <w:rsid w:val="00AA0903"/>
    <w:rsid w:val="00AA0B27"/>
    <w:rsid w:val="00AA1506"/>
    <w:rsid w:val="00AA19B2"/>
    <w:rsid w:val="00AA207A"/>
    <w:rsid w:val="00AA2CF5"/>
    <w:rsid w:val="00AA2D34"/>
    <w:rsid w:val="00AA3335"/>
    <w:rsid w:val="00AA36D0"/>
    <w:rsid w:val="00AA3C93"/>
    <w:rsid w:val="00AA42B0"/>
    <w:rsid w:val="00AA4520"/>
    <w:rsid w:val="00AA46ED"/>
    <w:rsid w:val="00AA48EF"/>
    <w:rsid w:val="00AA5EB0"/>
    <w:rsid w:val="00AA603E"/>
    <w:rsid w:val="00AA6661"/>
    <w:rsid w:val="00AA6A5E"/>
    <w:rsid w:val="00AA6C11"/>
    <w:rsid w:val="00AB1EB0"/>
    <w:rsid w:val="00AB1F9F"/>
    <w:rsid w:val="00AB2413"/>
    <w:rsid w:val="00AB2FB0"/>
    <w:rsid w:val="00AB3214"/>
    <w:rsid w:val="00AB35AF"/>
    <w:rsid w:val="00AB3E77"/>
    <w:rsid w:val="00AB478A"/>
    <w:rsid w:val="00AB490C"/>
    <w:rsid w:val="00AB4E4A"/>
    <w:rsid w:val="00AB5430"/>
    <w:rsid w:val="00AB5469"/>
    <w:rsid w:val="00AB5988"/>
    <w:rsid w:val="00AB5AB0"/>
    <w:rsid w:val="00AB5EC8"/>
    <w:rsid w:val="00AB62BC"/>
    <w:rsid w:val="00AB687E"/>
    <w:rsid w:val="00AB6A8D"/>
    <w:rsid w:val="00AB7499"/>
    <w:rsid w:val="00AB7FF7"/>
    <w:rsid w:val="00AC035D"/>
    <w:rsid w:val="00AC0A5E"/>
    <w:rsid w:val="00AC1214"/>
    <w:rsid w:val="00AC141C"/>
    <w:rsid w:val="00AC15F3"/>
    <w:rsid w:val="00AC1D4D"/>
    <w:rsid w:val="00AC28E7"/>
    <w:rsid w:val="00AC3071"/>
    <w:rsid w:val="00AC584D"/>
    <w:rsid w:val="00AC5C48"/>
    <w:rsid w:val="00AC66E7"/>
    <w:rsid w:val="00AC6F22"/>
    <w:rsid w:val="00AC7F20"/>
    <w:rsid w:val="00AD06E5"/>
    <w:rsid w:val="00AD0AE3"/>
    <w:rsid w:val="00AD0C0F"/>
    <w:rsid w:val="00AD13B9"/>
    <w:rsid w:val="00AD1489"/>
    <w:rsid w:val="00AD26A3"/>
    <w:rsid w:val="00AD2C51"/>
    <w:rsid w:val="00AD2D54"/>
    <w:rsid w:val="00AD3B86"/>
    <w:rsid w:val="00AD3BD6"/>
    <w:rsid w:val="00AD41B6"/>
    <w:rsid w:val="00AD5204"/>
    <w:rsid w:val="00AD5384"/>
    <w:rsid w:val="00AD5423"/>
    <w:rsid w:val="00AD5467"/>
    <w:rsid w:val="00AD59BA"/>
    <w:rsid w:val="00AD5BB8"/>
    <w:rsid w:val="00AD624E"/>
    <w:rsid w:val="00AD67D3"/>
    <w:rsid w:val="00AD79EF"/>
    <w:rsid w:val="00AE0154"/>
    <w:rsid w:val="00AE0B63"/>
    <w:rsid w:val="00AE0C05"/>
    <w:rsid w:val="00AE205A"/>
    <w:rsid w:val="00AE23C4"/>
    <w:rsid w:val="00AE265D"/>
    <w:rsid w:val="00AE2A7F"/>
    <w:rsid w:val="00AE2BCA"/>
    <w:rsid w:val="00AE2E79"/>
    <w:rsid w:val="00AE2FF2"/>
    <w:rsid w:val="00AE4099"/>
    <w:rsid w:val="00AE4A72"/>
    <w:rsid w:val="00AE4E24"/>
    <w:rsid w:val="00AE4E65"/>
    <w:rsid w:val="00AE4EBA"/>
    <w:rsid w:val="00AE5CD7"/>
    <w:rsid w:val="00AE6F97"/>
    <w:rsid w:val="00AE79EA"/>
    <w:rsid w:val="00AF074B"/>
    <w:rsid w:val="00AF086E"/>
    <w:rsid w:val="00AF0DD4"/>
    <w:rsid w:val="00AF12B0"/>
    <w:rsid w:val="00AF1E6C"/>
    <w:rsid w:val="00AF2216"/>
    <w:rsid w:val="00AF223F"/>
    <w:rsid w:val="00AF26EB"/>
    <w:rsid w:val="00AF2AFC"/>
    <w:rsid w:val="00AF3366"/>
    <w:rsid w:val="00AF3460"/>
    <w:rsid w:val="00AF3ABA"/>
    <w:rsid w:val="00AF3F30"/>
    <w:rsid w:val="00AF46D8"/>
    <w:rsid w:val="00AF48DF"/>
    <w:rsid w:val="00AF4C0D"/>
    <w:rsid w:val="00AF5285"/>
    <w:rsid w:val="00AF5556"/>
    <w:rsid w:val="00AF5B2E"/>
    <w:rsid w:val="00AF5C30"/>
    <w:rsid w:val="00AF6B57"/>
    <w:rsid w:val="00AF6C40"/>
    <w:rsid w:val="00AF72D0"/>
    <w:rsid w:val="00AF7543"/>
    <w:rsid w:val="00B00368"/>
    <w:rsid w:val="00B01C33"/>
    <w:rsid w:val="00B01F17"/>
    <w:rsid w:val="00B02127"/>
    <w:rsid w:val="00B02A01"/>
    <w:rsid w:val="00B02CF6"/>
    <w:rsid w:val="00B02FCE"/>
    <w:rsid w:val="00B03393"/>
    <w:rsid w:val="00B03971"/>
    <w:rsid w:val="00B03B5E"/>
    <w:rsid w:val="00B03E3F"/>
    <w:rsid w:val="00B05047"/>
    <w:rsid w:val="00B050DE"/>
    <w:rsid w:val="00B056B0"/>
    <w:rsid w:val="00B06660"/>
    <w:rsid w:val="00B07766"/>
    <w:rsid w:val="00B079F6"/>
    <w:rsid w:val="00B10614"/>
    <w:rsid w:val="00B116D9"/>
    <w:rsid w:val="00B11928"/>
    <w:rsid w:val="00B11D44"/>
    <w:rsid w:val="00B1248E"/>
    <w:rsid w:val="00B12939"/>
    <w:rsid w:val="00B13A11"/>
    <w:rsid w:val="00B13CB3"/>
    <w:rsid w:val="00B14537"/>
    <w:rsid w:val="00B150A0"/>
    <w:rsid w:val="00B15BF7"/>
    <w:rsid w:val="00B15F29"/>
    <w:rsid w:val="00B1617C"/>
    <w:rsid w:val="00B16AEF"/>
    <w:rsid w:val="00B17A1E"/>
    <w:rsid w:val="00B20388"/>
    <w:rsid w:val="00B20699"/>
    <w:rsid w:val="00B20865"/>
    <w:rsid w:val="00B21549"/>
    <w:rsid w:val="00B2163D"/>
    <w:rsid w:val="00B21A52"/>
    <w:rsid w:val="00B21B0B"/>
    <w:rsid w:val="00B22271"/>
    <w:rsid w:val="00B2273A"/>
    <w:rsid w:val="00B230C7"/>
    <w:rsid w:val="00B2365C"/>
    <w:rsid w:val="00B237CA"/>
    <w:rsid w:val="00B2385B"/>
    <w:rsid w:val="00B23A1A"/>
    <w:rsid w:val="00B2415A"/>
    <w:rsid w:val="00B246C2"/>
    <w:rsid w:val="00B2504E"/>
    <w:rsid w:val="00B255BA"/>
    <w:rsid w:val="00B25F6A"/>
    <w:rsid w:val="00B26724"/>
    <w:rsid w:val="00B2745A"/>
    <w:rsid w:val="00B275D1"/>
    <w:rsid w:val="00B27E56"/>
    <w:rsid w:val="00B27F5A"/>
    <w:rsid w:val="00B30270"/>
    <w:rsid w:val="00B303D2"/>
    <w:rsid w:val="00B30661"/>
    <w:rsid w:val="00B3075C"/>
    <w:rsid w:val="00B30AAE"/>
    <w:rsid w:val="00B312F8"/>
    <w:rsid w:val="00B32D5C"/>
    <w:rsid w:val="00B33522"/>
    <w:rsid w:val="00B33578"/>
    <w:rsid w:val="00B33836"/>
    <w:rsid w:val="00B338FA"/>
    <w:rsid w:val="00B33920"/>
    <w:rsid w:val="00B34345"/>
    <w:rsid w:val="00B34A20"/>
    <w:rsid w:val="00B34D9A"/>
    <w:rsid w:val="00B354F9"/>
    <w:rsid w:val="00B35D60"/>
    <w:rsid w:val="00B35D78"/>
    <w:rsid w:val="00B35E0E"/>
    <w:rsid w:val="00B377BD"/>
    <w:rsid w:val="00B40693"/>
    <w:rsid w:val="00B40DB6"/>
    <w:rsid w:val="00B41753"/>
    <w:rsid w:val="00B41D39"/>
    <w:rsid w:val="00B425E7"/>
    <w:rsid w:val="00B4375E"/>
    <w:rsid w:val="00B4453A"/>
    <w:rsid w:val="00B446B8"/>
    <w:rsid w:val="00B44992"/>
    <w:rsid w:val="00B44A49"/>
    <w:rsid w:val="00B4513A"/>
    <w:rsid w:val="00B452C2"/>
    <w:rsid w:val="00B455E7"/>
    <w:rsid w:val="00B47555"/>
    <w:rsid w:val="00B4785C"/>
    <w:rsid w:val="00B50117"/>
    <w:rsid w:val="00B50341"/>
    <w:rsid w:val="00B5109D"/>
    <w:rsid w:val="00B515FF"/>
    <w:rsid w:val="00B51C22"/>
    <w:rsid w:val="00B51F5C"/>
    <w:rsid w:val="00B52E2A"/>
    <w:rsid w:val="00B52FA8"/>
    <w:rsid w:val="00B5357E"/>
    <w:rsid w:val="00B53609"/>
    <w:rsid w:val="00B53D2A"/>
    <w:rsid w:val="00B53F13"/>
    <w:rsid w:val="00B542F5"/>
    <w:rsid w:val="00B5439D"/>
    <w:rsid w:val="00B5539C"/>
    <w:rsid w:val="00B55DC9"/>
    <w:rsid w:val="00B5603A"/>
    <w:rsid w:val="00B5720E"/>
    <w:rsid w:val="00B60192"/>
    <w:rsid w:val="00B6123D"/>
    <w:rsid w:val="00B61986"/>
    <w:rsid w:val="00B61D81"/>
    <w:rsid w:val="00B620BC"/>
    <w:rsid w:val="00B6236D"/>
    <w:rsid w:val="00B627FC"/>
    <w:rsid w:val="00B62DAF"/>
    <w:rsid w:val="00B63476"/>
    <w:rsid w:val="00B644EA"/>
    <w:rsid w:val="00B647CB"/>
    <w:rsid w:val="00B64F13"/>
    <w:rsid w:val="00B6586A"/>
    <w:rsid w:val="00B65C5A"/>
    <w:rsid w:val="00B661AF"/>
    <w:rsid w:val="00B669A4"/>
    <w:rsid w:val="00B66C5A"/>
    <w:rsid w:val="00B67459"/>
    <w:rsid w:val="00B67CBC"/>
    <w:rsid w:val="00B704F0"/>
    <w:rsid w:val="00B70738"/>
    <w:rsid w:val="00B708F8"/>
    <w:rsid w:val="00B715FC"/>
    <w:rsid w:val="00B71C5E"/>
    <w:rsid w:val="00B71D39"/>
    <w:rsid w:val="00B726ED"/>
    <w:rsid w:val="00B72840"/>
    <w:rsid w:val="00B73499"/>
    <w:rsid w:val="00B7508C"/>
    <w:rsid w:val="00B75430"/>
    <w:rsid w:val="00B759EB"/>
    <w:rsid w:val="00B75B5A"/>
    <w:rsid w:val="00B767B1"/>
    <w:rsid w:val="00B76EF7"/>
    <w:rsid w:val="00B776C1"/>
    <w:rsid w:val="00B77F23"/>
    <w:rsid w:val="00B80EB4"/>
    <w:rsid w:val="00B8115D"/>
    <w:rsid w:val="00B81F48"/>
    <w:rsid w:val="00B82037"/>
    <w:rsid w:val="00B824E7"/>
    <w:rsid w:val="00B82D24"/>
    <w:rsid w:val="00B82E53"/>
    <w:rsid w:val="00B835F6"/>
    <w:rsid w:val="00B8381F"/>
    <w:rsid w:val="00B83FE4"/>
    <w:rsid w:val="00B851F9"/>
    <w:rsid w:val="00B8526B"/>
    <w:rsid w:val="00B85540"/>
    <w:rsid w:val="00B86971"/>
    <w:rsid w:val="00B869DA"/>
    <w:rsid w:val="00B86AE5"/>
    <w:rsid w:val="00B86B28"/>
    <w:rsid w:val="00B86F6B"/>
    <w:rsid w:val="00B87732"/>
    <w:rsid w:val="00B879AA"/>
    <w:rsid w:val="00B87C66"/>
    <w:rsid w:val="00B87D03"/>
    <w:rsid w:val="00B87D31"/>
    <w:rsid w:val="00B9079D"/>
    <w:rsid w:val="00B9098A"/>
    <w:rsid w:val="00B90BC4"/>
    <w:rsid w:val="00B91ADD"/>
    <w:rsid w:val="00B9227B"/>
    <w:rsid w:val="00B92726"/>
    <w:rsid w:val="00B92BB8"/>
    <w:rsid w:val="00B92C3F"/>
    <w:rsid w:val="00B954D4"/>
    <w:rsid w:val="00B95FCB"/>
    <w:rsid w:val="00B9700B"/>
    <w:rsid w:val="00B970CA"/>
    <w:rsid w:val="00B97601"/>
    <w:rsid w:val="00BA06A7"/>
    <w:rsid w:val="00BA14A1"/>
    <w:rsid w:val="00BA16A5"/>
    <w:rsid w:val="00BA2B23"/>
    <w:rsid w:val="00BA3B88"/>
    <w:rsid w:val="00BA45FB"/>
    <w:rsid w:val="00BA4DF5"/>
    <w:rsid w:val="00BA62FB"/>
    <w:rsid w:val="00BA6BF9"/>
    <w:rsid w:val="00BA6C68"/>
    <w:rsid w:val="00BA7795"/>
    <w:rsid w:val="00BA7AD9"/>
    <w:rsid w:val="00BB0474"/>
    <w:rsid w:val="00BB08E4"/>
    <w:rsid w:val="00BB103F"/>
    <w:rsid w:val="00BB1457"/>
    <w:rsid w:val="00BB2787"/>
    <w:rsid w:val="00BB29B2"/>
    <w:rsid w:val="00BB3943"/>
    <w:rsid w:val="00BB4696"/>
    <w:rsid w:val="00BB474A"/>
    <w:rsid w:val="00BB4805"/>
    <w:rsid w:val="00BB4949"/>
    <w:rsid w:val="00BB567F"/>
    <w:rsid w:val="00BB5C26"/>
    <w:rsid w:val="00BB5E89"/>
    <w:rsid w:val="00BB6523"/>
    <w:rsid w:val="00BB6C25"/>
    <w:rsid w:val="00BB7CED"/>
    <w:rsid w:val="00BC156C"/>
    <w:rsid w:val="00BC1E02"/>
    <w:rsid w:val="00BC2F2F"/>
    <w:rsid w:val="00BC3D7E"/>
    <w:rsid w:val="00BC4C77"/>
    <w:rsid w:val="00BC4DAE"/>
    <w:rsid w:val="00BC57A7"/>
    <w:rsid w:val="00BC5B1D"/>
    <w:rsid w:val="00BC6088"/>
    <w:rsid w:val="00BC61DB"/>
    <w:rsid w:val="00BC6453"/>
    <w:rsid w:val="00BC67B9"/>
    <w:rsid w:val="00BC6999"/>
    <w:rsid w:val="00BC69BE"/>
    <w:rsid w:val="00BC7548"/>
    <w:rsid w:val="00BC779A"/>
    <w:rsid w:val="00BC7A49"/>
    <w:rsid w:val="00BC7DD7"/>
    <w:rsid w:val="00BD023F"/>
    <w:rsid w:val="00BD080D"/>
    <w:rsid w:val="00BD170E"/>
    <w:rsid w:val="00BD19CF"/>
    <w:rsid w:val="00BD1CD4"/>
    <w:rsid w:val="00BD37E0"/>
    <w:rsid w:val="00BD3937"/>
    <w:rsid w:val="00BD39BB"/>
    <w:rsid w:val="00BD3ACD"/>
    <w:rsid w:val="00BD44BA"/>
    <w:rsid w:val="00BD5CA0"/>
    <w:rsid w:val="00BD603A"/>
    <w:rsid w:val="00BD652D"/>
    <w:rsid w:val="00BD6F42"/>
    <w:rsid w:val="00BD7FA2"/>
    <w:rsid w:val="00BE032B"/>
    <w:rsid w:val="00BE0ADD"/>
    <w:rsid w:val="00BE0BDE"/>
    <w:rsid w:val="00BE0E61"/>
    <w:rsid w:val="00BE15EE"/>
    <w:rsid w:val="00BE1B6A"/>
    <w:rsid w:val="00BE2757"/>
    <w:rsid w:val="00BE2AED"/>
    <w:rsid w:val="00BE3202"/>
    <w:rsid w:val="00BE36EE"/>
    <w:rsid w:val="00BE3704"/>
    <w:rsid w:val="00BE3BEE"/>
    <w:rsid w:val="00BE4193"/>
    <w:rsid w:val="00BE5008"/>
    <w:rsid w:val="00BE52C8"/>
    <w:rsid w:val="00BE5A46"/>
    <w:rsid w:val="00BE5A66"/>
    <w:rsid w:val="00BE6255"/>
    <w:rsid w:val="00BE64D8"/>
    <w:rsid w:val="00BE65C0"/>
    <w:rsid w:val="00BE6A6E"/>
    <w:rsid w:val="00BE6EC4"/>
    <w:rsid w:val="00BE78CA"/>
    <w:rsid w:val="00BF1274"/>
    <w:rsid w:val="00BF148F"/>
    <w:rsid w:val="00BF14B2"/>
    <w:rsid w:val="00BF1AC4"/>
    <w:rsid w:val="00BF1C26"/>
    <w:rsid w:val="00BF2C4A"/>
    <w:rsid w:val="00BF3620"/>
    <w:rsid w:val="00BF368C"/>
    <w:rsid w:val="00BF53FA"/>
    <w:rsid w:val="00BF55B2"/>
    <w:rsid w:val="00BF57BF"/>
    <w:rsid w:val="00BF591A"/>
    <w:rsid w:val="00BF6161"/>
    <w:rsid w:val="00BF71F6"/>
    <w:rsid w:val="00BF7CC4"/>
    <w:rsid w:val="00C000D1"/>
    <w:rsid w:val="00C005BE"/>
    <w:rsid w:val="00C00DD5"/>
    <w:rsid w:val="00C01044"/>
    <w:rsid w:val="00C02144"/>
    <w:rsid w:val="00C02586"/>
    <w:rsid w:val="00C02B6F"/>
    <w:rsid w:val="00C02BC4"/>
    <w:rsid w:val="00C0346B"/>
    <w:rsid w:val="00C04722"/>
    <w:rsid w:val="00C05A3F"/>
    <w:rsid w:val="00C05A7E"/>
    <w:rsid w:val="00C06EAB"/>
    <w:rsid w:val="00C07041"/>
    <w:rsid w:val="00C0704C"/>
    <w:rsid w:val="00C07E39"/>
    <w:rsid w:val="00C07F6B"/>
    <w:rsid w:val="00C07FFC"/>
    <w:rsid w:val="00C10574"/>
    <w:rsid w:val="00C10BAA"/>
    <w:rsid w:val="00C10E66"/>
    <w:rsid w:val="00C11680"/>
    <w:rsid w:val="00C1170C"/>
    <w:rsid w:val="00C11E8E"/>
    <w:rsid w:val="00C12A7E"/>
    <w:rsid w:val="00C12B69"/>
    <w:rsid w:val="00C1586F"/>
    <w:rsid w:val="00C16065"/>
    <w:rsid w:val="00C160FD"/>
    <w:rsid w:val="00C1703C"/>
    <w:rsid w:val="00C20208"/>
    <w:rsid w:val="00C20E11"/>
    <w:rsid w:val="00C21057"/>
    <w:rsid w:val="00C21FDB"/>
    <w:rsid w:val="00C24C31"/>
    <w:rsid w:val="00C251CF"/>
    <w:rsid w:val="00C264F1"/>
    <w:rsid w:val="00C278B5"/>
    <w:rsid w:val="00C278BB"/>
    <w:rsid w:val="00C3027B"/>
    <w:rsid w:val="00C3044C"/>
    <w:rsid w:val="00C30F8E"/>
    <w:rsid w:val="00C3180F"/>
    <w:rsid w:val="00C32671"/>
    <w:rsid w:val="00C32F4B"/>
    <w:rsid w:val="00C32F60"/>
    <w:rsid w:val="00C33A1B"/>
    <w:rsid w:val="00C34026"/>
    <w:rsid w:val="00C34078"/>
    <w:rsid w:val="00C34BDA"/>
    <w:rsid w:val="00C34EEC"/>
    <w:rsid w:val="00C35CA6"/>
    <w:rsid w:val="00C3605A"/>
    <w:rsid w:val="00C36DDF"/>
    <w:rsid w:val="00C37019"/>
    <w:rsid w:val="00C377C8"/>
    <w:rsid w:val="00C37DB0"/>
    <w:rsid w:val="00C40035"/>
    <w:rsid w:val="00C40B93"/>
    <w:rsid w:val="00C41666"/>
    <w:rsid w:val="00C419D6"/>
    <w:rsid w:val="00C42516"/>
    <w:rsid w:val="00C42BA9"/>
    <w:rsid w:val="00C4395A"/>
    <w:rsid w:val="00C4534B"/>
    <w:rsid w:val="00C45888"/>
    <w:rsid w:val="00C45A79"/>
    <w:rsid w:val="00C47900"/>
    <w:rsid w:val="00C51339"/>
    <w:rsid w:val="00C5177F"/>
    <w:rsid w:val="00C51885"/>
    <w:rsid w:val="00C51ACC"/>
    <w:rsid w:val="00C555AA"/>
    <w:rsid w:val="00C55DB6"/>
    <w:rsid w:val="00C56624"/>
    <w:rsid w:val="00C571B8"/>
    <w:rsid w:val="00C57D87"/>
    <w:rsid w:val="00C60F91"/>
    <w:rsid w:val="00C61840"/>
    <w:rsid w:val="00C62E6E"/>
    <w:rsid w:val="00C6324E"/>
    <w:rsid w:val="00C63D55"/>
    <w:rsid w:val="00C65FF4"/>
    <w:rsid w:val="00C66108"/>
    <w:rsid w:val="00C667F1"/>
    <w:rsid w:val="00C66D19"/>
    <w:rsid w:val="00C66D29"/>
    <w:rsid w:val="00C66D31"/>
    <w:rsid w:val="00C66F79"/>
    <w:rsid w:val="00C6730F"/>
    <w:rsid w:val="00C67DDD"/>
    <w:rsid w:val="00C7005A"/>
    <w:rsid w:val="00C70918"/>
    <w:rsid w:val="00C71775"/>
    <w:rsid w:val="00C7209B"/>
    <w:rsid w:val="00C7212E"/>
    <w:rsid w:val="00C72A3C"/>
    <w:rsid w:val="00C73498"/>
    <w:rsid w:val="00C75C80"/>
    <w:rsid w:val="00C76186"/>
    <w:rsid w:val="00C7632D"/>
    <w:rsid w:val="00C7641F"/>
    <w:rsid w:val="00C76569"/>
    <w:rsid w:val="00C7684E"/>
    <w:rsid w:val="00C76BC0"/>
    <w:rsid w:val="00C76DB3"/>
    <w:rsid w:val="00C76E1D"/>
    <w:rsid w:val="00C777FD"/>
    <w:rsid w:val="00C77A31"/>
    <w:rsid w:val="00C77AE2"/>
    <w:rsid w:val="00C77B7B"/>
    <w:rsid w:val="00C82002"/>
    <w:rsid w:val="00C822FE"/>
    <w:rsid w:val="00C82B4E"/>
    <w:rsid w:val="00C82BCF"/>
    <w:rsid w:val="00C82FB6"/>
    <w:rsid w:val="00C839F8"/>
    <w:rsid w:val="00C83AAE"/>
    <w:rsid w:val="00C83CCA"/>
    <w:rsid w:val="00C842F3"/>
    <w:rsid w:val="00C84768"/>
    <w:rsid w:val="00C8554D"/>
    <w:rsid w:val="00C859D6"/>
    <w:rsid w:val="00C85D6A"/>
    <w:rsid w:val="00C862E6"/>
    <w:rsid w:val="00C86A5C"/>
    <w:rsid w:val="00C900A9"/>
    <w:rsid w:val="00C90B27"/>
    <w:rsid w:val="00C91211"/>
    <w:rsid w:val="00C92127"/>
    <w:rsid w:val="00C92A23"/>
    <w:rsid w:val="00C92D01"/>
    <w:rsid w:val="00C9399D"/>
    <w:rsid w:val="00C94594"/>
    <w:rsid w:val="00C95166"/>
    <w:rsid w:val="00C95A7B"/>
    <w:rsid w:val="00C96BA7"/>
    <w:rsid w:val="00C97E53"/>
    <w:rsid w:val="00CA01DD"/>
    <w:rsid w:val="00CA0478"/>
    <w:rsid w:val="00CA0624"/>
    <w:rsid w:val="00CA0C30"/>
    <w:rsid w:val="00CA105A"/>
    <w:rsid w:val="00CA106F"/>
    <w:rsid w:val="00CA1795"/>
    <w:rsid w:val="00CA17E6"/>
    <w:rsid w:val="00CA1CA1"/>
    <w:rsid w:val="00CA25AF"/>
    <w:rsid w:val="00CA262F"/>
    <w:rsid w:val="00CA335B"/>
    <w:rsid w:val="00CA4CB4"/>
    <w:rsid w:val="00CA4F3A"/>
    <w:rsid w:val="00CA4FF9"/>
    <w:rsid w:val="00CA5A43"/>
    <w:rsid w:val="00CA5D99"/>
    <w:rsid w:val="00CA5EC8"/>
    <w:rsid w:val="00CA6376"/>
    <w:rsid w:val="00CA650A"/>
    <w:rsid w:val="00CA66D5"/>
    <w:rsid w:val="00CA67C4"/>
    <w:rsid w:val="00CA6E90"/>
    <w:rsid w:val="00CA74CD"/>
    <w:rsid w:val="00CA7769"/>
    <w:rsid w:val="00CA7D6B"/>
    <w:rsid w:val="00CB0955"/>
    <w:rsid w:val="00CB0F1E"/>
    <w:rsid w:val="00CB0F36"/>
    <w:rsid w:val="00CB10B3"/>
    <w:rsid w:val="00CB110B"/>
    <w:rsid w:val="00CB16B0"/>
    <w:rsid w:val="00CB2ED7"/>
    <w:rsid w:val="00CB32AE"/>
    <w:rsid w:val="00CB39E3"/>
    <w:rsid w:val="00CB484B"/>
    <w:rsid w:val="00CB4F1D"/>
    <w:rsid w:val="00CB5308"/>
    <w:rsid w:val="00CB5D97"/>
    <w:rsid w:val="00CB5FA2"/>
    <w:rsid w:val="00CB669D"/>
    <w:rsid w:val="00CB7BAC"/>
    <w:rsid w:val="00CB7E7C"/>
    <w:rsid w:val="00CC11F8"/>
    <w:rsid w:val="00CC230C"/>
    <w:rsid w:val="00CC250E"/>
    <w:rsid w:val="00CC2517"/>
    <w:rsid w:val="00CC2F22"/>
    <w:rsid w:val="00CC3342"/>
    <w:rsid w:val="00CC3F76"/>
    <w:rsid w:val="00CC4F12"/>
    <w:rsid w:val="00CC4FE9"/>
    <w:rsid w:val="00CC62C5"/>
    <w:rsid w:val="00CC6401"/>
    <w:rsid w:val="00CC6911"/>
    <w:rsid w:val="00CD0077"/>
    <w:rsid w:val="00CD01C4"/>
    <w:rsid w:val="00CD02F4"/>
    <w:rsid w:val="00CD0AEA"/>
    <w:rsid w:val="00CD0C48"/>
    <w:rsid w:val="00CD101D"/>
    <w:rsid w:val="00CD14CC"/>
    <w:rsid w:val="00CD180A"/>
    <w:rsid w:val="00CD22CD"/>
    <w:rsid w:val="00CD22F0"/>
    <w:rsid w:val="00CD26E6"/>
    <w:rsid w:val="00CD28D2"/>
    <w:rsid w:val="00CD2D1E"/>
    <w:rsid w:val="00CD2F3C"/>
    <w:rsid w:val="00CD328E"/>
    <w:rsid w:val="00CD39E1"/>
    <w:rsid w:val="00CD424D"/>
    <w:rsid w:val="00CD48D9"/>
    <w:rsid w:val="00CD52CF"/>
    <w:rsid w:val="00CD550C"/>
    <w:rsid w:val="00CD637D"/>
    <w:rsid w:val="00CD65AD"/>
    <w:rsid w:val="00CD6A4B"/>
    <w:rsid w:val="00CD6C06"/>
    <w:rsid w:val="00CD6E2F"/>
    <w:rsid w:val="00CD718B"/>
    <w:rsid w:val="00CD7517"/>
    <w:rsid w:val="00CD76BF"/>
    <w:rsid w:val="00CD7A6B"/>
    <w:rsid w:val="00CD7C2E"/>
    <w:rsid w:val="00CE01C8"/>
    <w:rsid w:val="00CE0CCB"/>
    <w:rsid w:val="00CE0F7E"/>
    <w:rsid w:val="00CE113B"/>
    <w:rsid w:val="00CE214C"/>
    <w:rsid w:val="00CE32AE"/>
    <w:rsid w:val="00CE3D18"/>
    <w:rsid w:val="00CE4D59"/>
    <w:rsid w:val="00CE4E6A"/>
    <w:rsid w:val="00CE50C4"/>
    <w:rsid w:val="00CE5AA4"/>
    <w:rsid w:val="00CE610E"/>
    <w:rsid w:val="00CE6AA3"/>
    <w:rsid w:val="00CE702F"/>
    <w:rsid w:val="00CE729F"/>
    <w:rsid w:val="00CE7644"/>
    <w:rsid w:val="00CE79FE"/>
    <w:rsid w:val="00CE7B55"/>
    <w:rsid w:val="00CE7DB0"/>
    <w:rsid w:val="00CF023B"/>
    <w:rsid w:val="00CF05FD"/>
    <w:rsid w:val="00CF0B6F"/>
    <w:rsid w:val="00CF0B9D"/>
    <w:rsid w:val="00CF0D23"/>
    <w:rsid w:val="00CF0EFE"/>
    <w:rsid w:val="00CF1108"/>
    <w:rsid w:val="00CF1CA1"/>
    <w:rsid w:val="00CF26F2"/>
    <w:rsid w:val="00CF27F6"/>
    <w:rsid w:val="00CF314F"/>
    <w:rsid w:val="00CF3882"/>
    <w:rsid w:val="00CF4099"/>
    <w:rsid w:val="00CF4B5A"/>
    <w:rsid w:val="00CF57B5"/>
    <w:rsid w:val="00CF6055"/>
    <w:rsid w:val="00CF7188"/>
    <w:rsid w:val="00CF71CA"/>
    <w:rsid w:val="00D0093E"/>
    <w:rsid w:val="00D01A23"/>
    <w:rsid w:val="00D026F2"/>
    <w:rsid w:val="00D02B47"/>
    <w:rsid w:val="00D03069"/>
    <w:rsid w:val="00D03D8B"/>
    <w:rsid w:val="00D05219"/>
    <w:rsid w:val="00D0574A"/>
    <w:rsid w:val="00D05901"/>
    <w:rsid w:val="00D0688E"/>
    <w:rsid w:val="00D06F33"/>
    <w:rsid w:val="00D07CA1"/>
    <w:rsid w:val="00D1230A"/>
    <w:rsid w:val="00D1234B"/>
    <w:rsid w:val="00D1467E"/>
    <w:rsid w:val="00D14944"/>
    <w:rsid w:val="00D15447"/>
    <w:rsid w:val="00D15467"/>
    <w:rsid w:val="00D163AA"/>
    <w:rsid w:val="00D166D4"/>
    <w:rsid w:val="00D16E75"/>
    <w:rsid w:val="00D1778B"/>
    <w:rsid w:val="00D20386"/>
    <w:rsid w:val="00D20648"/>
    <w:rsid w:val="00D21379"/>
    <w:rsid w:val="00D2216A"/>
    <w:rsid w:val="00D22553"/>
    <w:rsid w:val="00D22A75"/>
    <w:rsid w:val="00D23B9C"/>
    <w:rsid w:val="00D24008"/>
    <w:rsid w:val="00D24E04"/>
    <w:rsid w:val="00D25640"/>
    <w:rsid w:val="00D25C79"/>
    <w:rsid w:val="00D261BA"/>
    <w:rsid w:val="00D263E3"/>
    <w:rsid w:val="00D265EF"/>
    <w:rsid w:val="00D266A5"/>
    <w:rsid w:val="00D26F90"/>
    <w:rsid w:val="00D27216"/>
    <w:rsid w:val="00D276C9"/>
    <w:rsid w:val="00D277CC"/>
    <w:rsid w:val="00D27BB8"/>
    <w:rsid w:val="00D27F02"/>
    <w:rsid w:val="00D30945"/>
    <w:rsid w:val="00D30AE3"/>
    <w:rsid w:val="00D30E58"/>
    <w:rsid w:val="00D3157D"/>
    <w:rsid w:val="00D319F5"/>
    <w:rsid w:val="00D324D2"/>
    <w:rsid w:val="00D3280F"/>
    <w:rsid w:val="00D32AFD"/>
    <w:rsid w:val="00D335C5"/>
    <w:rsid w:val="00D33DF3"/>
    <w:rsid w:val="00D34689"/>
    <w:rsid w:val="00D35E21"/>
    <w:rsid w:val="00D36492"/>
    <w:rsid w:val="00D3692A"/>
    <w:rsid w:val="00D412DB"/>
    <w:rsid w:val="00D41D7B"/>
    <w:rsid w:val="00D42541"/>
    <w:rsid w:val="00D425BB"/>
    <w:rsid w:val="00D42C1E"/>
    <w:rsid w:val="00D42C61"/>
    <w:rsid w:val="00D42E24"/>
    <w:rsid w:val="00D43E12"/>
    <w:rsid w:val="00D448A9"/>
    <w:rsid w:val="00D4511E"/>
    <w:rsid w:val="00D454CB"/>
    <w:rsid w:val="00D46B71"/>
    <w:rsid w:val="00D46B97"/>
    <w:rsid w:val="00D471FF"/>
    <w:rsid w:val="00D47810"/>
    <w:rsid w:val="00D478AA"/>
    <w:rsid w:val="00D478EF"/>
    <w:rsid w:val="00D51281"/>
    <w:rsid w:val="00D51700"/>
    <w:rsid w:val="00D522C9"/>
    <w:rsid w:val="00D525B5"/>
    <w:rsid w:val="00D53164"/>
    <w:rsid w:val="00D53267"/>
    <w:rsid w:val="00D54B30"/>
    <w:rsid w:val="00D55894"/>
    <w:rsid w:val="00D5593E"/>
    <w:rsid w:val="00D56005"/>
    <w:rsid w:val="00D56139"/>
    <w:rsid w:val="00D5652A"/>
    <w:rsid w:val="00D605CC"/>
    <w:rsid w:val="00D617AB"/>
    <w:rsid w:val="00D622E3"/>
    <w:rsid w:val="00D63919"/>
    <w:rsid w:val="00D63CCB"/>
    <w:rsid w:val="00D64AD2"/>
    <w:rsid w:val="00D64ADA"/>
    <w:rsid w:val="00D65CB0"/>
    <w:rsid w:val="00D65E1C"/>
    <w:rsid w:val="00D667EC"/>
    <w:rsid w:val="00D66C16"/>
    <w:rsid w:val="00D67789"/>
    <w:rsid w:val="00D677C0"/>
    <w:rsid w:val="00D67ACE"/>
    <w:rsid w:val="00D702DE"/>
    <w:rsid w:val="00D706A1"/>
    <w:rsid w:val="00D70887"/>
    <w:rsid w:val="00D70C0C"/>
    <w:rsid w:val="00D71071"/>
    <w:rsid w:val="00D727BC"/>
    <w:rsid w:val="00D73E79"/>
    <w:rsid w:val="00D74326"/>
    <w:rsid w:val="00D747EE"/>
    <w:rsid w:val="00D753C7"/>
    <w:rsid w:val="00D7547A"/>
    <w:rsid w:val="00D76601"/>
    <w:rsid w:val="00D76E95"/>
    <w:rsid w:val="00D77574"/>
    <w:rsid w:val="00D77A20"/>
    <w:rsid w:val="00D8060C"/>
    <w:rsid w:val="00D80A1C"/>
    <w:rsid w:val="00D80A53"/>
    <w:rsid w:val="00D81E41"/>
    <w:rsid w:val="00D82127"/>
    <w:rsid w:val="00D83021"/>
    <w:rsid w:val="00D84808"/>
    <w:rsid w:val="00D84C02"/>
    <w:rsid w:val="00D8546F"/>
    <w:rsid w:val="00D8672C"/>
    <w:rsid w:val="00D86E6F"/>
    <w:rsid w:val="00D872A9"/>
    <w:rsid w:val="00D8770A"/>
    <w:rsid w:val="00D878D5"/>
    <w:rsid w:val="00D87B05"/>
    <w:rsid w:val="00D87D93"/>
    <w:rsid w:val="00D87F53"/>
    <w:rsid w:val="00D92706"/>
    <w:rsid w:val="00D92A30"/>
    <w:rsid w:val="00D93F6B"/>
    <w:rsid w:val="00D94DDB"/>
    <w:rsid w:val="00D94DEC"/>
    <w:rsid w:val="00D95458"/>
    <w:rsid w:val="00D955C4"/>
    <w:rsid w:val="00D958DF"/>
    <w:rsid w:val="00D95924"/>
    <w:rsid w:val="00D95D3E"/>
    <w:rsid w:val="00D95F24"/>
    <w:rsid w:val="00D974A8"/>
    <w:rsid w:val="00D97DB1"/>
    <w:rsid w:val="00DA073E"/>
    <w:rsid w:val="00DA0EC4"/>
    <w:rsid w:val="00DA12F2"/>
    <w:rsid w:val="00DA135B"/>
    <w:rsid w:val="00DA1785"/>
    <w:rsid w:val="00DA17DE"/>
    <w:rsid w:val="00DA1C3F"/>
    <w:rsid w:val="00DA2370"/>
    <w:rsid w:val="00DA2694"/>
    <w:rsid w:val="00DA3EA6"/>
    <w:rsid w:val="00DA3EB3"/>
    <w:rsid w:val="00DA50DF"/>
    <w:rsid w:val="00DA5947"/>
    <w:rsid w:val="00DA5A6B"/>
    <w:rsid w:val="00DA5E7D"/>
    <w:rsid w:val="00DA632D"/>
    <w:rsid w:val="00DA63D6"/>
    <w:rsid w:val="00DA6BBF"/>
    <w:rsid w:val="00DA6C24"/>
    <w:rsid w:val="00DA6D4F"/>
    <w:rsid w:val="00DA702F"/>
    <w:rsid w:val="00DA752D"/>
    <w:rsid w:val="00DA75B8"/>
    <w:rsid w:val="00DA75DC"/>
    <w:rsid w:val="00DB05EA"/>
    <w:rsid w:val="00DB1D4B"/>
    <w:rsid w:val="00DB354B"/>
    <w:rsid w:val="00DB382D"/>
    <w:rsid w:val="00DB38FA"/>
    <w:rsid w:val="00DB3EB7"/>
    <w:rsid w:val="00DB4188"/>
    <w:rsid w:val="00DB477C"/>
    <w:rsid w:val="00DB5EEB"/>
    <w:rsid w:val="00DB5F12"/>
    <w:rsid w:val="00DB5F60"/>
    <w:rsid w:val="00DB6043"/>
    <w:rsid w:val="00DB6116"/>
    <w:rsid w:val="00DB7621"/>
    <w:rsid w:val="00DB7897"/>
    <w:rsid w:val="00DC2F79"/>
    <w:rsid w:val="00DC3C65"/>
    <w:rsid w:val="00DC424C"/>
    <w:rsid w:val="00DC44D7"/>
    <w:rsid w:val="00DC4637"/>
    <w:rsid w:val="00DC496C"/>
    <w:rsid w:val="00DC4F2D"/>
    <w:rsid w:val="00DC5808"/>
    <w:rsid w:val="00DC6CD8"/>
    <w:rsid w:val="00DC7375"/>
    <w:rsid w:val="00DD07EE"/>
    <w:rsid w:val="00DD0FDC"/>
    <w:rsid w:val="00DD159B"/>
    <w:rsid w:val="00DD235F"/>
    <w:rsid w:val="00DD23B9"/>
    <w:rsid w:val="00DD2FB2"/>
    <w:rsid w:val="00DD4523"/>
    <w:rsid w:val="00DD50A1"/>
    <w:rsid w:val="00DD57E7"/>
    <w:rsid w:val="00DD5873"/>
    <w:rsid w:val="00DD59D6"/>
    <w:rsid w:val="00DD63D4"/>
    <w:rsid w:val="00DD75CF"/>
    <w:rsid w:val="00DD75F3"/>
    <w:rsid w:val="00DD763C"/>
    <w:rsid w:val="00DE0207"/>
    <w:rsid w:val="00DE030F"/>
    <w:rsid w:val="00DE0D46"/>
    <w:rsid w:val="00DE0DA8"/>
    <w:rsid w:val="00DE1563"/>
    <w:rsid w:val="00DE2237"/>
    <w:rsid w:val="00DE2436"/>
    <w:rsid w:val="00DE2BB1"/>
    <w:rsid w:val="00DE4530"/>
    <w:rsid w:val="00DE4A19"/>
    <w:rsid w:val="00DE4E2A"/>
    <w:rsid w:val="00DE51EA"/>
    <w:rsid w:val="00DE5312"/>
    <w:rsid w:val="00DE565B"/>
    <w:rsid w:val="00DE60A8"/>
    <w:rsid w:val="00DE632C"/>
    <w:rsid w:val="00DE6D5F"/>
    <w:rsid w:val="00DE767F"/>
    <w:rsid w:val="00DE7D95"/>
    <w:rsid w:val="00DE7EE6"/>
    <w:rsid w:val="00DF1265"/>
    <w:rsid w:val="00DF12EB"/>
    <w:rsid w:val="00DF1570"/>
    <w:rsid w:val="00DF19F6"/>
    <w:rsid w:val="00DF1C76"/>
    <w:rsid w:val="00DF2553"/>
    <w:rsid w:val="00DF35B9"/>
    <w:rsid w:val="00DF3651"/>
    <w:rsid w:val="00DF3D8D"/>
    <w:rsid w:val="00DF4260"/>
    <w:rsid w:val="00DF464F"/>
    <w:rsid w:val="00DF4CCF"/>
    <w:rsid w:val="00DF5195"/>
    <w:rsid w:val="00DF5445"/>
    <w:rsid w:val="00DF548C"/>
    <w:rsid w:val="00DF55FC"/>
    <w:rsid w:val="00DF5FDB"/>
    <w:rsid w:val="00DF6978"/>
    <w:rsid w:val="00DF6C1E"/>
    <w:rsid w:val="00DF7363"/>
    <w:rsid w:val="00DF765A"/>
    <w:rsid w:val="00E0010F"/>
    <w:rsid w:val="00E01B1E"/>
    <w:rsid w:val="00E022E9"/>
    <w:rsid w:val="00E03C93"/>
    <w:rsid w:val="00E040F1"/>
    <w:rsid w:val="00E04411"/>
    <w:rsid w:val="00E0452C"/>
    <w:rsid w:val="00E04ED0"/>
    <w:rsid w:val="00E0509C"/>
    <w:rsid w:val="00E05CB2"/>
    <w:rsid w:val="00E05E43"/>
    <w:rsid w:val="00E05F76"/>
    <w:rsid w:val="00E06224"/>
    <w:rsid w:val="00E0646D"/>
    <w:rsid w:val="00E06C32"/>
    <w:rsid w:val="00E1058F"/>
    <w:rsid w:val="00E10B63"/>
    <w:rsid w:val="00E11DD1"/>
    <w:rsid w:val="00E12A2A"/>
    <w:rsid w:val="00E13088"/>
    <w:rsid w:val="00E130F0"/>
    <w:rsid w:val="00E1349F"/>
    <w:rsid w:val="00E135BB"/>
    <w:rsid w:val="00E13B65"/>
    <w:rsid w:val="00E1423C"/>
    <w:rsid w:val="00E143AE"/>
    <w:rsid w:val="00E1480A"/>
    <w:rsid w:val="00E14BB8"/>
    <w:rsid w:val="00E15B9B"/>
    <w:rsid w:val="00E15DDF"/>
    <w:rsid w:val="00E161FC"/>
    <w:rsid w:val="00E16F10"/>
    <w:rsid w:val="00E1722F"/>
    <w:rsid w:val="00E20914"/>
    <w:rsid w:val="00E20BDE"/>
    <w:rsid w:val="00E210E7"/>
    <w:rsid w:val="00E210EF"/>
    <w:rsid w:val="00E215E9"/>
    <w:rsid w:val="00E21AAC"/>
    <w:rsid w:val="00E21DB1"/>
    <w:rsid w:val="00E221C0"/>
    <w:rsid w:val="00E22D47"/>
    <w:rsid w:val="00E234F8"/>
    <w:rsid w:val="00E241BD"/>
    <w:rsid w:val="00E25563"/>
    <w:rsid w:val="00E263A3"/>
    <w:rsid w:val="00E2652A"/>
    <w:rsid w:val="00E27A79"/>
    <w:rsid w:val="00E27EBF"/>
    <w:rsid w:val="00E30A09"/>
    <w:rsid w:val="00E30B65"/>
    <w:rsid w:val="00E31431"/>
    <w:rsid w:val="00E31434"/>
    <w:rsid w:val="00E317DC"/>
    <w:rsid w:val="00E31B60"/>
    <w:rsid w:val="00E32167"/>
    <w:rsid w:val="00E32356"/>
    <w:rsid w:val="00E329C8"/>
    <w:rsid w:val="00E3331D"/>
    <w:rsid w:val="00E33654"/>
    <w:rsid w:val="00E34D00"/>
    <w:rsid w:val="00E34E64"/>
    <w:rsid w:val="00E357FD"/>
    <w:rsid w:val="00E35FE6"/>
    <w:rsid w:val="00E36438"/>
    <w:rsid w:val="00E3665E"/>
    <w:rsid w:val="00E36BEE"/>
    <w:rsid w:val="00E36C7A"/>
    <w:rsid w:val="00E36D3B"/>
    <w:rsid w:val="00E373A0"/>
    <w:rsid w:val="00E37BB6"/>
    <w:rsid w:val="00E401D5"/>
    <w:rsid w:val="00E407A3"/>
    <w:rsid w:val="00E41532"/>
    <w:rsid w:val="00E417C5"/>
    <w:rsid w:val="00E427CD"/>
    <w:rsid w:val="00E42F1A"/>
    <w:rsid w:val="00E45179"/>
    <w:rsid w:val="00E455E7"/>
    <w:rsid w:val="00E45DA7"/>
    <w:rsid w:val="00E46619"/>
    <w:rsid w:val="00E4666D"/>
    <w:rsid w:val="00E46954"/>
    <w:rsid w:val="00E46D4E"/>
    <w:rsid w:val="00E478C7"/>
    <w:rsid w:val="00E479DB"/>
    <w:rsid w:val="00E503FC"/>
    <w:rsid w:val="00E5045C"/>
    <w:rsid w:val="00E516DB"/>
    <w:rsid w:val="00E52D65"/>
    <w:rsid w:val="00E535CC"/>
    <w:rsid w:val="00E54962"/>
    <w:rsid w:val="00E557BC"/>
    <w:rsid w:val="00E5586F"/>
    <w:rsid w:val="00E55ABC"/>
    <w:rsid w:val="00E56A8B"/>
    <w:rsid w:val="00E56CDD"/>
    <w:rsid w:val="00E56E61"/>
    <w:rsid w:val="00E570B0"/>
    <w:rsid w:val="00E57281"/>
    <w:rsid w:val="00E579AB"/>
    <w:rsid w:val="00E6017C"/>
    <w:rsid w:val="00E60A26"/>
    <w:rsid w:val="00E60AF4"/>
    <w:rsid w:val="00E60F8C"/>
    <w:rsid w:val="00E61EB4"/>
    <w:rsid w:val="00E62637"/>
    <w:rsid w:val="00E62956"/>
    <w:rsid w:val="00E63CB9"/>
    <w:rsid w:val="00E64920"/>
    <w:rsid w:val="00E64AA5"/>
    <w:rsid w:val="00E65A69"/>
    <w:rsid w:val="00E65B08"/>
    <w:rsid w:val="00E66430"/>
    <w:rsid w:val="00E66645"/>
    <w:rsid w:val="00E66879"/>
    <w:rsid w:val="00E669F9"/>
    <w:rsid w:val="00E670D3"/>
    <w:rsid w:val="00E67CC1"/>
    <w:rsid w:val="00E7135A"/>
    <w:rsid w:val="00E714A2"/>
    <w:rsid w:val="00E715C9"/>
    <w:rsid w:val="00E71E90"/>
    <w:rsid w:val="00E720D1"/>
    <w:rsid w:val="00E72326"/>
    <w:rsid w:val="00E73B7D"/>
    <w:rsid w:val="00E73D27"/>
    <w:rsid w:val="00E74D94"/>
    <w:rsid w:val="00E75EB3"/>
    <w:rsid w:val="00E75F03"/>
    <w:rsid w:val="00E762C6"/>
    <w:rsid w:val="00E762CC"/>
    <w:rsid w:val="00E7661D"/>
    <w:rsid w:val="00E766A1"/>
    <w:rsid w:val="00E76B76"/>
    <w:rsid w:val="00E76F49"/>
    <w:rsid w:val="00E80054"/>
    <w:rsid w:val="00E803C1"/>
    <w:rsid w:val="00E818E9"/>
    <w:rsid w:val="00E82872"/>
    <w:rsid w:val="00E82CDD"/>
    <w:rsid w:val="00E83057"/>
    <w:rsid w:val="00E839C9"/>
    <w:rsid w:val="00E83ADE"/>
    <w:rsid w:val="00E85DD4"/>
    <w:rsid w:val="00E86421"/>
    <w:rsid w:val="00E907E2"/>
    <w:rsid w:val="00E908C3"/>
    <w:rsid w:val="00E91815"/>
    <w:rsid w:val="00E91983"/>
    <w:rsid w:val="00E92966"/>
    <w:rsid w:val="00E93209"/>
    <w:rsid w:val="00E9320B"/>
    <w:rsid w:val="00E932D0"/>
    <w:rsid w:val="00E937BE"/>
    <w:rsid w:val="00E94F7E"/>
    <w:rsid w:val="00E95BF8"/>
    <w:rsid w:val="00E964DF"/>
    <w:rsid w:val="00E97036"/>
    <w:rsid w:val="00E97469"/>
    <w:rsid w:val="00E97675"/>
    <w:rsid w:val="00E97739"/>
    <w:rsid w:val="00E97D9C"/>
    <w:rsid w:val="00EA054B"/>
    <w:rsid w:val="00EA0FAE"/>
    <w:rsid w:val="00EA1103"/>
    <w:rsid w:val="00EA13BA"/>
    <w:rsid w:val="00EA1995"/>
    <w:rsid w:val="00EA1F10"/>
    <w:rsid w:val="00EA269B"/>
    <w:rsid w:val="00EA272A"/>
    <w:rsid w:val="00EA3C17"/>
    <w:rsid w:val="00EA3C8F"/>
    <w:rsid w:val="00EA3D0C"/>
    <w:rsid w:val="00EA3E30"/>
    <w:rsid w:val="00EA404D"/>
    <w:rsid w:val="00EA45BB"/>
    <w:rsid w:val="00EA4F7A"/>
    <w:rsid w:val="00EA58B2"/>
    <w:rsid w:val="00EA5977"/>
    <w:rsid w:val="00EA5B78"/>
    <w:rsid w:val="00EA66BD"/>
    <w:rsid w:val="00EA721B"/>
    <w:rsid w:val="00EA731C"/>
    <w:rsid w:val="00EA7545"/>
    <w:rsid w:val="00EB0258"/>
    <w:rsid w:val="00EB0A6E"/>
    <w:rsid w:val="00EB1ED3"/>
    <w:rsid w:val="00EB2229"/>
    <w:rsid w:val="00EB2258"/>
    <w:rsid w:val="00EB279B"/>
    <w:rsid w:val="00EB3275"/>
    <w:rsid w:val="00EB32D4"/>
    <w:rsid w:val="00EB32FA"/>
    <w:rsid w:val="00EB46DF"/>
    <w:rsid w:val="00EB541D"/>
    <w:rsid w:val="00EB56AC"/>
    <w:rsid w:val="00EB5818"/>
    <w:rsid w:val="00EB62D6"/>
    <w:rsid w:val="00EB65C4"/>
    <w:rsid w:val="00EB6760"/>
    <w:rsid w:val="00EB6766"/>
    <w:rsid w:val="00EB6BE5"/>
    <w:rsid w:val="00EB79A8"/>
    <w:rsid w:val="00EC10F6"/>
    <w:rsid w:val="00EC1184"/>
    <w:rsid w:val="00EC1251"/>
    <w:rsid w:val="00EC1271"/>
    <w:rsid w:val="00EC147A"/>
    <w:rsid w:val="00EC14C1"/>
    <w:rsid w:val="00EC1987"/>
    <w:rsid w:val="00EC1DED"/>
    <w:rsid w:val="00EC23B4"/>
    <w:rsid w:val="00EC29BA"/>
    <w:rsid w:val="00EC36CC"/>
    <w:rsid w:val="00EC36E4"/>
    <w:rsid w:val="00EC3BE7"/>
    <w:rsid w:val="00EC3BEF"/>
    <w:rsid w:val="00EC3E96"/>
    <w:rsid w:val="00EC479D"/>
    <w:rsid w:val="00EC4A1D"/>
    <w:rsid w:val="00EC4EC9"/>
    <w:rsid w:val="00EC57F4"/>
    <w:rsid w:val="00EC6033"/>
    <w:rsid w:val="00EC61EB"/>
    <w:rsid w:val="00EC6DD4"/>
    <w:rsid w:val="00EC6E22"/>
    <w:rsid w:val="00ED0D55"/>
    <w:rsid w:val="00ED13D2"/>
    <w:rsid w:val="00ED1740"/>
    <w:rsid w:val="00ED1B7D"/>
    <w:rsid w:val="00ED2A9F"/>
    <w:rsid w:val="00ED2D81"/>
    <w:rsid w:val="00ED32EC"/>
    <w:rsid w:val="00ED3781"/>
    <w:rsid w:val="00ED37C0"/>
    <w:rsid w:val="00ED426E"/>
    <w:rsid w:val="00ED4A5C"/>
    <w:rsid w:val="00ED5346"/>
    <w:rsid w:val="00ED5A41"/>
    <w:rsid w:val="00ED6C74"/>
    <w:rsid w:val="00ED709E"/>
    <w:rsid w:val="00ED7E49"/>
    <w:rsid w:val="00EE0422"/>
    <w:rsid w:val="00EE0C7F"/>
    <w:rsid w:val="00EE1A6F"/>
    <w:rsid w:val="00EE2C57"/>
    <w:rsid w:val="00EE2E22"/>
    <w:rsid w:val="00EE33CB"/>
    <w:rsid w:val="00EE3580"/>
    <w:rsid w:val="00EE500A"/>
    <w:rsid w:val="00EE59F5"/>
    <w:rsid w:val="00EE5A51"/>
    <w:rsid w:val="00EE60E7"/>
    <w:rsid w:val="00EE69F7"/>
    <w:rsid w:val="00EE722A"/>
    <w:rsid w:val="00EE7DB6"/>
    <w:rsid w:val="00EE7DFD"/>
    <w:rsid w:val="00EF016E"/>
    <w:rsid w:val="00EF14D1"/>
    <w:rsid w:val="00EF27AB"/>
    <w:rsid w:val="00EF2EA8"/>
    <w:rsid w:val="00EF372C"/>
    <w:rsid w:val="00EF3848"/>
    <w:rsid w:val="00EF3A6F"/>
    <w:rsid w:val="00EF3BC3"/>
    <w:rsid w:val="00EF3DE8"/>
    <w:rsid w:val="00EF5611"/>
    <w:rsid w:val="00EF5674"/>
    <w:rsid w:val="00EF5B53"/>
    <w:rsid w:val="00EF60A7"/>
    <w:rsid w:val="00EF6CCB"/>
    <w:rsid w:val="00EF6DA2"/>
    <w:rsid w:val="00F0048F"/>
    <w:rsid w:val="00F02E35"/>
    <w:rsid w:val="00F03127"/>
    <w:rsid w:val="00F0327C"/>
    <w:rsid w:val="00F03F6C"/>
    <w:rsid w:val="00F04490"/>
    <w:rsid w:val="00F046B2"/>
    <w:rsid w:val="00F04AC0"/>
    <w:rsid w:val="00F05168"/>
    <w:rsid w:val="00F05777"/>
    <w:rsid w:val="00F06348"/>
    <w:rsid w:val="00F07312"/>
    <w:rsid w:val="00F11290"/>
    <w:rsid w:val="00F119F9"/>
    <w:rsid w:val="00F12BED"/>
    <w:rsid w:val="00F13240"/>
    <w:rsid w:val="00F133D0"/>
    <w:rsid w:val="00F140C9"/>
    <w:rsid w:val="00F14BC9"/>
    <w:rsid w:val="00F158DD"/>
    <w:rsid w:val="00F15F54"/>
    <w:rsid w:val="00F15FAA"/>
    <w:rsid w:val="00F20DA6"/>
    <w:rsid w:val="00F2114A"/>
    <w:rsid w:val="00F21653"/>
    <w:rsid w:val="00F21A1C"/>
    <w:rsid w:val="00F21D8E"/>
    <w:rsid w:val="00F22005"/>
    <w:rsid w:val="00F222AE"/>
    <w:rsid w:val="00F2354E"/>
    <w:rsid w:val="00F24447"/>
    <w:rsid w:val="00F24957"/>
    <w:rsid w:val="00F2530A"/>
    <w:rsid w:val="00F2635B"/>
    <w:rsid w:val="00F2662A"/>
    <w:rsid w:val="00F266AF"/>
    <w:rsid w:val="00F26C6E"/>
    <w:rsid w:val="00F27DB5"/>
    <w:rsid w:val="00F27E4B"/>
    <w:rsid w:val="00F303B1"/>
    <w:rsid w:val="00F3108D"/>
    <w:rsid w:val="00F31B41"/>
    <w:rsid w:val="00F31DCB"/>
    <w:rsid w:val="00F31F0A"/>
    <w:rsid w:val="00F32436"/>
    <w:rsid w:val="00F332DE"/>
    <w:rsid w:val="00F332EB"/>
    <w:rsid w:val="00F336F4"/>
    <w:rsid w:val="00F35D60"/>
    <w:rsid w:val="00F35E8F"/>
    <w:rsid w:val="00F35F39"/>
    <w:rsid w:val="00F36732"/>
    <w:rsid w:val="00F36B03"/>
    <w:rsid w:val="00F36E39"/>
    <w:rsid w:val="00F36E88"/>
    <w:rsid w:val="00F371C8"/>
    <w:rsid w:val="00F372EC"/>
    <w:rsid w:val="00F373DE"/>
    <w:rsid w:val="00F374E2"/>
    <w:rsid w:val="00F379DC"/>
    <w:rsid w:val="00F40F69"/>
    <w:rsid w:val="00F414FB"/>
    <w:rsid w:val="00F415F7"/>
    <w:rsid w:val="00F41FB2"/>
    <w:rsid w:val="00F42BC2"/>
    <w:rsid w:val="00F42FAF"/>
    <w:rsid w:val="00F4389D"/>
    <w:rsid w:val="00F438A5"/>
    <w:rsid w:val="00F446CE"/>
    <w:rsid w:val="00F44C30"/>
    <w:rsid w:val="00F45029"/>
    <w:rsid w:val="00F4571E"/>
    <w:rsid w:val="00F46914"/>
    <w:rsid w:val="00F46DCF"/>
    <w:rsid w:val="00F50818"/>
    <w:rsid w:val="00F50D80"/>
    <w:rsid w:val="00F50ED5"/>
    <w:rsid w:val="00F512BD"/>
    <w:rsid w:val="00F52822"/>
    <w:rsid w:val="00F539E2"/>
    <w:rsid w:val="00F5420E"/>
    <w:rsid w:val="00F54803"/>
    <w:rsid w:val="00F54852"/>
    <w:rsid w:val="00F54A52"/>
    <w:rsid w:val="00F54FC3"/>
    <w:rsid w:val="00F56AE1"/>
    <w:rsid w:val="00F56E42"/>
    <w:rsid w:val="00F5706B"/>
    <w:rsid w:val="00F57507"/>
    <w:rsid w:val="00F5774C"/>
    <w:rsid w:val="00F60086"/>
    <w:rsid w:val="00F605D2"/>
    <w:rsid w:val="00F606F7"/>
    <w:rsid w:val="00F60718"/>
    <w:rsid w:val="00F60C70"/>
    <w:rsid w:val="00F60F32"/>
    <w:rsid w:val="00F6348B"/>
    <w:rsid w:val="00F63A2E"/>
    <w:rsid w:val="00F63AB1"/>
    <w:rsid w:val="00F642C8"/>
    <w:rsid w:val="00F6449A"/>
    <w:rsid w:val="00F646CB"/>
    <w:rsid w:val="00F64B48"/>
    <w:rsid w:val="00F64E1E"/>
    <w:rsid w:val="00F656B4"/>
    <w:rsid w:val="00F65D0D"/>
    <w:rsid w:val="00F662E6"/>
    <w:rsid w:val="00F66A6E"/>
    <w:rsid w:val="00F66F32"/>
    <w:rsid w:val="00F67D05"/>
    <w:rsid w:val="00F70416"/>
    <w:rsid w:val="00F70E01"/>
    <w:rsid w:val="00F7173C"/>
    <w:rsid w:val="00F720AE"/>
    <w:rsid w:val="00F72459"/>
    <w:rsid w:val="00F72620"/>
    <w:rsid w:val="00F7264B"/>
    <w:rsid w:val="00F73AD9"/>
    <w:rsid w:val="00F73F39"/>
    <w:rsid w:val="00F75132"/>
    <w:rsid w:val="00F75600"/>
    <w:rsid w:val="00F76A51"/>
    <w:rsid w:val="00F76CB5"/>
    <w:rsid w:val="00F772EE"/>
    <w:rsid w:val="00F80072"/>
    <w:rsid w:val="00F801B1"/>
    <w:rsid w:val="00F80BE4"/>
    <w:rsid w:val="00F8162A"/>
    <w:rsid w:val="00F81681"/>
    <w:rsid w:val="00F81978"/>
    <w:rsid w:val="00F8197D"/>
    <w:rsid w:val="00F81E87"/>
    <w:rsid w:val="00F81FAB"/>
    <w:rsid w:val="00F82D32"/>
    <w:rsid w:val="00F82FA2"/>
    <w:rsid w:val="00F82FDA"/>
    <w:rsid w:val="00F8322A"/>
    <w:rsid w:val="00F832AC"/>
    <w:rsid w:val="00F837EB"/>
    <w:rsid w:val="00F845B6"/>
    <w:rsid w:val="00F84965"/>
    <w:rsid w:val="00F84B96"/>
    <w:rsid w:val="00F84C2D"/>
    <w:rsid w:val="00F8525C"/>
    <w:rsid w:val="00F85603"/>
    <w:rsid w:val="00F86560"/>
    <w:rsid w:val="00F86CA4"/>
    <w:rsid w:val="00F86CF1"/>
    <w:rsid w:val="00F8705F"/>
    <w:rsid w:val="00F87328"/>
    <w:rsid w:val="00F87392"/>
    <w:rsid w:val="00F87407"/>
    <w:rsid w:val="00F91323"/>
    <w:rsid w:val="00F9161E"/>
    <w:rsid w:val="00F9167B"/>
    <w:rsid w:val="00F91729"/>
    <w:rsid w:val="00F91A68"/>
    <w:rsid w:val="00F91B28"/>
    <w:rsid w:val="00F91C51"/>
    <w:rsid w:val="00F92837"/>
    <w:rsid w:val="00F928F8"/>
    <w:rsid w:val="00F92A42"/>
    <w:rsid w:val="00F93652"/>
    <w:rsid w:val="00F93741"/>
    <w:rsid w:val="00F93FEE"/>
    <w:rsid w:val="00F94C38"/>
    <w:rsid w:val="00F95808"/>
    <w:rsid w:val="00F95838"/>
    <w:rsid w:val="00F9648B"/>
    <w:rsid w:val="00F968BD"/>
    <w:rsid w:val="00F96F11"/>
    <w:rsid w:val="00F9708F"/>
    <w:rsid w:val="00F972CC"/>
    <w:rsid w:val="00F97341"/>
    <w:rsid w:val="00FA0D90"/>
    <w:rsid w:val="00FA0EFB"/>
    <w:rsid w:val="00FA15C1"/>
    <w:rsid w:val="00FA1B6A"/>
    <w:rsid w:val="00FA2215"/>
    <w:rsid w:val="00FA2A21"/>
    <w:rsid w:val="00FA3E9D"/>
    <w:rsid w:val="00FA3F60"/>
    <w:rsid w:val="00FA3F94"/>
    <w:rsid w:val="00FA3FA9"/>
    <w:rsid w:val="00FA454B"/>
    <w:rsid w:val="00FA5CE7"/>
    <w:rsid w:val="00FA6A02"/>
    <w:rsid w:val="00FA6EF3"/>
    <w:rsid w:val="00FB073B"/>
    <w:rsid w:val="00FB0D11"/>
    <w:rsid w:val="00FB13E2"/>
    <w:rsid w:val="00FB1605"/>
    <w:rsid w:val="00FB1A92"/>
    <w:rsid w:val="00FB2188"/>
    <w:rsid w:val="00FB259E"/>
    <w:rsid w:val="00FB2947"/>
    <w:rsid w:val="00FB296C"/>
    <w:rsid w:val="00FB2BAF"/>
    <w:rsid w:val="00FB2D08"/>
    <w:rsid w:val="00FB30C9"/>
    <w:rsid w:val="00FB3688"/>
    <w:rsid w:val="00FB36B4"/>
    <w:rsid w:val="00FB4172"/>
    <w:rsid w:val="00FB49F3"/>
    <w:rsid w:val="00FB7439"/>
    <w:rsid w:val="00FC0B09"/>
    <w:rsid w:val="00FC0FB8"/>
    <w:rsid w:val="00FC1D13"/>
    <w:rsid w:val="00FC21D2"/>
    <w:rsid w:val="00FC24B3"/>
    <w:rsid w:val="00FC285D"/>
    <w:rsid w:val="00FC3AAA"/>
    <w:rsid w:val="00FC4433"/>
    <w:rsid w:val="00FC4848"/>
    <w:rsid w:val="00FC51FA"/>
    <w:rsid w:val="00FC6BD8"/>
    <w:rsid w:val="00FC7706"/>
    <w:rsid w:val="00FC7851"/>
    <w:rsid w:val="00FD0728"/>
    <w:rsid w:val="00FD11F5"/>
    <w:rsid w:val="00FD2840"/>
    <w:rsid w:val="00FD2AF4"/>
    <w:rsid w:val="00FD2F2E"/>
    <w:rsid w:val="00FD307B"/>
    <w:rsid w:val="00FD380E"/>
    <w:rsid w:val="00FD4764"/>
    <w:rsid w:val="00FD4929"/>
    <w:rsid w:val="00FD4B6B"/>
    <w:rsid w:val="00FD4DA9"/>
    <w:rsid w:val="00FD4EA4"/>
    <w:rsid w:val="00FD5111"/>
    <w:rsid w:val="00FD5914"/>
    <w:rsid w:val="00FD5B1C"/>
    <w:rsid w:val="00FE01D9"/>
    <w:rsid w:val="00FE17D9"/>
    <w:rsid w:val="00FE1A96"/>
    <w:rsid w:val="00FE1B65"/>
    <w:rsid w:val="00FE2001"/>
    <w:rsid w:val="00FE20DB"/>
    <w:rsid w:val="00FE2346"/>
    <w:rsid w:val="00FE2AE5"/>
    <w:rsid w:val="00FE3354"/>
    <w:rsid w:val="00FE38A3"/>
    <w:rsid w:val="00FE3B71"/>
    <w:rsid w:val="00FE3C02"/>
    <w:rsid w:val="00FE446F"/>
    <w:rsid w:val="00FE4D23"/>
    <w:rsid w:val="00FE501D"/>
    <w:rsid w:val="00FE59EC"/>
    <w:rsid w:val="00FE5C40"/>
    <w:rsid w:val="00FE5ED4"/>
    <w:rsid w:val="00FE67F5"/>
    <w:rsid w:val="00FE6F2A"/>
    <w:rsid w:val="00FE73C6"/>
    <w:rsid w:val="00FE7ACA"/>
    <w:rsid w:val="00FE7D9E"/>
    <w:rsid w:val="00FF04A3"/>
    <w:rsid w:val="00FF04C6"/>
    <w:rsid w:val="00FF060C"/>
    <w:rsid w:val="00FF0A16"/>
    <w:rsid w:val="00FF0FA2"/>
    <w:rsid w:val="00FF17F5"/>
    <w:rsid w:val="00FF1B31"/>
    <w:rsid w:val="00FF1BA9"/>
    <w:rsid w:val="00FF2ADA"/>
    <w:rsid w:val="00FF3174"/>
    <w:rsid w:val="00FF3A03"/>
    <w:rsid w:val="00FF3E3C"/>
    <w:rsid w:val="00FF4180"/>
    <w:rsid w:val="00FF452C"/>
    <w:rsid w:val="00FF4815"/>
    <w:rsid w:val="00FF4E8E"/>
    <w:rsid w:val="00FF5B80"/>
    <w:rsid w:val="00FF5DB6"/>
    <w:rsid w:val="00FF5E0D"/>
    <w:rsid w:val="00FF67AC"/>
    <w:rsid w:val="00FF68B7"/>
    <w:rsid w:val="00FF6D43"/>
    <w:rsid w:val="00FF6DE0"/>
    <w:rsid w:val="00FF7B83"/>
    <w:rsid w:val="010859CB"/>
    <w:rsid w:val="012C6360"/>
    <w:rsid w:val="01551736"/>
    <w:rsid w:val="018204DD"/>
    <w:rsid w:val="01EC7DF0"/>
    <w:rsid w:val="020B02E9"/>
    <w:rsid w:val="02147936"/>
    <w:rsid w:val="022511FF"/>
    <w:rsid w:val="022F5F3E"/>
    <w:rsid w:val="023A1825"/>
    <w:rsid w:val="02671A0C"/>
    <w:rsid w:val="02672E9E"/>
    <w:rsid w:val="02802B98"/>
    <w:rsid w:val="028A4E92"/>
    <w:rsid w:val="02BA6CB0"/>
    <w:rsid w:val="02F76F90"/>
    <w:rsid w:val="03347967"/>
    <w:rsid w:val="03544580"/>
    <w:rsid w:val="03AF3CB3"/>
    <w:rsid w:val="03C7694E"/>
    <w:rsid w:val="03D1593C"/>
    <w:rsid w:val="03E72B61"/>
    <w:rsid w:val="04010A9E"/>
    <w:rsid w:val="04273B89"/>
    <w:rsid w:val="042C3FFD"/>
    <w:rsid w:val="04BA06FC"/>
    <w:rsid w:val="04C84B54"/>
    <w:rsid w:val="04DF7CDC"/>
    <w:rsid w:val="04E87ABE"/>
    <w:rsid w:val="04F95927"/>
    <w:rsid w:val="05146DFD"/>
    <w:rsid w:val="053A662B"/>
    <w:rsid w:val="053D2A87"/>
    <w:rsid w:val="057A2F37"/>
    <w:rsid w:val="058475F3"/>
    <w:rsid w:val="05AD27F6"/>
    <w:rsid w:val="05C1309B"/>
    <w:rsid w:val="05E11A1D"/>
    <w:rsid w:val="061834A6"/>
    <w:rsid w:val="061C4781"/>
    <w:rsid w:val="06357F93"/>
    <w:rsid w:val="06FF7026"/>
    <w:rsid w:val="07201CA4"/>
    <w:rsid w:val="07233264"/>
    <w:rsid w:val="072B0F70"/>
    <w:rsid w:val="074706DB"/>
    <w:rsid w:val="075218DF"/>
    <w:rsid w:val="07AE4EB4"/>
    <w:rsid w:val="082A74CE"/>
    <w:rsid w:val="083906A1"/>
    <w:rsid w:val="08514F10"/>
    <w:rsid w:val="08C1216D"/>
    <w:rsid w:val="08D10C2C"/>
    <w:rsid w:val="08D6085A"/>
    <w:rsid w:val="08D90E36"/>
    <w:rsid w:val="08E259D4"/>
    <w:rsid w:val="090212EF"/>
    <w:rsid w:val="093F3DDB"/>
    <w:rsid w:val="096B653D"/>
    <w:rsid w:val="09865570"/>
    <w:rsid w:val="09AA559F"/>
    <w:rsid w:val="09EB2C7F"/>
    <w:rsid w:val="0A0B3154"/>
    <w:rsid w:val="0A116B8A"/>
    <w:rsid w:val="0A200A41"/>
    <w:rsid w:val="0A6E2B68"/>
    <w:rsid w:val="0A8E0E1C"/>
    <w:rsid w:val="0A981831"/>
    <w:rsid w:val="0AA70A77"/>
    <w:rsid w:val="0AB968ED"/>
    <w:rsid w:val="0ACA4B43"/>
    <w:rsid w:val="0ADB7197"/>
    <w:rsid w:val="0B6E1DBA"/>
    <w:rsid w:val="0BFB4911"/>
    <w:rsid w:val="0BFD4BA4"/>
    <w:rsid w:val="0C240CB4"/>
    <w:rsid w:val="0C4513A7"/>
    <w:rsid w:val="0C5F00DE"/>
    <w:rsid w:val="0C9B3087"/>
    <w:rsid w:val="0C9C79CB"/>
    <w:rsid w:val="0CA04515"/>
    <w:rsid w:val="0CAC53DD"/>
    <w:rsid w:val="0CC75FF6"/>
    <w:rsid w:val="0D2B3146"/>
    <w:rsid w:val="0D6040E1"/>
    <w:rsid w:val="0D6E4269"/>
    <w:rsid w:val="0D980E85"/>
    <w:rsid w:val="0DA7540D"/>
    <w:rsid w:val="0DF2469C"/>
    <w:rsid w:val="0E603B17"/>
    <w:rsid w:val="0E627936"/>
    <w:rsid w:val="0E907072"/>
    <w:rsid w:val="0EB23116"/>
    <w:rsid w:val="0ED553FA"/>
    <w:rsid w:val="0F0E394D"/>
    <w:rsid w:val="0F477578"/>
    <w:rsid w:val="0FC51077"/>
    <w:rsid w:val="102E78D4"/>
    <w:rsid w:val="10477053"/>
    <w:rsid w:val="104843EB"/>
    <w:rsid w:val="10857989"/>
    <w:rsid w:val="10A873A5"/>
    <w:rsid w:val="10B03568"/>
    <w:rsid w:val="10DC7BBC"/>
    <w:rsid w:val="1139474B"/>
    <w:rsid w:val="114D44BF"/>
    <w:rsid w:val="114E5A01"/>
    <w:rsid w:val="1159539C"/>
    <w:rsid w:val="1173286D"/>
    <w:rsid w:val="118C27F0"/>
    <w:rsid w:val="11D211EC"/>
    <w:rsid w:val="11EB3904"/>
    <w:rsid w:val="11EC0F73"/>
    <w:rsid w:val="11FD4E7C"/>
    <w:rsid w:val="12341A1F"/>
    <w:rsid w:val="123B5980"/>
    <w:rsid w:val="12603944"/>
    <w:rsid w:val="129955C8"/>
    <w:rsid w:val="12EF4C36"/>
    <w:rsid w:val="12F136B3"/>
    <w:rsid w:val="131948CC"/>
    <w:rsid w:val="13705028"/>
    <w:rsid w:val="13726445"/>
    <w:rsid w:val="1388775F"/>
    <w:rsid w:val="138C2E7F"/>
    <w:rsid w:val="13A11B8F"/>
    <w:rsid w:val="13D377EB"/>
    <w:rsid w:val="13E0305B"/>
    <w:rsid w:val="140206E4"/>
    <w:rsid w:val="141E5BF5"/>
    <w:rsid w:val="14665D24"/>
    <w:rsid w:val="146B52A4"/>
    <w:rsid w:val="146E5FF0"/>
    <w:rsid w:val="149F5CD5"/>
    <w:rsid w:val="14F77E27"/>
    <w:rsid w:val="1510419E"/>
    <w:rsid w:val="152A04A0"/>
    <w:rsid w:val="159774FA"/>
    <w:rsid w:val="15A84117"/>
    <w:rsid w:val="15E12558"/>
    <w:rsid w:val="160661D5"/>
    <w:rsid w:val="16117171"/>
    <w:rsid w:val="16415425"/>
    <w:rsid w:val="1644660F"/>
    <w:rsid w:val="164765AA"/>
    <w:rsid w:val="16651231"/>
    <w:rsid w:val="16C17712"/>
    <w:rsid w:val="16CD450F"/>
    <w:rsid w:val="16DE7B1B"/>
    <w:rsid w:val="17136DCC"/>
    <w:rsid w:val="17475EBD"/>
    <w:rsid w:val="175306F6"/>
    <w:rsid w:val="17745EE0"/>
    <w:rsid w:val="17955FFF"/>
    <w:rsid w:val="179B2609"/>
    <w:rsid w:val="17BC76E2"/>
    <w:rsid w:val="18072B08"/>
    <w:rsid w:val="1842631B"/>
    <w:rsid w:val="18515633"/>
    <w:rsid w:val="186B629E"/>
    <w:rsid w:val="18822B6B"/>
    <w:rsid w:val="18962092"/>
    <w:rsid w:val="18A706B9"/>
    <w:rsid w:val="18B15F12"/>
    <w:rsid w:val="19324A23"/>
    <w:rsid w:val="196F4CF3"/>
    <w:rsid w:val="1982311A"/>
    <w:rsid w:val="19C423FA"/>
    <w:rsid w:val="19D84FCE"/>
    <w:rsid w:val="1A4B4199"/>
    <w:rsid w:val="1A7F5A3D"/>
    <w:rsid w:val="1A9B6905"/>
    <w:rsid w:val="1AB4568A"/>
    <w:rsid w:val="1AF54551"/>
    <w:rsid w:val="1B0601F1"/>
    <w:rsid w:val="1B227485"/>
    <w:rsid w:val="1B63514B"/>
    <w:rsid w:val="1B674EAD"/>
    <w:rsid w:val="1BAE391D"/>
    <w:rsid w:val="1C105CD7"/>
    <w:rsid w:val="1C4B7AAA"/>
    <w:rsid w:val="1C51419F"/>
    <w:rsid w:val="1C660314"/>
    <w:rsid w:val="1C6D7ADE"/>
    <w:rsid w:val="1CC57360"/>
    <w:rsid w:val="1CF5249C"/>
    <w:rsid w:val="1CFDAB4C"/>
    <w:rsid w:val="1D11200B"/>
    <w:rsid w:val="1D330F7A"/>
    <w:rsid w:val="1D50756C"/>
    <w:rsid w:val="1D6A26C7"/>
    <w:rsid w:val="1D8A2584"/>
    <w:rsid w:val="1D9E7C25"/>
    <w:rsid w:val="1DA8115B"/>
    <w:rsid w:val="1DE59343"/>
    <w:rsid w:val="1DEF0B38"/>
    <w:rsid w:val="1E127FA6"/>
    <w:rsid w:val="1E420DC1"/>
    <w:rsid w:val="1E516218"/>
    <w:rsid w:val="1E790A8A"/>
    <w:rsid w:val="1EA02CCB"/>
    <w:rsid w:val="1EAC17E8"/>
    <w:rsid w:val="1EC36F09"/>
    <w:rsid w:val="1ECD7FB8"/>
    <w:rsid w:val="1F043E45"/>
    <w:rsid w:val="1F146DF0"/>
    <w:rsid w:val="1F765A0D"/>
    <w:rsid w:val="1F7967BC"/>
    <w:rsid w:val="1F95570F"/>
    <w:rsid w:val="1FB82249"/>
    <w:rsid w:val="1FC1433B"/>
    <w:rsid w:val="1FD64971"/>
    <w:rsid w:val="1FFA4BFE"/>
    <w:rsid w:val="20000743"/>
    <w:rsid w:val="202D2B5F"/>
    <w:rsid w:val="20490380"/>
    <w:rsid w:val="207B2AF1"/>
    <w:rsid w:val="20911F7D"/>
    <w:rsid w:val="20A42B1A"/>
    <w:rsid w:val="20AF50A9"/>
    <w:rsid w:val="20B91A00"/>
    <w:rsid w:val="20E94BBB"/>
    <w:rsid w:val="21374CD0"/>
    <w:rsid w:val="219F0AC7"/>
    <w:rsid w:val="21BE70E1"/>
    <w:rsid w:val="21D73DBD"/>
    <w:rsid w:val="21E14C90"/>
    <w:rsid w:val="221A1CBA"/>
    <w:rsid w:val="223A5B61"/>
    <w:rsid w:val="223C06A4"/>
    <w:rsid w:val="2265188E"/>
    <w:rsid w:val="227F501C"/>
    <w:rsid w:val="22C3052A"/>
    <w:rsid w:val="23465F27"/>
    <w:rsid w:val="2349357D"/>
    <w:rsid w:val="234B9043"/>
    <w:rsid w:val="235C1851"/>
    <w:rsid w:val="237103D4"/>
    <w:rsid w:val="239B5A57"/>
    <w:rsid w:val="23FF1FDA"/>
    <w:rsid w:val="240D2674"/>
    <w:rsid w:val="24113230"/>
    <w:rsid w:val="241B3410"/>
    <w:rsid w:val="24320551"/>
    <w:rsid w:val="243C25FD"/>
    <w:rsid w:val="244E26EC"/>
    <w:rsid w:val="24904B1A"/>
    <w:rsid w:val="249733DA"/>
    <w:rsid w:val="250C3D4F"/>
    <w:rsid w:val="25870A1F"/>
    <w:rsid w:val="26054DCA"/>
    <w:rsid w:val="260D6D7D"/>
    <w:rsid w:val="26211AAB"/>
    <w:rsid w:val="263467E7"/>
    <w:rsid w:val="26E60163"/>
    <w:rsid w:val="26F6C558"/>
    <w:rsid w:val="26F74C08"/>
    <w:rsid w:val="27053431"/>
    <w:rsid w:val="270D1AB7"/>
    <w:rsid w:val="271565A2"/>
    <w:rsid w:val="272F38E5"/>
    <w:rsid w:val="27455C6D"/>
    <w:rsid w:val="2753038A"/>
    <w:rsid w:val="279467E1"/>
    <w:rsid w:val="27A7364B"/>
    <w:rsid w:val="27B91C76"/>
    <w:rsid w:val="27C23A59"/>
    <w:rsid w:val="27F44743"/>
    <w:rsid w:val="28327168"/>
    <w:rsid w:val="28485A15"/>
    <w:rsid w:val="28D66226"/>
    <w:rsid w:val="28DF33F7"/>
    <w:rsid w:val="28E53263"/>
    <w:rsid w:val="28F21C60"/>
    <w:rsid w:val="29132346"/>
    <w:rsid w:val="297E482E"/>
    <w:rsid w:val="29816398"/>
    <w:rsid w:val="29A85F93"/>
    <w:rsid w:val="29AF43DE"/>
    <w:rsid w:val="29BE7756"/>
    <w:rsid w:val="29F250A2"/>
    <w:rsid w:val="2A04499F"/>
    <w:rsid w:val="2A242559"/>
    <w:rsid w:val="2A504439"/>
    <w:rsid w:val="2ABB6365"/>
    <w:rsid w:val="2AC53663"/>
    <w:rsid w:val="2B1409A1"/>
    <w:rsid w:val="2B360BE7"/>
    <w:rsid w:val="2B4B7A5F"/>
    <w:rsid w:val="2B7D7783"/>
    <w:rsid w:val="2C052741"/>
    <w:rsid w:val="2C114158"/>
    <w:rsid w:val="2C197A9F"/>
    <w:rsid w:val="2C6404DA"/>
    <w:rsid w:val="2C6646BB"/>
    <w:rsid w:val="2C8E6130"/>
    <w:rsid w:val="2C9B2934"/>
    <w:rsid w:val="2DBF5FEF"/>
    <w:rsid w:val="2E031262"/>
    <w:rsid w:val="2E755B09"/>
    <w:rsid w:val="2E852ACB"/>
    <w:rsid w:val="2E8C14FD"/>
    <w:rsid w:val="2EA26868"/>
    <w:rsid w:val="2ECE7777"/>
    <w:rsid w:val="2ED1644B"/>
    <w:rsid w:val="2EDE16FA"/>
    <w:rsid w:val="2F083C15"/>
    <w:rsid w:val="2F2E36BB"/>
    <w:rsid w:val="2FA963D4"/>
    <w:rsid w:val="2FAE6ED6"/>
    <w:rsid w:val="2FEFCF7D"/>
    <w:rsid w:val="30274246"/>
    <w:rsid w:val="30C2189B"/>
    <w:rsid w:val="30CB447F"/>
    <w:rsid w:val="30E73693"/>
    <w:rsid w:val="31483B24"/>
    <w:rsid w:val="314F2171"/>
    <w:rsid w:val="31D67739"/>
    <w:rsid w:val="31FE2C6A"/>
    <w:rsid w:val="32065F59"/>
    <w:rsid w:val="32AC0031"/>
    <w:rsid w:val="32B10F6A"/>
    <w:rsid w:val="32EB76C8"/>
    <w:rsid w:val="331C63CE"/>
    <w:rsid w:val="333316D6"/>
    <w:rsid w:val="334B1B65"/>
    <w:rsid w:val="33937D44"/>
    <w:rsid w:val="33AF0574"/>
    <w:rsid w:val="33C718C3"/>
    <w:rsid w:val="34050B29"/>
    <w:rsid w:val="34414A3D"/>
    <w:rsid w:val="34490842"/>
    <w:rsid w:val="348F3F88"/>
    <w:rsid w:val="34A121A7"/>
    <w:rsid w:val="34B82891"/>
    <w:rsid w:val="34C0477A"/>
    <w:rsid w:val="35674F46"/>
    <w:rsid w:val="35935951"/>
    <w:rsid w:val="35C52D0C"/>
    <w:rsid w:val="35DB4086"/>
    <w:rsid w:val="364C4A1C"/>
    <w:rsid w:val="36A924E5"/>
    <w:rsid w:val="36BA5D2F"/>
    <w:rsid w:val="36DD725A"/>
    <w:rsid w:val="37223086"/>
    <w:rsid w:val="37417360"/>
    <w:rsid w:val="37DB679D"/>
    <w:rsid w:val="37E1159A"/>
    <w:rsid w:val="37FF3759"/>
    <w:rsid w:val="383C608A"/>
    <w:rsid w:val="38405BA3"/>
    <w:rsid w:val="38731C98"/>
    <w:rsid w:val="38C76F0E"/>
    <w:rsid w:val="38E8097B"/>
    <w:rsid w:val="38F58830"/>
    <w:rsid w:val="39043A6F"/>
    <w:rsid w:val="390551AD"/>
    <w:rsid w:val="39263A52"/>
    <w:rsid w:val="39961F46"/>
    <w:rsid w:val="39D46BEB"/>
    <w:rsid w:val="39FE3791"/>
    <w:rsid w:val="3A345439"/>
    <w:rsid w:val="3A35017A"/>
    <w:rsid w:val="3A531B4B"/>
    <w:rsid w:val="3A6100A0"/>
    <w:rsid w:val="3A93D22B"/>
    <w:rsid w:val="3AA47B6F"/>
    <w:rsid w:val="3ADD0D30"/>
    <w:rsid w:val="3B0A150C"/>
    <w:rsid w:val="3B1B1948"/>
    <w:rsid w:val="3B3818A9"/>
    <w:rsid w:val="3B500427"/>
    <w:rsid w:val="3B5F6719"/>
    <w:rsid w:val="3B633A97"/>
    <w:rsid w:val="3B983B82"/>
    <w:rsid w:val="3BD27B94"/>
    <w:rsid w:val="3BE75E37"/>
    <w:rsid w:val="3BFD794F"/>
    <w:rsid w:val="3C1566AA"/>
    <w:rsid w:val="3C422860"/>
    <w:rsid w:val="3C5F7EE2"/>
    <w:rsid w:val="3C6109FB"/>
    <w:rsid w:val="3C8E6CF6"/>
    <w:rsid w:val="3C8E74C0"/>
    <w:rsid w:val="3C9C5F01"/>
    <w:rsid w:val="3CBD2E64"/>
    <w:rsid w:val="3CC01960"/>
    <w:rsid w:val="3CCB7DCD"/>
    <w:rsid w:val="3CDF61FC"/>
    <w:rsid w:val="3CEE0102"/>
    <w:rsid w:val="3D217C4E"/>
    <w:rsid w:val="3D3F73DB"/>
    <w:rsid w:val="3D4A248F"/>
    <w:rsid w:val="3D5C072E"/>
    <w:rsid w:val="3DCFAD89"/>
    <w:rsid w:val="3DFA76EA"/>
    <w:rsid w:val="3DFFCF2B"/>
    <w:rsid w:val="3E2A54D1"/>
    <w:rsid w:val="3E4A1549"/>
    <w:rsid w:val="3E673ED1"/>
    <w:rsid w:val="3E6D21F1"/>
    <w:rsid w:val="3E8952AB"/>
    <w:rsid w:val="3E8B53EF"/>
    <w:rsid w:val="3ECDA7E3"/>
    <w:rsid w:val="3EEE5F4A"/>
    <w:rsid w:val="3F1310BC"/>
    <w:rsid w:val="3F25659F"/>
    <w:rsid w:val="3F286B9D"/>
    <w:rsid w:val="3F6C2781"/>
    <w:rsid w:val="3F9C0C6F"/>
    <w:rsid w:val="3FA73C29"/>
    <w:rsid w:val="3FB6684F"/>
    <w:rsid w:val="3FC13AEE"/>
    <w:rsid w:val="3FC813F4"/>
    <w:rsid w:val="3FD7117D"/>
    <w:rsid w:val="3FD859C1"/>
    <w:rsid w:val="3FEBA09B"/>
    <w:rsid w:val="40030D27"/>
    <w:rsid w:val="40255702"/>
    <w:rsid w:val="402C73CD"/>
    <w:rsid w:val="402D3794"/>
    <w:rsid w:val="40462E09"/>
    <w:rsid w:val="408D66BF"/>
    <w:rsid w:val="40A67324"/>
    <w:rsid w:val="40B8784F"/>
    <w:rsid w:val="40C16042"/>
    <w:rsid w:val="40D151EB"/>
    <w:rsid w:val="40D4413E"/>
    <w:rsid w:val="40F64D54"/>
    <w:rsid w:val="41112955"/>
    <w:rsid w:val="41517F91"/>
    <w:rsid w:val="416140AC"/>
    <w:rsid w:val="41766B95"/>
    <w:rsid w:val="41A208C5"/>
    <w:rsid w:val="41A46AC4"/>
    <w:rsid w:val="41D17BBA"/>
    <w:rsid w:val="41DD3B43"/>
    <w:rsid w:val="41F85C80"/>
    <w:rsid w:val="422416AE"/>
    <w:rsid w:val="423E0BC7"/>
    <w:rsid w:val="425B1CA4"/>
    <w:rsid w:val="427217A0"/>
    <w:rsid w:val="42865BA7"/>
    <w:rsid w:val="42F96363"/>
    <w:rsid w:val="430A26F1"/>
    <w:rsid w:val="43284021"/>
    <w:rsid w:val="4343719C"/>
    <w:rsid w:val="435E38ED"/>
    <w:rsid w:val="43714560"/>
    <w:rsid w:val="437E5FDF"/>
    <w:rsid w:val="441F1191"/>
    <w:rsid w:val="442F2A79"/>
    <w:rsid w:val="44420967"/>
    <w:rsid w:val="449B4091"/>
    <w:rsid w:val="44C25D95"/>
    <w:rsid w:val="44DA6353"/>
    <w:rsid w:val="450D27C8"/>
    <w:rsid w:val="45274425"/>
    <w:rsid w:val="456255F2"/>
    <w:rsid w:val="45722F0A"/>
    <w:rsid w:val="457F719B"/>
    <w:rsid w:val="45B85F05"/>
    <w:rsid w:val="45BE30AC"/>
    <w:rsid w:val="45C01136"/>
    <w:rsid w:val="45D93C11"/>
    <w:rsid w:val="464E11A3"/>
    <w:rsid w:val="465C7F51"/>
    <w:rsid w:val="46E977DE"/>
    <w:rsid w:val="479206B3"/>
    <w:rsid w:val="47A15CA5"/>
    <w:rsid w:val="47A44D93"/>
    <w:rsid w:val="47BD4BF7"/>
    <w:rsid w:val="47D958BE"/>
    <w:rsid w:val="47FF3141"/>
    <w:rsid w:val="480A63EB"/>
    <w:rsid w:val="48291C55"/>
    <w:rsid w:val="488E6945"/>
    <w:rsid w:val="48CD4489"/>
    <w:rsid w:val="491B7FFC"/>
    <w:rsid w:val="495D742D"/>
    <w:rsid w:val="497672C9"/>
    <w:rsid w:val="499170CD"/>
    <w:rsid w:val="49B51C24"/>
    <w:rsid w:val="49F35E30"/>
    <w:rsid w:val="4A43202A"/>
    <w:rsid w:val="4A557F45"/>
    <w:rsid w:val="4AB5130D"/>
    <w:rsid w:val="4ABA113F"/>
    <w:rsid w:val="4ADE081A"/>
    <w:rsid w:val="4B990437"/>
    <w:rsid w:val="4BC132E8"/>
    <w:rsid w:val="4BC167FE"/>
    <w:rsid w:val="4BDA479E"/>
    <w:rsid w:val="4BE45C35"/>
    <w:rsid w:val="4BF16D32"/>
    <w:rsid w:val="4C2537F3"/>
    <w:rsid w:val="4C404532"/>
    <w:rsid w:val="4C5A2C97"/>
    <w:rsid w:val="4C7B62F9"/>
    <w:rsid w:val="4CA820F2"/>
    <w:rsid w:val="4CB204B3"/>
    <w:rsid w:val="4CBB5AF7"/>
    <w:rsid w:val="4D213714"/>
    <w:rsid w:val="4D504D41"/>
    <w:rsid w:val="4D6817A1"/>
    <w:rsid w:val="4D7253CB"/>
    <w:rsid w:val="4D786416"/>
    <w:rsid w:val="4D89413D"/>
    <w:rsid w:val="4DA448C0"/>
    <w:rsid w:val="4E2C57C6"/>
    <w:rsid w:val="4E320F5E"/>
    <w:rsid w:val="4E4A228B"/>
    <w:rsid w:val="4E692550"/>
    <w:rsid w:val="4E785DD2"/>
    <w:rsid w:val="4E8C385C"/>
    <w:rsid w:val="4E987AA7"/>
    <w:rsid w:val="4ED81D17"/>
    <w:rsid w:val="4F052F9E"/>
    <w:rsid w:val="4F2D442D"/>
    <w:rsid w:val="4F4576B0"/>
    <w:rsid w:val="4F5C6612"/>
    <w:rsid w:val="4F602CBF"/>
    <w:rsid w:val="4F892BFE"/>
    <w:rsid w:val="4F961A9B"/>
    <w:rsid w:val="4FDE5C62"/>
    <w:rsid w:val="500D0826"/>
    <w:rsid w:val="50116643"/>
    <w:rsid w:val="501A2F43"/>
    <w:rsid w:val="50250ECF"/>
    <w:rsid w:val="503135CB"/>
    <w:rsid w:val="507A77E6"/>
    <w:rsid w:val="507D5595"/>
    <w:rsid w:val="509B6FFA"/>
    <w:rsid w:val="50CD1BF0"/>
    <w:rsid w:val="510279BB"/>
    <w:rsid w:val="511E317E"/>
    <w:rsid w:val="51BC99E4"/>
    <w:rsid w:val="51E732F9"/>
    <w:rsid w:val="51F806B7"/>
    <w:rsid w:val="52340BEF"/>
    <w:rsid w:val="523D116B"/>
    <w:rsid w:val="523D6190"/>
    <w:rsid w:val="525F6430"/>
    <w:rsid w:val="52911BE2"/>
    <w:rsid w:val="52FE25A5"/>
    <w:rsid w:val="530F04FA"/>
    <w:rsid w:val="533F08B7"/>
    <w:rsid w:val="53A05909"/>
    <w:rsid w:val="53AC4351"/>
    <w:rsid w:val="53AC45BB"/>
    <w:rsid w:val="541016D4"/>
    <w:rsid w:val="54247494"/>
    <w:rsid w:val="54380E57"/>
    <w:rsid w:val="5485510F"/>
    <w:rsid w:val="54DFDC22"/>
    <w:rsid w:val="55414BE2"/>
    <w:rsid w:val="554B1AAB"/>
    <w:rsid w:val="557B58C7"/>
    <w:rsid w:val="559E34D8"/>
    <w:rsid w:val="55AC0AE1"/>
    <w:rsid w:val="55CA50F5"/>
    <w:rsid w:val="55EF1922"/>
    <w:rsid w:val="55F36D31"/>
    <w:rsid w:val="55FE49E7"/>
    <w:rsid w:val="56327239"/>
    <w:rsid w:val="56AD6185"/>
    <w:rsid w:val="56BA654E"/>
    <w:rsid w:val="56D946F3"/>
    <w:rsid w:val="56F664B8"/>
    <w:rsid w:val="574D24C7"/>
    <w:rsid w:val="57682E99"/>
    <w:rsid w:val="576A567D"/>
    <w:rsid w:val="577613A7"/>
    <w:rsid w:val="5779764C"/>
    <w:rsid w:val="57811AFA"/>
    <w:rsid w:val="57936FCB"/>
    <w:rsid w:val="580567CC"/>
    <w:rsid w:val="583A3E8E"/>
    <w:rsid w:val="583B0153"/>
    <w:rsid w:val="58D71D06"/>
    <w:rsid w:val="58DB3A98"/>
    <w:rsid w:val="58DD395C"/>
    <w:rsid w:val="58F66614"/>
    <w:rsid w:val="59067F89"/>
    <w:rsid w:val="593220BD"/>
    <w:rsid w:val="594159E5"/>
    <w:rsid w:val="59796396"/>
    <w:rsid w:val="59AA78AE"/>
    <w:rsid w:val="59B679DA"/>
    <w:rsid w:val="59E50AF3"/>
    <w:rsid w:val="59E8668F"/>
    <w:rsid w:val="5A164CA8"/>
    <w:rsid w:val="5A5A6992"/>
    <w:rsid w:val="5A847167"/>
    <w:rsid w:val="5AE1755F"/>
    <w:rsid w:val="5AF07DB4"/>
    <w:rsid w:val="5AFA679F"/>
    <w:rsid w:val="5B036F00"/>
    <w:rsid w:val="5B575649"/>
    <w:rsid w:val="5B75FCC6"/>
    <w:rsid w:val="5B8519B2"/>
    <w:rsid w:val="5B9D21DE"/>
    <w:rsid w:val="5BA6839B"/>
    <w:rsid w:val="5BF011F4"/>
    <w:rsid w:val="5C036CD2"/>
    <w:rsid w:val="5C1D5EBA"/>
    <w:rsid w:val="5C644ED4"/>
    <w:rsid w:val="5CB1269B"/>
    <w:rsid w:val="5CC91EC1"/>
    <w:rsid w:val="5D0B3136"/>
    <w:rsid w:val="5D4C064F"/>
    <w:rsid w:val="5D5F4D95"/>
    <w:rsid w:val="5D5F6439"/>
    <w:rsid w:val="5D73215E"/>
    <w:rsid w:val="5D752101"/>
    <w:rsid w:val="5D85463D"/>
    <w:rsid w:val="5DCCD75A"/>
    <w:rsid w:val="5DEEFD0C"/>
    <w:rsid w:val="5DFD0F51"/>
    <w:rsid w:val="5E0B5D90"/>
    <w:rsid w:val="5E3BF49B"/>
    <w:rsid w:val="5E986C5F"/>
    <w:rsid w:val="5E9A1DC5"/>
    <w:rsid w:val="5E9A3CE6"/>
    <w:rsid w:val="5EA152F3"/>
    <w:rsid w:val="5EC73D40"/>
    <w:rsid w:val="5EDD0429"/>
    <w:rsid w:val="5EEC6F86"/>
    <w:rsid w:val="5EFF3268"/>
    <w:rsid w:val="5F0F5076"/>
    <w:rsid w:val="5F1508DD"/>
    <w:rsid w:val="5F2975F9"/>
    <w:rsid w:val="5F6F4F33"/>
    <w:rsid w:val="5F7A1C50"/>
    <w:rsid w:val="5F9F5213"/>
    <w:rsid w:val="5FDB17E6"/>
    <w:rsid w:val="5FDE3139"/>
    <w:rsid w:val="5FF13B5A"/>
    <w:rsid w:val="5FFE09E0"/>
    <w:rsid w:val="5FFFBA98"/>
    <w:rsid w:val="600A5E56"/>
    <w:rsid w:val="602F7A5B"/>
    <w:rsid w:val="603910B7"/>
    <w:rsid w:val="604D0813"/>
    <w:rsid w:val="607E33AA"/>
    <w:rsid w:val="608228F6"/>
    <w:rsid w:val="608F34F5"/>
    <w:rsid w:val="609D5BF6"/>
    <w:rsid w:val="60B436BF"/>
    <w:rsid w:val="60BE27F4"/>
    <w:rsid w:val="611D2893"/>
    <w:rsid w:val="61214B1C"/>
    <w:rsid w:val="613331D7"/>
    <w:rsid w:val="61676EB4"/>
    <w:rsid w:val="6192239D"/>
    <w:rsid w:val="61D65448"/>
    <w:rsid w:val="61EE3155"/>
    <w:rsid w:val="62302A57"/>
    <w:rsid w:val="62404999"/>
    <w:rsid w:val="625E52B6"/>
    <w:rsid w:val="62890939"/>
    <w:rsid w:val="629244A9"/>
    <w:rsid w:val="62F86197"/>
    <w:rsid w:val="631A52DC"/>
    <w:rsid w:val="63272170"/>
    <w:rsid w:val="633D0C93"/>
    <w:rsid w:val="635E51C5"/>
    <w:rsid w:val="6397630F"/>
    <w:rsid w:val="639D040E"/>
    <w:rsid w:val="639E1AE3"/>
    <w:rsid w:val="63B760B2"/>
    <w:rsid w:val="63CE3548"/>
    <w:rsid w:val="63FE2786"/>
    <w:rsid w:val="64BF3E79"/>
    <w:rsid w:val="64C04CB2"/>
    <w:rsid w:val="64C87FE9"/>
    <w:rsid w:val="64E910CD"/>
    <w:rsid w:val="651327B0"/>
    <w:rsid w:val="654D3310"/>
    <w:rsid w:val="6573554D"/>
    <w:rsid w:val="65754735"/>
    <w:rsid w:val="65824D57"/>
    <w:rsid w:val="65887A44"/>
    <w:rsid w:val="65913889"/>
    <w:rsid w:val="65BF33EE"/>
    <w:rsid w:val="65EC5C1E"/>
    <w:rsid w:val="661E6358"/>
    <w:rsid w:val="66645F44"/>
    <w:rsid w:val="667869D8"/>
    <w:rsid w:val="669C48BB"/>
    <w:rsid w:val="672033F8"/>
    <w:rsid w:val="67205CE9"/>
    <w:rsid w:val="67343DFC"/>
    <w:rsid w:val="67452716"/>
    <w:rsid w:val="67886D6D"/>
    <w:rsid w:val="67AB91BE"/>
    <w:rsid w:val="67D59474"/>
    <w:rsid w:val="67E70573"/>
    <w:rsid w:val="68295C7C"/>
    <w:rsid w:val="68416111"/>
    <w:rsid w:val="68760400"/>
    <w:rsid w:val="690F4B25"/>
    <w:rsid w:val="692E7117"/>
    <w:rsid w:val="692F06D8"/>
    <w:rsid w:val="696278F9"/>
    <w:rsid w:val="699628F5"/>
    <w:rsid w:val="699F3A8F"/>
    <w:rsid w:val="6A0B418F"/>
    <w:rsid w:val="6A0F7F13"/>
    <w:rsid w:val="6A4B1B29"/>
    <w:rsid w:val="6A5D27B3"/>
    <w:rsid w:val="6ACB53C1"/>
    <w:rsid w:val="6AEE0AE9"/>
    <w:rsid w:val="6B181E7B"/>
    <w:rsid w:val="6B517D09"/>
    <w:rsid w:val="6BA047ED"/>
    <w:rsid w:val="6BBE0072"/>
    <w:rsid w:val="6BC04E8F"/>
    <w:rsid w:val="6BFFD257"/>
    <w:rsid w:val="6C2409C2"/>
    <w:rsid w:val="6C7B0898"/>
    <w:rsid w:val="6C9327CE"/>
    <w:rsid w:val="6C9F392F"/>
    <w:rsid w:val="6CC73400"/>
    <w:rsid w:val="6CD36FC9"/>
    <w:rsid w:val="6CDA0A19"/>
    <w:rsid w:val="6D5E5F69"/>
    <w:rsid w:val="6D6C4F6D"/>
    <w:rsid w:val="6DCF1858"/>
    <w:rsid w:val="6E0D0170"/>
    <w:rsid w:val="6E1F100C"/>
    <w:rsid w:val="6E326A86"/>
    <w:rsid w:val="6E3336F6"/>
    <w:rsid w:val="6E8263AE"/>
    <w:rsid w:val="6E907F9A"/>
    <w:rsid w:val="6EBB0FB6"/>
    <w:rsid w:val="6EF2C632"/>
    <w:rsid w:val="6EFDFA9B"/>
    <w:rsid w:val="6F003B91"/>
    <w:rsid w:val="6F161AA3"/>
    <w:rsid w:val="6F2A33DA"/>
    <w:rsid w:val="6F487A12"/>
    <w:rsid w:val="6F4F31CB"/>
    <w:rsid w:val="6F574E4A"/>
    <w:rsid w:val="6F6F2A7D"/>
    <w:rsid w:val="6FDB4201"/>
    <w:rsid w:val="6FED91D9"/>
    <w:rsid w:val="6FF80294"/>
    <w:rsid w:val="6FFFAC33"/>
    <w:rsid w:val="703716AB"/>
    <w:rsid w:val="703E23A0"/>
    <w:rsid w:val="7047792D"/>
    <w:rsid w:val="708C6EFD"/>
    <w:rsid w:val="708E03E3"/>
    <w:rsid w:val="70CE3BAA"/>
    <w:rsid w:val="70F24BA0"/>
    <w:rsid w:val="710B52C8"/>
    <w:rsid w:val="71233EF6"/>
    <w:rsid w:val="71317FB7"/>
    <w:rsid w:val="7142648B"/>
    <w:rsid w:val="71564DB9"/>
    <w:rsid w:val="715D1512"/>
    <w:rsid w:val="7162593D"/>
    <w:rsid w:val="71656A88"/>
    <w:rsid w:val="718D6794"/>
    <w:rsid w:val="719D058A"/>
    <w:rsid w:val="71BB6B37"/>
    <w:rsid w:val="71C02909"/>
    <w:rsid w:val="71C254BD"/>
    <w:rsid w:val="722E26CF"/>
    <w:rsid w:val="72872124"/>
    <w:rsid w:val="72D0329A"/>
    <w:rsid w:val="72EE5A15"/>
    <w:rsid w:val="72F3C521"/>
    <w:rsid w:val="72F740FD"/>
    <w:rsid w:val="72F81A40"/>
    <w:rsid w:val="73177848"/>
    <w:rsid w:val="734B249A"/>
    <w:rsid w:val="73502327"/>
    <w:rsid w:val="735431AC"/>
    <w:rsid w:val="7358058C"/>
    <w:rsid w:val="73963468"/>
    <w:rsid w:val="739962A9"/>
    <w:rsid w:val="73C22DCA"/>
    <w:rsid w:val="73DE1024"/>
    <w:rsid w:val="73E938C1"/>
    <w:rsid w:val="73EE4B3F"/>
    <w:rsid w:val="73F72F21"/>
    <w:rsid w:val="74254D79"/>
    <w:rsid w:val="74474270"/>
    <w:rsid w:val="747964B6"/>
    <w:rsid w:val="74963220"/>
    <w:rsid w:val="74B121A8"/>
    <w:rsid w:val="74DA5557"/>
    <w:rsid w:val="74EA0540"/>
    <w:rsid w:val="74ED0A2E"/>
    <w:rsid w:val="74FF0333"/>
    <w:rsid w:val="75052EE6"/>
    <w:rsid w:val="75792336"/>
    <w:rsid w:val="758E4FBF"/>
    <w:rsid w:val="75A14337"/>
    <w:rsid w:val="75AC7F1C"/>
    <w:rsid w:val="75C60081"/>
    <w:rsid w:val="75CD266E"/>
    <w:rsid w:val="75F70E1A"/>
    <w:rsid w:val="761269F0"/>
    <w:rsid w:val="761E4066"/>
    <w:rsid w:val="762878F9"/>
    <w:rsid w:val="764C18B7"/>
    <w:rsid w:val="767F264B"/>
    <w:rsid w:val="767F52A5"/>
    <w:rsid w:val="76E37225"/>
    <w:rsid w:val="76E7D0A8"/>
    <w:rsid w:val="771B7FF5"/>
    <w:rsid w:val="772D3ADC"/>
    <w:rsid w:val="774D0E49"/>
    <w:rsid w:val="77525A17"/>
    <w:rsid w:val="777D20A1"/>
    <w:rsid w:val="778A3305"/>
    <w:rsid w:val="779363A0"/>
    <w:rsid w:val="77AEF57F"/>
    <w:rsid w:val="77D057E9"/>
    <w:rsid w:val="77D302E4"/>
    <w:rsid w:val="77EAC561"/>
    <w:rsid w:val="77F6D8A8"/>
    <w:rsid w:val="77FA30E4"/>
    <w:rsid w:val="78063C29"/>
    <w:rsid w:val="78200293"/>
    <w:rsid w:val="782D2439"/>
    <w:rsid w:val="78487150"/>
    <w:rsid w:val="785B3F75"/>
    <w:rsid w:val="786732E5"/>
    <w:rsid w:val="78692CBB"/>
    <w:rsid w:val="789210C1"/>
    <w:rsid w:val="78C2587F"/>
    <w:rsid w:val="78F3CE36"/>
    <w:rsid w:val="79357F7A"/>
    <w:rsid w:val="79487AD3"/>
    <w:rsid w:val="79513E00"/>
    <w:rsid w:val="796F73AA"/>
    <w:rsid w:val="797957E2"/>
    <w:rsid w:val="797B7AD9"/>
    <w:rsid w:val="797F393A"/>
    <w:rsid w:val="797F465B"/>
    <w:rsid w:val="799353BF"/>
    <w:rsid w:val="799462E7"/>
    <w:rsid w:val="79B05219"/>
    <w:rsid w:val="79CD1526"/>
    <w:rsid w:val="79FAD240"/>
    <w:rsid w:val="7A4156BC"/>
    <w:rsid w:val="7A55719E"/>
    <w:rsid w:val="7A855176"/>
    <w:rsid w:val="7ABB73F9"/>
    <w:rsid w:val="7AF82CCF"/>
    <w:rsid w:val="7B215191"/>
    <w:rsid w:val="7B23496B"/>
    <w:rsid w:val="7B301500"/>
    <w:rsid w:val="7B451FF2"/>
    <w:rsid w:val="7B542A1C"/>
    <w:rsid w:val="7B770EB0"/>
    <w:rsid w:val="7B803AA3"/>
    <w:rsid w:val="7BAFEC30"/>
    <w:rsid w:val="7BB34EF9"/>
    <w:rsid w:val="7BC2173D"/>
    <w:rsid w:val="7BDC4BA9"/>
    <w:rsid w:val="7BFBAF4E"/>
    <w:rsid w:val="7BFD9DB9"/>
    <w:rsid w:val="7C182BB6"/>
    <w:rsid w:val="7C193F27"/>
    <w:rsid w:val="7C2C42CE"/>
    <w:rsid w:val="7C2F08B1"/>
    <w:rsid w:val="7C3D2F69"/>
    <w:rsid w:val="7C3E6636"/>
    <w:rsid w:val="7C5938C0"/>
    <w:rsid w:val="7C66360B"/>
    <w:rsid w:val="7C6801F5"/>
    <w:rsid w:val="7C746740"/>
    <w:rsid w:val="7C866853"/>
    <w:rsid w:val="7C8F70A1"/>
    <w:rsid w:val="7CBF4FFE"/>
    <w:rsid w:val="7CDE48C1"/>
    <w:rsid w:val="7D293170"/>
    <w:rsid w:val="7D2F461E"/>
    <w:rsid w:val="7D4F3249"/>
    <w:rsid w:val="7D556465"/>
    <w:rsid w:val="7DA66089"/>
    <w:rsid w:val="7DB717A0"/>
    <w:rsid w:val="7DD32975"/>
    <w:rsid w:val="7DDD7B32"/>
    <w:rsid w:val="7DE44527"/>
    <w:rsid w:val="7DFF9DF9"/>
    <w:rsid w:val="7E14379B"/>
    <w:rsid w:val="7E2E32D4"/>
    <w:rsid w:val="7E363583"/>
    <w:rsid w:val="7E7C08C7"/>
    <w:rsid w:val="7E8542DA"/>
    <w:rsid w:val="7E94256F"/>
    <w:rsid w:val="7EB37B8C"/>
    <w:rsid w:val="7EDB7BBE"/>
    <w:rsid w:val="7EE7090C"/>
    <w:rsid w:val="7EED2922"/>
    <w:rsid w:val="7EED6830"/>
    <w:rsid w:val="7EEFD576"/>
    <w:rsid w:val="7EF41591"/>
    <w:rsid w:val="7F1C3744"/>
    <w:rsid w:val="7F272875"/>
    <w:rsid w:val="7F595ED4"/>
    <w:rsid w:val="7F601E71"/>
    <w:rsid w:val="7F65F3C8"/>
    <w:rsid w:val="7F914720"/>
    <w:rsid w:val="7FBB8728"/>
    <w:rsid w:val="7FD55BDB"/>
    <w:rsid w:val="7FD7C80F"/>
    <w:rsid w:val="7FE64A6C"/>
    <w:rsid w:val="7FEE7A2A"/>
    <w:rsid w:val="7FFB7DEC"/>
    <w:rsid w:val="7FFCC6F5"/>
    <w:rsid w:val="8F7D9D5A"/>
    <w:rsid w:val="96F72BC1"/>
    <w:rsid w:val="97DA54E5"/>
    <w:rsid w:val="97FCD273"/>
    <w:rsid w:val="9A7CB714"/>
    <w:rsid w:val="9DDF8448"/>
    <w:rsid w:val="9F7B0F80"/>
    <w:rsid w:val="AAEE2718"/>
    <w:rsid w:val="AFFF9377"/>
    <w:rsid w:val="B7D4C562"/>
    <w:rsid w:val="BADFC26D"/>
    <w:rsid w:val="BB274AF7"/>
    <w:rsid w:val="BBFFF9A4"/>
    <w:rsid w:val="BC67C9CD"/>
    <w:rsid w:val="BDFDF2D5"/>
    <w:rsid w:val="BDFE5996"/>
    <w:rsid w:val="BFFEE798"/>
    <w:rsid w:val="BFFF0383"/>
    <w:rsid w:val="C1F770A5"/>
    <w:rsid w:val="C3F625AE"/>
    <w:rsid w:val="CF7E82F9"/>
    <w:rsid w:val="D4E5C02D"/>
    <w:rsid w:val="D73FDC8C"/>
    <w:rsid w:val="D7AD038B"/>
    <w:rsid w:val="DAEDAE72"/>
    <w:rsid w:val="DAFD67E7"/>
    <w:rsid w:val="DBF7EC97"/>
    <w:rsid w:val="DDD16A77"/>
    <w:rsid w:val="DDFFB308"/>
    <w:rsid w:val="DE757B34"/>
    <w:rsid w:val="DEFF2418"/>
    <w:rsid w:val="DF7EBCA3"/>
    <w:rsid w:val="DF96FE75"/>
    <w:rsid w:val="DF9F2A82"/>
    <w:rsid w:val="DFED1875"/>
    <w:rsid w:val="DFFB9DBF"/>
    <w:rsid w:val="E5C9671E"/>
    <w:rsid w:val="EAEFEED1"/>
    <w:rsid w:val="EBDE7511"/>
    <w:rsid w:val="EBFDA859"/>
    <w:rsid w:val="ED3E634D"/>
    <w:rsid w:val="ED9FD80E"/>
    <w:rsid w:val="EEDBA1E0"/>
    <w:rsid w:val="EFBD87D2"/>
    <w:rsid w:val="EFDFB587"/>
    <w:rsid w:val="EFFFF4FE"/>
    <w:rsid w:val="F2CFEA00"/>
    <w:rsid w:val="F2FA858B"/>
    <w:rsid w:val="F36F9F61"/>
    <w:rsid w:val="F3BB5C9A"/>
    <w:rsid w:val="F3DEB06C"/>
    <w:rsid w:val="F4FF9017"/>
    <w:rsid w:val="F55CDB9C"/>
    <w:rsid w:val="F57FA268"/>
    <w:rsid w:val="F5B0FC3B"/>
    <w:rsid w:val="F67E82A4"/>
    <w:rsid w:val="F73FDC34"/>
    <w:rsid w:val="F7BEEE67"/>
    <w:rsid w:val="F7FE0F10"/>
    <w:rsid w:val="F7FF3ACB"/>
    <w:rsid w:val="F96EDD6A"/>
    <w:rsid w:val="F9DFE863"/>
    <w:rsid w:val="FA9FA113"/>
    <w:rsid w:val="FBF957BF"/>
    <w:rsid w:val="FC9FCB92"/>
    <w:rsid w:val="FCED4C8D"/>
    <w:rsid w:val="FDADC187"/>
    <w:rsid w:val="FDAF1D16"/>
    <w:rsid w:val="FDBF0B7F"/>
    <w:rsid w:val="FDDB38E7"/>
    <w:rsid w:val="FDF90583"/>
    <w:rsid w:val="FDFE8D86"/>
    <w:rsid w:val="FDFFFA3E"/>
    <w:rsid w:val="FE3B477D"/>
    <w:rsid w:val="FEBF33A2"/>
    <w:rsid w:val="FEE7683A"/>
    <w:rsid w:val="FEE76D8E"/>
    <w:rsid w:val="FEF7E22D"/>
    <w:rsid w:val="FEFD757F"/>
    <w:rsid w:val="FEFF93E2"/>
    <w:rsid w:val="FFBB6390"/>
    <w:rsid w:val="FFD56938"/>
    <w:rsid w:val="FFE7289A"/>
    <w:rsid w:val="FFFF1233"/>
    <w:rsid w:val="FFFF8317"/>
    <w:rsid w:val="FFFFA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cs="Times New Roman"/>
      <w:b/>
      <w:bCs/>
      <w:sz w:val="24"/>
    </w:rPr>
  </w:style>
  <w:style w:type="paragraph" w:styleId="8">
    <w:name w:val="heading 7"/>
    <w:basedOn w:val="1"/>
    <w:next w:val="1"/>
    <w:qFormat/>
    <w:uiPriority w:val="0"/>
    <w:pPr>
      <w:keepNext/>
      <w:keepLines/>
      <w:spacing w:before="240" w:after="64" w:line="320" w:lineRule="auto"/>
      <w:outlineLvl w:val="6"/>
    </w:pPr>
    <w:rPr>
      <w:rFonts w:ascii="Times New Roman" w:hAnsi="Times New Roman" w:eastAsia="宋体" w:cs="Times New Roman"/>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cs="Times New Roman"/>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cs="Times New Roman"/>
      <w:szCs w:val="21"/>
    </w:rPr>
  </w:style>
  <w:style w:type="character" w:default="1" w:styleId="40">
    <w:name w:val="Default Paragraph Font"/>
    <w:qFormat/>
    <w:uiPriority w:val="0"/>
    <w:rPr>
      <w:rFonts w:ascii="Times New Roman" w:hAnsi="Times New Roman" w:eastAsia="宋体" w:cs="Times New Roman"/>
    </w:rPr>
  </w:style>
  <w:style w:type="table" w:default="1" w:styleId="3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basedOn w:val="12"/>
    <w:next w:val="1"/>
    <w:qFormat/>
    <w:uiPriority w:val="0"/>
    <w:rPr>
      <w:rFonts w:ascii="Times New Roman" w:hAnsi="Times New Roman" w:eastAsia="宋体" w:cs="Times New Roman"/>
    </w:rPr>
  </w:style>
  <w:style w:type="paragraph" w:styleId="12">
    <w:name w:val="toc 6"/>
    <w:basedOn w:val="13"/>
    <w:next w:val="1"/>
    <w:qFormat/>
    <w:uiPriority w:val="0"/>
    <w:rPr>
      <w:rFonts w:ascii="Times New Roman" w:hAnsi="Times New Roman" w:eastAsia="宋体" w:cs="Times New Roman"/>
    </w:rPr>
  </w:style>
  <w:style w:type="paragraph" w:styleId="13">
    <w:name w:val="toc 5"/>
    <w:basedOn w:val="14"/>
    <w:next w:val="1"/>
    <w:qFormat/>
    <w:uiPriority w:val="0"/>
    <w:rPr>
      <w:rFonts w:ascii="Times New Roman" w:hAnsi="Times New Roman" w:eastAsia="宋体" w:cs="Times New Roman"/>
    </w:rPr>
  </w:style>
  <w:style w:type="paragraph" w:styleId="14">
    <w:name w:val="toc 4"/>
    <w:basedOn w:val="15"/>
    <w:next w:val="1"/>
    <w:qFormat/>
    <w:uiPriority w:val="0"/>
    <w:rPr>
      <w:rFonts w:ascii="Times New Roman" w:hAnsi="Times New Roman" w:eastAsia="宋体" w:cs="Times New Roman"/>
    </w:rPr>
  </w:style>
  <w:style w:type="paragraph" w:styleId="15">
    <w:name w:val="toc 3"/>
    <w:basedOn w:val="1"/>
    <w:next w:val="1"/>
    <w:qFormat/>
    <w:uiPriority w:val="0"/>
    <w:rPr>
      <w:rFonts w:ascii="Times New Roman" w:hAnsi="Times New Roman" w:eastAsia="宋体" w:cs="Times New Roman"/>
    </w:rPr>
  </w:style>
  <w:style w:type="paragraph" w:styleId="16">
    <w:name w:val="Normal Indent"/>
    <w:basedOn w:val="1"/>
    <w:qFormat/>
    <w:uiPriority w:val="0"/>
    <w:pPr>
      <w:ind w:firstLine="420"/>
    </w:pPr>
    <w:rPr>
      <w:rFonts w:ascii="Times New Roman" w:hAnsi="Times New Roman" w:eastAsia="宋体" w:cs="Times New Roman"/>
      <w:szCs w:val="20"/>
    </w:rPr>
  </w:style>
  <w:style w:type="paragraph" w:styleId="17">
    <w:name w:val="caption"/>
    <w:basedOn w:val="1"/>
    <w:next w:val="1"/>
    <w:qFormat/>
    <w:uiPriority w:val="0"/>
    <w:rPr>
      <w:rFonts w:ascii="Times New Roman" w:hAnsi="Times New Roman" w:eastAsia="宋体" w:cs="Times New Roman"/>
      <w:b/>
      <w:bCs/>
      <w:szCs w:val="24"/>
    </w:rPr>
  </w:style>
  <w:style w:type="paragraph" w:styleId="18">
    <w:name w:val="Document Map"/>
    <w:basedOn w:val="1"/>
    <w:qFormat/>
    <w:uiPriority w:val="0"/>
    <w:pPr>
      <w:shd w:val="clear" w:color="auto" w:fill="000080"/>
    </w:pPr>
    <w:rPr>
      <w:rFonts w:ascii="Times New Roman" w:hAnsi="Times New Roman" w:eastAsia="宋体" w:cs="Times New Roman"/>
    </w:rPr>
  </w:style>
  <w:style w:type="paragraph" w:styleId="19">
    <w:name w:val="annotation text"/>
    <w:basedOn w:val="1"/>
    <w:qFormat/>
    <w:uiPriority w:val="0"/>
    <w:pPr>
      <w:jc w:val="left"/>
    </w:pPr>
    <w:rPr>
      <w:rFonts w:ascii="Times New Roman" w:hAnsi="Times New Roman" w:eastAsia="宋体" w:cs="Times New Roman"/>
    </w:rPr>
  </w:style>
  <w:style w:type="paragraph" w:styleId="20">
    <w:name w:val="Body Text"/>
    <w:basedOn w:val="1"/>
    <w:next w:val="1"/>
    <w:qFormat/>
    <w:uiPriority w:val="0"/>
    <w:pPr>
      <w:spacing w:after="120"/>
    </w:pPr>
    <w:rPr>
      <w:rFonts w:ascii="Times New Roman" w:hAnsi="Times New Roman" w:eastAsia="宋体" w:cs="Times New Roman"/>
    </w:rPr>
  </w:style>
  <w:style w:type="paragraph" w:styleId="21">
    <w:name w:val="Body Text Indent"/>
    <w:basedOn w:val="1"/>
    <w:qFormat/>
    <w:uiPriority w:val="0"/>
    <w:pPr>
      <w:ind w:firstLine="420" w:firstLineChars="200"/>
    </w:pPr>
    <w:rPr>
      <w:rFonts w:ascii="Times New Roman" w:hAnsi="Times New Roman" w:eastAsia="宋体" w:cs="Times New Roman"/>
    </w:rPr>
  </w:style>
  <w:style w:type="paragraph" w:styleId="22">
    <w:name w:val="HTML Address"/>
    <w:basedOn w:val="1"/>
    <w:qFormat/>
    <w:uiPriority w:val="0"/>
    <w:rPr>
      <w:rFonts w:ascii="Times New Roman" w:hAnsi="Times New Roman" w:eastAsia="宋体" w:cs="Times New Roman"/>
      <w:i/>
      <w:iCs/>
    </w:rPr>
  </w:style>
  <w:style w:type="paragraph" w:styleId="23">
    <w:name w:val="Plain Text"/>
    <w:basedOn w:val="1"/>
    <w:qFormat/>
    <w:uiPriority w:val="0"/>
    <w:rPr>
      <w:rFonts w:ascii="宋体" w:hAnsi="Courier New" w:eastAsia="宋体" w:cs="Times New Roman"/>
    </w:rPr>
  </w:style>
  <w:style w:type="paragraph" w:styleId="24">
    <w:name w:val="toc 8"/>
    <w:basedOn w:val="11"/>
    <w:next w:val="1"/>
    <w:qFormat/>
    <w:uiPriority w:val="0"/>
    <w:rPr>
      <w:rFonts w:ascii="Times New Roman" w:hAnsi="Times New Roman" w:eastAsia="宋体" w:cs="Times New Roman"/>
    </w:rPr>
  </w:style>
  <w:style w:type="paragraph" w:styleId="25">
    <w:name w:val="Date"/>
    <w:basedOn w:val="1"/>
    <w:next w:val="1"/>
    <w:qFormat/>
    <w:uiPriority w:val="0"/>
    <w:pPr>
      <w:ind w:left="100" w:leftChars="2500"/>
    </w:pPr>
    <w:rPr>
      <w:rFonts w:ascii="Times New Roman" w:hAnsi="Times New Roman" w:eastAsia="宋体" w:cs="Times New Roman"/>
      <w:szCs w:val="24"/>
    </w:rPr>
  </w:style>
  <w:style w:type="paragraph" w:styleId="26">
    <w:name w:val="Balloon Text"/>
    <w:basedOn w:val="1"/>
    <w:qFormat/>
    <w:uiPriority w:val="0"/>
    <w:rPr>
      <w:rFonts w:ascii="Times New Roman" w:hAnsi="Times New Roman" w:eastAsia="宋体" w:cs="Times New Roman"/>
      <w:sz w:val="18"/>
      <w:szCs w:val="18"/>
    </w:rPr>
  </w:style>
  <w:style w:type="paragraph" w:styleId="27">
    <w:name w:val="footer"/>
    <w:basedOn w:val="1"/>
    <w:qFormat/>
    <w:uiPriority w:val="0"/>
    <w:pPr>
      <w:tabs>
        <w:tab w:val="center" w:pos="4153"/>
        <w:tab w:val="right" w:pos="8306"/>
      </w:tabs>
      <w:snapToGrid w:val="0"/>
      <w:ind w:right="210" w:rightChars="100"/>
      <w:jc w:val="right"/>
    </w:pPr>
    <w:rPr>
      <w:rFonts w:ascii="Times New Roman" w:hAnsi="Times New Roman" w:eastAsia="宋体" w:cs="Times New Roman"/>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qFormat/>
    <w:uiPriority w:val="0"/>
    <w:pPr>
      <w:jc w:val="both"/>
    </w:pPr>
    <w:rPr>
      <w:rFonts w:ascii="宋体" w:hAnsi="Times New Roman" w:eastAsia="宋体" w:cs="Times New Roman"/>
      <w:sz w:val="21"/>
      <w:lang w:val="en-US" w:eastAsia="zh-CN" w:bidi="ar-SA"/>
    </w:rPr>
  </w:style>
  <w:style w:type="paragraph" w:styleId="30">
    <w:name w:val="footnote text"/>
    <w:basedOn w:val="1"/>
    <w:qFormat/>
    <w:uiPriority w:val="0"/>
    <w:pPr>
      <w:snapToGrid w:val="0"/>
      <w:jc w:val="left"/>
    </w:pPr>
    <w:rPr>
      <w:rFonts w:ascii="Times New Roman" w:hAnsi="Times New Roman" w:eastAsia="宋体" w:cs="Times New Roman"/>
      <w:sz w:val="18"/>
      <w:szCs w:val="18"/>
    </w:rPr>
  </w:style>
  <w:style w:type="paragraph" w:styleId="31">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32">
    <w:name w:val="toc 2"/>
    <w:basedOn w:val="29"/>
    <w:next w:val="1"/>
    <w:qFormat/>
    <w:uiPriority w:val="0"/>
    <w:rPr>
      <w:rFonts w:ascii="Times New Roman" w:hAnsi="Times New Roman" w:eastAsia="宋体" w:cs="Times New Roman"/>
    </w:rPr>
  </w:style>
  <w:style w:type="paragraph" w:styleId="33">
    <w:name w:val="toc 9"/>
    <w:basedOn w:val="24"/>
    <w:next w:val="1"/>
    <w:qFormat/>
    <w:uiPriority w:val="0"/>
    <w:rPr>
      <w:rFonts w:ascii="Times New Roman" w:hAnsi="Times New Roman" w:eastAsia="宋体" w:cs="Times New Roman"/>
    </w:rPr>
  </w:style>
  <w:style w:type="paragraph" w:styleId="34">
    <w:name w:val="HTML Preformatted"/>
    <w:basedOn w:val="1"/>
    <w:qFormat/>
    <w:uiPriority w:val="0"/>
    <w:rPr>
      <w:rFonts w:ascii="Courier New" w:hAnsi="Courier New" w:eastAsia="宋体" w:cs="Courier New"/>
      <w:sz w:val="20"/>
      <w:szCs w:val="20"/>
    </w:rPr>
  </w:style>
  <w:style w:type="paragraph" w:styleId="35">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6">
    <w:name w:val="Title"/>
    <w:basedOn w:val="1"/>
    <w:qFormat/>
    <w:uiPriority w:val="0"/>
    <w:pPr>
      <w:spacing w:before="240" w:after="60"/>
      <w:jc w:val="center"/>
      <w:outlineLvl w:val="0"/>
    </w:pPr>
    <w:rPr>
      <w:rFonts w:ascii="Arial" w:hAnsi="Arial" w:eastAsia="宋体" w:cs="Arial"/>
      <w:b/>
      <w:bCs/>
      <w:sz w:val="32"/>
      <w:szCs w:val="32"/>
    </w:rPr>
  </w:style>
  <w:style w:type="paragraph" w:styleId="37">
    <w:name w:val="annotation subject"/>
    <w:basedOn w:val="19"/>
    <w:next w:val="19"/>
    <w:qFormat/>
    <w:uiPriority w:val="0"/>
    <w:rPr>
      <w:rFonts w:ascii="Times New Roman" w:hAnsi="Times New Roman" w:eastAsia="宋体" w:cs="Times New Roman"/>
      <w:b/>
      <w:bCs/>
    </w:rPr>
  </w:style>
  <w:style w:type="table" w:styleId="39">
    <w:name w:val="Table Grid"/>
    <w:basedOn w:val="3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sz w:val="18"/>
    </w:rPr>
  </w:style>
  <w:style w:type="character" w:styleId="43">
    <w:name w:val="Emphasis"/>
    <w:qFormat/>
    <w:uiPriority w:val="0"/>
    <w:rPr>
      <w:rFonts w:ascii="Times New Roman" w:hAnsi="Times New Roman" w:eastAsia="宋体" w:cs="Times New Roman"/>
      <w:color w:val="CC0033"/>
    </w:rPr>
  </w:style>
  <w:style w:type="character" w:styleId="44">
    <w:name w:val="HTML Definition"/>
    <w:qFormat/>
    <w:uiPriority w:val="0"/>
    <w:rPr>
      <w:rFonts w:ascii="Times New Roman" w:hAnsi="Times New Roman" w:eastAsia="宋体" w:cs="Times New Roman"/>
      <w:i/>
      <w:iCs/>
    </w:rPr>
  </w:style>
  <w:style w:type="character" w:styleId="45">
    <w:name w:val="HTML Typewriter"/>
    <w:qFormat/>
    <w:uiPriority w:val="0"/>
    <w:rPr>
      <w:rFonts w:ascii="Courier New" w:hAnsi="Courier New" w:eastAsia="宋体" w:cs="Times New Roman"/>
      <w:sz w:val="20"/>
      <w:szCs w:val="20"/>
    </w:rPr>
  </w:style>
  <w:style w:type="character" w:styleId="46">
    <w:name w:val="HTML Acronym"/>
    <w:basedOn w:val="40"/>
    <w:qFormat/>
    <w:uiPriority w:val="0"/>
    <w:rPr>
      <w:rFonts w:ascii="Times New Roman" w:hAnsi="Times New Roman" w:eastAsia="宋体" w:cs="Times New Roman"/>
    </w:rPr>
  </w:style>
  <w:style w:type="character" w:styleId="47">
    <w:name w:val="HTML Variable"/>
    <w:qFormat/>
    <w:uiPriority w:val="0"/>
    <w:rPr>
      <w:rFonts w:ascii="Times New Roman" w:hAnsi="Times New Roman" w:eastAsia="宋体" w:cs="Times New Roman"/>
      <w:i/>
      <w:iCs/>
    </w:rPr>
  </w:style>
  <w:style w:type="character" w:styleId="48">
    <w:name w:val="Hyperlink"/>
    <w:qFormat/>
    <w:uiPriority w:val="0"/>
    <w:rPr>
      <w:rFonts w:ascii="Times New Roman" w:hAnsi="Times New Roman" w:eastAsia="宋体" w:cs="Times New Roman"/>
      <w:color w:val="auto"/>
      <w:spacing w:val="0"/>
      <w:w w:val="100"/>
      <w:position w:val="0"/>
      <w:sz w:val="21"/>
      <w:u w:val="none"/>
      <w:vertAlign w:val="baseline"/>
    </w:rPr>
  </w:style>
  <w:style w:type="character" w:styleId="49">
    <w:name w:val="HTML Code"/>
    <w:qFormat/>
    <w:uiPriority w:val="0"/>
    <w:rPr>
      <w:rFonts w:ascii="Courier New" w:hAnsi="Courier New" w:eastAsia="宋体" w:cs="Times New Roman"/>
      <w:sz w:val="20"/>
      <w:szCs w:val="20"/>
    </w:rPr>
  </w:style>
  <w:style w:type="character" w:styleId="50">
    <w:name w:val="annotation reference"/>
    <w:qFormat/>
    <w:uiPriority w:val="0"/>
    <w:rPr>
      <w:rFonts w:ascii="Times New Roman" w:hAnsi="Times New Roman" w:eastAsia="宋体" w:cs="Times New Roman"/>
      <w:sz w:val="21"/>
      <w:szCs w:val="21"/>
    </w:rPr>
  </w:style>
  <w:style w:type="character" w:styleId="51">
    <w:name w:val="HTML Cite"/>
    <w:qFormat/>
    <w:uiPriority w:val="0"/>
    <w:rPr>
      <w:rFonts w:ascii="Times New Roman" w:hAnsi="Times New Roman" w:eastAsia="宋体" w:cs="Times New Roman"/>
      <w:i/>
      <w:iCs/>
    </w:rPr>
  </w:style>
  <w:style w:type="character" w:styleId="52">
    <w:name w:val="footnote reference"/>
    <w:qFormat/>
    <w:uiPriority w:val="0"/>
    <w:rPr>
      <w:rFonts w:ascii="Times New Roman" w:hAnsi="Times New Roman" w:eastAsia="宋体" w:cs="Times New Roman"/>
      <w:vertAlign w:val="superscript"/>
    </w:rPr>
  </w:style>
  <w:style w:type="character" w:styleId="53">
    <w:name w:val="HTML Keyboard"/>
    <w:qFormat/>
    <w:uiPriority w:val="0"/>
    <w:rPr>
      <w:rFonts w:ascii="Courier New" w:hAnsi="Courier New" w:eastAsia="宋体" w:cs="Times New Roman"/>
      <w:sz w:val="20"/>
      <w:szCs w:val="20"/>
    </w:rPr>
  </w:style>
  <w:style w:type="character" w:styleId="54">
    <w:name w:val="HTML Sample"/>
    <w:qFormat/>
    <w:uiPriority w:val="0"/>
    <w:rPr>
      <w:rFonts w:ascii="Courier New" w:hAnsi="Courier New" w:eastAsia="宋体" w:cs="Times New Roman"/>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7">
    <w:name w:val="封面正文"/>
    <w:qFormat/>
    <w:uiPriority w:val="0"/>
    <w:pPr>
      <w:jc w:val="both"/>
    </w:pPr>
    <w:rPr>
      <w:rFonts w:ascii="Times New Roman" w:hAnsi="Times New Roman" w:eastAsia="宋体" w:cs="Times New Roman"/>
      <w:lang w:val="en-US" w:eastAsia="zh-CN" w:bidi="ar-SA"/>
    </w:rPr>
  </w:style>
  <w:style w:type="paragraph" w:customStyle="1" w:styleId="5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目次、标准名称标题"/>
    <w:basedOn w:val="58"/>
    <w:next w:val="59"/>
    <w:qFormat/>
    <w:uiPriority w:val="0"/>
    <w:pPr>
      <w:numPr>
        <w:ilvl w:val="0"/>
        <w:numId w:val="0"/>
      </w:numPr>
      <w:spacing w:line="460" w:lineRule="exact"/>
    </w:pPr>
    <w:rPr>
      <w:rFonts w:ascii="Times New Roman" w:hAnsi="Times New Roman" w:eastAsia="宋体" w:cs="Times New Roman"/>
    </w:rPr>
  </w:style>
  <w:style w:type="paragraph" w:customStyle="1" w:styleId="6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章标题"/>
    <w:next w:val="5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3">
    <w:name w:val="一级条标题"/>
    <w:next w:val="59"/>
    <w:link w:val="64"/>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64">
    <w:name w:val="一级条标题 Char"/>
    <w:link w:val="63"/>
    <w:qFormat/>
    <w:uiPriority w:val="0"/>
    <w:rPr>
      <w:rFonts w:ascii="Times New Roman" w:hAnsi="Times New Roman" w:eastAsia="黑体" w:cs="Times New Roman"/>
      <w:sz w:val="21"/>
      <w:lang w:val="en-US" w:eastAsia="zh-CN" w:bidi="ar-SA"/>
    </w:rPr>
  </w:style>
  <w:style w:type="paragraph" w:customStyle="1" w:styleId="65">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6">
    <w:name w:val="其他发布部门"/>
    <w:basedOn w:val="65"/>
    <w:qFormat/>
    <w:uiPriority w:val="0"/>
    <w:pPr>
      <w:spacing w:line="0" w:lineRule="atLeast"/>
    </w:pPr>
    <w:rPr>
      <w:rFonts w:ascii="黑体" w:hAnsi="Times New Roman" w:eastAsia="黑体" w:cs="Times New Roman"/>
      <w:b w:val="0"/>
    </w:rPr>
  </w:style>
  <w:style w:type="paragraph" w:customStyle="1" w:styleId="6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8">
    <w:name w:val="实施日期"/>
    <w:basedOn w:val="67"/>
    <w:qFormat/>
    <w:uiPriority w:val="0"/>
    <w:pPr>
      <w:framePr w:hSpace="0" w:xAlign="right"/>
      <w:numPr>
        <w:ilvl w:val="4"/>
        <w:numId w:val="1"/>
      </w:numPr>
      <w:jc w:val="right"/>
    </w:pPr>
    <w:rPr>
      <w:rFonts w:ascii="Times New Roman" w:hAnsi="Times New Roman" w:eastAsia="宋体" w:cs="Times New Roman"/>
    </w:rPr>
  </w:style>
  <w:style w:type="paragraph" w:customStyle="1" w:styleId="6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2">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73">
    <w:name w:val="发布"/>
    <w:qFormat/>
    <w:uiPriority w:val="0"/>
    <w:rPr>
      <w:rFonts w:ascii="黑体" w:hAnsi="Times New Roman" w:eastAsia="黑体" w:cs="Times New Roman"/>
      <w:spacing w:val="22"/>
      <w:w w:val="100"/>
      <w:position w:val="3"/>
      <w:sz w:val="28"/>
    </w:rPr>
  </w:style>
  <w:style w:type="character" w:customStyle="1" w:styleId="74">
    <w:name w:val="个人撰写风格"/>
    <w:qFormat/>
    <w:uiPriority w:val="0"/>
    <w:rPr>
      <w:rFonts w:ascii="Arial" w:hAnsi="Arial" w:eastAsia="宋体" w:cs="Arial"/>
      <w:color w:val="auto"/>
      <w:sz w:val="20"/>
    </w:rPr>
  </w:style>
  <w:style w:type="character" w:customStyle="1" w:styleId="75">
    <w:name w:val="一级无标题条 Char"/>
    <w:link w:val="76"/>
    <w:qFormat/>
    <w:uiPriority w:val="0"/>
    <w:rPr>
      <w:rFonts w:ascii="Times New Roman" w:hAnsi="Times New Roman" w:eastAsia="宋体" w:cs="Times New Roman"/>
      <w:kern w:val="2"/>
      <w:sz w:val="21"/>
      <w:szCs w:val="24"/>
      <w:lang w:val="en-US" w:eastAsia="zh-CN" w:bidi="ar-SA"/>
    </w:rPr>
  </w:style>
  <w:style w:type="paragraph" w:customStyle="1" w:styleId="76">
    <w:name w:val="一级无标题条"/>
    <w:basedOn w:val="1"/>
    <w:link w:val="75"/>
    <w:qFormat/>
    <w:uiPriority w:val="0"/>
    <w:pPr>
      <w:numPr>
        <w:ilvl w:val="2"/>
        <w:numId w:val="2"/>
      </w:numPr>
    </w:pPr>
    <w:rPr>
      <w:rFonts w:ascii="Times New Roman" w:hAnsi="Times New Roman" w:eastAsia="宋体" w:cs="Times New Roman"/>
      <w:szCs w:val="24"/>
    </w:rPr>
  </w:style>
  <w:style w:type="character" w:customStyle="1" w:styleId="77">
    <w:name w:val="二级条标题 Char"/>
    <w:basedOn w:val="64"/>
    <w:link w:val="78"/>
    <w:qFormat/>
    <w:uiPriority w:val="0"/>
    <w:rPr>
      <w:rFonts w:ascii="Times New Roman" w:hAnsi="Times New Roman" w:eastAsia="宋体" w:cs="Times New Roman"/>
    </w:rPr>
  </w:style>
  <w:style w:type="paragraph" w:customStyle="1" w:styleId="78">
    <w:name w:val="二级条标题"/>
    <w:basedOn w:val="63"/>
    <w:next w:val="59"/>
    <w:link w:val="77"/>
    <w:qFormat/>
    <w:uiPriority w:val="0"/>
    <w:pPr>
      <w:numPr>
        <w:ilvl w:val="3"/>
        <w:numId w:val="1"/>
      </w:numPr>
      <w:outlineLvl w:val="3"/>
    </w:pPr>
    <w:rPr>
      <w:rFonts w:ascii="Times New Roman" w:hAnsi="Times New Roman" w:eastAsia="宋体" w:cs="Times New Roman"/>
    </w:rPr>
  </w:style>
  <w:style w:type="character" w:customStyle="1" w:styleId="79">
    <w:name w:val="个人答复风格"/>
    <w:qFormat/>
    <w:uiPriority w:val="0"/>
    <w:rPr>
      <w:rFonts w:ascii="Arial" w:hAnsi="Arial" w:eastAsia="宋体" w:cs="Arial"/>
      <w:color w:val="auto"/>
      <w:sz w:val="20"/>
    </w:rPr>
  </w:style>
  <w:style w:type="paragraph" w:customStyle="1" w:styleId="80">
    <w:name w:val="二级无标题条"/>
    <w:basedOn w:val="1"/>
    <w:qFormat/>
    <w:uiPriority w:val="0"/>
    <w:pPr>
      <w:numPr>
        <w:ilvl w:val="3"/>
        <w:numId w:val="2"/>
      </w:numPr>
    </w:pPr>
    <w:rPr>
      <w:rFonts w:ascii="Times New Roman" w:hAnsi="Times New Roman" w:eastAsia="宋体" w:cs="Times New Roman"/>
      <w:szCs w:val="24"/>
    </w:rPr>
  </w:style>
  <w:style w:type="paragraph" w:customStyle="1" w:styleId="8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号2"/>
    <w:basedOn w:val="82"/>
    <w:qFormat/>
    <w:uiPriority w:val="0"/>
    <w:pPr>
      <w:framePr w:w="9138" w:h="1244" w:hRule="exact" w:wrap="around" w:vAnchor="page" w:hAnchor="margin" w:y="2908"/>
      <w:adjustRightInd w:val="0"/>
      <w:spacing w:before="357" w:line="280" w:lineRule="exact"/>
    </w:pPr>
    <w:rPr>
      <w:rFonts w:ascii="Times New Roman" w:hAnsi="Times New Roman" w:eastAsia="宋体" w:cs="Times New Roman"/>
    </w:rPr>
  </w:style>
  <w:style w:type="paragraph" w:customStyle="1" w:styleId="84">
    <w:name w:val="封面标准代替信息"/>
    <w:basedOn w:val="83"/>
    <w:qFormat/>
    <w:uiPriority w:val="0"/>
    <w:pPr>
      <w:spacing w:before="57"/>
    </w:pPr>
    <w:rPr>
      <w:rFonts w:ascii="宋体" w:hAnsi="Times New Roman" w:eastAsia="宋体" w:cs="Times New Roman"/>
      <w:sz w:val="21"/>
    </w:rPr>
  </w:style>
  <w:style w:type="paragraph" w:customStyle="1" w:styleId="85">
    <w:name w:val="四级无标题条"/>
    <w:basedOn w:val="1"/>
    <w:qFormat/>
    <w:uiPriority w:val="0"/>
    <w:pPr>
      <w:numPr>
        <w:ilvl w:val="5"/>
        <w:numId w:val="2"/>
      </w:numPr>
    </w:pPr>
    <w:rPr>
      <w:rFonts w:ascii="Times New Roman" w:hAnsi="Times New Roman" w:eastAsia="宋体" w:cs="Times New Roman"/>
      <w:szCs w:val="24"/>
    </w:rPr>
  </w:style>
  <w:style w:type="paragraph" w:customStyle="1" w:styleId="86">
    <w:name w:val="列项——（一级）"/>
    <w:qFormat/>
    <w:uiPriority w:val="0"/>
    <w:pPr>
      <w:widowControl w:val="0"/>
      <w:numPr>
        <w:ilvl w:val="0"/>
        <w:numId w:val="3"/>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87">
    <w:name w:val="列项◆（三级）"/>
    <w:qFormat/>
    <w:uiPriority w:val="0"/>
    <w:pPr>
      <w:numPr>
        <w:ilvl w:val="0"/>
        <w:numId w:val="4"/>
      </w:numPr>
      <w:ind w:left="800" w:leftChars="600" w:hanging="200" w:hangingChars="200"/>
    </w:pPr>
    <w:rPr>
      <w:rFonts w:ascii="宋体" w:hAnsi="Times New Roman" w:eastAsia="宋体" w:cs="Times New Roman"/>
      <w:sz w:val="21"/>
      <w:lang w:val="en-US" w:eastAsia="zh-CN" w:bidi="ar-SA"/>
    </w:rPr>
  </w:style>
  <w:style w:type="paragraph" w:customStyle="1" w:styleId="88">
    <w:name w:val="附录标识"/>
    <w:basedOn w:val="58"/>
    <w:qFormat/>
    <w:uiPriority w:val="0"/>
    <w:pPr>
      <w:numPr>
        <w:ilvl w:val="0"/>
        <w:numId w:val="5"/>
      </w:numPr>
      <w:tabs>
        <w:tab w:val="left" w:pos="6405"/>
      </w:tabs>
      <w:spacing w:after="200"/>
    </w:pPr>
    <w:rPr>
      <w:rFonts w:ascii="Times New Roman" w:hAnsi="Times New Roman" w:eastAsia="宋体" w:cs="Times New Roman"/>
      <w:sz w:val="21"/>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标准书眉_偶数页"/>
    <w:basedOn w:val="89"/>
    <w:next w:val="1"/>
    <w:qFormat/>
    <w:uiPriority w:val="0"/>
    <w:pPr>
      <w:jc w:val="left"/>
    </w:pPr>
    <w:rPr>
      <w:rFonts w:ascii="Times New Roman" w:hAnsi="Times New Roman" w:eastAsia="宋体" w:cs="Times New Roman"/>
    </w:rPr>
  </w:style>
  <w:style w:type="paragraph" w:customStyle="1" w:styleId="91">
    <w:name w:val="Default Text"/>
    <w:basedOn w:val="1"/>
    <w:qFormat/>
    <w:uiPriority w:val="0"/>
    <w:pPr>
      <w:autoSpaceDE w:val="0"/>
      <w:autoSpaceDN w:val="0"/>
      <w:adjustRightInd w:val="0"/>
      <w:jc w:val="left"/>
    </w:pPr>
    <w:rPr>
      <w:rFonts w:ascii="宋体" w:hAnsi="Times New Roman" w:eastAsia="宋体" w:cs="Times New Roman"/>
      <w:kern w:val="0"/>
      <w:sz w:val="24"/>
      <w:szCs w:val="24"/>
    </w:rPr>
  </w:style>
  <w:style w:type="paragraph" w:customStyle="1" w:styleId="92">
    <w:name w:val="正文表标题"/>
    <w:next w:val="59"/>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4">
    <w:name w:val="示例"/>
    <w:next w:val="59"/>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6">
    <w:name w:val="附录章标题"/>
    <w:next w:val="59"/>
    <w:qFormat/>
    <w:uiPriority w:val="0"/>
    <w:pPr>
      <w:numPr>
        <w:ilvl w:val="1"/>
        <w:numId w:val="5"/>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附录一级条标题"/>
    <w:basedOn w:val="96"/>
    <w:next w:val="59"/>
    <w:qFormat/>
    <w:uiPriority w:val="0"/>
    <w:pPr>
      <w:numPr>
        <w:ilvl w:val="2"/>
        <w:numId w:val="5"/>
      </w:numPr>
      <w:autoSpaceDN w:val="0"/>
      <w:spacing w:before="0" w:beforeLines="0" w:after="0" w:afterLines="0"/>
      <w:outlineLvl w:val="2"/>
    </w:pPr>
    <w:rPr>
      <w:rFonts w:ascii="Times New Roman" w:hAnsi="Times New Roman" w:eastAsia="宋体" w:cs="Times New Roman"/>
    </w:rPr>
  </w:style>
  <w:style w:type="paragraph" w:customStyle="1" w:styleId="98">
    <w:name w:val="附录二级条标题"/>
    <w:basedOn w:val="97"/>
    <w:next w:val="59"/>
    <w:qFormat/>
    <w:uiPriority w:val="0"/>
    <w:pPr>
      <w:numPr>
        <w:ilvl w:val="3"/>
        <w:numId w:val="5"/>
      </w:numPr>
      <w:outlineLvl w:val="3"/>
    </w:pPr>
    <w:rPr>
      <w:rFonts w:ascii="Times New Roman" w:hAnsi="Times New Roman" w:eastAsia="宋体" w:cs="Times New Roman"/>
    </w:rPr>
  </w:style>
  <w:style w:type="paragraph" w:customStyle="1" w:styleId="99">
    <w:name w:val="附录三级条标题"/>
    <w:basedOn w:val="98"/>
    <w:next w:val="59"/>
    <w:qFormat/>
    <w:uiPriority w:val="0"/>
    <w:pPr>
      <w:numPr>
        <w:ilvl w:val="4"/>
        <w:numId w:val="5"/>
      </w:numPr>
      <w:outlineLvl w:val="4"/>
    </w:pPr>
    <w:rPr>
      <w:rFonts w:ascii="Times New Roman" w:hAnsi="Times New Roman" w:eastAsia="宋体" w:cs="Times New Roman"/>
    </w:rPr>
  </w:style>
  <w:style w:type="paragraph" w:customStyle="1" w:styleId="100">
    <w:name w:val="附录四级条标题"/>
    <w:basedOn w:val="99"/>
    <w:next w:val="59"/>
    <w:qFormat/>
    <w:uiPriority w:val="0"/>
    <w:pPr>
      <w:numPr>
        <w:ilvl w:val="5"/>
        <w:numId w:val="5"/>
      </w:numPr>
      <w:outlineLvl w:val="5"/>
    </w:pPr>
    <w:rPr>
      <w:rFonts w:ascii="Times New Roman" w:hAnsi="Times New Roman" w:eastAsia="宋体" w:cs="Times New Roman"/>
    </w:rPr>
  </w:style>
  <w:style w:type="paragraph" w:customStyle="1" w:styleId="101">
    <w:name w:val="附录五级条标题"/>
    <w:basedOn w:val="100"/>
    <w:next w:val="59"/>
    <w:qFormat/>
    <w:uiPriority w:val="0"/>
    <w:pPr>
      <w:numPr>
        <w:ilvl w:val="6"/>
        <w:numId w:val="5"/>
      </w:numPr>
      <w:outlineLvl w:val="6"/>
    </w:pPr>
    <w:rPr>
      <w:rFonts w:ascii="Times New Roman" w:hAnsi="Times New Roman" w:eastAsia="宋体" w:cs="Times New Roman"/>
    </w:rPr>
  </w:style>
  <w:style w:type="paragraph" w:customStyle="1" w:styleId="102">
    <w:name w:val="三级条标题"/>
    <w:basedOn w:val="78"/>
    <w:next w:val="59"/>
    <w:qFormat/>
    <w:uiPriority w:val="0"/>
    <w:pPr>
      <w:numPr>
        <w:ilvl w:val="0"/>
        <w:numId w:val="0"/>
      </w:numPr>
      <w:ind w:left="105"/>
      <w:outlineLvl w:val="4"/>
    </w:pPr>
    <w:rPr>
      <w:rFonts w:ascii="Times New Roman" w:hAnsi="Times New Roman" w:eastAsia="宋体" w:cs="Times New Roman"/>
    </w:rPr>
  </w:style>
  <w:style w:type="paragraph" w:customStyle="1" w:styleId="103">
    <w:name w:val="四级条标题"/>
    <w:basedOn w:val="102"/>
    <w:next w:val="59"/>
    <w:qFormat/>
    <w:uiPriority w:val="0"/>
    <w:pPr>
      <w:numPr>
        <w:ilvl w:val="5"/>
        <w:numId w:val="1"/>
      </w:numPr>
      <w:outlineLvl w:val="5"/>
    </w:pPr>
    <w:rPr>
      <w:rFonts w:ascii="Times New Roman" w:hAnsi="Times New Roman" w:eastAsia="宋体" w:cs="Times New Roman"/>
    </w:rPr>
  </w:style>
  <w:style w:type="paragraph" w:customStyle="1" w:styleId="104">
    <w:name w:val="五级条标题"/>
    <w:basedOn w:val="103"/>
    <w:next w:val="59"/>
    <w:qFormat/>
    <w:uiPriority w:val="0"/>
    <w:pPr>
      <w:numPr>
        <w:ilvl w:val="6"/>
        <w:numId w:val="1"/>
      </w:numPr>
      <w:outlineLvl w:val="6"/>
    </w:pPr>
    <w:rPr>
      <w:rFonts w:ascii="Times New Roman" w:hAnsi="Times New Roman" w:eastAsia="宋体" w:cs="Times New Roman"/>
    </w:rPr>
  </w:style>
  <w:style w:type="paragraph" w:customStyle="1" w:styleId="105">
    <w:name w:val="_Style 98"/>
    <w:basedOn w:val="1"/>
    <w:qFormat/>
    <w:uiPriority w:val="0"/>
    <w:rPr>
      <w:rFonts w:ascii="Times New Roman" w:hAnsi="Times New Roman" w:eastAsia="仿宋_GB2312" w:cs="Times New Roman"/>
      <w:kern w:val="0"/>
      <w:sz w:val="32"/>
      <w:szCs w:val="21"/>
    </w:rPr>
  </w:style>
  <w:style w:type="paragraph" w:customStyle="1" w:styleId="106">
    <w:name w:val="正文图标题"/>
    <w:next w:val="5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参考文献、索引标题"/>
    <w:basedOn w:val="58"/>
    <w:next w:val="1"/>
    <w:qFormat/>
    <w:uiPriority w:val="0"/>
    <w:pPr>
      <w:numPr>
        <w:ilvl w:val="0"/>
        <w:numId w:val="0"/>
      </w:numPr>
      <w:spacing w:after="200"/>
    </w:pPr>
    <w:rPr>
      <w:rFonts w:ascii="Times New Roman" w:hAnsi="Times New Roman" w:eastAsia="宋体" w:cs="Times New Roman"/>
      <w:sz w:val="21"/>
    </w:rPr>
  </w:style>
  <w:style w:type="paragraph" w:customStyle="1" w:styleId="10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9">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10">
    <w:name w:val="图表脚注"/>
    <w:next w:val="59"/>
    <w:qFormat/>
    <w:uiPriority w:val="0"/>
    <w:pPr>
      <w:jc w:val="both"/>
    </w:pPr>
    <w:rPr>
      <w:rFonts w:ascii="宋体" w:hAnsi="Times New Roman" w:eastAsia="宋体" w:cs="Times New Roman"/>
      <w:sz w:val="18"/>
      <w:lang w:val="en-US" w:eastAsia="zh-CN" w:bidi="ar-SA"/>
    </w:rPr>
  </w:style>
  <w:style w:type="paragraph" w:customStyle="1" w:styleId="111">
    <w:name w:val="附录图标题"/>
    <w:next w:val="59"/>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12">
    <w:name w:val="注："/>
    <w:next w:val="59"/>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3">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4">
    <w:name w:val="条文脚注"/>
    <w:basedOn w:val="30"/>
    <w:qFormat/>
    <w:uiPriority w:val="0"/>
    <w:pPr>
      <w:ind w:left="780" w:leftChars="200" w:hanging="360" w:hangingChars="200"/>
      <w:jc w:val="both"/>
    </w:pPr>
    <w:rPr>
      <w:rFonts w:ascii="宋体" w:hAnsi="Times New Roman" w:eastAsia="宋体" w:cs="Times New Roman"/>
    </w:rPr>
  </w:style>
  <w:style w:type="paragraph" w:customStyle="1" w:styleId="115">
    <w:name w:val="附录表标题"/>
    <w:next w:val="59"/>
    <w:qFormat/>
    <w:uiPriority w:val="0"/>
    <w:pPr>
      <w:numPr>
        <w:ilvl w:val="0"/>
        <w:numId w:val="12"/>
      </w:numPr>
      <w:jc w:val="center"/>
      <w:textAlignment w:val="baseline"/>
    </w:pPr>
    <w:rPr>
      <w:rFonts w:ascii="黑体" w:hAnsi="Times New Roman" w:eastAsia="黑体" w:cs="Times New Roman"/>
      <w:kern w:val="21"/>
      <w:sz w:val="21"/>
      <w:lang w:val="en-US" w:eastAsia="zh-CN" w:bidi="ar-SA"/>
    </w:rPr>
  </w:style>
  <w:style w:type="paragraph" w:customStyle="1" w:styleId="116">
    <w:name w:val="三级无标题条"/>
    <w:basedOn w:val="1"/>
    <w:qFormat/>
    <w:uiPriority w:val="0"/>
    <w:pPr>
      <w:numPr>
        <w:ilvl w:val="4"/>
        <w:numId w:val="2"/>
      </w:numPr>
    </w:pPr>
    <w:rPr>
      <w:rFonts w:ascii="Times New Roman" w:hAnsi="Times New Roman" w:eastAsia="宋体" w:cs="Times New Roman"/>
      <w:szCs w:val="24"/>
    </w:rPr>
  </w:style>
  <w:style w:type="paragraph" w:customStyle="1" w:styleId="11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1">
    <w:name w:val="Table Paragraph"/>
    <w:basedOn w:val="1"/>
    <w:qFormat/>
    <w:uiPriority w:val="0"/>
    <w:pPr>
      <w:spacing w:before="22"/>
      <w:ind w:left="107"/>
    </w:pPr>
    <w:rPr>
      <w:rFonts w:ascii="宋体" w:hAnsi="宋体" w:eastAsia="宋体" w:cs="宋体"/>
      <w:lang w:val="zh-CN" w:eastAsia="zh-CN" w:bidi="zh-CN"/>
    </w:rPr>
  </w:style>
  <w:style w:type="paragraph" w:customStyle="1" w:styleId="12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4">
    <w:name w:val="五级无标题条"/>
    <w:basedOn w:val="1"/>
    <w:qFormat/>
    <w:uiPriority w:val="0"/>
    <w:pPr>
      <w:numPr>
        <w:ilvl w:val="6"/>
        <w:numId w:val="2"/>
      </w:numPr>
    </w:pPr>
    <w:rPr>
      <w:rFonts w:ascii="Times New Roman" w:hAnsi="Times New Roman" w:eastAsia="宋体" w:cs="Times New Roman"/>
      <w:szCs w:val="24"/>
    </w:rPr>
  </w:style>
  <w:style w:type="paragraph" w:customStyle="1" w:styleId="125">
    <w:name w:val="列项●（二级）"/>
    <w:qFormat/>
    <w:uiPriority w:val="0"/>
    <w:pPr>
      <w:numPr>
        <w:ilvl w:val="0"/>
        <w:numId w:val="13"/>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26">
    <w:name w:val="标准文件_附录一级条标题"/>
    <w:next w:val="61"/>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27">
    <w:name w:val="标准文件_附录一级无标题"/>
    <w:basedOn w:val="126"/>
    <w:qFormat/>
    <w:uiPriority w:val="0"/>
    <w:pPr>
      <w:spacing w:before="0" w:beforeLines="0" w:after="0" w:afterLines="0" w:line="276" w:lineRule="auto"/>
      <w:outlineLvl w:val="9"/>
    </w:pPr>
    <w:rPr>
      <w:rFonts w:ascii="宋体" w:hAnsi="Times New Roman" w:eastAsia="宋体" w:cs="Times New Roman"/>
    </w:rPr>
  </w:style>
  <w:style w:type="paragraph" w:customStyle="1" w:styleId="128">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29">
    <w:name w:val="正文C条文"/>
    <w:basedOn w:val="130"/>
    <w:qFormat/>
    <w:uiPriority w:val="0"/>
    <w:pPr>
      <w:numPr>
        <w:ilvl w:val="2"/>
        <w:numId w:val="15"/>
      </w:numPr>
      <w:spacing w:before="50" w:beforeLines="50" w:after="50" w:afterLines="50"/>
      <w:ind w:left="0" w:firstLineChars="0"/>
    </w:pPr>
  </w:style>
  <w:style w:type="paragraph" w:customStyle="1" w:styleId="130">
    <w:name w:val="正文A缩进"/>
    <w:basedOn w:val="1"/>
    <w:qFormat/>
    <w:uiPriority w:val="0"/>
    <w:pPr>
      <w:spacing w:line="360" w:lineRule="auto"/>
      <w:ind w:firstLine="200" w:firstLineChars="200"/>
    </w:pPr>
    <w:rPr>
      <w:sz w:val="24"/>
    </w:rPr>
  </w:style>
  <w:style w:type="paragraph" w:customStyle="1" w:styleId="131">
    <w:name w:val="标准正文"/>
    <w:basedOn w:val="1"/>
    <w:qFormat/>
    <w:uiPriority w:val="0"/>
    <w:pPr>
      <w:tabs>
        <w:tab w:val="left" w:pos="540"/>
        <w:tab w:val="left" w:pos="720"/>
        <w:tab w:val="left" w:pos="900"/>
        <w:tab w:val="left" w:pos="1080"/>
      </w:tabs>
      <w:snapToGrid w:val="0"/>
      <w:spacing w:line="288" w:lineRule="auto"/>
    </w:pPr>
    <w:rPr>
      <w:rFonts w:ascii="宋体" w:hAnsi="宋体"/>
      <w:color w:val="000000"/>
      <w:szCs w:val="21"/>
    </w:rPr>
  </w:style>
  <w:style w:type="paragraph" w:customStyle="1" w:styleId="132">
    <w:name w:val="WPSOffice手动目录 1"/>
    <w:qFormat/>
    <w:uiPriority w:val="0"/>
    <w:pPr>
      <w:ind w:leftChars="0"/>
    </w:pPr>
    <w:rPr>
      <w:rFonts w:ascii="Times New Roman" w:hAnsi="Times New Roman" w:eastAsia="宋体" w:cs="Times New Roman"/>
      <w:sz w:val="20"/>
      <w:szCs w:val="20"/>
    </w:rPr>
  </w:style>
  <w:style w:type="paragraph" w:customStyle="1" w:styleId="133">
    <w:name w:val="WPSOffice手动目录 2"/>
    <w:qFormat/>
    <w:uiPriority w:val="0"/>
    <w:pPr>
      <w:ind w:leftChars="200"/>
    </w:pPr>
    <w:rPr>
      <w:rFonts w:ascii="Times New Roman" w:hAnsi="Times New Roman" w:eastAsia="宋体" w:cs="Times New Roman"/>
      <w:sz w:val="20"/>
      <w:szCs w:val="20"/>
    </w:rPr>
  </w:style>
  <w:style w:type="paragraph" w:customStyle="1" w:styleId="134">
    <w:name w:val="WPSOffice手动目录 3"/>
    <w:qFormat/>
    <w:uiPriority w:val="0"/>
    <w:pPr>
      <w:ind w:leftChars="400"/>
    </w:pPr>
    <w:rPr>
      <w:rFonts w:ascii="Times New Roman" w:hAnsi="Times New Roman" w:eastAsia="宋体" w:cs="Times New Roman"/>
      <w:sz w:val="20"/>
      <w:szCs w:val="20"/>
    </w:rPr>
  </w:style>
  <w:style w:type="paragraph" w:customStyle="1" w:styleId="135">
    <w:name w:val="_Style 5"/>
    <w:basedOn w:val="1"/>
    <w:qFormat/>
    <w:uiPriority w:val="0"/>
    <w:pPr>
      <w:ind w:firstLine="200" w:firstLineChars="200"/>
    </w:pPr>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62</Pages>
  <Words>29334</Words>
  <Characters>33382</Characters>
  <Lines>81</Lines>
  <Paragraphs>22</Paragraphs>
  <TotalTime>23</TotalTime>
  <ScaleCrop>false</ScaleCrop>
  <LinksUpToDate>false</LinksUpToDate>
  <CharactersWithSpaces>36019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2018-09-30T19:48:00Z</dcterms:created>
  <dc:creator>LSK</dc:creator>
  <dc:description>Shankar's Birthday falls on 25th July.  Don't Forget to wish him</dc:description>
  <cp:keywords>Birthday</cp:keywords>
  <cp:lastModifiedBy>陌</cp:lastModifiedBy>
  <cp:lastPrinted>2024-09-18T01:42:00Z</cp:lastPrinted>
  <dcterms:modified xsi:type="dcterms:W3CDTF">2024-10-11T07:54:15Z</dcterms:modified>
  <dc:subject>Birthday</dc:subject>
  <dc:title>Are You suprised ?</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2052-12.1.0.18276</vt:lpwstr>
  </property>
  <property fmtid="{D5CDD505-2E9C-101B-9397-08002B2CF9AE}" pid="4" name="ICV">
    <vt:lpwstr>5B9320DFDFAF4240B8E4FD84EC9C0B94_13</vt:lpwstr>
  </property>
</Properties>
</file>