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6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479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</w:rPr>
              <w:t>广东粤湾施工图审查有限公司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成立日期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2019年03月15日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广州市天河区东莞庄路</w:t>
            </w:r>
            <w:r>
              <w:rPr>
                <w:rFonts w:hint="eastAsia"/>
                <w:lang w:val="en-US" w:eastAsia="zh-CN"/>
              </w:rPr>
              <w:t>2号财润国际大厦A座1905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隶属地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</w:rPr>
              <w:t>广州市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</w:rPr>
              <w:t>有限责任公司（自然人投资或控股）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  <w:t>统一社会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  <w:t>信用代码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91440101</w:t>
            </w:r>
            <w:r>
              <w:rPr>
                <w:rFonts w:hint="eastAsia"/>
                <w:lang w:eastAsia="zh-CN"/>
              </w:rPr>
              <w:t>米</w:t>
            </w:r>
            <w:r>
              <w:rPr>
                <w:rFonts w:hint="eastAsia"/>
              </w:rPr>
              <w:t>A5C</w:t>
            </w:r>
            <w:r>
              <w:rPr>
                <w:rFonts w:hint="eastAsia"/>
                <w:lang w:eastAsia="zh-CN"/>
              </w:rPr>
              <w:t>米</w:t>
            </w:r>
            <w:r>
              <w:rPr>
                <w:rFonts w:hint="eastAsia"/>
              </w:rPr>
              <w:t>K1671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spacing w:after="156" w:afterLines="50"/>
              <w:rPr>
                <w:rFonts w:hint="eastAsia"/>
              </w:rPr>
            </w:pPr>
            <w:r>
              <w:rPr>
                <w:rFonts w:hint="eastAsia"/>
              </w:rPr>
              <w:t>主管部门（举办单位）：广东粤湾施工图审查有限公司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</w:pPr>
            <w:r>
              <w:rPr>
                <w:rFonts w:hint="eastAsia"/>
              </w:rPr>
              <w:t>联营人（股东）：</w:t>
            </w:r>
            <w:r>
              <w:rPr>
                <w:rFonts w:hint="eastAsia"/>
                <w:lang w:eastAsia="zh-CN"/>
              </w:rPr>
              <w:t>石菁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姚远机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tabs>
                <w:tab w:val="left" w:pos="6556"/>
              </w:tabs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lang w:eastAsia="zh-CN"/>
              </w:rPr>
              <w:t>一类</w:t>
            </w:r>
            <w:r>
              <w:rPr>
                <w:rFonts w:hint="eastAsia"/>
                <w:lang w:val="en-US" w:eastAsia="zh-CN"/>
              </w:rPr>
              <w:t xml:space="preserve"> 房屋建筑（含超限高层）工程；1一类 市政基础设施（给水、排水、道路、桥梁、隧道、公共交通、风景园林）工程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54人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</w:rPr>
              <w:t>审查人员数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43-26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</w:rPr>
            </w:pPr>
            <w:r>
              <w:rPr>
                <w:rFonts w:hint="eastAsia"/>
                <w:lang w:eastAsia="zh-CN"/>
              </w:rPr>
              <w:t>石菁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  <w:t>行政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负责人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  <w:highlight w:val="none"/>
                <w:lang w:eastAsia="zh-CN"/>
              </w:rPr>
              <w:t>肖方毅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周光华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工作联系人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lang w:eastAsia="zh-CN"/>
              </w:rPr>
              <w:t>石菁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广州市天河区东莞庄路</w:t>
            </w:r>
            <w:r>
              <w:rPr>
                <w:rFonts w:hint="eastAsia"/>
                <w:lang w:val="en-US" w:eastAsia="zh-CN"/>
              </w:rPr>
              <w:t>2号财润国际大厦A座1905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</w:rPr>
              <w:t>510</w:t>
            </w:r>
            <w:r>
              <w:rPr>
                <w:rFonts w:hint="eastAsia"/>
                <w:lang w:val="en-US" w:eastAsia="zh-CN"/>
              </w:rPr>
              <w:t>630</w:t>
            </w:r>
          </w:p>
        </w:tc>
      </w:tr>
    </w:tbl>
    <w:p>
      <w:pPr>
        <w:pStyle w:val="5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宋体"/>
          <w:b w:val="0"/>
          <w:bCs/>
          <w:sz w:val="44"/>
          <w:szCs w:val="44"/>
          <w:lang w:eastAsia="zh-CN"/>
        </w:rPr>
        <w:t>广东粤湾施工图审查有限公司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审查人员情况</w:t>
      </w:r>
    </w:p>
    <w:tbl>
      <w:tblPr>
        <w:tblStyle w:val="6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2-2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-2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cs="宋体"/>
                <w:b w:val="0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cs="宋体"/>
                <w:b w:val="0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cs="宋体"/>
                <w:b w:val="0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cs="宋体"/>
                <w:b w:val="0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7-5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21-17</w:t>
            </w:r>
            <w:bookmarkStart w:id="0" w:name="_GoBack"/>
            <w:bookmarkEnd w:id="0"/>
          </w:p>
        </w:tc>
      </w:tr>
    </w:tbl>
    <w:tbl>
      <w:tblPr>
        <w:tblStyle w:val="6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岗位性质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 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（岁）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执业注册类别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技术职称</w:t>
            </w:r>
          </w:p>
        </w:tc>
        <w:tc>
          <w:tcPr>
            <w:tcW w:w="1486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设计工龄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(年)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设计业绩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周光华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张朝利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肖方毅（cx）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一级注册结构师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王云丹</w:t>
            </w: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（cx）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42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一级注册结构师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给水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沈渠锋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公用设备工程师（给水排水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给水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白兰石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暖通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空调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廖建平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公用设备工程师（暖通空调）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暖通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空调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陆雁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公用设备工程师（暖通空调）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shd w:val="clear" w:color="auto" w:fill="F8F8F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韦庆南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注册电气工程师（供配电）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张和平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注册电气工程师（供配电）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动力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eastAsia="zh-CN"/>
              </w:rPr>
              <w:t>邱红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公用设备工程师（</w:t>
            </w:r>
            <w:r>
              <w:rPr>
                <w:rFonts w:hint="eastAsia"/>
                <w:sz w:val="18"/>
                <w:szCs w:val="18"/>
                <w:lang w:eastAsia="zh-CN"/>
              </w:rPr>
              <w:t>动力）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动力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eastAsia="zh-CN"/>
              </w:rPr>
              <w:t>戴华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公用设备工程师（</w:t>
            </w:r>
            <w:r>
              <w:rPr>
                <w:rFonts w:hint="eastAsia"/>
                <w:sz w:val="18"/>
                <w:szCs w:val="18"/>
                <w:lang w:eastAsia="zh-CN"/>
              </w:rPr>
              <w:t>动力）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kern w:val="2"/>
                <w:sz w:val="18"/>
                <w:szCs w:val="18"/>
                <w:lang w:val="en-US" w:eastAsia="zh-CN" w:bidi="ar-SA"/>
              </w:rPr>
              <w:t>42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机械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周广东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机械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宋敬玉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eastAsia="zh-CN"/>
              </w:rPr>
              <w:t>马飞宁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焦岩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张上勇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吴淑红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韦惠民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温继红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吴敬祖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41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</w:tbl>
    <w:p>
      <w:pPr>
        <w:spacing w:after="468" w:afterLines="150"/>
        <w:ind w:firstLine="360" w:firstLineChars="200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18"/>
          <w:szCs w:val="18"/>
        </w:rPr>
        <w:t>注：1.人数填写为：总人数－60周岁以下人数；3.“结构（cx）”人数为结构专业超限高层审查人数；3.“合计”人数不计“结构（cx）”人数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宋体"/>
          <w:b w:val="0"/>
          <w:bCs/>
          <w:sz w:val="44"/>
          <w:szCs w:val="44"/>
          <w:lang w:eastAsia="zh-CN"/>
        </w:rPr>
        <w:t>广东粤湾施工图审查有限公司</w:t>
      </w: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审查人员业绩</w:t>
      </w:r>
    </w:p>
    <w:tbl>
      <w:tblPr>
        <w:tblStyle w:val="6"/>
        <w:tblW w:w="137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351"/>
        <w:gridCol w:w="3783"/>
        <w:gridCol w:w="1334"/>
        <w:gridCol w:w="6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名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完成年月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目  名  称（至少5项）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项目规模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对应规模的项目特征描述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周光华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广州军区装备部三期经济适用住房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地上32层，三栋塔楼及一层地下室，建筑面积5.5万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3848工程设计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规划设计面积1210亩，单体建筑近80个，建筑面积约19.3万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6015工程设计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规划设计面积630亩，单体建筑近60个，建筑面积约14.5万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广州军区司令部武汉老干部经济适用住房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地上32层，四栋塔楼及二层地下室，建筑面积6.7万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某团综合整治工程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规划设计面积1000亩，单体建筑近40个，建筑面积约12.3万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张朝利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2015.1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佛山市残疾人职业康复服务中心设计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单体建筑面积30002.44平方米，地上12层，地下2层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2017.5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蚌埠市怀远综合交通枢纽项目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单体建筑面积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24021平方米，建筑高度59.8米，地上面积22141平方米，地上15层，地下1层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lang w:val="en-US" w:eastAsia="zh-CN" w:bidi="ar-SA"/>
              </w:rPr>
              <w:t>2016.12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MicrosoftYaHei" w:hAnsi="MicrosoftYaHei" w:eastAsia="MicrosoftYaHei" w:cs="MicrosoftYaHe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鸿业·城市森林项目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lang w:val="en-US" w:eastAsia="zh-CN" w:bidi="ar-SA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lang w:val="en-US" w:eastAsia="zh-CN" w:bidi="ar-SA"/>
              </w:rPr>
              <w:t>单体建筑面积20034.66平方米,地下面积20034.66平方米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2016.2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合肥星泓金融创新城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单体建筑面积23769.51平方米，建筑高度5.2米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2020.5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太康县中医院新建工程（一期）设计病房门诊医技综合楼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单体建筑面积49950.36平方米，地下面积128507.45平方米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肖方毅（cx）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2005.11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富力盈隆广场（原名：珠江新城B2-2地块写字楼）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地下4层，地上42层，总高度166.8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，采用钢管砼柱框架一砼核心筒结构体系，总面积117240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杨箕村旧城改造项目商业、住宅楼（自编B1-B7)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3层地下室，地上1-3层商业，4层为架空层（转换层），5层以上住宅，共36-42层，总高度116.1-134.1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，总面积186874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富力新天地中心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4层地下室，地上1-4层商业，5层以上办公，共41层，总高度176.85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，总面积82821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富力新天地住宅楼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4层地下室，地上1-4层商业，5层架空层（转换层），6层以上住宅，共37层，总高度125.2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2005.11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广州丽思卡尔顿酒店项目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地下4层，地上42层，总高度158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，总面积102746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王云丹（cx）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南宁综合保税区商务中心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总建筑面积105300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，地上78365.11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，地下26934.9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，其中1#楼建筑面积57040.19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，建筑高度99.97米，地上25层，地下2层。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广钢AF040125地块项目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超高层，建筑高度128.95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，总建筑面积343591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，地上42层，地下3层。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柬埔寨威尼顿（集团）有限公司易地技术改造项目联合工房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厂房及仓库，总建筑面积43920.02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三亚财经国际论坛中心项目：酒店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超高层，建筑高度194.3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，总建筑面积133448.39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，地上46层， 地下2层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启德威尔登酒店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总建筑面积142396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，建筑高度78.2米，地上16层，地下2层。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沈渠锋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2009.11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惠州龙门温泉养生谷市政道路排水工程项目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排水管网管道管径DN1600毫米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广州从化泉天下度假村市政道路排水工程项目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排水管网管道管径DN1600毫米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广州花都金港城金谷工业园市政道路排水工程项目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排水管网管道管径DN2000毫米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惠东稔山范和港市政道路排水工程项目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排水管网管道管径DN1800毫米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海南富力海洋公园市政道路给水工程项目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给水管网管道管径DN1600毫米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白兰石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五岭国际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商住楼小区，33层，总建筑面积60万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海王福馨雅苑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高层商住楼，33层，总建筑面积13.5万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荣佳名城（一期）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商住楼小区，33层，总建筑面积58万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深圳武警支队安托山综合楼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公建，单体面积99784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武警深圳市支队办公区改建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公建，单体面积17万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崇仁.永胜城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商住楼小区，23层，总建筑面积39万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廖建平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华青天鹅国际酒店商务大厦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大型公共建筑，单体建筑，总建筑面积25462.8平方米，地下2层，地上15层，高56.3米。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柳州市儿童医院项目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大型公共建筑，总建筑面积147000平方米，投资2.4亿，其中住院医技综合楼地下2层，地上15层，高62.55米，建筑面积23810.5平方米。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南通高新区金缘花苑C区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大型住宅，36个单体，地下1层，总建筑面积340000平方米，其中地下室面积31018平方米。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萝岗广垦商务大厦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大型公共建筑，总建筑面积53214平方米，其中A1单体建筑面积为35753.6平方米，地上17层，高71.9米。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广州华南商贸职业学院钟落潭校区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大型公共建筑，多个单体，地下1层，地上最高10层，总建筑面积320000平方米，地下室面积16660平方米，单体学生宿舍建筑面积25082.11平方米。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广东财经大学广州校区第33栋学生宿舍项目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大型公共建筑，总建筑面积49252.8平方米。地下1层，地上19层，建筑高度60.9米，最大单体建筑面积34831.6平方米。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0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增城区监管场所迁建项目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大型公共建筑，多个单体，地下2层，地上最高5层，建筑高度21.6米，总建筑面积109603平方米，其中6#监区单体建筑面积为49458.81平方米。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0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陆雁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九龙综合医院建设项目勘察设计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公建，总建筑面积140739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,其中医技楼单体面积62490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,住院楼建筑高度78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，单体面积49313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，地下室面积61714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，总投资15.2626亿元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海珠区生态城复建安置房北山地块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住宅，建筑面积175075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，其中单栋住宅32层，建筑高度99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广州白云国际机场噪音治理项目安置区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住宅，建筑面积338307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，其中单栋住宅27层，高度83.9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广州国际生物岛标准产业单元四期配套工程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公建，总建筑面积182747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云润生物科技办公基地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公建，建筑面积 65326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韦庆南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柳州市儿童医院项目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三甲医院，一类高层，总建筑面积147514.4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，建筑高度62.55米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广东粤剧艺术中心演艺大楼项目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楼高8层，地下2层，高度为38.3米,总建筑面积21000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，主要功能为一座甲级小型剧场（800座）， 属一类高层公共建筑。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大塘商业中心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总建筑面积80578.0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，地下4层，地上11层，建筑高度为43.70米,其中地下室面积为39237.2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高明监狱“十二五”基础设施建设项目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工程等级为特级，总建筑面积为168562.17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，投资4.35亿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云浮市公安局“三所一中队”建设工程项目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工程等级为特级，投资2.35亿。总建筑面积40861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京东安徽电子商务产业园二期项目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物流仓库，本项目总占地面积142227.73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，总建筑面积152328.91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维龙广州空港怡和项目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总建筑面积83866.56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广州大光制药有限公司地块项目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总建筑面积63912.68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张和平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中国移动通信集团广东有限公司东莞松山湖基地-生产调度中心及附属楼工程基建配套建设工程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建筑面积：29979.08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；3-10层，一层地下室，总投资9225.23万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碧湖豪苑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建筑面积57113.32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，22层，地下1层，总投资8566.998万元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中国电子松山湖研发中心工程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建筑面积129422.622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，23层，地下2层，总投资14000万元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凤岗凤商酒店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建筑面积32967.6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，14层，总投资6593.52万元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骏宏广场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建筑面积73240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，18层，总投资14866万元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邱红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鞍山市千山区供热工程主干线施工图设计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城市供热一级网，最大管径DN1000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沈阳市辽中区集中供热工程西环.政府路主干线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城市供热一级网，最大管径DN1200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海城市主城区集中供热工程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城市供热一级网，最大管径DN1200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盘锦市兴隆台区供热工程设计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城市供热一级网，最大管径DN1000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铁东区热网系统项目工程设计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城市供热一级网，最大管径DN900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戴华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本溪市南芬热源厂锅炉房项目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热源厂，3×75t/h燃煤蒸汽锅炉，换热站3座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辽阳市宏伟区热源厂锅炉房项目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热源厂，4×75t/h燃煤蒸汽锅炉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本溪市平山区中供热锅炉房改建工程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热源厂，3×70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W热水锅炉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鞍钢炼铁总厂冲渣水余热利用项目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热力工程一级网DN1000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鞍钢能源管控中心发电机组低真空供暖项目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热力工程一级网DN1200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周广东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西青区生活垃圾填埋场工程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生活垃圾卫生填埋，517吨/日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兴化市生活垃圾处理工程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生活垃圾卫生填埋，850吨/日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邹城生活垃圾焚烧项目设计工程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生活垃圾处理工程，650吨/日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"http://egov.scjst.gov.cn/sj/ProjectBackUp/AddYJ.aspx?fid=1493d7c6-b424-4c9f-819e-339f20150ae5&amp;xh=31" \o "http://egov.scjst.gov.cn/sj/ProjectBackUp/AddYJ.aspx?fid=1493d7c6-b424-4c9f-819e-339f20150ae5&amp;xh=31" </w:instrTex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</w:rPr>
              <w:t>东丽区生活垃圾综合处理厂工程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生活垃圾卫生填埋，800吨/日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徐州市翠屏山垃圾卫生填埋工程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生活垃圾卫生填埋，500吨/日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宋敬玉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中国石油兰州石化分公司新建生活垃圾填埋项目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生活垃圾填埋处理量556吨/日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辽宁北票市生活垃圾卫生填埋二期工程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生活垃圾填埋处理580吨/日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吉林白山靖宇县生活垃圾卫生填埋工程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生活垃圾填埋处理600吨/日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延吉市生活垃圾填埋场工程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生活垃圾处理量800吨/日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绥中县生活垃圾填埋工程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生活垃圾填埋处理量650吨/日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马飞宁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2021.4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平禹煤电许昌天健热电公司7#备用垃圾焚烧建设项目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生活垃圾焚烧工程；400吨/日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河南许昌75T/H垃圾焚烧发电技术改造示范工程（二期）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生活垃圾焚烧工程；300吨/日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濮阳热电厂垃圾焚烧发电工程项目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生活垃圾焚烧工程；350吨/日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瑞安生活垃圾焚烧项目二期工程设计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生活垃圾焚烧工程；1600吨/日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2022.11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宝应县生活垃圾焚烧项目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生活垃圾焚烧工程；350吨/日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焦岩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湖南省长沙危险废物处置中心工程设计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危险废物处理处置，80吨/日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河北风华环保服务有限公司有机溶剂回收利用工程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危险废物处理处置，26吨/日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安徽佳先功能助剂股份有限公司危废焚炉项目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危险废物处理处置，20吨/天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桃林铅锌矿重金属废渣填埋场工程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危险废物处理处置，137吨/天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石家庄龙腾环保服务公司综合利用建设及危废处理扩建工程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危险废物处理处置,30吨/天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张上勇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石家庄其力再生资源综合利用有限公司城市生活垃圾焚烧处理工程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大型生活垃圾焚烧500吨/日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包头市城市生活垃圾综合处理工程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大型生活垃圾焚烧500吨/日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武汉市医疗废物集中处置中心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大型医疗废弃物处置15吨/日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武汉市江岸区生活垃圾焚烧工程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大型生活垃圾焚烧300吨/日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黄石市垃圾焚烧发电厂生活垃圾焚烧系统工程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大型生活垃圾焚烧500吨/日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吴淑红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锦州市第一污水处理厂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日处理10万吨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北京市定福庄污水处理厂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日处理10万吨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河南禹州自来水厂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日处理20万吨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乌海煤化工污水处理工程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日处理10万吨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冀中能源新晶焦化污水处理工程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日处理8万吨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韦惠民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滦平县生活垃圾无害化处理厂扩建工程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生活垃圾卫生处理，520吨/天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赵县生活垃圾处理工程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生活垃圾卫生填埋，510吨/天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大厂回族自治县垃圾填埋场新建工程（一期）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生活垃圾卫生填埋，550吨/天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徐水县生活垃圾分类处理工程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生活垃圾卫生填埋，600吨/天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罗定市第二生活垃圾填埋场项目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生活垃圾卫生填埋，500吨/天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温继红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电锌配套工程废水处理工程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冶炼工业废水处理厂，处理量2400吨/天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石街石北污水处理厂工程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9.7万立方米，工程总投资约6000万元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长沙县河南路城北污水厂工程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8.4万立方米，工程造价约5250万元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柳州市白沙污水处理厂工程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污水处理量10万立方米/日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柳城县村屯生活垃圾处理设施工程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垃圾处理量600吨/日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吴敬祖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抚州临川第二污水处理厂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污水处理量8万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³/日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新余坑口生活污水处理厂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污水处理量10万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³/日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章贡区第一生活污水处理厂扩建工程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污水处理量15万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³/日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安源区生活污水处理厂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污水处理量15万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³/日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泸溪县生活污水处理厂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污水处理量12万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³/日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YaHei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FF386E"/>
    <w:rsid w:val="2F975C20"/>
    <w:rsid w:val="366FC8B3"/>
    <w:rsid w:val="3E7D0BE4"/>
    <w:rsid w:val="3EA71BA2"/>
    <w:rsid w:val="3F761FA8"/>
    <w:rsid w:val="3FFEDC11"/>
    <w:rsid w:val="46FB4C62"/>
    <w:rsid w:val="4BFE9009"/>
    <w:rsid w:val="57ADD760"/>
    <w:rsid w:val="57FF4FFC"/>
    <w:rsid w:val="5B770C79"/>
    <w:rsid w:val="5F7D2FA8"/>
    <w:rsid w:val="5FDBFD89"/>
    <w:rsid w:val="66E72F60"/>
    <w:rsid w:val="6BC66FC8"/>
    <w:rsid w:val="6D7E0507"/>
    <w:rsid w:val="6FFE2457"/>
    <w:rsid w:val="73FFAF87"/>
    <w:rsid w:val="75BFBDFD"/>
    <w:rsid w:val="76FD60DD"/>
    <w:rsid w:val="77FCE833"/>
    <w:rsid w:val="78DD5DDA"/>
    <w:rsid w:val="7B774BDD"/>
    <w:rsid w:val="7BBE52D5"/>
    <w:rsid w:val="7BE62611"/>
    <w:rsid w:val="7F1FBF23"/>
    <w:rsid w:val="7F4EF6BB"/>
    <w:rsid w:val="7F6FB811"/>
    <w:rsid w:val="7F7F16D3"/>
    <w:rsid w:val="7FF9D71C"/>
    <w:rsid w:val="96A24EE5"/>
    <w:rsid w:val="9ABE4C9F"/>
    <w:rsid w:val="9D7C8A8A"/>
    <w:rsid w:val="9FFF6DA5"/>
    <w:rsid w:val="AFFD49B9"/>
    <w:rsid w:val="BEF6FD3E"/>
    <w:rsid w:val="BF8BD469"/>
    <w:rsid w:val="BFFB3D03"/>
    <w:rsid w:val="C7E7957F"/>
    <w:rsid w:val="CEFC960C"/>
    <w:rsid w:val="D36F96BC"/>
    <w:rsid w:val="D7DE82DB"/>
    <w:rsid w:val="DF5E1F01"/>
    <w:rsid w:val="DFD5D9B5"/>
    <w:rsid w:val="DFD9D750"/>
    <w:rsid w:val="E99F362B"/>
    <w:rsid w:val="E9FB2F63"/>
    <w:rsid w:val="EF8C9700"/>
    <w:rsid w:val="F3EFED2A"/>
    <w:rsid w:val="F47B339C"/>
    <w:rsid w:val="F4EFDCBB"/>
    <w:rsid w:val="F7AED0DE"/>
    <w:rsid w:val="FA5FC80B"/>
    <w:rsid w:val="FADD1A99"/>
    <w:rsid w:val="FAFDE65D"/>
    <w:rsid w:val="FBFD4AEF"/>
    <w:rsid w:val="FDEDE5E1"/>
    <w:rsid w:val="FEFE83A4"/>
    <w:rsid w:val="FF9E7413"/>
    <w:rsid w:val="FFD3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ind w:firstLine="200" w:firstLineChars="200"/>
    </w:pPr>
  </w:style>
  <w:style w:type="paragraph" w:styleId="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5">
    <w:name w:val="Balloon Text"/>
    <w:basedOn w:val="1"/>
    <w:semiHidden/>
    <w:qFormat/>
    <w:uiPriority w:val="99"/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5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  <w:style w:type="character" w:customStyle="1" w:styleId="14">
    <w:name w:val="font8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5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0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2023-09-26T00:17:00Z</dcterms:created>
  <dc:creator> 曾姿</dc:creator>
  <cp:lastModifiedBy> 曾姿</cp:lastModifiedBy>
  <cp:lastPrinted>2024-04-26T01:30:00Z</cp:lastPrinted>
  <dcterms:modified xsi:type="dcterms:W3CDTF">2024-09-25T09:25:54Z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