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0E63C">
      <w:pPr>
        <w:ind w:firstLine="420"/>
        <w:rPr>
          <w:sz w:val="28"/>
          <w:szCs w:val="28"/>
        </w:rPr>
      </w:pPr>
      <w:bookmarkStart w:id="0" w:name="_Toc337542810"/>
      <w:r>
        <w:rPr>
          <w:rFonts w:ascii="Times New Roman" w:hAnsi="Times New Roman" w:eastAsia="宋体" w:cs="Times New Roman"/>
          <w:lang w:bidi="ar"/>
        </w:rPr>
        <w:t xml:space="preserve">                                        </w:t>
      </w:r>
      <w:bookmarkEnd w:id="0"/>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359410</wp:posOffset>
                </wp:positionV>
                <wp:extent cx="5486400" cy="41910"/>
                <wp:effectExtent l="0" t="4445" r="0" b="14605"/>
                <wp:wrapNone/>
                <wp:docPr id="1" name="直线 3"/>
                <wp:cNvGraphicFramePr/>
                <a:graphic xmlns:a="http://schemas.openxmlformats.org/drawingml/2006/main">
                  <a:graphicData uri="http://schemas.microsoft.com/office/word/2010/wordprocessingShape">
                    <wps:wsp>
                      <wps:cNvCnPr/>
                      <wps:spPr>
                        <a:xfrm flipV="1">
                          <a:off x="0" y="0"/>
                          <a:ext cx="5486400" cy="419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flip:y;margin-left:2.05pt;margin-top:28.3pt;height:3.3pt;width:432pt;z-index:251659264;mso-width-relative:page;mso-height-relative:page;" filled="f" stroked="t" coordsize="21600,21600" o:gfxdata="UEsDBAoAAAAAAIdO4kAAAAAAAAAAAAAAAAAEAAAAZHJzL1BLAwQUAAAACACHTuJAy2xaSdQAAAAH&#10;AQAADwAAAGRycy9kb3ducmV2LnhtbE2Oy07DMBBF90j8gzVI7KidFKw0zaRCCNggIVECaycekgg/&#10;othNy99jVnR5H7r3VLuTNWyhOYzeIWQrAYxc5/XoeoTm/emmABaicloZ7wjhhwLs6suLSpXaH90b&#10;LfvYszTiQqkQhhinkvPQDWRVWPmJXMq+/GxVTHLuuZ7VMY1bw3MhJLdqdOlhUBM9DNR97w8W4f7z&#10;5XH9urTWG73pmw9tG/GcI15fZWILLNIp/pfhDz+hQ52YWn9wOjCDcJulIsKdlMBSXMgiGS2CXOfA&#10;64qf89e/UEsDBBQAAAAIAIdO4kDbXiMD6wEAAN0DAAAOAAAAZHJzL2Uyb0RvYy54bWytU0uOEzEQ&#10;3SNxB8t70klIRjOtdGYxYdggGInPvuJP2pJ/cnnSyVm4Bis2HGeuQdkdAgybLOhFq1yfV/Wey6vb&#10;g7NsrxKa4Ds+m0w5U14Eafyu458/3b+65gwzeAk2eNXxo0J+u375YjXEVs1DH6xUiRGIx3aIHe9z&#10;jm3ToOiVA5yEqDwFdUgOMh3TrpEJBkJ3tplPp1fNEJKMKQiFSN7NGOQnxHQJYNDaCLUJ4tEpn0fU&#10;pCxkooS9icjXdVqtlcgftEaVme04Mc31T03I3pZ/s15Bu0sQeyNOI8AlIzzj5MB4anqG2kAG9pjM&#10;P1DOiBQw6DwRwTUjkaoIsZhNn2nzsYeoKheSGuNZdPx/sOL9/iExI2kTOPPg6MKfvn57+v6DvS7a&#10;DBFbSrnzD+l0wviQCtGDTo5pa+KXUlo8RIYdqrLHs7LqkJkg53JxfbWYkuiCYovZzawq34wwpTgm&#10;zG9VcKwYHbfGF+LQwv4dZmpNqb9Sitt6NnT8ZjlfEiTQFmq6fTJdJCbod7UWgzXy3lhbKjDttnc2&#10;sT2UTahfIUi4f6WVJhvAfsyroXFHegXyjZcsHyNp5Olp8DKCU5Izq+glFYsAoc1g7CWZ1Np6mqBo&#10;PKparG2Qxyp29dOt1xlPG1rW6s9zrf79Kt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tsWknU&#10;AAAABwEAAA8AAAAAAAAAAQAgAAAAIgAAAGRycy9kb3ducmV2LnhtbFBLAQIUABQAAAAIAIdO4kDb&#10;XiMD6wEAAN0DAAAOAAAAAAAAAAEAIAAAACMBAABkcnMvZTJvRG9jLnhtbFBLBQYAAAAABgAGAFkB&#10;AACABQAAAAA=&#10;">
                <v:fill on="f" focussize="0,0"/>
                <v:stroke color="#000000" joinstyle="round"/>
                <v:imagedata o:title=""/>
                <o:lock v:ext="edit" aspectratio="f"/>
              </v:line>
            </w:pict>
          </mc:Fallback>
        </mc:AlternateContent>
      </w:r>
      <w:r>
        <w:rPr>
          <w:rFonts w:ascii="Times New Roman" w:hAnsi="Times New Roman" w:eastAsia="宋体" w:cs="Times New Roman"/>
          <w:sz w:val="28"/>
          <w:szCs w:val="28"/>
          <w:lang w:bidi="ar"/>
        </w:rPr>
        <w:t xml:space="preserve">                                        </w:t>
      </w:r>
    </w:p>
    <w:p w14:paraId="748D5C0B">
      <w:pPr>
        <w:ind w:firstLine="964"/>
        <w:jc w:val="center"/>
        <w:rPr>
          <w:rFonts w:hint="eastAsia" w:ascii="宋体" w:hAnsi="宋体" w:eastAsia="宋体" w:cs="宋体"/>
          <w:b/>
          <w:sz w:val="48"/>
          <w:szCs w:val="48"/>
        </w:rPr>
      </w:pPr>
    </w:p>
    <w:p w14:paraId="6E110070">
      <w:pPr>
        <w:ind w:firstLine="964"/>
        <w:jc w:val="center"/>
        <w:outlineLvl w:val="0"/>
        <w:rPr>
          <w:rFonts w:hint="eastAsia" w:ascii="宋体" w:hAnsi="宋体" w:eastAsia="宋体" w:cs="宋体"/>
          <w:b/>
          <w:sz w:val="48"/>
          <w:szCs w:val="48"/>
        </w:rPr>
      </w:pPr>
      <w:bookmarkStart w:id="1" w:name="_Toc375640674"/>
    </w:p>
    <w:bookmarkEnd w:id="1"/>
    <w:p w14:paraId="1D4ABF00">
      <w:pPr>
        <w:ind w:firstLine="482" w:firstLineChars="100"/>
        <w:jc w:val="center"/>
        <w:rPr>
          <w:rFonts w:hint="eastAsia" w:ascii="宋体" w:hAnsi="宋体" w:eastAsia="宋体" w:cs="宋体"/>
          <w:b/>
          <w:sz w:val="48"/>
          <w:szCs w:val="48"/>
        </w:rPr>
      </w:pPr>
      <w:bookmarkStart w:id="2" w:name="_Toc375640675"/>
      <w:bookmarkStart w:id="3" w:name="_Hlk174624656"/>
      <w:r>
        <w:rPr>
          <w:rFonts w:hint="eastAsia" w:ascii="宋体" w:hAnsi="宋体" w:eastAsia="宋体" w:cs="宋体"/>
          <w:b/>
          <w:sz w:val="48"/>
          <w:szCs w:val="48"/>
          <w:lang w:bidi="ar"/>
        </w:rPr>
        <w:t>广东省新型建筑工业化项目评价指南</w:t>
      </w:r>
      <w:bookmarkEnd w:id="2"/>
    </w:p>
    <w:bookmarkEnd w:id="3"/>
    <w:p w14:paraId="578E35A5">
      <w:pPr>
        <w:ind w:firstLine="723"/>
        <w:jc w:val="center"/>
        <w:rPr>
          <w:rFonts w:hint="eastAsia" w:ascii="宋体" w:hAnsi="宋体" w:eastAsia="宋体" w:cs="宋体"/>
          <w:b/>
          <w:sz w:val="36"/>
          <w:szCs w:val="36"/>
          <w:lang w:bidi="ar"/>
        </w:rPr>
      </w:pPr>
      <w:r>
        <w:rPr>
          <w:rFonts w:hint="eastAsia" w:ascii="宋体" w:hAnsi="宋体" w:eastAsia="宋体" w:cs="宋体"/>
          <w:b/>
          <w:sz w:val="36"/>
          <w:szCs w:val="36"/>
          <w:lang w:bidi="ar"/>
        </w:rPr>
        <w:t>（公开征求意见稿）</w:t>
      </w:r>
    </w:p>
    <w:p w14:paraId="08779DFA">
      <w:pPr>
        <w:jc w:val="center"/>
        <w:rPr>
          <w:rFonts w:hint="eastAsia" w:ascii="宋体" w:hAnsi="宋体" w:eastAsia="宋体" w:cs="宋体"/>
          <w:b/>
          <w:sz w:val="36"/>
          <w:szCs w:val="36"/>
        </w:rPr>
      </w:pPr>
      <w:r>
        <w:rPr>
          <w:rFonts w:hint="eastAsia" w:ascii="宋体" w:hAnsi="宋体" w:eastAsia="宋体" w:cs="宋体"/>
          <w:b/>
          <w:sz w:val="36"/>
          <w:szCs w:val="36"/>
          <w:lang w:bidi="ar"/>
        </w:rPr>
        <w:t>（20240821稿V1）</w:t>
      </w:r>
    </w:p>
    <w:p w14:paraId="05ACE232">
      <w:pPr>
        <w:ind w:firstLine="420"/>
      </w:pPr>
    </w:p>
    <w:p w14:paraId="28135056">
      <w:pPr>
        <w:spacing w:line="360" w:lineRule="auto"/>
        <w:ind w:firstLine="643"/>
        <w:contextualSpacing/>
        <w:jc w:val="center"/>
        <w:rPr>
          <w:b/>
          <w:color w:val="000000"/>
          <w:sz w:val="30"/>
          <w:szCs w:val="30"/>
        </w:rPr>
      </w:pPr>
      <w:r>
        <w:rPr>
          <w:rFonts w:ascii="Times New Roman" w:hAnsi="Times New Roman" w:eastAsia="宋体" w:cs="Times New Roman"/>
          <w:b/>
          <w:bCs/>
          <w:sz w:val="32"/>
          <w:szCs w:val="30"/>
        </w:rPr>
        <w:t>Guidelines</w:t>
      </w:r>
      <w:r>
        <w:rPr>
          <w:rFonts w:ascii="Times New Roman" w:hAnsi="Times New Roman" w:eastAsia="宋体" w:cs="Times New Roman"/>
          <w:b/>
          <w:sz w:val="28"/>
          <w:szCs w:val="28"/>
          <w:lang w:bidi="ar"/>
        </w:rPr>
        <w:t xml:space="preserve"> for the evaluation of new building industrialization projects</w:t>
      </w:r>
    </w:p>
    <w:p w14:paraId="3EE0F758">
      <w:pPr>
        <w:ind w:firstLine="600"/>
        <w:jc w:val="center"/>
        <w:rPr>
          <w:bCs/>
          <w:color w:val="000000"/>
          <w:sz w:val="30"/>
          <w:szCs w:val="30"/>
        </w:rPr>
      </w:pPr>
    </w:p>
    <w:p w14:paraId="41CB3FE8">
      <w:pPr>
        <w:ind w:firstLine="600"/>
        <w:jc w:val="center"/>
        <w:rPr>
          <w:bCs/>
          <w:color w:val="000000"/>
          <w:sz w:val="30"/>
          <w:szCs w:val="30"/>
        </w:rPr>
      </w:pPr>
    </w:p>
    <w:p w14:paraId="12109A6B">
      <w:pPr>
        <w:ind w:firstLine="420"/>
      </w:pPr>
    </w:p>
    <w:p w14:paraId="2200AB6D">
      <w:pPr>
        <w:ind w:firstLine="420"/>
      </w:pPr>
    </w:p>
    <w:p w14:paraId="0EBD430D">
      <w:pPr>
        <w:ind w:firstLine="420"/>
      </w:pPr>
    </w:p>
    <w:p w14:paraId="0DC20405">
      <w:pPr>
        <w:ind w:firstLine="420"/>
      </w:pPr>
    </w:p>
    <w:p w14:paraId="6720F36E">
      <w:pPr>
        <w:ind w:firstLine="420"/>
      </w:pPr>
    </w:p>
    <w:p w14:paraId="3E2630BF">
      <w:pPr>
        <w:ind w:firstLine="482" w:firstLineChars="150"/>
        <w:rPr>
          <w:rFonts w:eastAsia="黑体"/>
          <w:sz w:val="28"/>
          <w:szCs w:val="28"/>
        </w:rPr>
      </w:pPr>
      <w:r>
        <w:rPr>
          <w:rFonts w:ascii="Times New Roman" w:hAnsi="Times New Roman" w:eastAsia="宋体" w:cs="Times New Roman"/>
          <w:b/>
          <w:bCs/>
          <w:sz w:val="32"/>
          <w:lang w:bidi="ar"/>
        </w:rPr>
        <w:t xml:space="preserve">  </w:t>
      </w:r>
      <w:r>
        <w:rPr>
          <w:rFonts w:ascii="Times New Roman" w:hAnsi="Times New Roman" w:eastAsia="黑体" w:cs="Times New Roman"/>
          <w:sz w:val="28"/>
          <w:szCs w:val="28"/>
          <w:lang w:bidi="ar"/>
        </w:rPr>
        <w:t xml:space="preserve">             </w:t>
      </w:r>
    </w:p>
    <w:p w14:paraId="5A28F177">
      <w:pPr>
        <w:ind w:firstLine="720"/>
        <w:jc w:val="center"/>
        <w:rPr>
          <w:rFonts w:eastAsia="黑体"/>
          <w:spacing w:val="20"/>
          <w:sz w:val="32"/>
          <w:szCs w:val="32"/>
        </w:rPr>
      </w:pPr>
    </w:p>
    <w:p w14:paraId="6FC45984">
      <w:pPr>
        <w:ind w:firstLine="560"/>
        <w:jc w:val="right"/>
        <w:rPr>
          <w:rFonts w:hint="eastAsia" w:ascii="仿宋_GB2312" w:hAnsi="仿宋_GB2312" w:eastAsia="仿宋_GB2312" w:cs="仿宋_GB2312"/>
          <w:spacing w:val="20"/>
          <w:sz w:val="24"/>
          <w:lang w:bidi="ar"/>
        </w:rPr>
      </w:pPr>
    </w:p>
    <w:p w14:paraId="5AAAFD62">
      <w:pPr>
        <w:ind w:firstLine="560"/>
        <w:jc w:val="right"/>
        <w:rPr>
          <w:rFonts w:hint="eastAsia" w:ascii="仿宋_GB2312" w:hAnsi="仿宋_GB2312" w:eastAsia="仿宋_GB2312" w:cs="仿宋_GB2312"/>
          <w:spacing w:val="20"/>
          <w:sz w:val="24"/>
          <w:lang w:bidi="ar"/>
        </w:rPr>
      </w:pPr>
    </w:p>
    <w:p w14:paraId="6CC7901C">
      <w:pPr>
        <w:ind w:firstLine="560"/>
        <w:jc w:val="right"/>
        <w:rPr>
          <w:rFonts w:hint="eastAsia" w:ascii="仿宋_GB2312" w:hAnsi="仿宋_GB2312" w:eastAsia="仿宋_GB2312" w:cs="仿宋_GB2312"/>
          <w:spacing w:val="20"/>
          <w:sz w:val="24"/>
          <w:lang w:bidi="ar"/>
        </w:rPr>
      </w:pPr>
    </w:p>
    <w:p w14:paraId="3EF07783">
      <w:pPr>
        <w:ind w:firstLine="560"/>
        <w:jc w:val="right"/>
        <w:rPr>
          <w:rFonts w:hint="eastAsia" w:ascii="仿宋_GB2312" w:hAnsi="仿宋_GB2312" w:eastAsia="仿宋_GB2312" w:cs="仿宋_GB2312"/>
          <w:spacing w:val="20"/>
          <w:sz w:val="24"/>
          <w:lang w:bidi="ar"/>
        </w:rPr>
      </w:pPr>
    </w:p>
    <w:p w14:paraId="2A25A173">
      <w:pPr>
        <w:ind w:firstLine="560"/>
        <w:jc w:val="right"/>
        <w:rPr>
          <w:rFonts w:hint="eastAsia" w:ascii="仿宋_GB2312" w:hAnsi="仿宋_GB2312" w:eastAsia="仿宋_GB2312" w:cs="仿宋_GB2312"/>
          <w:spacing w:val="20"/>
          <w:sz w:val="24"/>
          <w:lang w:bidi="ar"/>
        </w:rPr>
      </w:pPr>
    </w:p>
    <w:p w14:paraId="00AF8FD9">
      <w:pPr>
        <w:ind w:firstLine="560"/>
        <w:jc w:val="right"/>
        <w:rPr>
          <w:rFonts w:hint="eastAsia" w:ascii="仿宋_GB2312" w:hAnsi="仿宋_GB2312" w:eastAsia="仿宋_GB2312" w:cs="仿宋_GB2312"/>
          <w:spacing w:val="20"/>
          <w:sz w:val="24"/>
          <w:lang w:bidi="ar"/>
        </w:rPr>
      </w:pPr>
    </w:p>
    <w:p w14:paraId="6A2E2DDA">
      <w:pPr>
        <w:ind w:firstLine="560"/>
        <w:jc w:val="right"/>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lang w:bidi="ar"/>
        </w:rPr>
        <w:t>本评价指南不涉及专利</w:t>
      </w:r>
    </w:p>
    <w:p w14:paraId="71206B50">
      <w:pPr>
        <w:ind w:firstLine="640"/>
        <w:rPr>
          <w:rFonts w:hint="eastAsia" w:ascii="仿宋_GB2312" w:hAnsi="仿宋_GB2312" w:eastAsia="仿宋_GB2312" w:cs="仿宋_GB2312"/>
          <w:sz w:val="32"/>
          <w:szCs w:val="32"/>
          <w:lang w:bidi="ar"/>
        </w:rPr>
        <w:sectPr>
          <w:footerReference r:id="rId3" w:type="default"/>
          <w:pgSz w:w="11906" w:h="16838"/>
          <w:pgMar w:top="1440" w:right="1457" w:bottom="1117" w:left="1457" w:header="851" w:footer="992" w:gutter="0"/>
          <w:cols w:space="425" w:num="1"/>
          <w:docGrid w:type="lines" w:linePitch="312" w:charSpace="0"/>
        </w:sectPr>
      </w:pPr>
    </w:p>
    <w:p w14:paraId="410D57BC">
      <w:pPr>
        <w:autoSpaceDE w:val="0"/>
        <w:spacing w:line="360" w:lineRule="auto"/>
        <w:ind w:firstLine="643"/>
        <w:contextualSpacing/>
        <w:jc w:val="center"/>
        <w:rPr>
          <w:rFonts w:hint="eastAsia" w:ascii="黑体" w:hAnsi="黑体" w:eastAsia="黑体" w:cs="Times New Roman"/>
          <w:bCs/>
          <w:kern w:val="44"/>
          <w:sz w:val="32"/>
          <w:szCs w:val="32"/>
        </w:rPr>
      </w:pPr>
      <w:bookmarkStart w:id="4" w:name="_Toc29322151"/>
      <w:bookmarkStart w:id="5" w:name="_Toc27780141"/>
      <w:bookmarkStart w:id="6" w:name="_Toc340"/>
      <w:bookmarkStart w:id="7" w:name="_Toc21786"/>
      <w:bookmarkStart w:id="8" w:name="_Toc27779923"/>
      <w:bookmarkStart w:id="9" w:name="_Toc6273"/>
      <w:bookmarkStart w:id="10" w:name="_Toc27780024"/>
      <w:bookmarkStart w:id="11" w:name="_Toc14762"/>
      <w:bookmarkStart w:id="12" w:name="_Toc24558"/>
      <w:bookmarkStart w:id="13" w:name="_Toc14510"/>
      <w:bookmarkStart w:id="14" w:name="_Toc27666591"/>
      <w:bookmarkStart w:id="15" w:name="_Toc22843"/>
      <w:bookmarkStart w:id="16" w:name="_Toc21360"/>
      <w:bookmarkStart w:id="17" w:name="_Toc18816"/>
      <w:bookmarkStart w:id="18" w:name="_Toc10516"/>
      <w:bookmarkStart w:id="19" w:name="_Toc29167"/>
      <w:bookmarkStart w:id="20" w:name="_Toc10865"/>
      <w:bookmarkStart w:id="21" w:name="_Toc31411"/>
      <w:bookmarkStart w:id="22" w:name="_Toc3632"/>
      <w:bookmarkStart w:id="23" w:name="_Toc7140"/>
      <w:bookmarkStart w:id="24" w:name="_Toc24270"/>
      <w:bookmarkStart w:id="25" w:name="_Toc22709"/>
      <w:bookmarkStart w:id="26" w:name="_Toc1925"/>
      <w:r>
        <w:rPr>
          <w:rFonts w:ascii="黑体" w:hAnsi="黑体" w:eastAsia="黑体" w:cs="Times New Roman"/>
          <w:b/>
          <w:kern w:val="44"/>
          <w:sz w:val="32"/>
          <w:szCs w:val="32"/>
        </w:rPr>
        <w:t>前　</w:t>
      </w:r>
      <w:r>
        <w:rPr>
          <w:rFonts w:hint="eastAsia" w:ascii="黑体" w:hAnsi="黑体" w:eastAsia="黑体" w:cs="Times New Roman"/>
          <w:b/>
          <w:kern w:val="44"/>
          <w:sz w:val="32"/>
          <w:szCs w:val="32"/>
        </w:rPr>
        <w:t>　</w:t>
      </w:r>
      <w:r>
        <w:rPr>
          <w:rFonts w:ascii="黑体" w:hAnsi="黑体" w:eastAsia="黑体" w:cs="Times New Roman"/>
          <w:b/>
          <w:kern w:val="44"/>
          <w:sz w:val="32"/>
          <w:szCs w:val="32"/>
        </w:rPr>
        <w:t>言</w:t>
      </w:r>
      <w:bookmarkEnd w:id="4"/>
      <w:bookmarkEnd w:id="5"/>
      <w:bookmarkEnd w:id="6"/>
      <w:bookmarkEnd w:id="7"/>
      <w:bookmarkEnd w:id="8"/>
      <w:bookmarkEnd w:id="9"/>
      <w:bookmarkEnd w:id="10"/>
      <w:bookmarkEnd w:id="11"/>
      <w:bookmarkEnd w:id="12"/>
      <w:bookmarkEnd w:id="13"/>
      <w:bookmarkEnd w:id="14"/>
    </w:p>
    <w:bookmarkEnd w:id="15"/>
    <w:bookmarkEnd w:id="16"/>
    <w:bookmarkEnd w:id="17"/>
    <w:bookmarkEnd w:id="18"/>
    <w:bookmarkEnd w:id="19"/>
    <w:bookmarkEnd w:id="20"/>
    <w:bookmarkEnd w:id="21"/>
    <w:bookmarkEnd w:id="22"/>
    <w:bookmarkEnd w:id="23"/>
    <w:bookmarkEnd w:id="24"/>
    <w:bookmarkEnd w:id="25"/>
    <w:bookmarkEnd w:id="26"/>
    <w:p w14:paraId="52E13F40">
      <w:pPr>
        <w:pStyle w:val="24"/>
        <w:widowControl/>
        <w:ind w:firstLine="420"/>
        <w:rPr>
          <w:rFonts w:hint="eastAsia" w:ascii="宋体" w:hAnsi="宋体"/>
          <w:sz w:val="21"/>
          <w:szCs w:val="21"/>
        </w:rPr>
      </w:pPr>
      <w:r>
        <w:rPr>
          <w:rFonts w:hint="eastAsia" w:ascii="宋体" w:hAnsi="宋体" w:cs="宋体"/>
          <w:sz w:val="21"/>
          <w:szCs w:val="21"/>
        </w:rPr>
        <w:t>为贯彻落实《住房和城乡建设部等部门关于加快新型建筑工业化发展的若干意见》（建标规〔</w:t>
      </w:r>
      <w:r>
        <w:rPr>
          <w:rFonts w:ascii="宋体" w:hAnsi="宋体"/>
          <w:sz w:val="21"/>
          <w:szCs w:val="21"/>
        </w:rPr>
        <w:t>2020</w:t>
      </w:r>
      <w:r>
        <w:rPr>
          <w:rFonts w:hint="eastAsia" w:ascii="宋体" w:hAnsi="宋体" w:cs="宋体"/>
          <w:sz w:val="21"/>
          <w:szCs w:val="21"/>
        </w:rPr>
        <w:t>〕</w:t>
      </w:r>
      <w:r>
        <w:rPr>
          <w:rFonts w:ascii="宋体" w:hAnsi="宋体"/>
          <w:sz w:val="21"/>
          <w:szCs w:val="21"/>
        </w:rPr>
        <w:t>8</w:t>
      </w:r>
      <w:r>
        <w:rPr>
          <w:rFonts w:hint="eastAsia" w:ascii="宋体" w:hAnsi="宋体" w:cs="宋体"/>
          <w:sz w:val="21"/>
          <w:szCs w:val="21"/>
        </w:rPr>
        <w:t>号），《广东省住房和城乡建设厅等部门关于加快新型建筑工业化发展的实施意见》粤建科〔</w:t>
      </w:r>
      <w:r>
        <w:rPr>
          <w:rFonts w:ascii="宋体" w:hAnsi="宋体"/>
          <w:sz w:val="21"/>
          <w:szCs w:val="21"/>
        </w:rPr>
        <w:t>2020</w:t>
      </w:r>
      <w:r>
        <w:rPr>
          <w:rFonts w:hint="eastAsia" w:ascii="宋体" w:hAnsi="宋体" w:cs="宋体"/>
          <w:sz w:val="21"/>
          <w:szCs w:val="21"/>
        </w:rPr>
        <w:t>〕99号，指导我省新型建筑工业化项目评价，推动新型建筑工业化发展，广东省建设工程绿色与装配式发展协会会同有关单位，结合广东省的实际情况，广泛调查研究国内有关省市新型建筑工业化项目评价做法，认真总结广东新型建筑工业化项目实践经验，在广泛征求意见、反复讨论和修改的基础上，形成本评价指南。</w:t>
      </w:r>
    </w:p>
    <w:p w14:paraId="26445703">
      <w:pPr>
        <w:spacing w:line="360" w:lineRule="auto"/>
        <w:ind w:firstLine="420" w:firstLineChars="200"/>
        <w:rPr>
          <w:rFonts w:hint="eastAsia" w:ascii="宋体" w:hAnsi="宋体" w:eastAsia="宋体"/>
          <w:szCs w:val="21"/>
        </w:rPr>
      </w:pPr>
      <w:bookmarkStart w:id="27" w:name="_Hlk16003306"/>
      <w:r>
        <w:rPr>
          <w:rFonts w:hint="eastAsia" w:ascii="宋体" w:hAnsi="宋体" w:eastAsia="宋体" w:cs="宋体"/>
          <w:szCs w:val="21"/>
          <w:lang w:bidi="ar"/>
        </w:rPr>
        <w:t>本评价指南内容不涉及任何专利。</w:t>
      </w:r>
    </w:p>
    <w:bookmarkEnd w:id="27"/>
    <w:p w14:paraId="26CAE2F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本评价指南共分</w:t>
      </w:r>
      <w:r>
        <w:rPr>
          <w:rFonts w:ascii="宋体" w:hAnsi="宋体" w:eastAsia="宋体" w:cs="Times New Roman"/>
          <w:color w:val="000000" w:themeColor="text1"/>
          <w:szCs w:val="21"/>
          <w:lang w:bidi="ar"/>
          <w14:textFill>
            <w14:solidFill>
              <w14:schemeClr w14:val="tx1"/>
            </w14:solidFill>
          </w14:textFill>
        </w:rPr>
        <w:t>5</w:t>
      </w:r>
      <w:r>
        <w:rPr>
          <w:rFonts w:hint="eastAsia" w:ascii="宋体" w:hAnsi="宋体" w:eastAsia="宋体" w:cs="宋体"/>
          <w:color w:val="000000" w:themeColor="text1"/>
          <w:szCs w:val="21"/>
          <w:lang w:bidi="ar"/>
          <w14:textFill>
            <w14:solidFill>
              <w14:schemeClr w14:val="tx1"/>
            </w14:solidFill>
          </w14:textFill>
        </w:rPr>
        <w:t>章。主要内容包括：</w:t>
      </w:r>
      <w:r>
        <w:rPr>
          <w:rFonts w:ascii="宋体" w:hAnsi="宋体" w:eastAsia="宋体" w:cs="Times New Roman"/>
          <w:color w:val="000000" w:themeColor="text1"/>
          <w:szCs w:val="21"/>
          <w:lang w:bidi="ar"/>
          <w14:textFill>
            <w14:solidFill>
              <w14:schemeClr w14:val="tx1"/>
            </w14:solidFill>
          </w14:textFill>
        </w:rPr>
        <w:t>1</w:t>
      </w:r>
      <w:r>
        <w:rPr>
          <w:rFonts w:hint="eastAsia" w:ascii="宋体" w:hAnsi="宋体" w:eastAsia="宋体" w:cs="宋体"/>
          <w:color w:val="000000" w:themeColor="text1"/>
          <w:szCs w:val="21"/>
          <w:lang w:bidi="ar"/>
          <w14:textFill>
            <w14:solidFill>
              <w14:schemeClr w14:val="tx1"/>
            </w14:solidFill>
          </w14:textFill>
        </w:rPr>
        <w:t>总则；</w:t>
      </w:r>
      <w:r>
        <w:rPr>
          <w:rFonts w:ascii="宋体" w:hAnsi="宋体" w:eastAsia="宋体" w:cs="Times New Roman"/>
          <w:color w:val="000000" w:themeColor="text1"/>
          <w:szCs w:val="21"/>
          <w:lang w:bidi="ar"/>
          <w14:textFill>
            <w14:solidFill>
              <w14:schemeClr w14:val="tx1"/>
            </w14:solidFill>
          </w14:textFill>
        </w:rPr>
        <w:t>2</w:t>
      </w:r>
      <w:r>
        <w:rPr>
          <w:rFonts w:hint="eastAsia" w:ascii="宋体" w:hAnsi="宋体" w:eastAsia="宋体" w:cs="宋体"/>
          <w:color w:val="000000" w:themeColor="text1"/>
          <w:szCs w:val="21"/>
          <w:lang w:bidi="ar"/>
          <w14:textFill>
            <w14:solidFill>
              <w14:schemeClr w14:val="tx1"/>
            </w14:solidFill>
          </w14:textFill>
        </w:rPr>
        <w:t>术语；</w:t>
      </w:r>
      <w:r>
        <w:rPr>
          <w:rFonts w:ascii="宋体" w:hAnsi="宋体" w:eastAsia="宋体" w:cs="Times New Roman"/>
          <w:color w:val="000000" w:themeColor="text1"/>
          <w:szCs w:val="21"/>
          <w:lang w:bidi="ar"/>
          <w14:textFill>
            <w14:solidFill>
              <w14:schemeClr w14:val="tx1"/>
            </w14:solidFill>
          </w14:textFill>
        </w:rPr>
        <w:t>3</w:t>
      </w:r>
      <w:r>
        <w:rPr>
          <w:rFonts w:hint="eastAsia" w:ascii="宋体" w:hAnsi="宋体" w:eastAsia="宋体" w:cs="宋体"/>
          <w:color w:val="000000" w:themeColor="text1"/>
          <w:szCs w:val="21"/>
          <w:lang w:bidi="ar"/>
          <w14:textFill>
            <w14:solidFill>
              <w14:schemeClr w14:val="tx1"/>
            </w14:solidFill>
          </w14:textFill>
        </w:rPr>
        <w:t>基本规定；</w:t>
      </w:r>
      <w:r>
        <w:rPr>
          <w:rFonts w:ascii="宋体" w:hAnsi="宋体" w:eastAsia="宋体" w:cs="Times New Roman"/>
          <w:color w:val="000000" w:themeColor="text1"/>
          <w:szCs w:val="21"/>
          <w:lang w:bidi="ar"/>
          <w14:textFill>
            <w14:solidFill>
              <w14:schemeClr w14:val="tx1"/>
            </w14:solidFill>
          </w14:textFill>
        </w:rPr>
        <w:t>4建筑项目</w:t>
      </w:r>
      <w:r>
        <w:rPr>
          <w:rFonts w:hint="eastAsia" w:ascii="宋体" w:hAnsi="宋体" w:eastAsia="宋体" w:cs="宋体"/>
          <w:color w:val="000000" w:themeColor="text1"/>
          <w:szCs w:val="21"/>
          <w:lang w:bidi="ar"/>
          <w14:textFill>
            <w14:solidFill>
              <w14:schemeClr w14:val="tx1"/>
            </w14:solidFill>
          </w14:textFill>
        </w:rPr>
        <w:t>工业化率计算；</w:t>
      </w:r>
      <w:r>
        <w:rPr>
          <w:rFonts w:ascii="宋体" w:hAnsi="宋体" w:eastAsia="宋体" w:cs="Times New Roman"/>
          <w:color w:val="000000" w:themeColor="text1"/>
          <w:szCs w:val="21"/>
          <w:lang w:bidi="ar"/>
          <w14:textFill>
            <w14:solidFill>
              <w14:schemeClr w14:val="tx1"/>
            </w14:solidFill>
          </w14:textFill>
        </w:rPr>
        <w:t>5</w:t>
      </w:r>
      <w:r>
        <w:rPr>
          <w:rFonts w:hint="eastAsia" w:ascii="宋体" w:hAnsi="宋体" w:eastAsia="宋体" w:cs="宋体"/>
          <w:color w:val="000000" w:themeColor="text1"/>
          <w:szCs w:val="21"/>
          <w:lang w:bidi="ar"/>
          <w14:textFill>
            <w14:solidFill>
              <w14:schemeClr w14:val="tx1"/>
            </w14:solidFill>
          </w14:textFill>
        </w:rPr>
        <w:t>评价等级划分。</w:t>
      </w:r>
    </w:p>
    <w:p w14:paraId="5072AFAB">
      <w:pPr>
        <w:spacing w:line="360" w:lineRule="auto"/>
        <w:ind w:firstLine="420" w:firstLineChars="200"/>
        <w:rPr>
          <w:rFonts w:hint="eastAsia" w:ascii="宋体" w:hAnsi="宋体" w:eastAsia="宋体"/>
          <w:szCs w:val="21"/>
        </w:rPr>
      </w:pPr>
      <w:r>
        <w:rPr>
          <w:rFonts w:hint="eastAsia" w:ascii="宋体" w:hAnsi="宋体" w:eastAsia="宋体" w:cs="宋体"/>
          <w:szCs w:val="21"/>
          <w:lang w:bidi="ar"/>
        </w:rPr>
        <w:t>本评价指南由广东省住房和城乡建设厅负责管理，由主编单位负责技术内容的解释。在执行过程中如有需要修改或补充之处，请将意见或有关资料寄送广东省建设工程绿色与装配式发展协会（地址：广东省广州市天河区先烈东路</w:t>
      </w:r>
      <w:r>
        <w:rPr>
          <w:rFonts w:ascii="宋体" w:hAnsi="宋体" w:eastAsia="宋体" w:cs="Times New Roman"/>
          <w:szCs w:val="21"/>
          <w:lang w:bidi="ar"/>
        </w:rPr>
        <w:t>190</w:t>
      </w:r>
      <w:r>
        <w:rPr>
          <w:rFonts w:hint="eastAsia" w:ascii="宋体" w:hAnsi="宋体" w:eastAsia="宋体" w:cs="宋体"/>
          <w:szCs w:val="21"/>
          <w:lang w:bidi="ar"/>
        </w:rPr>
        <w:t>号粤海凯旋大厦</w:t>
      </w:r>
      <w:r>
        <w:rPr>
          <w:rFonts w:ascii="宋体" w:hAnsi="宋体" w:eastAsia="宋体" w:cs="Times New Roman"/>
          <w:szCs w:val="21"/>
          <w:lang w:bidi="ar"/>
        </w:rPr>
        <w:t>9</w:t>
      </w:r>
      <w:r>
        <w:rPr>
          <w:rFonts w:hint="eastAsia" w:ascii="宋体" w:hAnsi="宋体" w:eastAsia="宋体" w:cs="宋体"/>
          <w:szCs w:val="21"/>
          <w:lang w:bidi="ar"/>
        </w:rPr>
        <w:t>楼</w:t>
      </w:r>
      <w:r>
        <w:rPr>
          <w:rFonts w:ascii="宋体" w:hAnsi="宋体" w:eastAsia="宋体" w:cs="Times New Roman"/>
          <w:szCs w:val="21"/>
          <w:lang w:bidi="ar"/>
        </w:rPr>
        <w:t>918</w:t>
      </w:r>
      <w:r>
        <w:rPr>
          <w:rFonts w:hint="eastAsia" w:ascii="宋体" w:hAnsi="宋体" w:eastAsia="宋体" w:cs="宋体"/>
          <w:szCs w:val="21"/>
          <w:lang w:bidi="ar"/>
        </w:rPr>
        <w:t>室；邮编：</w:t>
      </w:r>
      <w:r>
        <w:rPr>
          <w:rFonts w:ascii="宋体" w:hAnsi="宋体" w:eastAsia="宋体" w:cs="Times New Roman"/>
          <w:szCs w:val="21"/>
          <w:lang w:bidi="ar"/>
        </w:rPr>
        <w:t>510000</w:t>
      </w:r>
      <w:r>
        <w:rPr>
          <w:rFonts w:hint="eastAsia" w:ascii="宋体" w:hAnsi="宋体" w:eastAsia="宋体" w:cs="宋体"/>
          <w:szCs w:val="21"/>
          <w:lang w:bidi="ar"/>
        </w:rPr>
        <w:t>）。</w:t>
      </w:r>
    </w:p>
    <w:p w14:paraId="5ACA0FF5">
      <w:pPr>
        <w:spacing w:line="360" w:lineRule="auto"/>
        <w:ind w:firstLine="420" w:firstLineChars="200"/>
        <w:rPr>
          <w:szCs w:val="21"/>
        </w:rPr>
      </w:pPr>
      <w:r>
        <w:rPr>
          <w:rFonts w:hint="eastAsia" w:ascii="Times New Roman" w:hAnsi="Times New Roman" w:eastAsia="宋体" w:cs="宋体"/>
          <w:szCs w:val="21"/>
          <w:lang w:bidi="ar"/>
        </w:rPr>
        <w:t>本评价指南主编单位、参编单位、主要起草人和主要审查人：</w:t>
      </w:r>
    </w:p>
    <w:p w14:paraId="14D305DE">
      <w:pPr>
        <w:spacing w:line="360" w:lineRule="auto"/>
        <w:ind w:firstLine="482"/>
        <w:rPr>
          <w:szCs w:val="21"/>
        </w:rPr>
      </w:pPr>
      <w:r>
        <w:rPr>
          <w:rFonts w:hint="eastAsia" w:ascii="黑体" w:hAnsi="黑体" w:eastAsia="黑体" w:cs="宋体"/>
          <w:b/>
          <w:sz w:val="24"/>
          <w:lang w:bidi="ar"/>
        </w:rPr>
        <w:t>本指南主编单位：</w:t>
      </w:r>
      <w:r>
        <w:rPr>
          <w:rFonts w:hint="eastAsia" w:ascii="Times New Roman" w:hAnsi="Times New Roman" w:eastAsia="宋体" w:cs="宋体"/>
          <w:szCs w:val="21"/>
          <w:lang w:bidi="ar"/>
        </w:rPr>
        <w:t>广东省建设工程绿色与装配式发展协会</w:t>
      </w:r>
    </w:p>
    <w:p w14:paraId="7E94E3A5">
      <w:pPr>
        <w:spacing w:line="360" w:lineRule="auto"/>
        <w:ind w:firstLine="2408" w:firstLineChars="1147"/>
        <w:rPr>
          <w:szCs w:val="21"/>
        </w:rPr>
      </w:pPr>
      <w:r>
        <w:rPr>
          <w:rFonts w:hint="eastAsia" w:ascii="Times New Roman" w:hAnsi="Times New Roman" w:eastAsia="宋体" w:cs="宋体"/>
          <w:szCs w:val="21"/>
          <w:lang w:bidi="ar"/>
        </w:rPr>
        <w:t>广东省建筑设计研究院有限公司</w:t>
      </w:r>
    </w:p>
    <w:p w14:paraId="30EE3484">
      <w:pPr>
        <w:spacing w:line="360" w:lineRule="auto"/>
        <w:ind w:firstLine="2408" w:firstLineChars="1147"/>
        <w:rPr>
          <w:szCs w:val="21"/>
        </w:rPr>
      </w:pPr>
      <w:r>
        <w:rPr>
          <w:rFonts w:hint="eastAsia" w:ascii="Times New Roman" w:hAnsi="Times New Roman" w:eastAsia="宋体" w:cs="宋体"/>
          <w:szCs w:val="21"/>
          <w:lang w:bidi="ar"/>
        </w:rPr>
        <w:t>广东省建筑科学研究院集团股份有限公司</w:t>
      </w:r>
    </w:p>
    <w:p w14:paraId="3D61844B">
      <w:pPr>
        <w:ind w:firstLine="482"/>
        <w:rPr>
          <w:rFonts w:hint="eastAsia" w:ascii="黑体" w:hAnsi="黑体" w:eastAsia="黑体"/>
          <w:sz w:val="24"/>
        </w:rPr>
      </w:pPr>
      <w:r>
        <w:rPr>
          <w:rFonts w:hint="eastAsia" w:ascii="黑体" w:hAnsi="黑体" w:eastAsia="黑体" w:cs="宋体"/>
          <w:b/>
          <w:sz w:val="24"/>
          <w:lang w:bidi="ar"/>
        </w:rPr>
        <w:t>本指南参编单位：</w:t>
      </w:r>
      <w:r>
        <w:rPr>
          <w:rFonts w:ascii="黑体" w:hAnsi="黑体" w:eastAsia="黑体"/>
          <w:sz w:val="24"/>
        </w:rPr>
        <w:t xml:space="preserve"> </w:t>
      </w:r>
    </w:p>
    <w:p w14:paraId="611D1101">
      <w:pPr>
        <w:spacing w:line="360" w:lineRule="auto"/>
        <w:ind w:firstLine="1841" w:firstLineChars="877"/>
        <w:rPr>
          <w:szCs w:val="21"/>
        </w:rPr>
      </w:pPr>
      <w:r>
        <w:rPr>
          <w:rFonts w:hint="eastAsia" w:ascii="Times New Roman" w:hAnsi="Times New Roman" w:eastAsia="宋体" w:cs="宋体"/>
          <w:szCs w:val="21"/>
          <w:lang w:bidi="ar"/>
        </w:rPr>
        <w:t>广东省建筑工程集团有限公司</w:t>
      </w:r>
    </w:p>
    <w:p w14:paraId="33223273">
      <w:pPr>
        <w:spacing w:line="360" w:lineRule="auto"/>
        <w:ind w:firstLine="1841" w:firstLineChars="877"/>
        <w:rPr>
          <w:szCs w:val="21"/>
        </w:rPr>
      </w:pPr>
      <w:r>
        <w:rPr>
          <w:rFonts w:hint="eastAsia" w:ascii="Times New Roman" w:hAnsi="Times New Roman" w:eastAsia="宋体" w:cs="宋体"/>
          <w:szCs w:val="21"/>
          <w:lang w:bidi="ar"/>
        </w:rPr>
        <w:t>深圳市华阳国际工程设计股份有限公司</w:t>
      </w:r>
    </w:p>
    <w:p w14:paraId="41F62C83">
      <w:pPr>
        <w:spacing w:line="360" w:lineRule="auto"/>
        <w:ind w:firstLine="1841" w:firstLineChars="877"/>
        <w:rPr>
          <w:szCs w:val="21"/>
        </w:rPr>
      </w:pPr>
      <w:r>
        <w:rPr>
          <w:rFonts w:hint="eastAsia" w:ascii="Times New Roman" w:hAnsi="Times New Roman" w:eastAsia="宋体" w:cs="宋体"/>
          <w:szCs w:val="21"/>
          <w:lang w:bidi="ar"/>
        </w:rPr>
        <w:t>中国建筑第四工程局有限公司</w:t>
      </w:r>
    </w:p>
    <w:p w14:paraId="1C16630D">
      <w:pPr>
        <w:spacing w:line="360" w:lineRule="auto"/>
        <w:ind w:firstLine="1841" w:firstLineChars="877"/>
        <w:rPr>
          <w:szCs w:val="21"/>
        </w:rPr>
      </w:pPr>
      <w:r>
        <w:rPr>
          <w:rFonts w:hint="eastAsia" w:ascii="Times New Roman" w:hAnsi="Times New Roman" w:eastAsia="宋体" w:cs="宋体"/>
          <w:szCs w:val="21"/>
          <w:lang w:bidi="ar"/>
        </w:rPr>
        <w:t>广州建筑股份有限公司</w:t>
      </w:r>
    </w:p>
    <w:p w14:paraId="21E2ABD0">
      <w:pPr>
        <w:spacing w:line="360" w:lineRule="auto"/>
        <w:ind w:firstLine="1841" w:firstLineChars="877"/>
        <w:rPr>
          <w:szCs w:val="21"/>
        </w:rPr>
      </w:pPr>
      <w:r>
        <w:rPr>
          <w:rFonts w:hint="eastAsia" w:ascii="Times New Roman" w:hAnsi="Times New Roman" w:eastAsia="宋体" w:cs="宋体"/>
          <w:szCs w:val="21"/>
          <w:lang w:bidi="ar"/>
        </w:rPr>
        <w:t>中建科工集团有限公司</w:t>
      </w:r>
    </w:p>
    <w:p w14:paraId="0FE605FC">
      <w:pPr>
        <w:spacing w:line="360" w:lineRule="auto"/>
        <w:ind w:firstLine="1841" w:firstLineChars="877"/>
        <w:rPr>
          <w:szCs w:val="21"/>
        </w:rPr>
      </w:pPr>
      <w:r>
        <w:rPr>
          <w:rFonts w:hint="eastAsia" w:ascii="Times New Roman" w:hAnsi="Times New Roman" w:eastAsia="宋体" w:cs="宋体"/>
          <w:szCs w:val="21"/>
          <w:lang w:bidi="ar"/>
        </w:rPr>
        <w:t>广东博智林机器人有限公司</w:t>
      </w:r>
    </w:p>
    <w:p w14:paraId="0680499A">
      <w:pPr>
        <w:spacing w:line="360" w:lineRule="auto"/>
        <w:ind w:firstLine="1841" w:firstLineChars="877"/>
        <w:rPr>
          <w:szCs w:val="21"/>
        </w:rPr>
      </w:pPr>
      <w:r>
        <w:rPr>
          <w:rFonts w:hint="eastAsia" w:ascii="Times New Roman" w:hAnsi="Times New Roman" w:eastAsia="宋体" w:cs="宋体"/>
          <w:szCs w:val="21"/>
          <w:lang w:bidi="ar"/>
        </w:rPr>
        <w:t>华南理工大学建筑设计研究院有限公司</w:t>
      </w:r>
    </w:p>
    <w:p w14:paraId="02943D24">
      <w:pPr>
        <w:spacing w:line="360" w:lineRule="auto"/>
        <w:ind w:firstLine="1841" w:firstLineChars="877"/>
        <w:rPr>
          <w:szCs w:val="21"/>
        </w:rPr>
      </w:pPr>
      <w:r>
        <w:rPr>
          <w:rFonts w:hint="eastAsia" w:ascii="Times New Roman" w:hAnsi="Times New Roman" w:eastAsia="宋体" w:cs="宋体"/>
          <w:szCs w:val="21"/>
          <w:lang w:bidi="ar"/>
        </w:rPr>
        <w:t>广东省建科建筑设计院有限公司</w:t>
      </w:r>
    </w:p>
    <w:p w14:paraId="0BFA374B">
      <w:pPr>
        <w:spacing w:line="360" w:lineRule="auto"/>
        <w:ind w:firstLine="1841" w:firstLineChars="877"/>
        <w:rPr>
          <w:szCs w:val="21"/>
        </w:rPr>
      </w:pPr>
      <w:r>
        <w:rPr>
          <w:rFonts w:hint="eastAsia" w:ascii="Times New Roman" w:hAnsi="Times New Roman" w:eastAsia="宋体" w:cs="宋体"/>
          <w:szCs w:val="21"/>
          <w:lang w:bidi="ar"/>
        </w:rPr>
        <w:t>广东建远建筑装配工业有限公司</w:t>
      </w:r>
    </w:p>
    <w:p w14:paraId="1927E7FB">
      <w:pPr>
        <w:spacing w:line="360" w:lineRule="auto"/>
        <w:ind w:firstLine="1841" w:firstLineChars="877"/>
        <w:rPr>
          <w:rFonts w:ascii="Times New Roman" w:hAnsi="Times New Roman" w:eastAsia="宋体" w:cs="宋体"/>
          <w:szCs w:val="21"/>
          <w:lang w:bidi="ar"/>
        </w:rPr>
      </w:pPr>
      <w:r>
        <w:rPr>
          <w:rFonts w:hint="eastAsia" w:ascii="Times New Roman" w:hAnsi="Times New Roman" w:eastAsia="宋体" w:cs="宋体"/>
          <w:szCs w:val="21"/>
          <w:lang w:bidi="ar"/>
        </w:rPr>
        <w:t>建华建材科技（广东）有限公司</w:t>
      </w:r>
    </w:p>
    <w:p w14:paraId="2AFB4757">
      <w:pPr>
        <w:spacing w:line="360" w:lineRule="auto"/>
        <w:ind w:firstLine="1841" w:firstLineChars="877"/>
        <w:rPr>
          <w:szCs w:val="21"/>
        </w:rPr>
      </w:pPr>
      <w:r>
        <w:rPr>
          <w:rFonts w:hint="eastAsia" w:ascii="Times New Roman" w:hAnsi="Times New Roman" w:eastAsia="宋体" w:cs="宋体"/>
          <w:szCs w:val="21"/>
          <w:lang w:bidi="ar"/>
        </w:rPr>
        <w:t>佛山建投城市建设有限公司</w:t>
      </w:r>
    </w:p>
    <w:p w14:paraId="04ECA3EC">
      <w:pPr>
        <w:spacing w:line="360" w:lineRule="auto"/>
        <w:ind w:firstLine="1841" w:firstLineChars="877"/>
        <w:rPr>
          <w:szCs w:val="21"/>
        </w:rPr>
      </w:pPr>
      <w:r>
        <w:rPr>
          <w:rFonts w:hint="eastAsia" w:ascii="Times New Roman" w:hAnsi="Times New Roman" w:eastAsia="宋体" w:cs="宋体"/>
          <w:szCs w:val="21"/>
          <w:lang w:bidi="ar"/>
        </w:rPr>
        <w:t>佛山市万科置业有限公司</w:t>
      </w:r>
    </w:p>
    <w:p w14:paraId="05593F43">
      <w:pPr>
        <w:spacing w:line="360" w:lineRule="auto"/>
        <w:ind w:firstLine="1841" w:firstLineChars="877"/>
        <w:rPr>
          <w:szCs w:val="21"/>
        </w:rPr>
      </w:pPr>
      <w:r>
        <w:rPr>
          <w:rFonts w:hint="eastAsia" w:ascii="Times New Roman" w:hAnsi="Times New Roman" w:eastAsia="宋体" w:cs="宋体"/>
          <w:szCs w:val="21"/>
          <w:lang w:bidi="ar"/>
        </w:rPr>
        <w:t>广东松本绿色新材股份有限公司</w:t>
      </w:r>
    </w:p>
    <w:p w14:paraId="4BDC90BE">
      <w:pPr>
        <w:spacing w:line="360" w:lineRule="auto"/>
        <w:ind w:firstLine="1841" w:firstLineChars="877"/>
        <w:rPr>
          <w:szCs w:val="21"/>
        </w:rPr>
      </w:pPr>
      <w:r>
        <w:rPr>
          <w:rFonts w:hint="eastAsia" w:ascii="Times New Roman" w:hAnsi="Times New Roman" w:eastAsia="宋体" w:cs="宋体"/>
          <w:szCs w:val="21"/>
          <w:lang w:bidi="ar"/>
        </w:rPr>
        <w:t>广东华方工程设计有限公司</w:t>
      </w:r>
    </w:p>
    <w:p w14:paraId="67A9AF56">
      <w:pPr>
        <w:spacing w:line="360" w:lineRule="auto"/>
        <w:ind w:firstLine="1841" w:firstLineChars="877"/>
        <w:rPr>
          <w:szCs w:val="21"/>
        </w:rPr>
      </w:pPr>
      <w:r>
        <w:rPr>
          <w:rFonts w:hint="eastAsia" w:ascii="Times New Roman" w:hAnsi="Times New Roman" w:eastAsia="宋体" w:cs="宋体"/>
          <w:szCs w:val="21"/>
          <w:lang w:bidi="ar"/>
        </w:rPr>
        <w:t>广州市设计院集团有限公司</w:t>
      </w:r>
    </w:p>
    <w:p w14:paraId="73B86462">
      <w:pPr>
        <w:spacing w:line="360" w:lineRule="auto"/>
        <w:ind w:firstLine="1841" w:firstLineChars="877"/>
        <w:rPr>
          <w:szCs w:val="21"/>
        </w:rPr>
      </w:pPr>
      <w:r>
        <w:rPr>
          <w:rFonts w:hint="eastAsia" w:ascii="Times New Roman" w:hAnsi="Times New Roman" w:eastAsia="宋体" w:cs="宋体"/>
          <w:szCs w:val="21"/>
          <w:lang w:bidi="ar"/>
        </w:rPr>
        <w:t>佛山市装配式建筑协会</w:t>
      </w:r>
    </w:p>
    <w:p w14:paraId="03F00442">
      <w:pPr>
        <w:spacing w:line="360" w:lineRule="auto"/>
        <w:ind w:firstLine="1841" w:firstLineChars="877"/>
        <w:rPr>
          <w:rFonts w:ascii="Times New Roman" w:hAnsi="Times New Roman" w:eastAsia="宋体" w:cs="宋体"/>
          <w:szCs w:val="21"/>
          <w:lang w:bidi="ar"/>
        </w:rPr>
      </w:pPr>
      <w:r>
        <w:rPr>
          <w:rFonts w:hint="eastAsia" w:ascii="Times New Roman" w:hAnsi="Times New Roman" w:eastAsia="宋体" w:cs="宋体"/>
          <w:szCs w:val="21"/>
          <w:lang w:bidi="ar"/>
        </w:rPr>
        <w:t>中建科技集团华南有限公司</w:t>
      </w:r>
    </w:p>
    <w:p w14:paraId="18B4BAA3">
      <w:pPr>
        <w:spacing w:line="360" w:lineRule="auto"/>
        <w:ind w:firstLine="1841" w:firstLineChars="877"/>
        <w:rPr>
          <w:rFonts w:ascii="Times New Roman" w:hAnsi="Times New Roman" w:eastAsia="宋体" w:cs="宋体"/>
          <w:szCs w:val="21"/>
          <w:lang w:bidi="ar"/>
        </w:rPr>
      </w:pPr>
      <w:r>
        <w:rPr>
          <w:rFonts w:hint="eastAsia" w:ascii="Times New Roman" w:hAnsi="Times New Roman" w:eastAsia="宋体" w:cs="宋体"/>
          <w:szCs w:val="21"/>
          <w:lang w:bidi="ar"/>
        </w:rPr>
        <w:t>中国建筑第二工程局有限公司</w:t>
      </w:r>
    </w:p>
    <w:p w14:paraId="79EEE3A6">
      <w:pPr>
        <w:spacing w:line="360" w:lineRule="auto"/>
        <w:ind w:firstLine="1841" w:firstLineChars="877"/>
        <w:rPr>
          <w:rFonts w:ascii="Times New Roman" w:hAnsi="Times New Roman" w:eastAsia="宋体" w:cs="宋体"/>
          <w:szCs w:val="21"/>
          <w:lang w:bidi="ar"/>
        </w:rPr>
      </w:pPr>
      <w:r>
        <w:rPr>
          <w:rFonts w:hint="eastAsia" w:ascii="Times New Roman" w:hAnsi="Times New Roman" w:eastAsia="宋体" w:cs="宋体"/>
          <w:szCs w:val="21"/>
          <w:lang w:bidi="ar"/>
        </w:rPr>
        <w:t>广州市黄埔区住房和城乡建设局</w:t>
      </w:r>
    </w:p>
    <w:p w14:paraId="0ADD2F7F">
      <w:pPr>
        <w:spacing w:line="360" w:lineRule="auto"/>
        <w:ind w:firstLine="1841" w:firstLineChars="877"/>
        <w:rPr>
          <w:rFonts w:ascii="Times New Roman" w:hAnsi="Times New Roman" w:eastAsia="宋体" w:cs="宋体"/>
          <w:szCs w:val="21"/>
          <w:lang w:bidi="ar"/>
        </w:rPr>
      </w:pPr>
      <w:r>
        <w:rPr>
          <w:rFonts w:hint="eastAsia" w:ascii="Times New Roman" w:hAnsi="Times New Roman" w:eastAsia="宋体" w:cs="宋体"/>
          <w:szCs w:val="21"/>
          <w:lang w:bidi="ar"/>
        </w:rPr>
        <w:t>广州机施建设集团有限公司</w:t>
      </w:r>
    </w:p>
    <w:p w14:paraId="15CADF97">
      <w:pPr>
        <w:spacing w:line="360" w:lineRule="auto"/>
        <w:ind w:firstLine="1841" w:firstLineChars="877"/>
        <w:rPr>
          <w:rFonts w:ascii="Times New Roman" w:hAnsi="Times New Roman" w:eastAsia="宋体" w:cs="宋体"/>
          <w:szCs w:val="21"/>
          <w:lang w:bidi="ar"/>
        </w:rPr>
      </w:pPr>
      <w:r>
        <w:rPr>
          <w:rFonts w:hint="eastAsia" w:ascii="Times New Roman" w:hAnsi="Times New Roman" w:eastAsia="宋体" w:cs="宋体"/>
          <w:szCs w:val="21"/>
          <w:lang w:bidi="ar"/>
        </w:rPr>
        <w:t>东莞市建筑科学研究院有限公司</w:t>
      </w:r>
    </w:p>
    <w:p w14:paraId="3CAFC761">
      <w:pPr>
        <w:spacing w:line="360" w:lineRule="auto"/>
        <w:ind w:firstLine="1841" w:firstLineChars="877"/>
        <w:rPr>
          <w:rFonts w:ascii="Times New Roman" w:hAnsi="Times New Roman" w:eastAsia="宋体" w:cs="宋体"/>
          <w:szCs w:val="21"/>
          <w:lang w:bidi="ar"/>
        </w:rPr>
      </w:pPr>
      <w:r>
        <w:rPr>
          <w:rFonts w:hint="eastAsia" w:ascii="Times New Roman" w:hAnsi="Times New Roman" w:eastAsia="宋体" w:cs="宋体"/>
          <w:szCs w:val="21"/>
          <w:lang w:bidi="ar"/>
        </w:rPr>
        <w:t>墨点狗智能科技有限公司</w:t>
      </w:r>
    </w:p>
    <w:p w14:paraId="63784452">
      <w:pPr>
        <w:spacing w:line="360" w:lineRule="auto"/>
        <w:ind w:firstLine="482" w:firstLineChars="200"/>
        <w:jc w:val="left"/>
        <w:rPr>
          <w:rFonts w:hint="eastAsia" w:ascii="黑体" w:hAnsi="黑体" w:eastAsia="黑体" w:cs="宋体"/>
          <w:b/>
          <w:bCs/>
          <w:sz w:val="24"/>
          <w:lang w:bidi="ar"/>
        </w:rPr>
      </w:pPr>
      <w:r>
        <w:rPr>
          <w:rFonts w:hint="eastAsia" w:ascii="黑体" w:hAnsi="黑体" w:eastAsia="黑体" w:cs="宋体"/>
          <w:b/>
          <w:bCs/>
          <w:sz w:val="24"/>
          <w:lang w:bidi="ar"/>
        </w:rPr>
        <w:t>主要起草人：</w:t>
      </w:r>
    </w:p>
    <w:p w14:paraId="3753B2B5">
      <w:pPr>
        <w:spacing w:line="360" w:lineRule="auto"/>
        <w:ind w:firstLine="482" w:firstLineChars="200"/>
        <w:jc w:val="left"/>
        <w:rPr>
          <w:rFonts w:hint="eastAsia" w:ascii="黑体" w:hAnsi="黑体" w:eastAsia="黑体"/>
          <w:b/>
          <w:bCs/>
          <w:sz w:val="24"/>
        </w:rPr>
      </w:pPr>
      <w:r>
        <w:rPr>
          <w:rFonts w:hint="eastAsia" w:ascii="黑体" w:hAnsi="黑体" w:eastAsia="黑体" w:cs="宋体"/>
          <w:b/>
          <w:bCs/>
          <w:sz w:val="24"/>
          <w:lang w:bidi="ar"/>
        </w:rPr>
        <w:t>主要审查人</w:t>
      </w:r>
    </w:p>
    <w:p w14:paraId="29E006CF">
      <w:pPr>
        <w:spacing w:line="580" w:lineRule="exact"/>
        <w:ind w:firstLine="2268" w:firstLineChars="810"/>
        <w:rPr>
          <w:sz w:val="28"/>
          <w:szCs w:val="28"/>
        </w:rPr>
      </w:pPr>
    </w:p>
    <w:p w14:paraId="05921BA7">
      <w:pPr>
        <w:ind w:firstLine="560"/>
        <w:rPr>
          <w:rFonts w:ascii="Times New Roman" w:hAnsi="Times New Roman" w:eastAsia="宋体" w:cs="Times New Roman"/>
          <w:sz w:val="28"/>
          <w:szCs w:val="28"/>
          <w:lang w:bidi="ar"/>
        </w:rPr>
        <w:sectPr>
          <w:pgSz w:w="11906" w:h="16838"/>
          <w:pgMar w:top="1440" w:right="1800" w:bottom="1118" w:left="1800" w:header="851" w:footer="992" w:gutter="0"/>
          <w:pgNumType w:fmt="upperRoman" w:start="1"/>
          <w:cols w:space="425" w:num="1"/>
          <w:docGrid w:type="lines" w:linePitch="312" w:charSpace="0"/>
        </w:sectPr>
      </w:pPr>
    </w:p>
    <w:p w14:paraId="4047E5D2">
      <w:pPr>
        <w:pStyle w:val="11"/>
        <w:tabs>
          <w:tab w:val="left" w:pos="440"/>
          <w:tab w:val="right" w:leader="dot" w:pos="8296"/>
        </w:tabs>
        <w:ind w:firstLine="964"/>
        <w:jc w:val="center"/>
        <w:rPr>
          <w:rFonts w:hint="eastAsia" w:ascii="宋体" w:hAnsi="宋体"/>
          <w:b/>
          <w:color w:val="000000"/>
          <w:sz w:val="48"/>
          <w:szCs w:val="48"/>
          <w:lang w:val="zh-CN"/>
        </w:rPr>
      </w:pPr>
      <w:bookmarkStart w:id="28" w:name="_Hlk17470676"/>
      <w:r>
        <w:rPr>
          <w:rFonts w:ascii="宋体" w:hAnsi="宋体"/>
          <w:b/>
          <w:color w:val="000000"/>
          <w:sz w:val="48"/>
          <w:szCs w:val="48"/>
          <w:lang w:val="zh-CN"/>
        </w:rPr>
        <w:t xml:space="preserve">目 </w:t>
      </w:r>
      <w:r>
        <w:rPr>
          <w:rFonts w:hint="eastAsia" w:ascii="宋体" w:hAnsi="宋体"/>
          <w:b/>
          <w:color w:val="000000"/>
          <w:sz w:val="48"/>
          <w:szCs w:val="48"/>
          <w:lang w:val="zh-CN"/>
        </w:rPr>
        <w:t>次</w:t>
      </w:r>
    </w:p>
    <w:sdt>
      <w:sdtPr>
        <w:rPr>
          <w:rFonts w:asciiTheme="minorHAnsi" w:hAnsiTheme="minorHAnsi" w:eastAsiaTheme="minorEastAsia" w:cstheme="minorBidi"/>
          <w:color w:val="auto"/>
          <w:kern w:val="2"/>
          <w:sz w:val="21"/>
          <w:szCs w:val="24"/>
          <w:lang w:val="zh-CN"/>
        </w:rPr>
        <w:id w:val="577562027"/>
        <w:docPartObj>
          <w:docPartGallery w:val="Table of Contents"/>
          <w:docPartUnique/>
        </w:docPartObj>
      </w:sdtPr>
      <w:sdtEndPr>
        <w:rPr>
          <w:rFonts w:ascii="宋体" w:hAnsi="宋体" w:eastAsia="宋体" w:cstheme="minorBidi"/>
          <w:b/>
          <w:bCs/>
          <w:color w:val="auto"/>
          <w:kern w:val="2"/>
          <w:sz w:val="24"/>
          <w:szCs w:val="24"/>
          <w:lang w:val="zh-CN"/>
        </w:rPr>
      </w:sdtEndPr>
      <w:sdtContent>
        <w:p w14:paraId="64C15AD0">
          <w:pPr>
            <w:pStyle w:val="67"/>
            <w:spacing w:line="360" w:lineRule="auto"/>
            <w:ind w:firstLine="420"/>
            <w:rPr>
              <w:rFonts w:hint="eastAsia" w:ascii="宋体" w:hAnsi="宋体" w:eastAsia="宋体"/>
              <w:sz w:val="24"/>
              <w:szCs w:val="24"/>
            </w:rPr>
          </w:pPr>
          <w:bookmarkStart w:id="29" w:name="_Hlk174629867"/>
        </w:p>
        <w:p w14:paraId="2C6975FD">
          <w:pPr>
            <w:pStyle w:val="11"/>
            <w:tabs>
              <w:tab w:val="left" w:pos="420"/>
              <w:tab w:val="right" w:leader="dot" w:pos="8296"/>
            </w:tabs>
            <w:spacing w:line="360" w:lineRule="auto"/>
            <w:rPr>
              <w:rFonts w:hint="eastAsia" w:ascii="宋体" w:hAnsi="宋体" w:cstheme="minorBidi"/>
              <w:sz w:val="24"/>
              <w14:ligatures w14:val="standardContextual"/>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fldChar w:fldCharType="begin"/>
          </w:r>
          <w:r>
            <w:instrText xml:space="preserve"> HYPERLINK \l "_Toc174629895" </w:instrText>
          </w:r>
          <w:r>
            <w:fldChar w:fldCharType="separate"/>
          </w:r>
          <w:r>
            <w:rPr>
              <w:rStyle w:val="20"/>
              <w:rFonts w:hint="eastAsia" w:ascii="宋体" w:hAnsi="宋体"/>
              <w:b/>
              <w:bCs/>
              <w:kern w:val="44"/>
              <w:sz w:val="24"/>
              <w:szCs w:val="24"/>
            </w:rPr>
            <w:t>1</w:t>
          </w:r>
          <w:r>
            <w:rPr>
              <w:rFonts w:hint="eastAsia" w:ascii="宋体" w:hAnsi="宋体" w:cstheme="minorBidi"/>
              <w:sz w:val="24"/>
              <w14:ligatures w14:val="standardContextual"/>
            </w:rPr>
            <w:tab/>
          </w:r>
          <w:r>
            <w:rPr>
              <w:rStyle w:val="20"/>
              <w:rFonts w:hint="eastAsia" w:ascii="宋体" w:hAnsi="宋体"/>
              <w:kern w:val="44"/>
              <w:sz w:val="24"/>
              <w:szCs w:val="24"/>
            </w:rPr>
            <w:t>总  则</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_Toc174629895 \h</w:instrText>
          </w:r>
          <w:r>
            <w:rPr>
              <w:rFonts w:hint="eastAsia" w:ascii="宋体" w:hAnsi="宋体"/>
              <w:sz w:val="24"/>
            </w:rPr>
            <w:instrText xml:space="preserve"> </w:instrText>
          </w:r>
          <w:r>
            <w:rPr>
              <w:rFonts w:hint="eastAsia" w:ascii="宋体" w:hAnsi="宋体"/>
              <w:sz w:val="24"/>
            </w:rPr>
            <w:fldChar w:fldCharType="separate"/>
          </w:r>
          <w:r>
            <w:rPr>
              <w:rFonts w:hint="eastAsia" w:ascii="宋体" w:hAnsi="宋体"/>
              <w:sz w:val="24"/>
            </w:rPr>
            <w:t>1</w:t>
          </w:r>
          <w:r>
            <w:rPr>
              <w:rFonts w:hint="eastAsia" w:ascii="宋体" w:hAnsi="宋体"/>
              <w:sz w:val="24"/>
            </w:rPr>
            <w:fldChar w:fldCharType="end"/>
          </w:r>
          <w:r>
            <w:rPr>
              <w:rFonts w:hint="eastAsia" w:ascii="宋体" w:hAnsi="宋体"/>
              <w:sz w:val="24"/>
            </w:rPr>
            <w:fldChar w:fldCharType="end"/>
          </w:r>
        </w:p>
        <w:p w14:paraId="64E037C9">
          <w:pPr>
            <w:pStyle w:val="11"/>
            <w:tabs>
              <w:tab w:val="left" w:pos="420"/>
              <w:tab w:val="right" w:leader="dot" w:pos="8296"/>
            </w:tabs>
            <w:spacing w:line="360" w:lineRule="auto"/>
            <w:rPr>
              <w:rFonts w:hint="eastAsia" w:ascii="宋体" w:hAnsi="宋体" w:cstheme="minorBidi"/>
              <w:sz w:val="24"/>
              <w14:ligatures w14:val="standardContextual"/>
            </w:rPr>
          </w:pPr>
          <w:r>
            <w:fldChar w:fldCharType="begin"/>
          </w:r>
          <w:r>
            <w:instrText xml:space="preserve"> HYPERLINK \l "_Toc174629896" </w:instrText>
          </w:r>
          <w:r>
            <w:fldChar w:fldCharType="separate"/>
          </w:r>
          <w:r>
            <w:rPr>
              <w:rStyle w:val="20"/>
              <w:rFonts w:hint="eastAsia" w:ascii="宋体" w:hAnsi="宋体"/>
              <w:sz w:val="24"/>
              <w:szCs w:val="24"/>
            </w:rPr>
            <w:t>2</w:t>
          </w:r>
          <w:r>
            <w:rPr>
              <w:rFonts w:hint="eastAsia" w:ascii="宋体" w:hAnsi="宋体" w:cstheme="minorBidi"/>
              <w:sz w:val="24"/>
              <w14:ligatures w14:val="standardContextual"/>
            </w:rPr>
            <w:tab/>
          </w:r>
          <w:r>
            <w:rPr>
              <w:rStyle w:val="20"/>
              <w:rFonts w:hint="eastAsia" w:ascii="宋体" w:hAnsi="宋体"/>
              <w:sz w:val="24"/>
              <w:szCs w:val="24"/>
            </w:rPr>
            <w:t>术  语</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_Toc174629896 \h</w:instrText>
          </w:r>
          <w:r>
            <w:rPr>
              <w:rFonts w:hint="eastAsia" w:ascii="宋体" w:hAnsi="宋体"/>
              <w:sz w:val="24"/>
            </w:rPr>
            <w:instrText xml:space="preserve"> </w:instrText>
          </w:r>
          <w:r>
            <w:rPr>
              <w:rFonts w:hint="eastAsia" w:ascii="宋体" w:hAnsi="宋体"/>
              <w:sz w:val="24"/>
            </w:rPr>
            <w:fldChar w:fldCharType="separate"/>
          </w:r>
          <w:r>
            <w:rPr>
              <w:rFonts w:hint="eastAsia" w:ascii="宋体" w:hAnsi="宋体"/>
              <w:sz w:val="24"/>
            </w:rPr>
            <w:t>2</w:t>
          </w:r>
          <w:r>
            <w:rPr>
              <w:rFonts w:hint="eastAsia" w:ascii="宋体" w:hAnsi="宋体"/>
              <w:sz w:val="24"/>
            </w:rPr>
            <w:fldChar w:fldCharType="end"/>
          </w:r>
          <w:r>
            <w:rPr>
              <w:rFonts w:hint="eastAsia" w:ascii="宋体" w:hAnsi="宋体"/>
              <w:sz w:val="24"/>
            </w:rPr>
            <w:fldChar w:fldCharType="end"/>
          </w:r>
        </w:p>
        <w:p w14:paraId="08C901CD">
          <w:pPr>
            <w:pStyle w:val="11"/>
            <w:tabs>
              <w:tab w:val="left" w:pos="420"/>
              <w:tab w:val="right" w:leader="dot" w:pos="8296"/>
            </w:tabs>
            <w:spacing w:line="360" w:lineRule="auto"/>
            <w:rPr>
              <w:rFonts w:hint="eastAsia" w:ascii="宋体" w:hAnsi="宋体" w:cstheme="minorBidi"/>
              <w:sz w:val="24"/>
              <w14:ligatures w14:val="standardContextual"/>
            </w:rPr>
          </w:pPr>
          <w:r>
            <w:fldChar w:fldCharType="begin"/>
          </w:r>
          <w:r>
            <w:instrText xml:space="preserve"> HYPERLINK \l "_Toc174629897" </w:instrText>
          </w:r>
          <w:r>
            <w:fldChar w:fldCharType="separate"/>
          </w:r>
          <w:r>
            <w:rPr>
              <w:rStyle w:val="20"/>
              <w:rFonts w:hint="eastAsia" w:ascii="宋体" w:hAnsi="宋体"/>
              <w:sz w:val="24"/>
              <w:szCs w:val="24"/>
            </w:rPr>
            <w:t>3</w:t>
          </w:r>
          <w:r>
            <w:rPr>
              <w:rFonts w:hint="eastAsia" w:ascii="宋体" w:hAnsi="宋体" w:cstheme="minorBidi"/>
              <w:sz w:val="24"/>
              <w14:ligatures w14:val="standardContextual"/>
            </w:rPr>
            <w:tab/>
          </w:r>
          <w:r>
            <w:rPr>
              <w:rStyle w:val="20"/>
              <w:rFonts w:hint="eastAsia" w:ascii="宋体" w:hAnsi="宋体" w:cs="宋体"/>
              <w:sz w:val="24"/>
              <w:szCs w:val="24"/>
            </w:rPr>
            <w:t>基</w:t>
          </w:r>
          <w:r>
            <w:rPr>
              <w:rStyle w:val="20"/>
              <w:rFonts w:hint="eastAsia" w:ascii="宋体" w:hAnsi="宋体"/>
              <w:sz w:val="24"/>
              <w:szCs w:val="24"/>
            </w:rPr>
            <w:t xml:space="preserve"> </w:t>
          </w:r>
          <w:r>
            <w:rPr>
              <w:rStyle w:val="20"/>
              <w:rFonts w:hint="eastAsia" w:ascii="宋体" w:hAnsi="宋体" w:cs="宋体"/>
              <w:sz w:val="24"/>
              <w:szCs w:val="24"/>
            </w:rPr>
            <w:t>本</w:t>
          </w:r>
          <w:r>
            <w:rPr>
              <w:rStyle w:val="20"/>
              <w:rFonts w:hint="eastAsia" w:ascii="宋体" w:hAnsi="宋体"/>
              <w:sz w:val="24"/>
              <w:szCs w:val="24"/>
            </w:rPr>
            <w:t xml:space="preserve"> </w:t>
          </w:r>
          <w:r>
            <w:rPr>
              <w:rStyle w:val="20"/>
              <w:rFonts w:hint="eastAsia" w:ascii="宋体" w:hAnsi="宋体" w:cs="宋体"/>
              <w:sz w:val="24"/>
              <w:szCs w:val="24"/>
            </w:rPr>
            <w:t>规</w:t>
          </w:r>
          <w:r>
            <w:rPr>
              <w:rStyle w:val="20"/>
              <w:rFonts w:hint="eastAsia" w:ascii="宋体" w:hAnsi="宋体"/>
              <w:sz w:val="24"/>
              <w:szCs w:val="24"/>
            </w:rPr>
            <w:t xml:space="preserve"> </w:t>
          </w:r>
          <w:r>
            <w:rPr>
              <w:rStyle w:val="20"/>
              <w:rFonts w:hint="eastAsia" w:ascii="宋体" w:hAnsi="宋体" w:cs="宋体"/>
              <w:sz w:val="24"/>
              <w:szCs w:val="24"/>
            </w:rPr>
            <w:t>定</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_Toc174629897 \h</w:instrText>
          </w:r>
          <w:r>
            <w:rPr>
              <w:rFonts w:hint="eastAsia" w:ascii="宋体" w:hAnsi="宋体"/>
              <w:sz w:val="24"/>
            </w:rPr>
            <w:instrText xml:space="preserve"> </w:instrText>
          </w:r>
          <w:r>
            <w:rPr>
              <w:rFonts w:hint="eastAsia" w:ascii="宋体" w:hAnsi="宋体"/>
              <w:sz w:val="24"/>
            </w:rPr>
            <w:fldChar w:fldCharType="separate"/>
          </w:r>
          <w:r>
            <w:rPr>
              <w:rFonts w:hint="eastAsia" w:ascii="宋体" w:hAnsi="宋体"/>
              <w:sz w:val="24"/>
            </w:rPr>
            <w:t>4</w:t>
          </w:r>
          <w:r>
            <w:rPr>
              <w:rFonts w:hint="eastAsia" w:ascii="宋体" w:hAnsi="宋体"/>
              <w:sz w:val="24"/>
            </w:rPr>
            <w:fldChar w:fldCharType="end"/>
          </w:r>
          <w:r>
            <w:rPr>
              <w:rFonts w:hint="eastAsia" w:ascii="宋体" w:hAnsi="宋体"/>
              <w:sz w:val="24"/>
            </w:rPr>
            <w:fldChar w:fldCharType="end"/>
          </w:r>
        </w:p>
        <w:p w14:paraId="2256B88B">
          <w:pPr>
            <w:pStyle w:val="11"/>
            <w:tabs>
              <w:tab w:val="left" w:pos="420"/>
              <w:tab w:val="right" w:leader="dot" w:pos="8296"/>
            </w:tabs>
            <w:spacing w:line="360" w:lineRule="auto"/>
            <w:rPr>
              <w:rFonts w:hint="eastAsia" w:ascii="宋体" w:hAnsi="宋体" w:cstheme="minorBidi"/>
              <w:sz w:val="24"/>
              <w14:ligatures w14:val="standardContextual"/>
            </w:rPr>
          </w:pPr>
          <w:r>
            <w:fldChar w:fldCharType="begin"/>
          </w:r>
          <w:r>
            <w:instrText xml:space="preserve"> HYPERLINK \l "_Toc174629898" </w:instrText>
          </w:r>
          <w:r>
            <w:fldChar w:fldCharType="separate"/>
          </w:r>
          <w:r>
            <w:rPr>
              <w:rStyle w:val="20"/>
              <w:rFonts w:hint="eastAsia" w:ascii="宋体" w:hAnsi="宋体"/>
              <w:sz w:val="24"/>
              <w:szCs w:val="24"/>
            </w:rPr>
            <w:t>4</w:t>
          </w:r>
          <w:r>
            <w:rPr>
              <w:rFonts w:hint="eastAsia" w:ascii="宋体" w:hAnsi="宋体" w:cstheme="minorBidi"/>
              <w:sz w:val="24"/>
              <w14:ligatures w14:val="standardContextual"/>
            </w:rPr>
            <w:tab/>
          </w:r>
          <w:r>
            <w:rPr>
              <w:rStyle w:val="20"/>
              <w:rFonts w:hint="eastAsia" w:ascii="宋体" w:hAnsi="宋体"/>
              <w:sz w:val="24"/>
              <w:szCs w:val="24"/>
            </w:rPr>
            <w:t>项目建筑工业化率</w:t>
          </w:r>
          <w:r>
            <w:rPr>
              <w:rStyle w:val="20"/>
              <w:rFonts w:hint="eastAsia" w:ascii="宋体" w:hAnsi="宋体" w:cs="宋体"/>
              <w:sz w:val="24"/>
              <w:szCs w:val="24"/>
            </w:rPr>
            <w:t>计算</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_Toc174629898 \h</w:instrText>
          </w:r>
          <w:r>
            <w:rPr>
              <w:rFonts w:hint="eastAsia" w:ascii="宋体" w:hAnsi="宋体"/>
              <w:sz w:val="24"/>
            </w:rPr>
            <w:instrText xml:space="preserve"> </w:instrText>
          </w:r>
          <w:r>
            <w:rPr>
              <w:rFonts w:hint="eastAsia" w:ascii="宋体" w:hAnsi="宋体"/>
              <w:sz w:val="24"/>
            </w:rPr>
            <w:fldChar w:fldCharType="separate"/>
          </w:r>
          <w:r>
            <w:rPr>
              <w:rFonts w:hint="eastAsia" w:ascii="宋体" w:hAnsi="宋体"/>
              <w:sz w:val="24"/>
            </w:rPr>
            <w:t>5</w:t>
          </w:r>
          <w:r>
            <w:rPr>
              <w:rFonts w:hint="eastAsia" w:ascii="宋体" w:hAnsi="宋体"/>
              <w:sz w:val="24"/>
            </w:rPr>
            <w:fldChar w:fldCharType="end"/>
          </w:r>
          <w:r>
            <w:rPr>
              <w:rFonts w:hint="eastAsia" w:ascii="宋体" w:hAnsi="宋体"/>
              <w:sz w:val="24"/>
            </w:rPr>
            <w:fldChar w:fldCharType="end"/>
          </w:r>
        </w:p>
        <w:p w14:paraId="73F26045">
          <w:pPr>
            <w:pStyle w:val="12"/>
            <w:tabs>
              <w:tab w:val="right" w:leader="dot" w:pos="8296"/>
            </w:tabs>
            <w:spacing w:line="360" w:lineRule="auto"/>
            <w:rPr>
              <w:rFonts w:hint="eastAsia" w:ascii="宋体" w:hAnsi="宋体" w:cstheme="minorBidi"/>
              <w:sz w:val="24"/>
              <w14:ligatures w14:val="standardContextual"/>
            </w:rPr>
          </w:pPr>
          <w:r>
            <w:fldChar w:fldCharType="begin"/>
          </w:r>
          <w:r>
            <w:instrText xml:space="preserve"> HYPERLINK \l "_Toc174629899" </w:instrText>
          </w:r>
          <w:r>
            <w:fldChar w:fldCharType="separate"/>
          </w:r>
          <w:r>
            <w:rPr>
              <w:rStyle w:val="20"/>
              <w:rFonts w:hint="eastAsia" w:ascii="宋体" w:hAnsi="宋体"/>
              <w:sz w:val="24"/>
              <w:szCs w:val="24"/>
            </w:rPr>
            <w:t xml:space="preserve">4.1 </w:t>
          </w:r>
          <w:r>
            <w:rPr>
              <w:rStyle w:val="20"/>
              <w:rFonts w:hint="eastAsia" w:ascii="宋体" w:hAnsi="宋体" w:cs="宋体"/>
              <w:sz w:val="24"/>
              <w:szCs w:val="24"/>
            </w:rPr>
            <w:t>计算公式与评分表</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_Toc174629899 \h</w:instrText>
          </w:r>
          <w:r>
            <w:rPr>
              <w:rFonts w:hint="eastAsia" w:ascii="宋体" w:hAnsi="宋体"/>
              <w:sz w:val="24"/>
            </w:rPr>
            <w:instrText xml:space="preserve"> </w:instrText>
          </w:r>
          <w:r>
            <w:rPr>
              <w:rFonts w:hint="eastAsia" w:ascii="宋体" w:hAnsi="宋体"/>
              <w:sz w:val="24"/>
            </w:rPr>
            <w:fldChar w:fldCharType="separate"/>
          </w:r>
          <w:r>
            <w:rPr>
              <w:rFonts w:hint="eastAsia" w:ascii="宋体" w:hAnsi="宋体"/>
              <w:sz w:val="24"/>
            </w:rPr>
            <w:t>5</w:t>
          </w:r>
          <w:r>
            <w:rPr>
              <w:rFonts w:hint="eastAsia" w:ascii="宋体" w:hAnsi="宋体"/>
              <w:sz w:val="24"/>
            </w:rPr>
            <w:fldChar w:fldCharType="end"/>
          </w:r>
          <w:r>
            <w:rPr>
              <w:rFonts w:hint="eastAsia" w:ascii="宋体" w:hAnsi="宋体"/>
              <w:sz w:val="24"/>
            </w:rPr>
            <w:fldChar w:fldCharType="end"/>
          </w:r>
        </w:p>
        <w:p w14:paraId="3464249D">
          <w:pPr>
            <w:pStyle w:val="12"/>
            <w:tabs>
              <w:tab w:val="right" w:leader="dot" w:pos="8296"/>
            </w:tabs>
            <w:spacing w:line="360" w:lineRule="auto"/>
            <w:rPr>
              <w:rFonts w:hint="eastAsia" w:ascii="宋体" w:hAnsi="宋体" w:cstheme="minorBidi"/>
              <w:sz w:val="24"/>
              <w14:ligatures w14:val="standardContextual"/>
            </w:rPr>
          </w:pPr>
          <w:r>
            <w:fldChar w:fldCharType="begin"/>
          </w:r>
          <w:r>
            <w:instrText xml:space="preserve"> HYPERLINK \l "_Toc174629900" </w:instrText>
          </w:r>
          <w:r>
            <w:fldChar w:fldCharType="separate"/>
          </w:r>
          <w:r>
            <w:rPr>
              <w:rStyle w:val="20"/>
              <w:rFonts w:hint="eastAsia" w:ascii="宋体" w:hAnsi="宋体"/>
              <w:sz w:val="24"/>
              <w:szCs w:val="24"/>
            </w:rPr>
            <w:t>4.2 结构、围护、全装修</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_Toc174629900 \h</w:instrText>
          </w:r>
          <w:r>
            <w:rPr>
              <w:rFonts w:hint="eastAsia" w:ascii="宋体" w:hAnsi="宋体"/>
              <w:sz w:val="24"/>
            </w:rPr>
            <w:instrText xml:space="preserve"> </w:instrText>
          </w:r>
          <w:r>
            <w:rPr>
              <w:rFonts w:hint="eastAsia" w:ascii="宋体" w:hAnsi="宋体"/>
              <w:sz w:val="24"/>
            </w:rPr>
            <w:fldChar w:fldCharType="separate"/>
          </w:r>
          <w:r>
            <w:rPr>
              <w:rFonts w:hint="eastAsia" w:ascii="宋体" w:hAnsi="宋体"/>
              <w:sz w:val="24"/>
            </w:rPr>
            <w:t>9</w:t>
          </w:r>
          <w:r>
            <w:rPr>
              <w:rFonts w:hint="eastAsia" w:ascii="宋体" w:hAnsi="宋体"/>
              <w:sz w:val="24"/>
            </w:rPr>
            <w:fldChar w:fldCharType="end"/>
          </w:r>
          <w:r>
            <w:rPr>
              <w:rFonts w:hint="eastAsia" w:ascii="宋体" w:hAnsi="宋体"/>
              <w:sz w:val="24"/>
            </w:rPr>
            <w:fldChar w:fldCharType="end"/>
          </w:r>
        </w:p>
        <w:p w14:paraId="00DD6418">
          <w:pPr>
            <w:pStyle w:val="12"/>
            <w:tabs>
              <w:tab w:val="right" w:leader="dot" w:pos="8296"/>
            </w:tabs>
            <w:spacing w:line="360" w:lineRule="auto"/>
            <w:rPr>
              <w:rFonts w:hint="eastAsia" w:ascii="宋体" w:hAnsi="宋体" w:cstheme="minorBidi"/>
              <w:sz w:val="24"/>
              <w14:ligatures w14:val="standardContextual"/>
            </w:rPr>
          </w:pPr>
          <w:r>
            <w:fldChar w:fldCharType="begin"/>
          </w:r>
          <w:r>
            <w:instrText xml:space="preserve"> HYPERLINK \l "_Toc174629901" </w:instrText>
          </w:r>
          <w:r>
            <w:fldChar w:fldCharType="separate"/>
          </w:r>
          <w:r>
            <w:rPr>
              <w:rStyle w:val="20"/>
              <w:rFonts w:hint="eastAsia" w:ascii="宋体" w:hAnsi="宋体"/>
              <w:sz w:val="24"/>
              <w:szCs w:val="24"/>
            </w:rPr>
            <w:t xml:space="preserve">4.3 </w:t>
          </w:r>
          <w:r>
            <w:rPr>
              <w:rStyle w:val="20"/>
              <w:rFonts w:hint="eastAsia" w:ascii="宋体" w:hAnsi="宋体" w:cs="宋体"/>
              <w:sz w:val="24"/>
              <w:szCs w:val="24"/>
            </w:rPr>
            <w:t>系统化集成设计</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_Toc174629901 \h</w:instrText>
          </w:r>
          <w:r>
            <w:rPr>
              <w:rFonts w:hint="eastAsia" w:ascii="宋体" w:hAnsi="宋体"/>
              <w:sz w:val="24"/>
            </w:rPr>
            <w:instrText xml:space="preserve"> </w:instrText>
          </w:r>
          <w:r>
            <w:rPr>
              <w:rFonts w:hint="eastAsia" w:ascii="宋体" w:hAnsi="宋体"/>
              <w:sz w:val="24"/>
            </w:rPr>
            <w:fldChar w:fldCharType="separate"/>
          </w:r>
          <w:r>
            <w:rPr>
              <w:rFonts w:hint="eastAsia" w:ascii="宋体" w:hAnsi="宋体"/>
              <w:sz w:val="24"/>
            </w:rPr>
            <w:t>12</w:t>
          </w:r>
          <w:r>
            <w:rPr>
              <w:rFonts w:hint="eastAsia" w:ascii="宋体" w:hAnsi="宋体"/>
              <w:sz w:val="24"/>
            </w:rPr>
            <w:fldChar w:fldCharType="end"/>
          </w:r>
          <w:r>
            <w:rPr>
              <w:rFonts w:hint="eastAsia" w:ascii="宋体" w:hAnsi="宋体"/>
              <w:sz w:val="24"/>
            </w:rPr>
            <w:fldChar w:fldCharType="end"/>
          </w:r>
        </w:p>
        <w:p w14:paraId="4855A404">
          <w:pPr>
            <w:pStyle w:val="12"/>
            <w:tabs>
              <w:tab w:val="right" w:leader="dot" w:pos="8296"/>
            </w:tabs>
            <w:spacing w:line="360" w:lineRule="auto"/>
            <w:rPr>
              <w:rFonts w:hint="eastAsia" w:ascii="宋体" w:hAnsi="宋体" w:cstheme="minorBidi"/>
              <w:sz w:val="24"/>
              <w14:ligatures w14:val="standardContextual"/>
            </w:rPr>
          </w:pPr>
          <w:r>
            <w:fldChar w:fldCharType="begin"/>
          </w:r>
          <w:r>
            <w:instrText xml:space="preserve"> HYPERLINK \l "_Toc174629902" </w:instrText>
          </w:r>
          <w:r>
            <w:fldChar w:fldCharType="separate"/>
          </w:r>
          <w:r>
            <w:rPr>
              <w:rStyle w:val="20"/>
              <w:rFonts w:hint="eastAsia" w:ascii="宋体" w:hAnsi="宋体"/>
              <w:sz w:val="24"/>
              <w:szCs w:val="24"/>
            </w:rPr>
            <w:t xml:space="preserve">4.4 </w:t>
          </w:r>
          <w:r>
            <w:rPr>
              <w:rStyle w:val="20"/>
              <w:rFonts w:hint="eastAsia" w:ascii="宋体" w:hAnsi="宋体" w:cs="宋体"/>
              <w:sz w:val="24"/>
              <w:szCs w:val="24"/>
            </w:rPr>
            <w:t>构件和部品部件生产</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_Toc174629902 \h</w:instrText>
          </w:r>
          <w:r>
            <w:rPr>
              <w:rFonts w:hint="eastAsia" w:ascii="宋体" w:hAnsi="宋体"/>
              <w:sz w:val="24"/>
            </w:rPr>
            <w:instrText xml:space="preserve"> </w:instrText>
          </w:r>
          <w:r>
            <w:rPr>
              <w:rFonts w:hint="eastAsia" w:ascii="宋体" w:hAnsi="宋体"/>
              <w:sz w:val="24"/>
            </w:rPr>
            <w:fldChar w:fldCharType="separate"/>
          </w:r>
          <w:r>
            <w:rPr>
              <w:rFonts w:hint="eastAsia" w:ascii="宋体" w:hAnsi="宋体"/>
              <w:sz w:val="24"/>
            </w:rPr>
            <w:t>15</w:t>
          </w:r>
          <w:r>
            <w:rPr>
              <w:rFonts w:hint="eastAsia" w:ascii="宋体" w:hAnsi="宋体"/>
              <w:sz w:val="24"/>
            </w:rPr>
            <w:fldChar w:fldCharType="end"/>
          </w:r>
          <w:r>
            <w:rPr>
              <w:rFonts w:hint="eastAsia" w:ascii="宋体" w:hAnsi="宋体"/>
              <w:sz w:val="24"/>
            </w:rPr>
            <w:fldChar w:fldCharType="end"/>
          </w:r>
        </w:p>
        <w:p w14:paraId="1882093F">
          <w:pPr>
            <w:pStyle w:val="12"/>
            <w:tabs>
              <w:tab w:val="right" w:leader="dot" w:pos="8296"/>
            </w:tabs>
            <w:spacing w:line="360" w:lineRule="auto"/>
            <w:rPr>
              <w:rFonts w:hint="eastAsia" w:ascii="宋体" w:hAnsi="宋体" w:cstheme="minorBidi"/>
              <w:sz w:val="24"/>
              <w14:ligatures w14:val="standardContextual"/>
            </w:rPr>
          </w:pPr>
          <w:r>
            <w:fldChar w:fldCharType="begin"/>
          </w:r>
          <w:r>
            <w:instrText xml:space="preserve"> HYPERLINK \l "_Toc174629903" </w:instrText>
          </w:r>
          <w:r>
            <w:fldChar w:fldCharType="separate"/>
          </w:r>
          <w:r>
            <w:rPr>
              <w:rStyle w:val="20"/>
              <w:rFonts w:hint="eastAsia" w:ascii="宋体" w:hAnsi="宋体"/>
              <w:sz w:val="24"/>
              <w:szCs w:val="24"/>
            </w:rPr>
            <w:t xml:space="preserve">4.5 </w:t>
          </w:r>
          <w:r>
            <w:rPr>
              <w:rStyle w:val="20"/>
              <w:rFonts w:hint="eastAsia" w:ascii="宋体" w:hAnsi="宋体" w:cs="宋体"/>
              <w:sz w:val="24"/>
              <w:szCs w:val="24"/>
            </w:rPr>
            <w:t>精益化施工</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_Toc174629903 \h</w:instrText>
          </w:r>
          <w:r>
            <w:rPr>
              <w:rFonts w:hint="eastAsia" w:ascii="宋体" w:hAnsi="宋体"/>
              <w:sz w:val="24"/>
            </w:rPr>
            <w:instrText xml:space="preserve"> </w:instrText>
          </w:r>
          <w:r>
            <w:rPr>
              <w:rFonts w:hint="eastAsia" w:ascii="宋体" w:hAnsi="宋体"/>
              <w:sz w:val="24"/>
            </w:rPr>
            <w:fldChar w:fldCharType="separate"/>
          </w:r>
          <w:r>
            <w:rPr>
              <w:rFonts w:hint="eastAsia" w:ascii="宋体" w:hAnsi="宋体"/>
              <w:sz w:val="24"/>
            </w:rPr>
            <w:t>16</w:t>
          </w:r>
          <w:r>
            <w:rPr>
              <w:rFonts w:hint="eastAsia" w:ascii="宋体" w:hAnsi="宋体"/>
              <w:sz w:val="24"/>
            </w:rPr>
            <w:fldChar w:fldCharType="end"/>
          </w:r>
          <w:r>
            <w:rPr>
              <w:rFonts w:hint="eastAsia" w:ascii="宋体" w:hAnsi="宋体"/>
              <w:sz w:val="24"/>
            </w:rPr>
            <w:fldChar w:fldCharType="end"/>
          </w:r>
        </w:p>
        <w:p w14:paraId="4FA96205">
          <w:pPr>
            <w:pStyle w:val="12"/>
            <w:tabs>
              <w:tab w:val="right" w:leader="dot" w:pos="8296"/>
            </w:tabs>
            <w:spacing w:line="360" w:lineRule="auto"/>
            <w:rPr>
              <w:rFonts w:hint="eastAsia" w:ascii="宋体" w:hAnsi="宋体" w:cstheme="minorBidi"/>
              <w:sz w:val="24"/>
              <w14:ligatures w14:val="standardContextual"/>
            </w:rPr>
          </w:pPr>
          <w:r>
            <w:fldChar w:fldCharType="begin"/>
          </w:r>
          <w:r>
            <w:instrText xml:space="preserve"> HYPERLINK \l "_Toc174629904" </w:instrText>
          </w:r>
          <w:r>
            <w:fldChar w:fldCharType="separate"/>
          </w:r>
          <w:r>
            <w:rPr>
              <w:rStyle w:val="20"/>
              <w:rFonts w:hint="eastAsia" w:ascii="宋体" w:hAnsi="宋体"/>
              <w:sz w:val="24"/>
              <w:szCs w:val="24"/>
            </w:rPr>
            <w:t xml:space="preserve">4.6 </w:t>
          </w:r>
          <w:r>
            <w:rPr>
              <w:rStyle w:val="20"/>
              <w:rFonts w:hint="eastAsia" w:ascii="宋体" w:hAnsi="宋体" w:cs="宋体"/>
              <w:sz w:val="24"/>
              <w:szCs w:val="24"/>
            </w:rPr>
            <w:t>信息化技术应用</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_Toc174629904 \h</w:instrText>
          </w:r>
          <w:r>
            <w:rPr>
              <w:rFonts w:hint="eastAsia" w:ascii="宋体" w:hAnsi="宋体"/>
              <w:sz w:val="24"/>
            </w:rPr>
            <w:instrText xml:space="preserve"> </w:instrText>
          </w:r>
          <w:r>
            <w:rPr>
              <w:rFonts w:hint="eastAsia" w:ascii="宋体" w:hAnsi="宋体"/>
              <w:sz w:val="24"/>
            </w:rPr>
            <w:fldChar w:fldCharType="separate"/>
          </w:r>
          <w:r>
            <w:rPr>
              <w:rFonts w:hint="eastAsia" w:ascii="宋体" w:hAnsi="宋体"/>
              <w:sz w:val="24"/>
            </w:rPr>
            <w:t>18</w:t>
          </w:r>
          <w:r>
            <w:rPr>
              <w:rFonts w:hint="eastAsia" w:ascii="宋体" w:hAnsi="宋体"/>
              <w:sz w:val="24"/>
            </w:rPr>
            <w:fldChar w:fldCharType="end"/>
          </w:r>
          <w:r>
            <w:rPr>
              <w:rFonts w:hint="eastAsia" w:ascii="宋体" w:hAnsi="宋体"/>
              <w:sz w:val="24"/>
            </w:rPr>
            <w:fldChar w:fldCharType="end"/>
          </w:r>
        </w:p>
        <w:p w14:paraId="30223322">
          <w:pPr>
            <w:pStyle w:val="12"/>
            <w:tabs>
              <w:tab w:val="right" w:leader="dot" w:pos="8296"/>
            </w:tabs>
            <w:spacing w:line="360" w:lineRule="auto"/>
            <w:rPr>
              <w:rFonts w:hint="eastAsia" w:ascii="宋体" w:hAnsi="宋体" w:cstheme="minorBidi"/>
              <w:sz w:val="24"/>
              <w14:ligatures w14:val="standardContextual"/>
            </w:rPr>
          </w:pPr>
          <w:r>
            <w:fldChar w:fldCharType="begin"/>
          </w:r>
          <w:r>
            <w:instrText xml:space="preserve"> HYPERLINK \l "_Toc174629905" </w:instrText>
          </w:r>
          <w:r>
            <w:fldChar w:fldCharType="separate"/>
          </w:r>
          <w:r>
            <w:rPr>
              <w:rStyle w:val="20"/>
              <w:rFonts w:hint="eastAsia" w:ascii="宋体" w:hAnsi="宋体"/>
              <w:sz w:val="24"/>
              <w:szCs w:val="24"/>
            </w:rPr>
            <w:t xml:space="preserve">4.7 </w:t>
          </w:r>
          <w:r>
            <w:rPr>
              <w:rStyle w:val="20"/>
              <w:rFonts w:hint="eastAsia" w:ascii="宋体" w:hAnsi="宋体" w:cs="宋体"/>
              <w:sz w:val="24"/>
              <w:szCs w:val="24"/>
            </w:rPr>
            <w:t>组织管理模式</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_Toc174629905 \h</w:instrText>
          </w:r>
          <w:r>
            <w:rPr>
              <w:rFonts w:hint="eastAsia" w:ascii="宋体" w:hAnsi="宋体"/>
              <w:sz w:val="24"/>
            </w:rPr>
            <w:instrText xml:space="preserve"> </w:instrText>
          </w:r>
          <w:r>
            <w:rPr>
              <w:rFonts w:hint="eastAsia" w:ascii="宋体" w:hAnsi="宋体"/>
              <w:sz w:val="24"/>
            </w:rPr>
            <w:fldChar w:fldCharType="separate"/>
          </w:r>
          <w:r>
            <w:rPr>
              <w:rFonts w:hint="eastAsia" w:ascii="宋体" w:hAnsi="宋体"/>
              <w:sz w:val="24"/>
            </w:rPr>
            <w:t>19</w:t>
          </w:r>
          <w:r>
            <w:rPr>
              <w:rFonts w:hint="eastAsia" w:ascii="宋体" w:hAnsi="宋体"/>
              <w:sz w:val="24"/>
            </w:rPr>
            <w:fldChar w:fldCharType="end"/>
          </w:r>
          <w:r>
            <w:rPr>
              <w:rFonts w:hint="eastAsia" w:ascii="宋体" w:hAnsi="宋体"/>
              <w:sz w:val="24"/>
            </w:rPr>
            <w:fldChar w:fldCharType="end"/>
          </w:r>
        </w:p>
        <w:p w14:paraId="2B10669C">
          <w:pPr>
            <w:pStyle w:val="12"/>
            <w:tabs>
              <w:tab w:val="right" w:leader="dot" w:pos="8296"/>
            </w:tabs>
            <w:spacing w:line="360" w:lineRule="auto"/>
            <w:rPr>
              <w:rFonts w:hint="eastAsia" w:ascii="宋体" w:hAnsi="宋体" w:cstheme="minorBidi"/>
              <w:sz w:val="24"/>
              <w14:ligatures w14:val="standardContextual"/>
            </w:rPr>
          </w:pPr>
          <w:r>
            <w:fldChar w:fldCharType="begin"/>
          </w:r>
          <w:r>
            <w:instrText xml:space="preserve"> HYPERLINK \l "_Toc174629906" </w:instrText>
          </w:r>
          <w:r>
            <w:fldChar w:fldCharType="separate"/>
          </w:r>
          <w:r>
            <w:rPr>
              <w:rStyle w:val="20"/>
              <w:rFonts w:hint="eastAsia" w:ascii="宋体" w:hAnsi="宋体"/>
              <w:sz w:val="24"/>
              <w:szCs w:val="24"/>
            </w:rPr>
            <w:t>4.8 碳计算与绿色建筑</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_Toc174629906 \h</w:instrText>
          </w:r>
          <w:r>
            <w:rPr>
              <w:rFonts w:hint="eastAsia" w:ascii="宋体" w:hAnsi="宋体"/>
              <w:sz w:val="24"/>
            </w:rPr>
            <w:instrText xml:space="preserve"> </w:instrText>
          </w:r>
          <w:r>
            <w:rPr>
              <w:rFonts w:hint="eastAsia" w:ascii="宋体" w:hAnsi="宋体"/>
              <w:sz w:val="24"/>
            </w:rPr>
            <w:fldChar w:fldCharType="separate"/>
          </w:r>
          <w:r>
            <w:rPr>
              <w:rFonts w:hint="eastAsia" w:ascii="宋体" w:hAnsi="宋体"/>
              <w:sz w:val="24"/>
            </w:rPr>
            <w:t>20</w:t>
          </w:r>
          <w:r>
            <w:rPr>
              <w:rFonts w:hint="eastAsia" w:ascii="宋体" w:hAnsi="宋体"/>
              <w:sz w:val="24"/>
            </w:rPr>
            <w:fldChar w:fldCharType="end"/>
          </w:r>
          <w:r>
            <w:rPr>
              <w:rFonts w:hint="eastAsia" w:ascii="宋体" w:hAnsi="宋体"/>
              <w:sz w:val="24"/>
            </w:rPr>
            <w:fldChar w:fldCharType="end"/>
          </w:r>
        </w:p>
        <w:p w14:paraId="2F3D3E8C">
          <w:pPr>
            <w:pStyle w:val="11"/>
            <w:tabs>
              <w:tab w:val="left" w:pos="420"/>
              <w:tab w:val="right" w:leader="dot" w:pos="8296"/>
            </w:tabs>
            <w:spacing w:line="360" w:lineRule="auto"/>
            <w:rPr>
              <w:rFonts w:hint="eastAsia" w:ascii="宋体" w:hAnsi="宋体" w:cstheme="minorBidi"/>
              <w:sz w:val="24"/>
              <w14:ligatures w14:val="standardContextual"/>
            </w:rPr>
          </w:pPr>
          <w:r>
            <w:fldChar w:fldCharType="begin"/>
          </w:r>
          <w:r>
            <w:instrText xml:space="preserve"> HYPERLINK \l "_Toc174629907" </w:instrText>
          </w:r>
          <w:r>
            <w:fldChar w:fldCharType="separate"/>
          </w:r>
          <w:r>
            <w:rPr>
              <w:rStyle w:val="20"/>
              <w:rFonts w:hint="eastAsia" w:ascii="宋体" w:hAnsi="宋体"/>
              <w:sz w:val="24"/>
              <w:szCs w:val="24"/>
            </w:rPr>
            <w:t>5</w:t>
          </w:r>
          <w:r>
            <w:rPr>
              <w:rFonts w:hint="eastAsia" w:ascii="宋体" w:hAnsi="宋体" w:cstheme="minorBidi"/>
              <w:sz w:val="24"/>
              <w14:ligatures w14:val="standardContextual"/>
            </w:rPr>
            <w:tab/>
          </w:r>
          <w:r>
            <w:rPr>
              <w:rStyle w:val="20"/>
              <w:rFonts w:hint="eastAsia" w:ascii="宋体" w:hAnsi="宋体" w:cs="宋体"/>
              <w:sz w:val="24"/>
              <w:szCs w:val="24"/>
            </w:rPr>
            <w:t>评价等级划分</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_Toc174629907 \h</w:instrText>
          </w:r>
          <w:r>
            <w:rPr>
              <w:rFonts w:hint="eastAsia" w:ascii="宋体" w:hAnsi="宋体"/>
              <w:sz w:val="24"/>
            </w:rPr>
            <w:instrText xml:space="preserve"> </w:instrText>
          </w:r>
          <w:r>
            <w:rPr>
              <w:rFonts w:hint="eastAsia" w:ascii="宋体" w:hAnsi="宋体"/>
              <w:sz w:val="24"/>
            </w:rPr>
            <w:fldChar w:fldCharType="separate"/>
          </w:r>
          <w:r>
            <w:rPr>
              <w:rFonts w:hint="eastAsia" w:ascii="宋体" w:hAnsi="宋体"/>
              <w:sz w:val="24"/>
            </w:rPr>
            <w:t>21</w:t>
          </w:r>
          <w:r>
            <w:rPr>
              <w:rFonts w:hint="eastAsia" w:ascii="宋体" w:hAnsi="宋体"/>
              <w:sz w:val="24"/>
            </w:rPr>
            <w:fldChar w:fldCharType="end"/>
          </w:r>
          <w:r>
            <w:rPr>
              <w:rFonts w:hint="eastAsia" w:ascii="宋体" w:hAnsi="宋体"/>
              <w:sz w:val="24"/>
            </w:rPr>
            <w:fldChar w:fldCharType="end"/>
          </w:r>
        </w:p>
        <w:p w14:paraId="5B954C76">
          <w:pPr>
            <w:pStyle w:val="11"/>
            <w:tabs>
              <w:tab w:val="right" w:leader="dot" w:pos="8296"/>
            </w:tabs>
            <w:spacing w:line="360" w:lineRule="auto"/>
            <w:rPr>
              <w:rFonts w:hint="eastAsia" w:ascii="宋体" w:hAnsi="宋体" w:cstheme="minorBidi"/>
              <w:sz w:val="24"/>
              <w14:ligatures w14:val="standardContextual"/>
            </w:rPr>
          </w:pPr>
          <w:r>
            <w:fldChar w:fldCharType="begin"/>
          </w:r>
          <w:r>
            <w:instrText xml:space="preserve"> HYPERLINK \l "_Toc174629908" </w:instrText>
          </w:r>
          <w:r>
            <w:fldChar w:fldCharType="separate"/>
          </w:r>
          <w:r>
            <w:rPr>
              <w:rStyle w:val="20"/>
              <w:rFonts w:hint="eastAsia" w:ascii="宋体" w:hAnsi="宋体" w:cs="宋体"/>
              <w:sz w:val="24"/>
              <w:szCs w:val="24"/>
            </w:rPr>
            <w:t>本评价指南用词说明</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_Toc174629908 \h</w:instrText>
          </w:r>
          <w:r>
            <w:rPr>
              <w:rFonts w:hint="eastAsia" w:ascii="宋体" w:hAnsi="宋体"/>
              <w:sz w:val="24"/>
            </w:rPr>
            <w:instrText xml:space="preserve"> </w:instrText>
          </w:r>
          <w:r>
            <w:rPr>
              <w:rFonts w:hint="eastAsia" w:ascii="宋体" w:hAnsi="宋体"/>
              <w:sz w:val="24"/>
            </w:rPr>
            <w:fldChar w:fldCharType="separate"/>
          </w:r>
          <w:r>
            <w:rPr>
              <w:rFonts w:hint="eastAsia" w:ascii="宋体" w:hAnsi="宋体"/>
              <w:sz w:val="24"/>
            </w:rPr>
            <w:t>22</w:t>
          </w:r>
          <w:r>
            <w:rPr>
              <w:rFonts w:hint="eastAsia" w:ascii="宋体" w:hAnsi="宋体"/>
              <w:sz w:val="24"/>
            </w:rPr>
            <w:fldChar w:fldCharType="end"/>
          </w:r>
          <w:r>
            <w:rPr>
              <w:rFonts w:hint="eastAsia" w:ascii="宋体" w:hAnsi="宋体"/>
              <w:sz w:val="24"/>
            </w:rPr>
            <w:fldChar w:fldCharType="end"/>
          </w:r>
        </w:p>
        <w:p w14:paraId="09A32F46">
          <w:pPr>
            <w:pStyle w:val="11"/>
            <w:tabs>
              <w:tab w:val="right" w:leader="dot" w:pos="8296"/>
            </w:tabs>
            <w:spacing w:line="360" w:lineRule="auto"/>
            <w:rPr>
              <w:rFonts w:hint="eastAsia" w:ascii="宋体" w:hAnsi="宋体" w:cstheme="minorBidi"/>
              <w:sz w:val="24"/>
              <w14:ligatures w14:val="standardContextual"/>
            </w:rPr>
          </w:pPr>
          <w:r>
            <w:fldChar w:fldCharType="begin"/>
          </w:r>
          <w:r>
            <w:instrText xml:space="preserve"> HYPERLINK \l "_Toc174629909" </w:instrText>
          </w:r>
          <w:r>
            <w:fldChar w:fldCharType="separate"/>
          </w:r>
          <w:r>
            <w:rPr>
              <w:rStyle w:val="20"/>
              <w:rFonts w:hint="eastAsia" w:ascii="宋体" w:hAnsi="宋体" w:cs="宋体"/>
              <w:sz w:val="24"/>
              <w:szCs w:val="24"/>
            </w:rPr>
            <w:t>引用标准名录</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_Toc174629909 \h</w:instrText>
          </w:r>
          <w:r>
            <w:rPr>
              <w:rFonts w:hint="eastAsia" w:ascii="宋体" w:hAnsi="宋体"/>
              <w:sz w:val="24"/>
            </w:rPr>
            <w:instrText xml:space="preserve"> </w:instrText>
          </w:r>
          <w:r>
            <w:rPr>
              <w:rFonts w:hint="eastAsia" w:ascii="宋体" w:hAnsi="宋体"/>
              <w:sz w:val="24"/>
            </w:rPr>
            <w:fldChar w:fldCharType="separate"/>
          </w:r>
          <w:r>
            <w:rPr>
              <w:rFonts w:hint="eastAsia" w:ascii="宋体" w:hAnsi="宋体"/>
              <w:sz w:val="24"/>
            </w:rPr>
            <w:t>23</w:t>
          </w:r>
          <w:r>
            <w:rPr>
              <w:rFonts w:hint="eastAsia" w:ascii="宋体" w:hAnsi="宋体"/>
              <w:sz w:val="24"/>
            </w:rPr>
            <w:fldChar w:fldCharType="end"/>
          </w:r>
          <w:r>
            <w:rPr>
              <w:rFonts w:hint="eastAsia" w:ascii="宋体" w:hAnsi="宋体"/>
              <w:sz w:val="24"/>
            </w:rPr>
            <w:fldChar w:fldCharType="end"/>
          </w:r>
        </w:p>
        <w:p w14:paraId="68C5C689">
          <w:pPr>
            <w:spacing w:line="360" w:lineRule="auto"/>
            <w:rPr>
              <w:rFonts w:hint="eastAsia" w:ascii="宋体" w:hAnsi="宋体" w:eastAsia="宋体"/>
              <w:sz w:val="24"/>
            </w:rPr>
          </w:pPr>
          <w:r>
            <w:rPr>
              <w:rFonts w:ascii="宋体" w:hAnsi="宋体" w:eastAsia="宋体"/>
              <w:b/>
              <w:bCs/>
              <w:sz w:val="24"/>
              <w:lang w:val="zh-CN"/>
            </w:rPr>
            <w:fldChar w:fldCharType="end"/>
          </w:r>
        </w:p>
      </w:sdtContent>
    </w:sdt>
    <w:bookmarkEnd w:id="28"/>
    <w:bookmarkEnd w:id="29"/>
    <w:p w14:paraId="69670E0B">
      <w:pPr>
        <w:ind w:firstLine="420"/>
      </w:pPr>
    </w:p>
    <w:p w14:paraId="3192BB9A">
      <w:pPr>
        <w:widowControl/>
        <w:ind w:firstLine="420"/>
        <w:jc w:val="left"/>
        <w:rPr>
          <w:rFonts w:ascii="Times New Roman" w:hAnsi="Times New Roman" w:eastAsia="宋体" w:cs="Times New Roman"/>
          <w:lang w:bidi="ar"/>
        </w:rPr>
      </w:pPr>
      <w:r>
        <w:rPr>
          <w:rFonts w:ascii="Times New Roman" w:hAnsi="Times New Roman" w:eastAsia="宋体" w:cs="Times New Roman"/>
          <w:lang w:bidi="ar"/>
        </w:rPr>
        <w:br w:type="page"/>
      </w:r>
    </w:p>
    <w:p w14:paraId="588EA3FA">
      <w:pPr>
        <w:spacing w:line="360" w:lineRule="auto"/>
        <w:ind w:firstLine="643"/>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Contents</w:t>
      </w:r>
    </w:p>
    <w:p w14:paraId="3252C2D3">
      <w:pPr>
        <w:tabs>
          <w:tab w:val="left" w:pos="440"/>
          <w:tab w:val="right" w:leader="dot" w:pos="8296"/>
        </w:tabs>
        <w:spacing w:line="360" w:lineRule="auto"/>
        <w:ind w:firstLine="560"/>
        <w:rPr>
          <w:rFonts w:hint="eastAsia" w:ascii="等线" w:hAnsi="等线" w:eastAsia="等线" w:cs="Times New Roman"/>
          <w:sz w:val="24"/>
          <w14:ligatures w14:val="standardContextual"/>
        </w:rPr>
      </w:pPr>
      <w:r>
        <w:fldChar w:fldCharType="begin"/>
      </w:r>
      <w:r>
        <w:instrText xml:space="preserve"> HYPERLINK \l "_Toc166138932" </w:instrText>
      </w:r>
      <w:r>
        <w:fldChar w:fldCharType="separate"/>
      </w:r>
      <w:r>
        <w:rPr>
          <w:rFonts w:ascii="Times New Roman" w:hAnsi="Times New Roman" w:eastAsia="宋体" w:cs="Times New Roman"/>
          <w:color w:val="666666"/>
          <w:sz w:val="24"/>
        </w:rPr>
        <w:t>1</w:t>
      </w:r>
      <w:r>
        <w:rPr>
          <w:rFonts w:hint="eastAsia" w:ascii="Times New Roman" w:hAnsi="Times New Roman" w:eastAsia="宋体" w:cs="Times New Roman"/>
          <w:color w:val="666666"/>
          <w:sz w:val="24"/>
        </w:rPr>
        <w:t xml:space="preserve"> </w:t>
      </w:r>
      <w:r>
        <w:rPr>
          <w:rFonts w:ascii="Times New Roman" w:hAnsi="Times New Roman" w:eastAsia="宋体" w:cs="Times New Roman"/>
          <w:color w:val="666666"/>
          <w:sz w:val="24"/>
        </w:rPr>
        <w:t>General</w:t>
      </w:r>
      <w:r>
        <w:rPr>
          <w:rFonts w:hint="eastAsia" w:ascii="Times New Roman" w:hAnsi="Times New Roman" w:eastAsia="宋体" w:cs="Times New Roman"/>
          <w:color w:val="666666"/>
          <w:sz w:val="24"/>
        </w:rPr>
        <w:t>P</w:t>
      </w:r>
      <w:r>
        <w:rPr>
          <w:rFonts w:ascii="Times New Roman" w:hAnsi="Times New Roman" w:eastAsia="宋体" w:cs="Times New Roman"/>
          <w:color w:val="666666"/>
          <w:sz w:val="24"/>
        </w:rPr>
        <w:t>rovisions</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_Toc166138932 \h </w:instrText>
      </w:r>
      <w:r>
        <w:rPr>
          <w:rFonts w:ascii="Times New Roman" w:hAnsi="Times New Roman" w:eastAsia="宋体" w:cs="Times New Roman"/>
          <w:sz w:val="24"/>
        </w:rPr>
        <w:fldChar w:fldCharType="separate"/>
      </w:r>
      <w:r>
        <w:rPr>
          <w:rFonts w:ascii="Times New Roman" w:hAnsi="Times New Roman" w:eastAsia="宋体" w:cs="Times New Roman"/>
          <w:sz w:val="24"/>
        </w:rPr>
        <w:t>1</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2C08E528">
      <w:pPr>
        <w:tabs>
          <w:tab w:val="left" w:pos="440"/>
          <w:tab w:val="right" w:leader="dot" w:pos="8296"/>
        </w:tabs>
        <w:spacing w:line="360" w:lineRule="auto"/>
        <w:ind w:firstLine="560"/>
        <w:rPr>
          <w:rFonts w:hint="eastAsia" w:ascii="等线" w:hAnsi="等线" w:eastAsia="等线" w:cs="Times New Roman"/>
          <w:sz w:val="24"/>
          <w14:ligatures w14:val="standardContextual"/>
        </w:rPr>
      </w:pPr>
      <w:r>
        <w:fldChar w:fldCharType="begin"/>
      </w:r>
      <w:r>
        <w:instrText xml:space="preserve"> HYPERLINK \l "_Toc166138933" </w:instrText>
      </w:r>
      <w:r>
        <w:fldChar w:fldCharType="separate"/>
      </w:r>
      <w:r>
        <w:rPr>
          <w:rFonts w:ascii="Times New Roman" w:hAnsi="Times New Roman" w:eastAsia="宋体" w:cs="Times New Roman"/>
          <w:color w:val="666666"/>
          <w:sz w:val="24"/>
        </w:rPr>
        <w:t>2</w:t>
      </w:r>
      <w:r>
        <w:rPr>
          <w:rFonts w:hint="eastAsia" w:ascii="Times New Roman" w:hAnsi="Times New Roman" w:eastAsia="宋体" w:cs="Times New Roman"/>
          <w:color w:val="666666"/>
          <w:sz w:val="24"/>
        </w:rPr>
        <w:t xml:space="preserve"> T</w:t>
      </w:r>
      <w:r>
        <w:rPr>
          <w:rFonts w:ascii="Times New Roman" w:hAnsi="Times New Roman" w:eastAsia="宋体" w:cs="Times New Roman"/>
          <w:color w:val="666666"/>
          <w:sz w:val="24"/>
        </w:rPr>
        <w:t>erms</w:t>
      </w:r>
      <w:r>
        <w:rPr>
          <w:rFonts w:ascii="Times New Roman" w:hAnsi="Times New Roman" w:eastAsia="宋体" w:cs="Times New Roman"/>
          <w:sz w:val="24"/>
        </w:rPr>
        <w:tab/>
      </w:r>
      <w:r>
        <w:rPr>
          <w:rFonts w:hint="eastAsia" w:ascii="Times New Roman" w:hAnsi="Times New Roman" w:eastAsia="宋体" w:cs="Times New Roman"/>
          <w:sz w:val="24"/>
        </w:rPr>
        <w:t>2</w:t>
      </w:r>
      <w:r>
        <w:rPr>
          <w:rFonts w:hint="eastAsia" w:ascii="Times New Roman" w:hAnsi="Times New Roman" w:eastAsia="宋体" w:cs="Times New Roman"/>
          <w:sz w:val="24"/>
        </w:rPr>
        <w:fldChar w:fldCharType="end"/>
      </w:r>
    </w:p>
    <w:p w14:paraId="6C4BF477">
      <w:pPr>
        <w:tabs>
          <w:tab w:val="left" w:pos="440"/>
          <w:tab w:val="right" w:leader="dot" w:pos="8296"/>
        </w:tabs>
        <w:spacing w:line="360" w:lineRule="auto"/>
        <w:ind w:firstLine="560"/>
        <w:rPr>
          <w:rFonts w:hint="eastAsia" w:ascii="等线" w:hAnsi="等线" w:eastAsia="等线" w:cs="Times New Roman"/>
          <w:sz w:val="24"/>
          <w14:ligatures w14:val="standardContextual"/>
        </w:rPr>
      </w:pPr>
      <w:r>
        <w:fldChar w:fldCharType="begin"/>
      </w:r>
      <w:r>
        <w:instrText xml:space="preserve"> HYPERLINK \l "_Toc166138934" </w:instrText>
      </w:r>
      <w:r>
        <w:fldChar w:fldCharType="separate"/>
      </w:r>
      <w:r>
        <w:rPr>
          <w:rFonts w:ascii="Times New Roman" w:hAnsi="Times New Roman" w:eastAsia="宋体" w:cs="Times New Roman"/>
          <w:color w:val="666666"/>
          <w:sz w:val="24"/>
        </w:rPr>
        <w:t>3</w:t>
      </w:r>
      <w:r>
        <w:rPr>
          <w:rFonts w:hint="eastAsia" w:ascii="Times New Roman" w:hAnsi="Times New Roman" w:eastAsia="宋体" w:cs="Times New Roman"/>
          <w:color w:val="666666"/>
          <w:sz w:val="24"/>
        </w:rPr>
        <w:t xml:space="preserve"> BasicRegulations</w:t>
      </w:r>
      <w:r>
        <w:rPr>
          <w:rFonts w:ascii="Times New Roman" w:hAnsi="Times New Roman" w:eastAsia="宋体" w:cs="Times New Roman"/>
          <w:sz w:val="24"/>
        </w:rPr>
        <w:tab/>
      </w:r>
      <w:r>
        <w:rPr>
          <w:rFonts w:hint="eastAsia" w:ascii="Times New Roman" w:hAnsi="Times New Roman" w:eastAsia="宋体" w:cs="Times New Roman"/>
          <w:sz w:val="24"/>
        </w:rPr>
        <w:t>4</w:t>
      </w:r>
      <w:r>
        <w:rPr>
          <w:rFonts w:hint="eastAsia" w:ascii="Times New Roman" w:hAnsi="Times New Roman" w:eastAsia="宋体" w:cs="Times New Roman"/>
          <w:sz w:val="24"/>
        </w:rPr>
        <w:fldChar w:fldCharType="end"/>
      </w:r>
    </w:p>
    <w:p w14:paraId="38EE5744">
      <w:pPr>
        <w:tabs>
          <w:tab w:val="left" w:pos="440"/>
          <w:tab w:val="right" w:leader="dot" w:pos="8296"/>
        </w:tabs>
        <w:spacing w:line="360" w:lineRule="auto"/>
        <w:ind w:firstLine="560"/>
        <w:rPr>
          <w:rFonts w:hint="eastAsia" w:ascii="等线" w:hAnsi="等线" w:eastAsia="等线" w:cs="Times New Roman"/>
          <w:sz w:val="24"/>
          <w14:ligatures w14:val="standardContextual"/>
        </w:rPr>
      </w:pPr>
      <w:r>
        <w:fldChar w:fldCharType="begin"/>
      </w:r>
      <w:r>
        <w:instrText xml:space="preserve"> HYPERLINK \l "_Toc166138935" </w:instrText>
      </w:r>
      <w:r>
        <w:fldChar w:fldCharType="separate"/>
      </w:r>
      <w:r>
        <w:rPr>
          <w:rFonts w:ascii="Times New Roman" w:hAnsi="Times New Roman" w:eastAsia="宋体" w:cs="Times New Roman"/>
          <w:color w:val="666666"/>
          <w:sz w:val="24"/>
        </w:rPr>
        <w:t>4</w:t>
      </w:r>
      <w:r>
        <w:t xml:space="preserve"> </w:t>
      </w:r>
      <w:r>
        <w:rPr>
          <w:rFonts w:ascii="Times New Roman" w:hAnsi="Times New Roman" w:eastAsia="宋体" w:cs="Times New Roman"/>
          <w:color w:val="666666"/>
          <w:sz w:val="24"/>
        </w:rPr>
        <w:t>Calculation of the industrialization rate of project buildings</w:t>
      </w:r>
      <w:r>
        <w:rPr>
          <w:rFonts w:ascii="Times New Roman" w:hAnsi="Times New Roman" w:eastAsia="宋体" w:cs="Times New Roman"/>
          <w:sz w:val="24"/>
        </w:rPr>
        <w:tab/>
      </w:r>
      <w:r>
        <w:rPr>
          <w:rFonts w:hint="eastAsia" w:ascii="Times New Roman" w:hAnsi="Times New Roman" w:eastAsia="宋体" w:cs="Times New Roman"/>
          <w:sz w:val="24"/>
        </w:rPr>
        <w:t>5</w:t>
      </w:r>
      <w:r>
        <w:rPr>
          <w:rFonts w:hint="eastAsia" w:ascii="Times New Roman" w:hAnsi="Times New Roman" w:eastAsia="宋体" w:cs="Times New Roman"/>
          <w:sz w:val="24"/>
        </w:rPr>
        <w:fldChar w:fldCharType="end"/>
      </w:r>
    </w:p>
    <w:p w14:paraId="2A96A40C">
      <w:pPr>
        <w:tabs>
          <w:tab w:val="right" w:leader="dot" w:pos="8296"/>
        </w:tabs>
        <w:spacing w:line="360" w:lineRule="auto"/>
        <w:ind w:left="420" w:leftChars="200" w:firstLine="560"/>
        <w:rPr>
          <w:rFonts w:hint="eastAsia" w:ascii="等线" w:hAnsi="等线" w:eastAsia="等线" w:cs="Times New Roman"/>
          <w:sz w:val="24"/>
          <w14:ligatures w14:val="standardContextual"/>
        </w:rPr>
      </w:pPr>
      <w:r>
        <w:fldChar w:fldCharType="begin"/>
      </w:r>
      <w:r>
        <w:instrText xml:space="preserve"> HYPERLINK \l "_Toc166138936" </w:instrText>
      </w:r>
      <w:r>
        <w:fldChar w:fldCharType="separate"/>
      </w:r>
      <w:r>
        <w:rPr>
          <w:rFonts w:ascii="Times New Roman" w:hAnsi="Times New Roman" w:eastAsia="宋体" w:cs="Times New Roman"/>
          <w:color w:val="666666"/>
          <w:sz w:val="24"/>
        </w:rPr>
        <w:t>4.1 Calculation formula and scoring table</w:t>
      </w:r>
      <w:r>
        <w:rPr>
          <w:rFonts w:ascii="Times New Roman" w:hAnsi="Times New Roman" w:eastAsia="宋体" w:cs="Times New Roman"/>
          <w:sz w:val="24"/>
        </w:rPr>
        <w:tab/>
      </w:r>
      <w:r>
        <w:rPr>
          <w:rFonts w:hint="eastAsia" w:ascii="Times New Roman" w:hAnsi="Times New Roman" w:eastAsia="宋体" w:cs="Times New Roman"/>
          <w:sz w:val="24"/>
        </w:rPr>
        <w:t>5</w:t>
      </w:r>
      <w:r>
        <w:rPr>
          <w:rFonts w:hint="eastAsia" w:ascii="Times New Roman" w:hAnsi="Times New Roman" w:eastAsia="宋体" w:cs="Times New Roman"/>
          <w:sz w:val="24"/>
        </w:rPr>
        <w:fldChar w:fldCharType="end"/>
      </w:r>
    </w:p>
    <w:p w14:paraId="702019C0">
      <w:pPr>
        <w:tabs>
          <w:tab w:val="right" w:leader="dot" w:pos="8296"/>
        </w:tabs>
        <w:spacing w:line="360" w:lineRule="auto"/>
        <w:ind w:left="420" w:leftChars="200" w:firstLine="560"/>
        <w:rPr>
          <w:rFonts w:hint="eastAsia" w:ascii="等线" w:hAnsi="等线" w:eastAsia="等线" w:cs="Times New Roman"/>
          <w:sz w:val="24"/>
          <w14:ligatures w14:val="standardContextual"/>
        </w:rPr>
      </w:pPr>
      <w:r>
        <w:fldChar w:fldCharType="begin"/>
      </w:r>
      <w:r>
        <w:instrText xml:space="preserve"> HYPERLINK \l "_Toc166138937" </w:instrText>
      </w:r>
      <w:r>
        <w:fldChar w:fldCharType="separate"/>
      </w:r>
      <w:r>
        <w:rPr>
          <w:rFonts w:ascii="Times New Roman" w:hAnsi="Times New Roman" w:eastAsia="宋体" w:cs="Times New Roman"/>
          <w:color w:val="666666"/>
          <w:sz w:val="24"/>
        </w:rPr>
        <w:t>4.2 assembled building</w:t>
      </w:r>
      <w:r>
        <w:rPr>
          <w:rFonts w:ascii="Times New Roman" w:hAnsi="Times New Roman" w:eastAsia="宋体" w:cs="Times New Roman"/>
          <w:sz w:val="24"/>
        </w:rPr>
        <w:tab/>
      </w:r>
      <w:r>
        <w:rPr>
          <w:rFonts w:hint="eastAsia" w:ascii="Times New Roman" w:hAnsi="Times New Roman" w:eastAsia="宋体" w:cs="Times New Roman"/>
          <w:sz w:val="24"/>
        </w:rPr>
        <w:t>9</w:t>
      </w:r>
      <w:r>
        <w:rPr>
          <w:rFonts w:hint="eastAsia" w:ascii="Times New Roman" w:hAnsi="Times New Roman" w:eastAsia="宋体" w:cs="Times New Roman"/>
          <w:sz w:val="24"/>
        </w:rPr>
        <w:fldChar w:fldCharType="end"/>
      </w:r>
    </w:p>
    <w:p w14:paraId="1A88E033">
      <w:pPr>
        <w:tabs>
          <w:tab w:val="right" w:leader="dot" w:pos="8296"/>
        </w:tabs>
        <w:spacing w:line="360" w:lineRule="auto"/>
        <w:ind w:left="420" w:leftChars="200" w:firstLine="560"/>
        <w:rPr>
          <w:rFonts w:hint="eastAsia" w:ascii="等线" w:hAnsi="等线" w:eastAsia="等线" w:cs="Times New Roman"/>
          <w:sz w:val="24"/>
          <w14:ligatures w14:val="standardContextual"/>
        </w:rPr>
      </w:pPr>
      <w:r>
        <w:fldChar w:fldCharType="begin"/>
      </w:r>
      <w:r>
        <w:instrText xml:space="preserve"> HYPERLINK \l "_Toc166138938" </w:instrText>
      </w:r>
      <w:r>
        <w:fldChar w:fldCharType="separate"/>
      </w:r>
      <w:r>
        <w:rPr>
          <w:rFonts w:ascii="Times New Roman" w:hAnsi="Times New Roman" w:eastAsia="宋体" w:cs="Times New Roman"/>
          <w:color w:val="666666"/>
          <w:sz w:val="24"/>
        </w:rPr>
        <w:t>4.3 Systematic and integrated design</w:t>
      </w:r>
      <w:r>
        <w:rPr>
          <w:rFonts w:ascii="Times New Roman" w:hAnsi="Times New Roman" w:eastAsia="宋体" w:cs="Times New Roman"/>
          <w:sz w:val="24"/>
        </w:rPr>
        <w:tab/>
      </w:r>
      <w:r>
        <w:rPr>
          <w:rFonts w:hint="eastAsia" w:ascii="Times New Roman" w:hAnsi="Times New Roman" w:eastAsia="宋体" w:cs="Times New Roman"/>
          <w:sz w:val="24"/>
        </w:rPr>
        <w:t>12</w:t>
      </w:r>
      <w:r>
        <w:rPr>
          <w:rFonts w:hint="eastAsia" w:ascii="Times New Roman" w:hAnsi="Times New Roman" w:eastAsia="宋体" w:cs="Times New Roman"/>
          <w:sz w:val="24"/>
        </w:rPr>
        <w:fldChar w:fldCharType="end"/>
      </w:r>
    </w:p>
    <w:p w14:paraId="100DCB56">
      <w:pPr>
        <w:tabs>
          <w:tab w:val="right" w:leader="dot" w:pos="8296"/>
        </w:tabs>
        <w:spacing w:line="360" w:lineRule="auto"/>
        <w:ind w:left="420" w:leftChars="200" w:firstLine="560"/>
        <w:rPr>
          <w:rFonts w:hint="eastAsia" w:ascii="等线" w:hAnsi="等线" w:eastAsia="等线" w:cs="Times New Roman"/>
          <w:sz w:val="24"/>
          <w14:ligatures w14:val="standardContextual"/>
        </w:rPr>
      </w:pPr>
      <w:r>
        <w:fldChar w:fldCharType="begin"/>
      </w:r>
      <w:r>
        <w:instrText xml:space="preserve"> HYPERLINK \l "_Toc166138939" </w:instrText>
      </w:r>
      <w:r>
        <w:fldChar w:fldCharType="separate"/>
      </w:r>
      <w:r>
        <w:rPr>
          <w:rFonts w:ascii="Times New Roman" w:hAnsi="Times New Roman" w:eastAsia="宋体" w:cs="Times New Roman"/>
          <w:color w:val="666666"/>
          <w:sz w:val="24"/>
        </w:rPr>
        <w:t>4.4 Production of elements and component parts</w:t>
      </w:r>
      <w:r>
        <w:rPr>
          <w:rFonts w:ascii="Times New Roman" w:hAnsi="Times New Roman" w:eastAsia="宋体" w:cs="Times New Roman"/>
          <w:sz w:val="24"/>
        </w:rPr>
        <w:tab/>
      </w:r>
      <w:r>
        <w:rPr>
          <w:rFonts w:hint="eastAsia" w:ascii="Times New Roman" w:hAnsi="Times New Roman" w:eastAsia="宋体" w:cs="Times New Roman"/>
          <w:sz w:val="24"/>
        </w:rPr>
        <w:t>15</w:t>
      </w:r>
      <w:r>
        <w:rPr>
          <w:rFonts w:hint="eastAsia" w:ascii="Times New Roman" w:hAnsi="Times New Roman" w:eastAsia="宋体" w:cs="Times New Roman"/>
          <w:sz w:val="24"/>
        </w:rPr>
        <w:fldChar w:fldCharType="end"/>
      </w:r>
    </w:p>
    <w:p w14:paraId="7C3E6EAA">
      <w:pPr>
        <w:tabs>
          <w:tab w:val="right" w:leader="dot" w:pos="8296"/>
        </w:tabs>
        <w:spacing w:line="360" w:lineRule="auto"/>
        <w:ind w:left="630" w:leftChars="300" w:firstLine="210" w:firstLineChars="100"/>
        <w:rPr>
          <w:rFonts w:hint="eastAsia" w:ascii="等线" w:hAnsi="等线" w:eastAsia="等线" w:cs="Times New Roman"/>
          <w:sz w:val="24"/>
          <w14:ligatures w14:val="standardContextual"/>
        </w:rPr>
      </w:pPr>
      <w:r>
        <w:fldChar w:fldCharType="begin"/>
      </w:r>
      <w:r>
        <w:instrText xml:space="preserve"> HYPERLINK \l "_Toc166138940" </w:instrText>
      </w:r>
      <w:r>
        <w:fldChar w:fldCharType="separate"/>
      </w:r>
      <w:r>
        <w:rPr>
          <w:rFonts w:ascii="Times New Roman" w:hAnsi="Times New Roman" w:eastAsia="宋体" w:cs="Times New Roman"/>
          <w:color w:val="666666"/>
          <w:sz w:val="24"/>
        </w:rPr>
        <w:t>4.5 Lean Construction</w:t>
      </w:r>
      <w:r>
        <w:rPr>
          <w:rFonts w:ascii="Times New Roman" w:hAnsi="Times New Roman" w:eastAsia="宋体" w:cs="Times New Roman"/>
          <w:sz w:val="24"/>
        </w:rPr>
        <w:tab/>
      </w:r>
      <w:r>
        <w:rPr>
          <w:rFonts w:hint="eastAsia" w:ascii="Times New Roman" w:hAnsi="Times New Roman" w:eastAsia="宋体" w:cs="Times New Roman"/>
          <w:sz w:val="24"/>
        </w:rPr>
        <w:t>16</w:t>
      </w:r>
      <w:r>
        <w:rPr>
          <w:rFonts w:hint="eastAsia" w:ascii="Times New Roman" w:hAnsi="Times New Roman" w:eastAsia="宋体" w:cs="Times New Roman"/>
          <w:sz w:val="24"/>
        </w:rPr>
        <w:fldChar w:fldCharType="end"/>
      </w:r>
    </w:p>
    <w:p w14:paraId="02287A74">
      <w:pPr>
        <w:tabs>
          <w:tab w:val="right" w:leader="dot" w:pos="8296"/>
        </w:tabs>
        <w:spacing w:line="360" w:lineRule="auto"/>
        <w:ind w:left="420" w:leftChars="200" w:firstLine="560"/>
        <w:rPr>
          <w:rFonts w:ascii="Times New Roman" w:hAnsi="Times New Roman" w:eastAsia="宋体" w:cs="Times New Roman"/>
          <w:sz w:val="24"/>
        </w:rPr>
      </w:pPr>
      <w:r>
        <w:fldChar w:fldCharType="begin"/>
      </w:r>
      <w:r>
        <w:instrText xml:space="preserve"> HYPERLINK \l "_Toc166138941" </w:instrText>
      </w:r>
      <w:r>
        <w:fldChar w:fldCharType="separate"/>
      </w:r>
      <w:r>
        <w:rPr>
          <w:rFonts w:ascii="Times New Roman" w:hAnsi="Times New Roman" w:eastAsia="宋体" w:cs="Times New Roman"/>
          <w:color w:val="666666"/>
          <w:sz w:val="24"/>
        </w:rPr>
        <w:t xml:space="preserve">4.6 Design </w:t>
      </w:r>
      <w:r>
        <w:rPr>
          <w:rFonts w:hint="eastAsia" w:ascii="Times New Roman" w:hAnsi="Times New Roman" w:eastAsia="宋体" w:cs="Times New Roman"/>
          <w:color w:val="666666"/>
          <w:sz w:val="24"/>
        </w:rPr>
        <w:t>O</w:t>
      </w:r>
      <w:r>
        <w:rPr>
          <w:rFonts w:ascii="Times New Roman" w:hAnsi="Times New Roman" w:eastAsia="宋体" w:cs="Times New Roman"/>
          <w:color w:val="666666"/>
          <w:sz w:val="24"/>
        </w:rPr>
        <w:t xml:space="preserve">f Cavity </w:t>
      </w:r>
      <w:r>
        <w:rPr>
          <w:rFonts w:hint="eastAsia" w:ascii="Times New Roman" w:hAnsi="Times New Roman" w:eastAsia="宋体" w:cs="Times New Roman"/>
          <w:color w:val="666666"/>
          <w:sz w:val="24"/>
        </w:rPr>
        <w:t>W</w:t>
      </w:r>
      <w:r>
        <w:rPr>
          <w:rFonts w:ascii="Times New Roman" w:hAnsi="Times New Roman" w:eastAsia="宋体" w:cs="Times New Roman"/>
          <w:color w:val="666666"/>
          <w:sz w:val="24"/>
        </w:rPr>
        <w:t xml:space="preserve">all </w:t>
      </w:r>
      <w:r>
        <w:rPr>
          <w:rFonts w:hint="eastAsia" w:ascii="Times New Roman" w:hAnsi="Times New Roman" w:eastAsia="宋体" w:cs="Times New Roman"/>
          <w:color w:val="666666"/>
          <w:sz w:val="24"/>
        </w:rPr>
        <w:t>a</w:t>
      </w:r>
      <w:r>
        <w:rPr>
          <w:rFonts w:ascii="Times New Roman" w:hAnsi="Times New Roman" w:eastAsia="宋体" w:cs="Times New Roman"/>
          <w:color w:val="666666"/>
          <w:sz w:val="24"/>
        </w:rPr>
        <w:t xml:space="preserve">nd </w:t>
      </w:r>
      <w:r>
        <w:rPr>
          <w:rFonts w:hint="eastAsia" w:ascii="Times New Roman" w:hAnsi="Times New Roman" w:eastAsia="宋体" w:cs="Times New Roman"/>
          <w:color w:val="666666"/>
          <w:sz w:val="24"/>
        </w:rPr>
        <w:t>C</w:t>
      </w:r>
      <w:r>
        <w:rPr>
          <w:rFonts w:ascii="Times New Roman" w:hAnsi="Times New Roman" w:eastAsia="宋体" w:cs="Times New Roman"/>
          <w:color w:val="666666"/>
          <w:sz w:val="24"/>
        </w:rPr>
        <w:t xml:space="preserve">avity </w:t>
      </w:r>
      <w:r>
        <w:rPr>
          <w:rFonts w:hint="eastAsia" w:ascii="Times New Roman" w:hAnsi="Times New Roman" w:eastAsia="宋体" w:cs="Times New Roman"/>
          <w:color w:val="666666"/>
          <w:sz w:val="24"/>
        </w:rPr>
        <w:t>C</w:t>
      </w:r>
      <w:r>
        <w:rPr>
          <w:rFonts w:ascii="Times New Roman" w:hAnsi="Times New Roman" w:eastAsia="宋体" w:cs="Times New Roman"/>
          <w:color w:val="666666"/>
          <w:sz w:val="24"/>
        </w:rPr>
        <w:t>olumn</w:t>
      </w:r>
      <w:r>
        <w:rPr>
          <w:rFonts w:ascii="Times New Roman" w:hAnsi="Times New Roman" w:eastAsia="宋体" w:cs="Times New Roman"/>
          <w:sz w:val="24"/>
        </w:rPr>
        <w:tab/>
      </w:r>
      <w:r>
        <w:rPr>
          <w:rFonts w:hint="eastAsia" w:ascii="Times New Roman" w:hAnsi="Times New Roman" w:eastAsia="宋体" w:cs="Times New Roman"/>
          <w:sz w:val="24"/>
        </w:rPr>
        <w:t>18</w:t>
      </w:r>
      <w:r>
        <w:rPr>
          <w:rFonts w:hint="eastAsia" w:ascii="Times New Roman" w:hAnsi="Times New Roman" w:eastAsia="宋体" w:cs="Times New Roman"/>
          <w:sz w:val="24"/>
        </w:rPr>
        <w:fldChar w:fldCharType="end"/>
      </w:r>
    </w:p>
    <w:p w14:paraId="1B1B2974">
      <w:pPr>
        <w:tabs>
          <w:tab w:val="right" w:leader="dot" w:pos="8296"/>
        </w:tabs>
        <w:spacing w:line="360" w:lineRule="auto"/>
        <w:ind w:left="420" w:leftChars="200" w:firstLine="560"/>
        <w:rPr>
          <w:rFonts w:ascii="Times New Roman" w:hAnsi="Times New Roman" w:eastAsia="宋体" w:cs="Times New Roman"/>
          <w:sz w:val="24"/>
        </w:rPr>
      </w:pPr>
      <w:r>
        <w:fldChar w:fldCharType="begin"/>
      </w:r>
      <w:r>
        <w:instrText xml:space="preserve"> HYPERLINK \l "_Toc166138941" </w:instrText>
      </w:r>
      <w:r>
        <w:fldChar w:fldCharType="separate"/>
      </w:r>
      <w:r>
        <w:rPr>
          <w:rFonts w:ascii="Times New Roman" w:hAnsi="Times New Roman" w:eastAsia="宋体" w:cs="Times New Roman"/>
          <w:color w:val="666666"/>
          <w:sz w:val="24"/>
        </w:rPr>
        <w:t>4.</w:t>
      </w:r>
      <w:r>
        <w:rPr>
          <w:rFonts w:hint="eastAsia" w:ascii="Times New Roman" w:hAnsi="Times New Roman" w:eastAsia="宋体" w:cs="Times New Roman"/>
          <w:color w:val="666666"/>
          <w:sz w:val="24"/>
        </w:rPr>
        <w:t>7</w:t>
      </w:r>
      <w:r>
        <w:rPr>
          <w:rFonts w:ascii="Times New Roman" w:hAnsi="Times New Roman" w:eastAsia="宋体" w:cs="Times New Roman"/>
          <w:color w:val="666666"/>
          <w:sz w:val="24"/>
        </w:rPr>
        <w:t xml:space="preserve"> Organizational management model</w:t>
      </w:r>
      <w:r>
        <w:rPr>
          <w:rFonts w:ascii="Times New Roman" w:hAnsi="Times New Roman" w:eastAsia="宋体" w:cs="Times New Roman"/>
          <w:sz w:val="24"/>
        </w:rPr>
        <w:tab/>
      </w:r>
      <w:r>
        <w:rPr>
          <w:rFonts w:hint="eastAsia" w:ascii="Times New Roman" w:hAnsi="Times New Roman" w:eastAsia="宋体" w:cs="Times New Roman"/>
          <w:sz w:val="24"/>
        </w:rPr>
        <w:t>19</w:t>
      </w:r>
      <w:r>
        <w:rPr>
          <w:rFonts w:hint="eastAsia" w:ascii="Times New Roman" w:hAnsi="Times New Roman" w:eastAsia="宋体" w:cs="Times New Roman"/>
          <w:sz w:val="24"/>
        </w:rPr>
        <w:fldChar w:fldCharType="end"/>
      </w:r>
    </w:p>
    <w:p w14:paraId="4940A1DB">
      <w:pPr>
        <w:tabs>
          <w:tab w:val="right" w:leader="dot" w:pos="8296"/>
        </w:tabs>
        <w:spacing w:line="360" w:lineRule="auto"/>
        <w:ind w:left="420" w:leftChars="200" w:firstLine="560"/>
        <w:rPr>
          <w:rFonts w:hint="eastAsia" w:ascii="等线" w:hAnsi="等线" w:eastAsia="等线" w:cs="Times New Roman"/>
          <w:sz w:val="24"/>
          <w14:ligatures w14:val="standardContextual"/>
        </w:rPr>
      </w:pPr>
      <w:r>
        <w:fldChar w:fldCharType="begin"/>
      </w:r>
      <w:r>
        <w:instrText xml:space="preserve"> HYPERLINK \l "_Toc166138941" </w:instrText>
      </w:r>
      <w:r>
        <w:fldChar w:fldCharType="separate"/>
      </w:r>
      <w:r>
        <w:rPr>
          <w:rFonts w:ascii="Times New Roman" w:hAnsi="Times New Roman" w:eastAsia="宋体" w:cs="Times New Roman"/>
          <w:color w:val="666666"/>
          <w:sz w:val="24"/>
        </w:rPr>
        <w:t>4.</w:t>
      </w:r>
      <w:r>
        <w:rPr>
          <w:rFonts w:hint="eastAsia" w:ascii="Times New Roman" w:hAnsi="Times New Roman" w:eastAsia="宋体" w:cs="Times New Roman"/>
          <w:color w:val="666666"/>
          <w:sz w:val="24"/>
        </w:rPr>
        <w:t>8</w:t>
      </w:r>
      <w:r>
        <w:rPr>
          <w:rFonts w:ascii="Times New Roman" w:hAnsi="Times New Roman" w:eastAsia="宋体" w:cs="Times New Roman"/>
          <w:color w:val="666666"/>
          <w:sz w:val="24"/>
        </w:rPr>
        <w:t xml:space="preserve"> Carbon Calculations and Green Buildings</w:t>
      </w:r>
      <w:r>
        <w:rPr>
          <w:rFonts w:ascii="Times New Roman" w:hAnsi="Times New Roman" w:eastAsia="宋体" w:cs="Times New Roman"/>
          <w:sz w:val="24"/>
        </w:rPr>
        <w:tab/>
      </w:r>
      <w:r>
        <w:rPr>
          <w:rFonts w:hint="eastAsia" w:ascii="Times New Roman" w:hAnsi="Times New Roman" w:eastAsia="宋体" w:cs="Times New Roman"/>
          <w:sz w:val="24"/>
        </w:rPr>
        <w:t>20</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t xml:space="preserve"> </w:t>
      </w:r>
    </w:p>
    <w:p w14:paraId="65EE7002">
      <w:pPr>
        <w:tabs>
          <w:tab w:val="right" w:leader="dot" w:pos="8296"/>
        </w:tabs>
        <w:spacing w:line="360" w:lineRule="auto"/>
        <w:ind w:firstLine="560"/>
        <w:rPr>
          <w:rFonts w:hint="eastAsia" w:ascii="等线" w:hAnsi="等线" w:eastAsia="等线" w:cs="Times New Roman"/>
          <w:sz w:val="24"/>
          <w14:ligatures w14:val="standardContextual"/>
        </w:rPr>
      </w:pPr>
      <w:r>
        <w:fldChar w:fldCharType="begin"/>
      </w:r>
      <w:r>
        <w:instrText xml:space="preserve"> HYPERLINK \l "_Toc166138942" </w:instrText>
      </w:r>
      <w:r>
        <w:fldChar w:fldCharType="separate"/>
      </w:r>
      <w:r>
        <w:rPr>
          <w:rFonts w:ascii="Times New Roman" w:hAnsi="Times New Roman" w:eastAsia="宋体" w:cs="Times New Roman"/>
          <w:color w:val="666666"/>
          <w:sz w:val="24"/>
        </w:rPr>
        <w:t xml:space="preserve">5 </w:t>
      </w:r>
      <w:r>
        <w:rPr>
          <w:rFonts w:hint="eastAsia" w:ascii="Times New Roman" w:hAnsi="Times New Roman" w:eastAsia="宋体" w:cs="Times New Roman"/>
          <w:color w:val="666666"/>
          <w:sz w:val="24"/>
        </w:rPr>
        <w:t xml:space="preserve">  </w:t>
      </w:r>
      <w:r>
        <w:rPr>
          <w:rFonts w:ascii="Times New Roman" w:hAnsi="Times New Roman" w:eastAsia="宋体" w:cs="Times New Roman"/>
          <w:color w:val="666666"/>
          <w:sz w:val="24"/>
        </w:rPr>
        <w:t>Evaluation rating</w:t>
      </w:r>
      <w:r>
        <w:rPr>
          <w:rFonts w:ascii="Times New Roman" w:hAnsi="Times New Roman" w:eastAsia="宋体" w:cs="Times New Roman"/>
          <w:sz w:val="24"/>
        </w:rPr>
        <w:tab/>
      </w:r>
      <w:r>
        <w:rPr>
          <w:rFonts w:hint="eastAsia" w:ascii="Times New Roman" w:hAnsi="Times New Roman" w:eastAsia="宋体" w:cs="Times New Roman"/>
          <w:sz w:val="24"/>
        </w:rPr>
        <w:t>21</w:t>
      </w:r>
      <w:r>
        <w:rPr>
          <w:rFonts w:hint="eastAsia" w:ascii="Times New Roman" w:hAnsi="Times New Roman" w:eastAsia="宋体" w:cs="Times New Roman"/>
          <w:sz w:val="24"/>
        </w:rPr>
        <w:fldChar w:fldCharType="end"/>
      </w:r>
    </w:p>
    <w:p w14:paraId="496426C2">
      <w:pPr>
        <w:tabs>
          <w:tab w:val="left" w:pos="1050"/>
          <w:tab w:val="right" w:leader="dot" w:pos="8296"/>
        </w:tabs>
        <w:spacing w:line="360" w:lineRule="auto"/>
        <w:ind w:firstLine="560"/>
        <w:rPr>
          <w:rFonts w:hint="eastAsia" w:ascii="等线" w:hAnsi="等线" w:eastAsia="等线" w:cs="Times New Roman"/>
          <w:sz w:val="24"/>
          <w14:ligatures w14:val="standardContextual"/>
        </w:rPr>
      </w:pPr>
      <w:r>
        <w:fldChar w:fldCharType="begin"/>
      </w:r>
      <w:r>
        <w:instrText xml:space="preserve"> HYPERLINK \l "_Toc166138959" </w:instrText>
      </w:r>
      <w:r>
        <w:fldChar w:fldCharType="separate"/>
      </w:r>
      <w:r>
        <w:rPr>
          <w:rFonts w:ascii="Times New Roman" w:hAnsi="Times New Roman" w:eastAsia="宋体" w:cs="Times New Roman"/>
          <w:color w:val="666666"/>
          <w:sz w:val="24"/>
        </w:rPr>
        <w:t>Glossary of terms used in this evaluation guide</w:t>
      </w:r>
      <w:r>
        <w:rPr>
          <w:rFonts w:ascii="Times New Roman" w:hAnsi="Times New Roman" w:eastAsia="宋体" w:cs="Times New Roman"/>
          <w:sz w:val="24"/>
        </w:rPr>
        <w:tab/>
      </w:r>
      <w:r>
        <w:rPr>
          <w:rFonts w:hint="eastAsia" w:ascii="Times New Roman" w:hAnsi="Times New Roman" w:eastAsia="宋体" w:cs="Times New Roman"/>
          <w:sz w:val="24"/>
        </w:rPr>
        <w:t>22</w:t>
      </w:r>
      <w:r>
        <w:rPr>
          <w:rFonts w:hint="eastAsia" w:ascii="Times New Roman" w:hAnsi="Times New Roman" w:eastAsia="宋体" w:cs="Times New Roman"/>
          <w:sz w:val="24"/>
        </w:rPr>
        <w:fldChar w:fldCharType="end"/>
      </w:r>
    </w:p>
    <w:p w14:paraId="222FADBB">
      <w:pPr>
        <w:tabs>
          <w:tab w:val="right" w:leader="dot" w:pos="8296"/>
        </w:tabs>
        <w:spacing w:line="360" w:lineRule="auto"/>
        <w:ind w:firstLine="560"/>
        <w:rPr>
          <w:rFonts w:hint="eastAsia" w:ascii="等线" w:hAnsi="等线" w:eastAsia="等线" w:cs="Times New Roman"/>
          <w:sz w:val="24"/>
          <w14:ligatures w14:val="standardContextual"/>
        </w:rPr>
      </w:pPr>
      <w:r>
        <w:fldChar w:fldCharType="begin"/>
      </w:r>
      <w:r>
        <w:instrText xml:space="preserve"> HYPERLINK \l "_Toc166138960" </w:instrText>
      </w:r>
      <w:r>
        <w:fldChar w:fldCharType="separate"/>
      </w:r>
      <w:r>
        <w:rPr>
          <w:rFonts w:ascii="Times New Roman" w:hAnsi="Times New Roman" w:eastAsia="宋体" w:cs="Times New Roman"/>
          <w:color w:val="666666"/>
          <w:sz w:val="24"/>
        </w:rPr>
        <w:t>List of referenced standards</w:t>
      </w:r>
      <w:r>
        <w:rPr>
          <w:rFonts w:ascii="Times New Roman" w:hAnsi="Times New Roman" w:eastAsia="宋体" w:cs="Times New Roman"/>
          <w:color w:val="666666"/>
          <w:sz w:val="24"/>
        </w:rPr>
        <w:tab/>
      </w:r>
      <w:r>
        <w:rPr>
          <w:rFonts w:hint="eastAsia" w:ascii="Times New Roman" w:hAnsi="Times New Roman" w:eastAsia="宋体" w:cs="Times New Roman"/>
          <w:sz w:val="24"/>
        </w:rPr>
        <w:t>23</w:t>
      </w:r>
      <w:r>
        <w:rPr>
          <w:rFonts w:hint="eastAsia" w:ascii="Times New Roman" w:hAnsi="Times New Roman" w:eastAsia="宋体" w:cs="Times New Roman"/>
          <w:sz w:val="24"/>
        </w:rPr>
        <w:fldChar w:fldCharType="end"/>
      </w:r>
    </w:p>
    <w:p w14:paraId="2A7A7798">
      <w:pPr>
        <w:widowControl/>
        <w:ind w:firstLine="420"/>
        <w:jc w:val="left"/>
        <w:rPr>
          <w:rFonts w:ascii="Times New Roman" w:hAnsi="Times New Roman" w:eastAsia="宋体" w:cs="Times New Roman"/>
          <w:lang w:bidi="ar"/>
        </w:rPr>
      </w:pPr>
      <w:r>
        <w:rPr>
          <w:rFonts w:ascii="Times New Roman" w:hAnsi="Times New Roman" w:eastAsia="宋体" w:cs="Times New Roman"/>
          <w:lang w:bidi="ar"/>
        </w:rPr>
        <w:br w:type="page"/>
      </w:r>
    </w:p>
    <w:p w14:paraId="3F91A044">
      <w:pPr>
        <w:ind w:firstLine="420"/>
        <w:rPr>
          <w:rFonts w:ascii="Times New Roman" w:hAnsi="Times New Roman" w:eastAsia="宋体" w:cs="Times New Roman"/>
          <w:lang w:bidi="ar"/>
        </w:rPr>
        <w:sectPr>
          <w:pgSz w:w="11906" w:h="16838"/>
          <w:pgMar w:top="1440" w:right="1800" w:bottom="1118" w:left="1800" w:header="851" w:footer="992" w:gutter="0"/>
          <w:pgNumType w:fmt="upperRoman"/>
          <w:cols w:space="425" w:num="1"/>
          <w:docGrid w:type="lines" w:linePitch="312" w:charSpace="0"/>
        </w:sectPr>
      </w:pPr>
    </w:p>
    <w:p w14:paraId="38C7003B">
      <w:pPr>
        <w:keepNext/>
        <w:keepLines/>
        <w:spacing w:before="156" w:beforeLines="50" w:after="156" w:afterLines="50" w:line="360" w:lineRule="auto"/>
        <w:ind w:firstLine="602"/>
        <w:jc w:val="center"/>
        <w:outlineLvl w:val="0"/>
        <w:rPr>
          <w:rFonts w:ascii="Times New Roman" w:hAnsi="Times New Roman" w:eastAsia="宋体" w:cs="Times New Roman"/>
          <w:b/>
          <w:bCs/>
          <w:color w:val="000000"/>
          <w:kern w:val="44"/>
          <w:sz w:val="30"/>
          <w:szCs w:val="30"/>
        </w:rPr>
      </w:pPr>
      <w:bookmarkStart w:id="30" w:name="_Toc166138932"/>
      <w:bookmarkStart w:id="31" w:name="_Toc17470045"/>
      <w:bookmarkStart w:id="32" w:name="_Toc106698915"/>
      <w:bookmarkStart w:id="33" w:name="_Toc174629895"/>
      <w:bookmarkStart w:id="34" w:name="_Toc109381508"/>
      <w:bookmarkStart w:id="35" w:name="_Toc174629873"/>
      <w:r>
        <w:rPr>
          <w:rFonts w:hint="eastAsia" w:ascii="Times New Roman" w:hAnsi="Times New Roman" w:eastAsia="宋体" w:cs="Times New Roman"/>
          <w:b/>
          <w:bCs/>
          <w:color w:val="000000"/>
          <w:kern w:val="44"/>
          <w:sz w:val="30"/>
          <w:szCs w:val="30"/>
        </w:rPr>
        <w:t xml:space="preserve">1 </w:t>
      </w:r>
      <w:r>
        <w:rPr>
          <w:rFonts w:ascii="Times New Roman" w:hAnsi="Times New Roman" w:eastAsia="宋体" w:cs="Times New Roman"/>
          <w:b/>
          <w:bCs/>
          <w:color w:val="000000"/>
          <w:kern w:val="44"/>
          <w:sz w:val="30"/>
          <w:szCs w:val="30"/>
        </w:rPr>
        <w:tab/>
      </w:r>
      <w:r>
        <w:rPr>
          <w:rFonts w:hint="eastAsia" w:ascii="Times New Roman" w:hAnsi="Times New Roman" w:eastAsia="宋体" w:cs="Times New Roman"/>
          <w:b/>
          <w:bCs/>
          <w:color w:val="000000"/>
          <w:kern w:val="44"/>
          <w:sz w:val="30"/>
          <w:szCs w:val="30"/>
        </w:rPr>
        <w:t>总</w:t>
      </w:r>
      <w:r>
        <w:rPr>
          <w:rFonts w:ascii="Times New Roman" w:hAnsi="Times New Roman" w:eastAsia="宋体" w:cs="Times New Roman"/>
          <w:b/>
          <w:bCs/>
          <w:color w:val="000000"/>
          <w:kern w:val="44"/>
          <w:sz w:val="30"/>
          <w:szCs w:val="30"/>
        </w:rPr>
        <w:t xml:space="preserve">  </w:t>
      </w:r>
      <w:r>
        <w:rPr>
          <w:rFonts w:hint="eastAsia" w:ascii="Times New Roman" w:hAnsi="Times New Roman" w:eastAsia="宋体" w:cs="Times New Roman"/>
          <w:b/>
          <w:bCs/>
          <w:color w:val="000000"/>
          <w:kern w:val="44"/>
          <w:sz w:val="30"/>
          <w:szCs w:val="30"/>
        </w:rPr>
        <w:t>则</w:t>
      </w:r>
      <w:bookmarkEnd w:id="30"/>
      <w:bookmarkEnd w:id="31"/>
      <w:bookmarkEnd w:id="32"/>
      <w:bookmarkEnd w:id="33"/>
      <w:bookmarkEnd w:id="34"/>
      <w:bookmarkEnd w:id="35"/>
    </w:p>
    <w:p w14:paraId="0DD5A8CB">
      <w:pPr>
        <w:pStyle w:val="60"/>
        <w:spacing w:before="156" w:beforeLines="50" w:after="156"/>
        <w:ind w:firstLine="0" w:firstLineChars="0"/>
        <w:rPr>
          <w:szCs w:val="24"/>
        </w:rPr>
      </w:pPr>
      <w:r>
        <w:rPr>
          <w:b/>
        </w:rPr>
        <w:t>1.0.1</w:t>
      </w:r>
      <w:r>
        <w:tab/>
      </w:r>
      <w:r>
        <w:rPr>
          <w:rFonts w:hint="eastAsia"/>
          <w:szCs w:val="24"/>
        </w:rPr>
        <w:t>为促进广东省新型建筑工业化发展，结合广东省地方特色及实际情况，规范对新型建筑工业化项目的评价工作，制定本评价</w:t>
      </w:r>
      <w:r>
        <w:rPr>
          <w:szCs w:val="24"/>
        </w:rPr>
        <w:t>指南</w:t>
      </w:r>
      <w:r>
        <w:rPr>
          <w:rFonts w:hint="eastAsia"/>
          <w:szCs w:val="24"/>
        </w:rPr>
        <w:t>。</w:t>
      </w:r>
    </w:p>
    <w:p w14:paraId="4DE9D7FD">
      <w:pPr>
        <w:pStyle w:val="60"/>
        <w:spacing w:after="156"/>
        <w:ind w:firstLine="0" w:firstLineChars="0"/>
      </w:pPr>
      <w:r>
        <w:rPr>
          <w:b/>
        </w:rPr>
        <w:t>1.0.2</w:t>
      </w:r>
      <w:r>
        <w:tab/>
      </w:r>
      <w:r>
        <w:rPr>
          <w:rFonts w:hint="eastAsia"/>
        </w:rPr>
        <w:t>本</w:t>
      </w:r>
      <w:r>
        <w:t>评价指南</w:t>
      </w:r>
      <w:r>
        <w:rPr>
          <w:rFonts w:hint="eastAsia"/>
        </w:rPr>
        <w:t>适用于广东省新型建筑工业化项目的评价，包括居住建筑和各类公共建筑。结构类型主要针对混凝土结构、钢结构、木结构、钢-混凝土结构等，其他类型结构体系的建筑可参照执行。</w:t>
      </w:r>
    </w:p>
    <w:p w14:paraId="1FA7D270">
      <w:pPr>
        <w:spacing w:line="360" w:lineRule="auto"/>
      </w:pPr>
      <w:r>
        <w:rPr>
          <w:rStyle w:val="61"/>
          <w:b/>
          <w:bCs w:val="0"/>
        </w:rPr>
        <w:t>1.0.3</w:t>
      </w:r>
      <w:r>
        <w:rPr>
          <w:rStyle w:val="61"/>
        </w:rPr>
        <w:tab/>
      </w:r>
      <w:r>
        <w:rPr>
          <w:rStyle w:val="61"/>
          <w:rFonts w:hint="eastAsia"/>
        </w:rPr>
        <w:t>本评价指南采用项目建筑工业化率评价新型建筑工业化项目的工业化程度</w:t>
      </w:r>
      <w:r>
        <w:rPr>
          <w:rFonts w:hint="eastAsia"/>
        </w:rPr>
        <w:t>。</w:t>
      </w:r>
    </w:p>
    <w:p w14:paraId="60E89358">
      <w:pPr>
        <w:spacing w:line="360" w:lineRule="auto"/>
      </w:pPr>
    </w:p>
    <w:p w14:paraId="36C8F05C">
      <w:pPr>
        <w:spacing w:line="360" w:lineRule="auto"/>
        <w:sectPr>
          <w:pgSz w:w="11906" w:h="16838"/>
          <w:pgMar w:top="1440" w:right="1800" w:bottom="1440" w:left="1800" w:header="851" w:footer="992" w:gutter="0"/>
          <w:pgNumType w:start="1"/>
          <w:cols w:space="425" w:num="1"/>
          <w:docGrid w:type="lines" w:linePitch="312" w:charSpace="0"/>
        </w:sectPr>
      </w:pPr>
    </w:p>
    <w:p w14:paraId="22326629">
      <w:pPr>
        <w:pStyle w:val="2"/>
        <w:spacing w:after="312"/>
        <w:ind w:firstLine="723"/>
      </w:pPr>
      <w:bookmarkStart w:id="36" w:name="_Toc110785791"/>
      <w:bookmarkStart w:id="37" w:name="_Toc174629874"/>
      <w:bookmarkStart w:id="38" w:name="_Toc174629896"/>
      <w:r>
        <w:t>2</w:t>
      </w:r>
      <w:r>
        <w:tab/>
      </w:r>
      <w:r>
        <w:rPr>
          <w:rFonts w:hint="eastAsia"/>
        </w:rPr>
        <w:t>术</w:t>
      </w:r>
      <w:r>
        <w:t xml:space="preserve">  </w:t>
      </w:r>
      <w:r>
        <w:rPr>
          <w:rFonts w:hint="eastAsia"/>
        </w:rPr>
        <w:t>语</w:t>
      </w:r>
      <w:bookmarkEnd w:id="36"/>
      <w:bookmarkEnd w:id="37"/>
      <w:bookmarkEnd w:id="38"/>
    </w:p>
    <w:p w14:paraId="0285FCEE">
      <w:pPr>
        <w:pStyle w:val="27"/>
        <w:widowControl/>
        <w:numPr>
          <w:ilvl w:val="0"/>
          <w:numId w:val="1"/>
        </w:numPr>
      </w:pPr>
      <w:r>
        <w:rPr>
          <w:rFonts w:hint="eastAsia" w:cs="宋体"/>
        </w:rPr>
        <w:t xml:space="preserve">新型建筑工业化项目 </w:t>
      </w:r>
      <w:r>
        <w:rPr>
          <w:rFonts w:cs="宋体"/>
        </w:rPr>
        <w:t>New building industrialization project</w:t>
      </w:r>
    </w:p>
    <w:p w14:paraId="57A17056">
      <w:pPr>
        <w:pStyle w:val="27"/>
        <w:widowControl/>
        <w:ind w:firstLine="607" w:firstLineChars="253"/>
        <w:rPr>
          <w:rFonts w:cs="宋体"/>
          <w:color w:val="000000" w:themeColor="text1"/>
          <w:lang w:bidi="ar"/>
          <w14:textFill>
            <w14:solidFill>
              <w14:schemeClr w14:val="tx1"/>
            </w14:solidFill>
          </w14:textFill>
        </w:rPr>
      </w:pPr>
      <w:r>
        <w:rPr>
          <w:rFonts w:hint="eastAsia"/>
          <w:color w:val="333333"/>
          <w:shd w:val="clear" w:color="auto" w:fill="FFFFFF"/>
        </w:rPr>
        <w:t>新型建筑工业化项目是通过新一代信息技术驱动，以工程全寿命期系统化集成设计、精益化</w:t>
      </w:r>
      <w:bookmarkStart w:id="39" w:name="_Hlk112852184"/>
      <w:r>
        <w:rPr>
          <w:rFonts w:hint="eastAsia"/>
          <w:color w:val="333333"/>
          <w:shd w:val="clear" w:color="auto" w:fill="FFFFFF"/>
        </w:rPr>
        <w:t>生产施工</w:t>
      </w:r>
      <w:bookmarkEnd w:id="39"/>
      <w:r>
        <w:rPr>
          <w:rFonts w:hint="eastAsia"/>
          <w:color w:val="333333"/>
          <w:shd w:val="clear" w:color="auto" w:fill="FFFFFF"/>
        </w:rPr>
        <w:t>为主要手段，实现工程建设高效益、高质量、低消耗、低排放的建筑工业化项目。</w:t>
      </w:r>
    </w:p>
    <w:p w14:paraId="41454D9F">
      <w:pPr>
        <w:pStyle w:val="27"/>
        <w:widowControl/>
        <w:numPr>
          <w:ilvl w:val="0"/>
          <w:numId w:val="1"/>
        </w:numPr>
        <w:ind w:left="284" w:hanging="284"/>
      </w:pPr>
      <w:r>
        <w:rPr>
          <w:rFonts w:hint="eastAsia"/>
          <w:lang w:bidi="ar"/>
        </w:rPr>
        <w:t>项目建筑工业化率</w:t>
      </w:r>
      <w:r>
        <w:t xml:space="preserve"> The industrialization rate of the project building</w:t>
      </w:r>
    </w:p>
    <w:p w14:paraId="3DF668C6">
      <w:pPr>
        <w:pStyle w:val="60"/>
        <w:spacing w:after="156"/>
        <w:ind w:firstLine="480"/>
      </w:pPr>
      <w:r>
        <w:rPr>
          <w:rFonts w:hint="eastAsia"/>
        </w:rPr>
        <w:t>项目评价范围以内的主体结构、围护墙和内隔墙、全装修、系统化集成设计、构件和部品部件生产、精益化施工、信息化技术应用、组织管理模式及碳计算与绿色建筑的评价得分比例。</w:t>
      </w:r>
    </w:p>
    <w:p w14:paraId="0E843B99">
      <w:pPr>
        <w:pStyle w:val="27"/>
        <w:widowControl/>
        <w:numPr>
          <w:ilvl w:val="0"/>
          <w:numId w:val="1"/>
        </w:numPr>
      </w:pPr>
      <w:r>
        <w:rPr>
          <w:rFonts w:hint="eastAsia" w:cs="宋体"/>
        </w:rPr>
        <w:t>全装修</w:t>
      </w:r>
      <w:r>
        <w:t xml:space="preserve"> decorated</w:t>
      </w:r>
    </w:p>
    <w:p w14:paraId="01EF13A9">
      <w:pPr>
        <w:pStyle w:val="60"/>
        <w:spacing w:after="156"/>
        <w:ind w:firstLine="480"/>
      </w:pPr>
      <w:r>
        <w:rPr>
          <w:rFonts w:hint="eastAsia"/>
        </w:rPr>
        <w:t>建筑功能空间的固定面装修和设备设施安装全部完成，达到建筑使用功能和性能的基本要求。</w:t>
      </w:r>
    </w:p>
    <w:p w14:paraId="4BD1DAEA">
      <w:pPr>
        <w:pStyle w:val="27"/>
        <w:widowControl/>
        <w:numPr>
          <w:ilvl w:val="0"/>
          <w:numId w:val="1"/>
        </w:numPr>
      </w:pPr>
      <w:r>
        <w:rPr>
          <w:rFonts w:hint="eastAsia" w:cs="宋体"/>
        </w:rPr>
        <w:t>集成厨房</w:t>
      </w:r>
      <w:r>
        <w:t xml:space="preserve"> integrated kitchen</w:t>
      </w:r>
    </w:p>
    <w:p w14:paraId="4CC81668">
      <w:pPr>
        <w:pStyle w:val="60"/>
        <w:spacing w:after="156"/>
        <w:ind w:firstLine="480"/>
      </w:pPr>
      <w:r>
        <w:rPr>
          <w:rFonts w:hint="eastAsia"/>
        </w:rPr>
        <w:t>地面、吊顶、墙面、橱柜、厨房设备及管线等通过设计集成、工厂生产，在施工现场主要采用干式工法施工完成的厨房。</w:t>
      </w:r>
    </w:p>
    <w:p w14:paraId="331064A1">
      <w:pPr>
        <w:pStyle w:val="27"/>
        <w:widowControl/>
        <w:numPr>
          <w:ilvl w:val="0"/>
          <w:numId w:val="1"/>
        </w:numPr>
      </w:pPr>
      <w:r>
        <w:rPr>
          <w:rFonts w:hint="eastAsia" w:cs="宋体"/>
        </w:rPr>
        <w:t>集成卫生间</w:t>
      </w:r>
      <w:r>
        <w:t xml:space="preserve"> integrated bathroom</w:t>
      </w:r>
    </w:p>
    <w:p w14:paraId="16F14DF5">
      <w:pPr>
        <w:pStyle w:val="60"/>
        <w:spacing w:after="156"/>
        <w:ind w:firstLine="480"/>
      </w:pPr>
      <w:r>
        <w:rPr>
          <w:rFonts w:hint="eastAsia"/>
        </w:rPr>
        <w:t>地面、吊顶、墙面、洁具设备及管线等通过设计集成、工厂生产，在施工现场主要采用干式工法装配而成的卫生间。</w:t>
      </w:r>
    </w:p>
    <w:p w14:paraId="42485ED6">
      <w:pPr>
        <w:pStyle w:val="27"/>
        <w:widowControl/>
        <w:numPr>
          <w:ilvl w:val="0"/>
          <w:numId w:val="1"/>
        </w:numPr>
      </w:pPr>
      <w:r>
        <w:rPr>
          <w:rFonts w:hint="eastAsia" w:cs="宋体"/>
        </w:rPr>
        <w:t xml:space="preserve">整体门窗 </w:t>
      </w:r>
      <w:r>
        <w:t>Integral doors and windows</w:t>
      </w:r>
    </w:p>
    <w:p w14:paraId="6D6AFF5F">
      <w:pPr>
        <w:pStyle w:val="60"/>
        <w:spacing w:after="1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包含门、包含窗或者同时包含门和窗的部品</w:t>
      </w:r>
    </w:p>
    <w:p w14:paraId="3CD3D23A">
      <w:pPr>
        <w:pStyle w:val="33"/>
        <w:widowControl/>
        <w:ind w:firstLine="0" w:firstLineChars="0"/>
      </w:pPr>
      <w:r>
        <w:rPr>
          <w:b/>
        </w:rPr>
        <w:t>2.0.7</w:t>
      </w:r>
      <w:r>
        <w:rPr>
          <w:b/>
        </w:rPr>
        <w:tab/>
      </w:r>
      <w:r>
        <w:rPr>
          <w:rFonts w:hint="eastAsia" w:cs="宋体"/>
        </w:rPr>
        <w:t>建筑部品部件</w:t>
      </w:r>
      <w:r>
        <w:t xml:space="preserve"> building parts</w:t>
      </w:r>
    </w:p>
    <w:p w14:paraId="2534D882">
      <w:pPr>
        <w:pStyle w:val="60"/>
        <w:spacing w:after="156"/>
        <w:ind w:firstLine="480"/>
      </w:pPr>
      <w:r>
        <w:rPr>
          <w:rFonts w:hint="eastAsia"/>
        </w:rPr>
        <w:t>由工厂生产，构成外围护系统、设备与管线系统、内装系统的建筑单一产品或复合产品、按照一定的边界条件和配套接口技术组装而成的功能单元的统称。</w:t>
      </w:r>
    </w:p>
    <w:p w14:paraId="7762BA1B">
      <w:pPr>
        <w:pStyle w:val="33"/>
        <w:widowControl/>
        <w:ind w:firstLine="0" w:firstLineChars="0"/>
        <w:rPr>
          <w:rFonts w:hint="eastAsia" w:ascii="宋体" w:hAnsi="宋体" w:cs="宋体"/>
        </w:rPr>
      </w:pPr>
      <w:r>
        <w:rPr>
          <w:b/>
        </w:rPr>
        <w:t>2.0.8</w:t>
      </w:r>
      <w:r>
        <w:rPr>
          <w:b/>
        </w:rPr>
        <w:tab/>
      </w:r>
      <w:r>
        <w:rPr>
          <w:rFonts w:hint="eastAsia" w:ascii="宋体" w:hAnsi="宋体" w:cs="宋体"/>
        </w:rPr>
        <w:t xml:space="preserve">装配式装修 </w:t>
      </w:r>
      <w:r>
        <w:t>Prefabricated decoration</w:t>
      </w:r>
    </w:p>
    <w:p w14:paraId="6B38913B">
      <w:pPr>
        <w:pStyle w:val="33"/>
        <w:widowControl/>
        <w:ind w:firstLine="480"/>
        <w:rPr>
          <w:rFonts w:cs="宋体"/>
        </w:rPr>
      </w:pPr>
      <w:r>
        <w:rPr>
          <w:rFonts w:hint="eastAsia" w:cs="宋体"/>
        </w:rPr>
        <w:t>采用干式工法，将工厂生产的内装部品在装修现场进行组合安装的装修方式。</w:t>
      </w:r>
    </w:p>
    <w:p w14:paraId="6AC1B2B2">
      <w:pPr>
        <w:pStyle w:val="33"/>
        <w:widowControl/>
        <w:ind w:firstLine="0" w:firstLineChars="0"/>
        <w:rPr>
          <w:rFonts w:hint="eastAsia" w:ascii="宋体" w:hAnsi="宋体" w:cs="宋体"/>
        </w:rPr>
      </w:pPr>
      <w:r>
        <w:rPr>
          <w:b/>
        </w:rPr>
        <w:t>2.0.9</w:t>
      </w:r>
      <w:r>
        <w:rPr>
          <w:rFonts w:ascii="宋体" w:hAnsi="宋体" w:cs="宋体"/>
        </w:rPr>
        <w:tab/>
      </w:r>
      <w:r>
        <w:rPr>
          <w:rFonts w:hint="eastAsia" w:ascii="宋体" w:hAnsi="宋体" w:cs="宋体"/>
        </w:rPr>
        <w:t xml:space="preserve">智能建造 </w:t>
      </w:r>
      <w:r>
        <w:t>intelligent Construction</w:t>
      </w:r>
    </w:p>
    <w:p w14:paraId="628EAB7A">
      <w:pPr>
        <w:pStyle w:val="33"/>
        <w:widowControl/>
        <w:ind w:firstLine="410" w:firstLineChars="171"/>
        <w:rPr>
          <w:rFonts w:cs="宋体"/>
        </w:rPr>
      </w:pPr>
      <w:r>
        <w:rPr>
          <w:rFonts w:hint="eastAsia" w:ascii="宋体" w:hAnsi="宋体" w:cs="宋体"/>
        </w:rPr>
        <w:t>以</w:t>
      </w:r>
      <w:r>
        <w:t>BIM</w:t>
      </w:r>
      <w:r>
        <w:rPr>
          <w:rFonts w:hint="eastAsia"/>
        </w:rPr>
        <w:t>、物联</w:t>
      </w:r>
      <w:r>
        <w:rPr>
          <w:rFonts w:hint="eastAsia" w:ascii="宋体" w:hAnsi="宋体" w:cs="宋体"/>
        </w:rPr>
        <w:t>网、人工智能、云计算、大数据等智能技术和智能装备为基础，可以实时自适应于变化需求的高度集成与协同的建造方式。</w:t>
      </w:r>
    </w:p>
    <w:p w14:paraId="22A50BA5">
      <w:pPr>
        <w:pStyle w:val="33"/>
        <w:widowControl/>
        <w:ind w:firstLine="410" w:firstLineChars="171"/>
      </w:pPr>
    </w:p>
    <w:p w14:paraId="68ADBC1C">
      <w:pPr>
        <w:spacing w:line="360" w:lineRule="auto"/>
        <w:ind w:firstLine="560"/>
        <w:rPr>
          <w:rFonts w:ascii="Times New Roman" w:hAnsi="Times New Roman" w:eastAsia="宋体" w:cs="Times New Roman"/>
          <w:sz w:val="28"/>
          <w:szCs w:val="28"/>
          <w:lang w:bidi="ar"/>
        </w:rPr>
        <w:sectPr>
          <w:pgSz w:w="11906" w:h="16838"/>
          <w:pgMar w:top="1440" w:right="1800" w:bottom="1440" w:left="1800" w:header="851" w:footer="992" w:gutter="0"/>
          <w:cols w:space="425" w:num="1"/>
          <w:docGrid w:type="lines" w:linePitch="312" w:charSpace="0"/>
        </w:sectPr>
      </w:pPr>
    </w:p>
    <w:p w14:paraId="69EB2180">
      <w:pPr>
        <w:pStyle w:val="2"/>
        <w:widowControl/>
        <w:spacing w:after="312"/>
        <w:ind w:firstLine="723"/>
      </w:pPr>
      <w:bookmarkStart w:id="40" w:name="_Toc174629875"/>
      <w:bookmarkStart w:id="41" w:name="_Toc110785792"/>
      <w:bookmarkStart w:id="42" w:name="_Toc174629897"/>
      <w:r>
        <w:t>3</w:t>
      </w:r>
      <w:r>
        <w:tab/>
      </w:r>
      <w:r>
        <w:rPr>
          <w:rFonts w:hint="eastAsia" w:cs="宋体"/>
        </w:rPr>
        <w:t>基</w:t>
      </w:r>
      <w:r>
        <w:t xml:space="preserve"> </w:t>
      </w:r>
      <w:r>
        <w:rPr>
          <w:rFonts w:hint="eastAsia" w:cs="宋体"/>
        </w:rPr>
        <w:t>本</w:t>
      </w:r>
      <w:r>
        <w:t xml:space="preserve"> </w:t>
      </w:r>
      <w:r>
        <w:rPr>
          <w:rFonts w:hint="eastAsia" w:cs="宋体"/>
        </w:rPr>
        <w:t>规</w:t>
      </w:r>
      <w:r>
        <w:t xml:space="preserve"> </w:t>
      </w:r>
      <w:r>
        <w:rPr>
          <w:rFonts w:hint="eastAsia" w:cs="宋体"/>
        </w:rPr>
        <w:t>定</w:t>
      </w:r>
      <w:bookmarkEnd w:id="40"/>
      <w:bookmarkEnd w:id="41"/>
      <w:bookmarkEnd w:id="42"/>
    </w:p>
    <w:p w14:paraId="7C71221C">
      <w:pPr>
        <w:pStyle w:val="27"/>
      </w:pPr>
      <w:r>
        <w:rPr>
          <w:b/>
        </w:rPr>
        <w:t>3.0.1</w:t>
      </w:r>
      <w:r>
        <w:tab/>
      </w:r>
      <w:r>
        <w:rPr>
          <w:rFonts w:hint="eastAsia"/>
        </w:rPr>
        <w:t>项目建筑工业化率计算和项目等级评价宜以项目的单体建筑作为计算和评价单元并应符合下列规定：</w:t>
      </w:r>
    </w:p>
    <w:p w14:paraId="1B367A9E">
      <w:pPr>
        <w:pStyle w:val="27"/>
        <w:ind w:firstLine="424" w:firstLineChars="177"/>
      </w:pPr>
      <w:r>
        <w:rPr>
          <w:rFonts w:hint="eastAsia"/>
        </w:rPr>
        <w:t>1 单体建筑应按项目规划批准文件的建筑编号确认。</w:t>
      </w:r>
    </w:p>
    <w:p w14:paraId="140ACF5A">
      <w:pPr>
        <w:pStyle w:val="27"/>
        <w:ind w:firstLine="424" w:firstLineChars="177"/>
      </w:pPr>
      <w:r>
        <w:t xml:space="preserve">2 </w:t>
      </w:r>
      <w:r>
        <w:rPr>
          <w:rFonts w:hint="eastAsia"/>
        </w:rPr>
        <w:t>单体建筑由塔楼、裙房组成时，塔楼、裙房可按不同的单体建筑进行计算和评价，即塔楼、裙房可沿按塔楼在裙房上的投影竖向划分为不同单体；也可沿裙房的屋面水平划分为不同单体评价单元。</w:t>
      </w:r>
    </w:p>
    <w:p w14:paraId="7DC15BE6">
      <w:pPr>
        <w:pStyle w:val="27"/>
        <w:ind w:firstLine="424" w:firstLineChars="177"/>
      </w:pPr>
      <w:r>
        <w:t xml:space="preserve">3 </w:t>
      </w:r>
      <w:r>
        <w:rPr>
          <w:rFonts w:hint="eastAsia"/>
        </w:rPr>
        <w:t>单体建筑的层数不大于</w:t>
      </w:r>
      <w:r>
        <w:t>3</w:t>
      </w:r>
      <w:r>
        <w:rPr>
          <w:rFonts w:hint="eastAsia"/>
        </w:rPr>
        <w:t>层，地上建筑面积不超过</w:t>
      </w:r>
      <w:r>
        <w:t>500m2</w:t>
      </w:r>
      <w:r>
        <w:rPr>
          <w:rFonts w:hint="eastAsia"/>
        </w:rPr>
        <w:t>时，可由多个单体建筑组成建筑组团作为计算和评价单元。</w:t>
      </w:r>
    </w:p>
    <w:p w14:paraId="7DEF8D33">
      <w:pPr>
        <w:pStyle w:val="27"/>
        <w:spacing w:after="156" w:afterLines="50"/>
        <w:ind w:firstLine="424" w:firstLineChars="177"/>
      </w:pPr>
      <w:r>
        <w:t xml:space="preserve">4 </w:t>
      </w:r>
      <w:r>
        <w:rPr>
          <w:rFonts w:hint="eastAsia"/>
        </w:rPr>
        <w:t>地下建筑（含地下室）可单独进行计算和评价，也可与地上建筑组成一个评价单元。</w:t>
      </w:r>
    </w:p>
    <w:p w14:paraId="20F4A897">
      <w:pPr>
        <w:pStyle w:val="27"/>
        <w:widowControl/>
      </w:pPr>
      <w:bookmarkStart w:id="43" w:name="_Hlk2763216"/>
      <w:r>
        <w:rPr>
          <w:b/>
        </w:rPr>
        <w:t>3.0.2</w:t>
      </w:r>
      <w:r>
        <w:tab/>
      </w:r>
      <w:r>
        <w:rPr>
          <w:rFonts w:hint="eastAsia"/>
        </w:rPr>
        <w:t>新型建筑工业化项目</w:t>
      </w:r>
      <w:r>
        <w:rPr>
          <w:rFonts w:hint="eastAsia" w:cs="宋体"/>
        </w:rPr>
        <w:t>评价应符合下列规定：</w:t>
      </w:r>
    </w:p>
    <w:p w14:paraId="64F474E8">
      <w:pPr>
        <w:pStyle w:val="33"/>
        <w:widowControl/>
        <w:ind w:firstLine="480"/>
      </w:pPr>
      <w:r>
        <w:t xml:space="preserve">1 </w:t>
      </w:r>
      <w:r>
        <w:rPr>
          <w:rFonts w:hint="eastAsia" w:cs="宋体"/>
        </w:rPr>
        <w:t>设计阶段应进行项目预评价，应按设计文件计算项目建筑工业化率。</w:t>
      </w:r>
    </w:p>
    <w:p w14:paraId="1135D023">
      <w:pPr>
        <w:pStyle w:val="33"/>
        <w:widowControl/>
        <w:spacing w:after="156" w:afterLines="50"/>
        <w:ind w:firstLine="480"/>
        <w:rPr>
          <w:rFonts w:cs="宋体"/>
        </w:rPr>
      </w:pPr>
      <w:r>
        <w:t xml:space="preserve">2 </w:t>
      </w:r>
      <w:r>
        <w:rPr>
          <w:rFonts w:hint="eastAsia" w:cs="宋体"/>
        </w:rPr>
        <w:t>项目评价应在项目竣工验收阶段进行，应按竣工验收资料计算项目建筑工业化率确定评价等级。</w:t>
      </w:r>
    </w:p>
    <w:bookmarkEnd w:id="43"/>
    <w:p w14:paraId="028BA00F">
      <w:pPr>
        <w:pStyle w:val="60"/>
        <w:spacing w:after="156"/>
        <w:ind w:firstLine="0" w:firstLineChars="0"/>
      </w:pPr>
      <w:r>
        <w:rPr>
          <w:b/>
        </w:rPr>
        <w:t>3.0.3</w:t>
      </w:r>
      <w:r>
        <w:tab/>
      </w:r>
      <w:r>
        <w:rPr>
          <w:rFonts w:hint="eastAsia"/>
        </w:rPr>
        <w:t>单体建筑（评价单元）同时满足下列要求时，认定为新型建筑工业化项目：</w:t>
      </w:r>
    </w:p>
    <w:p w14:paraId="67A9443A">
      <w:pPr>
        <w:pStyle w:val="33"/>
        <w:ind w:firstLine="480"/>
      </w:pPr>
      <w:r>
        <w:rPr>
          <w:rFonts w:hint="eastAsia"/>
        </w:rPr>
        <w:t>1</w:t>
      </w:r>
      <w:r>
        <w:t xml:space="preserve"> </w:t>
      </w:r>
      <w:r>
        <w:rPr>
          <w:rFonts w:hint="eastAsia"/>
        </w:rPr>
        <w:t>按《装配式建筑评价标准》GB/T51129或广东省《装配式建筑评价标准》DBJ/T15-163计算，主体结构部分评价分值不低于20分，围护墙和内隔墙部分的评价分值不低于10分，采用全装修评价分值6分。</w:t>
      </w:r>
    </w:p>
    <w:p w14:paraId="07C6C297">
      <w:pPr>
        <w:pStyle w:val="33"/>
        <w:ind w:firstLine="480"/>
      </w:pPr>
      <w:r>
        <w:t xml:space="preserve">2 </w:t>
      </w:r>
      <w:r>
        <w:rPr>
          <w:rFonts w:hint="eastAsia"/>
        </w:rPr>
        <w:t>系统化集成设计部分评价分值不低于</w:t>
      </w:r>
      <w:r>
        <w:t>5</w:t>
      </w:r>
      <w:r>
        <w:rPr>
          <w:rFonts w:hint="eastAsia"/>
        </w:rPr>
        <w:t>分。</w:t>
      </w:r>
    </w:p>
    <w:p w14:paraId="286C4C5B">
      <w:pPr>
        <w:pStyle w:val="33"/>
        <w:ind w:firstLine="480"/>
      </w:pPr>
      <w:r>
        <w:rPr>
          <w:rFonts w:hint="eastAsia"/>
        </w:rPr>
        <w:t>3</w:t>
      </w:r>
      <w:r>
        <w:t xml:space="preserve"> </w:t>
      </w:r>
      <w:r>
        <w:rPr>
          <w:rFonts w:hint="eastAsia"/>
        </w:rPr>
        <w:t>构件和部品部件生产部分评价分值不低于</w:t>
      </w:r>
      <w:r>
        <w:t>5</w:t>
      </w:r>
      <w:r>
        <w:rPr>
          <w:rFonts w:hint="eastAsia"/>
        </w:rPr>
        <w:t>分。</w:t>
      </w:r>
    </w:p>
    <w:p w14:paraId="55493F55">
      <w:pPr>
        <w:pStyle w:val="33"/>
        <w:ind w:firstLine="480"/>
      </w:pPr>
      <w:r>
        <w:t xml:space="preserve">4 </w:t>
      </w:r>
      <w:r>
        <w:rPr>
          <w:rFonts w:hint="eastAsia"/>
        </w:rPr>
        <w:t>精益化施工部分评价分值不低于</w:t>
      </w:r>
      <w:r>
        <w:t>4</w:t>
      </w:r>
      <w:r>
        <w:rPr>
          <w:rFonts w:hint="eastAsia"/>
        </w:rPr>
        <w:t>分。</w:t>
      </w:r>
    </w:p>
    <w:p w14:paraId="6F23C497">
      <w:pPr>
        <w:pStyle w:val="33"/>
        <w:ind w:firstLine="480"/>
      </w:pPr>
      <w:r>
        <w:t xml:space="preserve">5 </w:t>
      </w:r>
      <w:r>
        <w:rPr>
          <w:rFonts w:hint="eastAsia"/>
        </w:rPr>
        <w:t>信息化技术应用部分评价分值不低于</w:t>
      </w:r>
      <w:r>
        <w:t>10</w:t>
      </w:r>
      <w:r>
        <w:rPr>
          <w:rFonts w:hint="eastAsia"/>
        </w:rPr>
        <w:t>分。</w:t>
      </w:r>
    </w:p>
    <w:p w14:paraId="4A39B55D">
      <w:pPr>
        <w:pStyle w:val="33"/>
        <w:ind w:firstLine="480"/>
      </w:pPr>
      <w:r>
        <w:t>6</w:t>
      </w:r>
      <w:r>
        <w:rPr>
          <w:rFonts w:hint="eastAsia"/>
        </w:rPr>
        <w:t xml:space="preserve"> 项目建筑工业化率不低于</w:t>
      </w:r>
      <w:r>
        <w:t>50%</w:t>
      </w:r>
      <w:r>
        <w:rPr>
          <w:rFonts w:hint="eastAsia"/>
        </w:rPr>
        <w:t>。</w:t>
      </w:r>
    </w:p>
    <w:p w14:paraId="09BD3BE2">
      <w:pPr>
        <w:pStyle w:val="48"/>
        <w:spacing w:before="156" w:after="156"/>
        <w:ind w:firstLine="480"/>
      </w:pPr>
    </w:p>
    <w:p w14:paraId="184DFE72">
      <w:pPr>
        <w:spacing w:line="360" w:lineRule="auto"/>
        <w:ind w:firstLine="560"/>
        <w:rPr>
          <w:rFonts w:ascii="Times New Roman" w:hAnsi="Times New Roman" w:eastAsia="宋体" w:cs="Times New Roman"/>
          <w:sz w:val="28"/>
          <w:szCs w:val="28"/>
          <w:highlight w:val="green"/>
          <w:lang w:bidi="ar"/>
        </w:rPr>
        <w:sectPr>
          <w:pgSz w:w="11906" w:h="16838"/>
          <w:pgMar w:top="1440" w:right="1800" w:bottom="1440" w:left="1800" w:header="851" w:footer="992" w:gutter="0"/>
          <w:cols w:space="425" w:num="1"/>
          <w:docGrid w:type="lines" w:linePitch="312" w:charSpace="0"/>
        </w:sectPr>
      </w:pPr>
    </w:p>
    <w:p w14:paraId="0B96AA78">
      <w:pPr>
        <w:pStyle w:val="2"/>
        <w:widowControl/>
        <w:spacing w:after="312"/>
        <w:ind w:firstLine="723"/>
      </w:pPr>
      <w:bookmarkStart w:id="44" w:name="_Toc110785793"/>
      <w:bookmarkStart w:id="45" w:name="_Toc174629898"/>
      <w:bookmarkStart w:id="46" w:name="_Toc174629876"/>
      <w:r>
        <w:t>4</w:t>
      </w:r>
      <w:r>
        <w:tab/>
      </w:r>
      <w:r>
        <w:rPr>
          <w:rFonts w:hint="eastAsia"/>
        </w:rPr>
        <w:t>项目建筑工业化率</w:t>
      </w:r>
      <w:r>
        <w:rPr>
          <w:rFonts w:hint="eastAsia" w:cs="宋体"/>
        </w:rPr>
        <w:t>计算</w:t>
      </w:r>
      <w:bookmarkEnd w:id="44"/>
      <w:bookmarkEnd w:id="45"/>
      <w:bookmarkEnd w:id="46"/>
    </w:p>
    <w:p w14:paraId="2E168560">
      <w:pPr>
        <w:pStyle w:val="51"/>
        <w:widowControl/>
        <w:spacing w:before="156" w:after="156"/>
        <w:ind w:firstLine="562"/>
      </w:pPr>
      <w:bookmarkStart w:id="47" w:name="_Toc110785794"/>
      <w:bookmarkStart w:id="48" w:name="_Toc174629899"/>
      <w:bookmarkStart w:id="49" w:name="_Toc174629877"/>
      <w:r>
        <w:t xml:space="preserve">4.1 </w:t>
      </w:r>
      <w:r>
        <w:rPr>
          <w:rFonts w:hint="eastAsia" w:cs="宋体"/>
        </w:rPr>
        <w:t>计算公式与评分表</w:t>
      </w:r>
      <w:bookmarkEnd w:id="47"/>
      <w:bookmarkEnd w:id="48"/>
      <w:bookmarkEnd w:id="49"/>
    </w:p>
    <w:p w14:paraId="63AE3C94">
      <w:pPr>
        <w:pStyle w:val="27"/>
        <w:widowControl/>
        <w:spacing w:after="156" w:afterLines="50"/>
        <w:rPr>
          <w:rFonts w:cs="宋体"/>
        </w:rPr>
      </w:pPr>
      <w:r>
        <w:rPr>
          <w:b/>
        </w:rPr>
        <w:t>4.1.1</w:t>
      </w:r>
      <w:r>
        <w:tab/>
      </w:r>
      <w:r>
        <w:rPr>
          <w:rFonts w:hint="eastAsia"/>
        </w:rPr>
        <w:t>项目建筑工业化率</w:t>
      </w:r>
      <w:r>
        <w:rPr>
          <w:rFonts w:hint="eastAsia" w:cs="宋体"/>
        </w:rPr>
        <w:t>由主体结构评价得分、围护墙和内隔墙评价得分、全装修得分、系统化集成设计得分、构件和部品部件生产得分、精益化施工得分、信息化技术应用得分、组织管理模式得分、碳计算与绿色建筑得分计算得出。</w:t>
      </w:r>
    </w:p>
    <w:p w14:paraId="27A8D965">
      <w:pPr>
        <w:pStyle w:val="27"/>
        <w:widowControl/>
      </w:pPr>
      <w:bookmarkStart w:id="50" w:name="_Hlk2763639"/>
      <w:r>
        <w:rPr>
          <w:b/>
        </w:rPr>
        <w:t>4.1.2</w:t>
      </w:r>
      <w:r>
        <w:tab/>
      </w:r>
      <w:r>
        <w:rPr>
          <w:rFonts w:hint="eastAsia" w:cs="宋体"/>
        </w:rPr>
        <w:t>项目建筑工业化率应根据表</w:t>
      </w:r>
      <w:r>
        <w:t>4.1.2</w:t>
      </w:r>
      <w:r>
        <w:rPr>
          <w:rFonts w:hint="eastAsia" w:cs="宋体"/>
        </w:rPr>
        <w:t>中评价项分值按下式计算：</w:t>
      </w:r>
    </w:p>
    <w:p w14:paraId="58558C4C">
      <w:pPr>
        <w:tabs>
          <w:tab w:val="center" w:pos="4515"/>
          <w:tab w:val="right" w:pos="9030"/>
        </w:tabs>
        <w:ind w:firstLine="420"/>
        <w:jc w:val="center"/>
        <w:rPr>
          <w:sz w:val="36"/>
          <w:szCs w:val="36"/>
        </w:rPr>
      </w:pPr>
      <w:r>
        <w:rPr>
          <w:lang w:bidi="ar"/>
        </w:rPr>
        <w:tab/>
      </w:r>
      <w:r>
        <w:rPr>
          <w:position w:val="-32"/>
          <w:lang w:bidi="ar"/>
        </w:rPr>
        <w:object>
          <v:shape id="_x0000_i1025" o:spt="75" type="#_x0000_t75" style="height:38.25pt;width:252.7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lang w:bidi="ar"/>
        </w:rPr>
        <w:tab/>
      </w:r>
      <w:r>
        <w:rPr>
          <w:rFonts w:ascii="Times New Roman" w:hAnsi="Times New Roman" w:cs="Times New Roman"/>
          <w:sz w:val="28"/>
          <w:szCs w:val="28"/>
          <w:lang w:bidi="ar"/>
        </w:rPr>
        <w:t>(</w:t>
      </w:r>
      <w:r>
        <w:rPr>
          <w:rFonts w:ascii="Times New Roman" w:hAnsi="Times New Roman" w:eastAsia="宋体" w:cs="Times New Roman"/>
          <w:color w:val="000000" w:themeColor="text1"/>
          <w:sz w:val="28"/>
          <w:szCs w:val="28"/>
          <w:lang w:bidi="ar"/>
          <w14:textFill>
            <w14:solidFill>
              <w14:schemeClr w14:val="tx1"/>
            </w14:solidFill>
          </w14:textFill>
        </w:rPr>
        <w:t>4.1.2</w:t>
      </w:r>
      <w:r>
        <w:rPr>
          <w:rFonts w:hint="eastAsia" w:ascii="Times New Roman" w:hAnsi="Times New Roman" w:eastAsia="宋体" w:cs="宋体"/>
          <w:color w:val="000000" w:themeColor="text1"/>
          <w:sz w:val="28"/>
          <w:szCs w:val="28"/>
          <w:lang w:bidi="ar"/>
          <w14:textFill>
            <w14:solidFill>
              <w14:schemeClr w14:val="tx1"/>
            </w14:solidFill>
          </w14:textFill>
        </w:rPr>
        <w:t>)</w:t>
      </w:r>
    </w:p>
    <w:p w14:paraId="49341CDC">
      <w:pPr>
        <w:pStyle w:val="26"/>
        <w:widowControl/>
        <w:ind w:left="0" w:leftChars="0" w:firstLine="0" w:firstLineChars="0"/>
        <w:rPr>
          <w:rFonts w:cs="宋体"/>
        </w:rPr>
      </w:pPr>
      <w:r>
        <w:rPr>
          <w:rFonts w:hint="eastAsia" w:cs="宋体"/>
        </w:rPr>
        <w:t>式中：</w:t>
      </w:r>
      <w:r>
        <w:rPr>
          <w:rFonts w:cs="宋体"/>
          <w:i/>
        </w:rPr>
        <w:t>P</w:t>
      </w:r>
      <w:r>
        <w:rPr>
          <w:rFonts w:cs="宋体"/>
        </w:rPr>
        <w:t>——</w:t>
      </w:r>
      <w:r>
        <w:rPr>
          <w:rFonts w:hint="eastAsia" w:cs="宋体"/>
        </w:rPr>
        <w:t>项目建筑工业化率；</w:t>
      </w:r>
    </w:p>
    <w:p w14:paraId="6F44100A">
      <w:pPr>
        <w:pStyle w:val="26"/>
        <w:widowControl/>
        <w:ind w:left="1693" w:leftChars="338" w:hanging="983" w:hangingChars="410"/>
      </w:pPr>
      <w:r>
        <w:t>Q</w:t>
      </w:r>
      <w:r>
        <w:rPr>
          <w:vertAlign w:val="subscript"/>
        </w:rPr>
        <w:t>1</w:t>
      </w:r>
      <w:r>
        <w:t>——</w:t>
      </w:r>
      <w:r>
        <w:rPr>
          <w:rFonts w:hint="eastAsia"/>
        </w:rPr>
        <w:t>结构、围护、装修装配化</w:t>
      </w:r>
      <w:r>
        <w:rPr>
          <w:rFonts w:hint="eastAsia" w:cs="宋体"/>
        </w:rPr>
        <w:t>指标实际得分值；</w:t>
      </w:r>
    </w:p>
    <w:p w14:paraId="212853F5">
      <w:pPr>
        <w:pStyle w:val="26"/>
        <w:widowControl/>
        <w:ind w:left="1693" w:leftChars="338" w:hanging="983" w:hangingChars="410"/>
      </w:pPr>
      <w:r>
        <w:t>Q</w:t>
      </w:r>
      <w:r>
        <w:rPr>
          <w:vertAlign w:val="subscript"/>
        </w:rPr>
        <w:t>2</w:t>
      </w:r>
      <w:r>
        <w:t>——</w:t>
      </w:r>
      <w:r>
        <w:rPr>
          <w:rFonts w:hint="eastAsia" w:cs="宋体"/>
        </w:rPr>
        <w:t>系统化集成设计指标实际得分值；</w:t>
      </w:r>
    </w:p>
    <w:p w14:paraId="2329AF74">
      <w:pPr>
        <w:pStyle w:val="33"/>
        <w:widowControl/>
        <w:ind w:left="1693" w:leftChars="338" w:hanging="983" w:hangingChars="410"/>
      </w:pPr>
      <w:r>
        <w:t>Q</w:t>
      </w:r>
      <w:r>
        <w:rPr>
          <w:vertAlign w:val="subscript"/>
        </w:rPr>
        <w:t>3</w:t>
      </w:r>
      <w:r>
        <w:t>——</w:t>
      </w:r>
      <w:r>
        <w:rPr>
          <w:rFonts w:hint="eastAsia" w:cs="宋体"/>
        </w:rPr>
        <w:t>构件和部品部件生产指标实际得分值；</w:t>
      </w:r>
    </w:p>
    <w:p w14:paraId="113CB9A1">
      <w:pPr>
        <w:pStyle w:val="26"/>
        <w:widowControl/>
        <w:ind w:left="1693" w:leftChars="338" w:hanging="983" w:hangingChars="410"/>
      </w:pPr>
      <w:r>
        <w:t>Q</w:t>
      </w:r>
      <w:r>
        <w:rPr>
          <w:vertAlign w:val="subscript"/>
        </w:rPr>
        <w:t>4</w:t>
      </w:r>
      <w:r>
        <w:t>——</w:t>
      </w:r>
      <w:r>
        <w:rPr>
          <w:rFonts w:hint="eastAsia" w:cs="宋体"/>
        </w:rPr>
        <w:t>精益化施工指标实际得分值；</w:t>
      </w:r>
    </w:p>
    <w:p w14:paraId="61AA09B6">
      <w:pPr>
        <w:pStyle w:val="26"/>
        <w:widowControl/>
        <w:ind w:left="1693" w:leftChars="338" w:hanging="983" w:hangingChars="410"/>
      </w:pPr>
      <w:r>
        <w:t>Q</w:t>
      </w:r>
      <w:r>
        <w:rPr>
          <w:vertAlign w:val="subscript"/>
        </w:rPr>
        <w:t>5</w:t>
      </w:r>
      <w:r>
        <w:t>——</w:t>
      </w:r>
      <w:r>
        <w:rPr>
          <w:rFonts w:hint="eastAsia" w:cs="宋体"/>
        </w:rPr>
        <w:t>信息化技术应用指标实际得分值；</w:t>
      </w:r>
    </w:p>
    <w:p w14:paraId="53437C1C">
      <w:pPr>
        <w:pStyle w:val="26"/>
        <w:widowControl/>
        <w:ind w:left="1693" w:leftChars="338" w:hanging="983" w:hangingChars="410"/>
      </w:pPr>
      <w:r>
        <w:t>Q</w:t>
      </w:r>
      <w:r>
        <w:rPr>
          <w:vertAlign w:val="subscript"/>
        </w:rPr>
        <w:t>6</w:t>
      </w:r>
      <w:r>
        <w:t>——</w:t>
      </w:r>
      <w:bookmarkEnd w:id="50"/>
      <w:r>
        <w:rPr>
          <w:rFonts w:hint="eastAsia" w:cs="宋体"/>
        </w:rPr>
        <w:t>组织管理模式指标实际得分值；</w:t>
      </w:r>
    </w:p>
    <w:p w14:paraId="5EFD14B6">
      <w:pPr>
        <w:pStyle w:val="26"/>
        <w:widowControl/>
        <w:ind w:left="1693" w:leftChars="338" w:hanging="983" w:hangingChars="410"/>
        <w:rPr>
          <w:rFonts w:cs="宋体"/>
        </w:rPr>
      </w:pPr>
      <w:r>
        <w:t>Q</w:t>
      </w:r>
      <w:r>
        <w:rPr>
          <w:sz w:val="18"/>
          <w:szCs w:val="18"/>
        </w:rPr>
        <w:t>7</w:t>
      </w:r>
      <w:r>
        <w:t>——</w:t>
      </w:r>
      <w:r>
        <w:rPr>
          <w:rFonts w:hint="eastAsia" w:cs="宋体"/>
        </w:rPr>
        <w:t>碳计算和绿色建筑指标实际得分值；</w:t>
      </w:r>
    </w:p>
    <w:p w14:paraId="2ADEBBC2">
      <w:pPr>
        <w:spacing w:line="360" w:lineRule="auto"/>
        <w:ind w:firstLine="562"/>
        <w:rPr>
          <w:rFonts w:ascii="Times New Roman" w:hAnsi="Times New Roman" w:eastAsia="宋体" w:cs="Times New Roman"/>
          <w:b/>
          <w:sz w:val="28"/>
          <w:szCs w:val="28"/>
          <w:lang w:bidi="ar"/>
        </w:rPr>
      </w:pPr>
    </w:p>
    <w:p w14:paraId="1605B098">
      <w:pPr>
        <w:spacing w:line="360" w:lineRule="auto"/>
        <w:ind w:firstLine="562"/>
        <w:rPr>
          <w:rFonts w:ascii="Times New Roman" w:hAnsi="Times New Roman" w:eastAsia="宋体" w:cs="Times New Roman"/>
          <w:b/>
          <w:sz w:val="28"/>
          <w:szCs w:val="28"/>
          <w:lang w:bidi="ar"/>
        </w:rPr>
        <w:sectPr>
          <w:pgSz w:w="11906" w:h="16838"/>
          <w:pgMar w:top="1418" w:right="1418" w:bottom="1418" w:left="1418" w:header="851" w:footer="992" w:gutter="0"/>
          <w:cols w:space="425" w:num="1"/>
          <w:docGrid w:type="lines" w:linePitch="312" w:charSpace="0"/>
        </w:sectPr>
      </w:pPr>
    </w:p>
    <w:p w14:paraId="493C42BD">
      <w:pPr>
        <w:ind w:firstLine="422"/>
        <w:jc w:val="center"/>
        <w:rPr>
          <w:rFonts w:ascii="Times New Roman" w:hAnsi="Times New Roman" w:eastAsia="宋体" w:cs="宋体"/>
          <w:b/>
          <w:lang w:bidi="ar"/>
        </w:rPr>
      </w:pPr>
      <w:bookmarkStart w:id="51" w:name="_Hlk2764038"/>
      <w:r>
        <w:rPr>
          <w:rFonts w:hint="eastAsia" w:ascii="Times New Roman" w:hAnsi="Times New Roman" w:eastAsia="宋体" w:cs="宋体"/>
          <w:b/>
          <w:lang w:bidi="ar"/>
        </w:rPr>
        <w:t>表</w:t>
      </w:r>
      <w:r>
        <w:rPr>
          <w:rFonts w:ascii="Times New Roman" w:hAnsi="Times New Roman" w:eastAsia="宋体" w:cs="Times New Roman"/>
          <w:b/>
          <w:lang w:bidi="ar"/>
        </w:rPr>
        <w:t xml:space="preserve">4.1.2 </w:t>
      </w:r>
      <w:r>
        <w:rPr>
          <w:rFonts w:hint="eastAsia" w:ascii="Times New Roman" w:hAnsi="Times New Roman" w:eastAsia="宋体" w:cs="宋体"/>
          <w:b/>
          <w:lang w:bidi="ar"/>
        </w:rPr>
        <w:t>新型建筑工业化项目评分表</w:t>
      </w:r>
    </w:p>
    <w:p w14:paraId="0DDCF392">
      <w:pPr>
        <w:ind w:firstLine="422"/>
        <w:rPr>
          <w:b/>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891"/>
        <w:gridCol w:w="1626"/>
        <w:gridCol w:w="1237"/>
        <w:gridCol w:w="2758"/>
        <w:gridCol w:w="763"/>
        <w:gridCol w:w="789"/>
      </w:tblGrid>
      <w:tr w14:paraId="7FDC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96" w:type="dxa"/>
          </w:tcPr>
          <w:p w14:paraId="6A197FDB">
            <w:pPr>
              <w:rPr>
                <w:rFonts w:hint="eastAsia" w:asciiTheme="minorEastAsia" w:hAnsiTheme="minorEastAsia"/>
                <w:bCs/>
                <w:szCs w:val="21"/>
              </w:rPr>
            </w:pPr>
            <w:r>
              <w:rPr>
                <w:rFonts w:hint="eastAsia" w:asciiTheme="minorEastAsia" w:hAnsiTheme="minorEastAsia"/>
                <w:bCs/>
                <w:szCs w:val="21"/>
              </w:rPr>
              <w:t>评价项</w:t>
            </w:r>
          </w:p>
        </w:tc>
        <w:tc>
          <w:tcPr>
            <w:tcW w:w="2517" w:type="dxa"/>
            <w:gridSpan w:val="2"/>
            <w:tcBorders>
              <w:top w:val="single" w:color="auto" w:sz="4" w:space="0"/>
              <w:left w:val="single" w:color="auto" w:sz="4" w:space="0"/>
              <w:bottom w:val="single" w:color="auto" w:sz="4" w:space="0"/>
            </w:tcBorders>
          </w:tcPr>
          <w:p w14:paraId="26F36D2A">
            <w:pPr>
              <w:ind w:firstLine="360"/>
              <w:jc w:val="center"/>
              <w:rPr>
                <w:rFonts w:hint="eastAsia" w:asciiTheme="minorEastAsia" w:hAnsiTheme="minorEastAsia"/>
                <w:bCs/>
                <w:szCs w:val="21"/>
              </w:rPr>
            </w:pPr>
            <w:r>
              <w:rPr>
                <w:rFonts w:hint="eastAsia" w:asciiTheme="minorEastAsia" w:hAnsiTheme="minorEastAsia"/>
                <w:bCs/>
                <w:szCs w:val="21"/>
              </w:rPr>
              <w:t>评价要点</w:t>
            </w:r>
          </w:p>
        </w:tc>
        <w:tc>
          <w:tcPr>
            <w:tcW w:w="3995" w:type="dxa"/>
            <w:gridSpan w:val="2"/>
          </w:tcPr>
          <w:p w14:paraId="63AFA8F7">
            <w:pPr>
              <w:jc w:val="left"/>
              <w:rPr>
                <w:rFonts w:hint="eastAsia" w:asciiTheme="minorEastAsia" w:hAnsiTheme="minorEastAsia"/>
                <w:bCs/>
                <w:szCs w:val="21"/>
              </w:rPr>
            </w:pPr>
            <w:r>
              <w:rPr>
                <w:rFonts w:hint="eastAsia" w:asciiTheme="minorEastAsia" w:hAnsiTheme="minorEastAsia"/>
                <w:bCs/>
                <w:szCs w:val="21"/>
              </w:rPr>
              <w:t>建议评价要求</w:t>
            </w:r>
          </w:p>
        </w:tc>
        <w:tc>
          <w:tcPr>
            <w:tcW w:w="763" w:type="dxa"/>
          </w:tcPr>
          <w:p w14:paraId="64F1FB39">
            <w:pPr>
              <w:jc w:val="left"/>
              <w:rPr>
                <w:rFonts w:hint="eastAsia" w:asciiTheme="minorEastAsia" w:hAnsiTheme="minorEastAsia"/>
                <w:bCs/>
                <w:szCs w:val="21"/>
              </w:rPr>
            </w:pPr>
            <w:r>
              <w:rPr>
                <w:rFonts w:hint="eastAsia" w:asciiTheme="minorEastAsia" w:hAnsiTheme="minorEastAsia"/>
                <w:bCs/>
                <w:szCs w:val="21"/>
              </w:rPr>
              <w:t>评价分值</w:t>
            </w:r>
          </w:p>
        </w:tc>
        <w:tc>
          <w:tcPr>
            <w:tcW w:w="789" w:type="dxa"/>
          </w:tcPr>
          <w:p w14:paraId="323F9E56">
            <w:pPr>
              <w:widowControl/>
              <w:jc w:val="left"/>
              <w:rPr>
                <w:rFonts w:hint="eastAsia" w:cs="宋体" w:asciiTheme="minorEastAsia" w:hAnsiTheme="minorEastAsia"/>
                <w:bCs/>
                <w:color w:val="000000"/>
                <w:kern w:val="0"/>
                <w:szCs w:val="21"/>
              </w:rPr>
            </w:pPr>
            <w:r>
              <w:rPr>
                <w:rFonts w:hint="eastAsia" w:asciiTheme="minorEastAsia" w:hAnsiTheme="minorEastAsia"/>
                <w:bCs/>
                <w:color w:val="000000"/>
                <w:szCs w:val="21"/>
              </w:rPr>
              <w:t>最低分值</w:t>
            </w:r>
          </w:p>
        </w:tc>
      </w:tr>
      <w:tr w14:paraId="4E6B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96" w:type="dxa"/>
            <w:vMerge w:val="restart"/>
          </w:tcPr>
          <w:p w14:paraId="7809DF53">
            <w:pPr>
              <w:rPr>
                <w:rFonts w:hint="eastAsia" w:asciiTheme="minorEastAsia" w:hAnsiTheme="minorEastAsia"/>
                <w:bCs/>
                <w:szCs w:val="21"/>
              </w:rPr>
            </w:pPr>
          </w:p>
          <w:p w14:paraId="252D124B">
            <w:pPr>
              <w:ind w:firstLine="360"/>
              <w:rPr>
                <w:rFonts w:hint="eastAsia" w:asciiTheme="minorEastAsia" w:hAnsiTheme="minorEastAsia"/>
                <w:bCs/>
                <w:szCs w:val="21"/>
              </w:rPr>
            </w:pPr>
          </w:p>
          <w:p w14:paraId="04019A89">
            <w:pPr>
              <w:rPr>
                <w:rFonts w:hint="eastAsia" w:asciiTheme="minorEastAsia" w:hAnsiTheme="minorEastAsia"/>
                <w:bCs/>
                <w:szCs w:val="21"/>
              </w:rPr>
            </w:pPr>
            <w:r>
              <w:rPr>
                <w:rFonts w:asciiTheme="minorEastAsia" w:hAnsiTheme="minorEastAsia"/>
                <w:bCs/>
                <w:szCs w:val="21"/>
              </w:rPr>
              <w:t>Q</w:t>
            </w:r>
            <w:r>
              <w:rPr>
                <w:rFonts w:hint="eastAsia" w:asciiTheme="minorEastAsia" w:hAnsiTheme="minorEastAsia"/>
                <w:bCs/>
                <w:szCs w:val="21"/>
                <w:vertAlign w:val="subscript"/>
              </w:rPr>
              <w:t>1</w:t>
            </w:r>
            <w:r>
              <w:rPr>
                <w:rFonts w:hint="eastAsia" w:asciiTheme="minorEastAsia" w:hAnsiTheme="minorEastAsia"/>
                <w:bCs/>
                <w:szCs w:val="21"/>
              </w:rPr>
              <w:t>：</w:t>
            </w:r>
            <w:bookmarkStart w:id="52" w:name="_Hlk174970539"/>
            <w:r>
              <w:rPr>
                <w:rFonts w:hint="eastAsia" w:asciiTheme="minorEastAsia" w:hAnsiTheme="minorEastAsia"/>
                <w:bCs/>
                <w:szCs w:val="21"/>
              </w:rPr>
              <w:t>结构、围护、</w:t>
            </w:r>
            <w:bookmarkEnd w:id="52"/>
            <w:r>
              <w:rPr>
                <w:rFonts w:hint="eastAsia" w:asciiTheme="minorEastAsia" w:hAnsiTheme="minorEastAsia"/>
                <w:bCs/>
                <w:szCs w:val="21"/>
              </w:rPr>
              <w:t>全装修（</w:t>
            </w:r>
            <w:r>
              <w:rPr>
                <w:rFonts w:asciiTheme="minorEastAsia" w:hAnsiTheme="minorEastAsia"/>
                <w:bCs/>
                <w:szCs w:val="21"/>
              </w:rPr>
              <w:t>36</w:t>
            </w:r>
            <w:r>
              <w:rPr>
                <w:rFonts w:hint="eastAsia" w:asciiTheme="minorEastAsia" w:hAnsiTheme="minorEastAsia"/>
                <w:bCs/>
                <w:szCs w:val="21"/>
              </w:rPr>
              <w:t>分）</w:t>
            </w:r>
          </w:p>
        </w:tc>
        <w:tc>
          <w:tcPr>
            <w:tcW w:w="891" w:type="dxa"/>
            <w:vMerge w:val="restart"/>
            <w:tcBorders>
              <w:top w:val="single" w:color="auto" w:sz="4" w:space="0"/>
              <w:left w:val="single" w:color="auto" w:sz="4" w:space="0"/>
              <w:right w:val="single" w:color="auto" w:sz="4" w:space="0"/>
            </w:tcBorders>
          </w:tcPr>
          <w:p w14:paraId="4E88D849">
            <w:pPr>
              <w:ind w:firstLine="168" w:firstLineChars="80"/>
              <w:jc w:val="left"/>
              <w:rPr>
                <w:rFonts w:hint="eastAsia" w:asciiTheme="minorEastAsia" w:hAnsiTheme="minorEastAsia"/>
                <w:bCs/>
                <w:szCs w:val="21"/>
              </w:rPr>
            </w:pPr>
          </w:p>
          <w:p w14:paraId="716F487A">
            <w:pPr>
              <w:ind w:firstLine="168" w:firstLineChars="80"/>
              <w:jc w:val="left"/>
              <w:rPr>
                <w:rFonts w:hint="eastAsia" w:asciiTheme="minorEastAsia" w:hAnsiTheme="minorEastAsia"/>
                <w:bCs/>
                <w:szCs w:val="21"/>
              </w:rPr>
            </w:pPr>
            <w:r>
              <w:rPr>
                <w:rFonts w:asciiTheme="minorEastAsia" w:hAnsiTheme="minorEastAsia"/>
                <w:bCs/>
                <w:szCs w:val="21"/>
              </w:rPr>
              <w:t>Q</w:t>
            </w:r>
            <w:r>
              <w:rPr>
                <w:rFonts w:asciiTheme="minorEastAsia" w:hAnsiTheme="minorEastAsia"/>
                <w:bCs/>
                <w:szCs w:val="21"/>
                <w:vertAlign w:val="subscript"/>
              </w:rPr>
              <w:t>1</w:t>
            </w:r>
            <w:r>
              <w:rPr>
                <w:rFonts w:hint="eastAsia" w:asciiTheme="minorEastAsia" w:hAnsiTheme="minorEastAsia"/>
                <w:bCs/>
                <w:szCs w:val="21"/>
                <w:vertAlign w:val="subscript"/>
              </w:rPr>
              <w:t>a</w:t>
            </w:r>
          </w:p>
        </w:tc>
        <w:tc>
          <w:tcPr>
            <w:tcW w:w="1626" w:type="dxa"/>
            <w:vMerge w:val="restart"/>
            <w:vAlign w:val="center"/>
          </w:tcPr>
          <w:p w14:paraId="21400025">
            <w:pPr>
              <w:rPr>
                <w:rFonts w:hint="eastAsia" w:asciiTheme="minorEastAsia" w:hAnsiTheme="minorEastAsia"/>
                <w:bCs/>
                <w:szCs w:val="21"/>
              </w:rPr>
            </w:pPr>
            <w:r>
              <w:rPr>
                <w:rFonts w:hint="eastAsia" w:asciiTheme="minorEastAsia" w:hAnsiTheme="minorEastAsia"/>
                <w:bCs/>
                <w:szCs w:val="21"/>
              </w:rPr>
              <w:t>主体结构部分评价分值不低于20分：</w:t>
            </w:r>
          </w:p>
        </w:tc>
        <w:tc>
          <w:tcPr>
            <w:tcW w:w="3995" w:type="dxa"/>
            <w:gridSpan w:val="2"/>
          </w:tcPr>
          <w:p w14:paraId="2F524729">
            <w:pPr>
              <w:ind w:firstLine="360"/>
              <w:rPr>
                <w:rFonts w:hint="eastAsia" w:asciiTheme="minorEastAsia" w:hAnsiTheme="minorEastAsia"/>
                <w:bCs/>
                <w:szCs w:val="21"/>
              </w:rPr>
            </w:pPr>
            <w:r>
              <w:rPr>
                <w:rFonts w:hint="eastAsia" w:asciiTheme="minorEastAsia" w:hAnsiTheme="minorEastAsia"/>
                <w:bCs/>
                <w:szCs w:val="21"/>
              </w:rPr>
              <w:t>柱、支撑、承重墙、延性墙板等竖向构件预制比例</w:t>
            </w:r>
            <w:r>
              <w:rPr>
                <w:rFonts w:asciiTheme="minorEastAsia" w:hAnsiTheme="minorEastAsia"/>
                <w:bCs/>
                <w:szCs w:val="21"/>
              </w:rPr>
              <w:t>q1</w:t>
            </w:r>
            <w:r>
              <w:rPr>
                <w:rFonts w:hint="eastAsia" w:asciiTheme="minorEastAsia" w:hAnsiTheme="minorEastAsia"/>
                <w:bCs/>
                <w:szCs w:val="21"/>
              </w:rPr>
              <w:t>a≥3</w:t>
            </w:r>
            <w:r>
              <w:rPr>
                <w:rFonts w:asciiTheme="minorEastAsia" w:hAnsiTheme="minorEastAsia"/>
                <w:bCs/>
                <w:szCs w:val="21"/>
              </w:rPr>
              <w:t>5</w:t>
            </w:r>
            <w:r>
              <w:rPr>
                <w:rFonts w:hint="eastAsia" w:asciiTheme="minorEastAsia" w:hAnsiTheme="minorEastAsia"/>
                <w:bCs/>
                <w:szCs w:val="21"/>
              </w:rPr>
              <w:t>%</w:t>
            </w:r>
          </w:p>
        </w:tc>
        <w:tc>
          <w:tcPr>
            <w:tcW w:w="763" w:type="dxa"/>
          </w:tcPr>
          <w:p w14:paraId="0280C0D2">
            <w:pPr>
              <w:jc w:val="center"/>
              <w:rPr>
                <w:rFonts w:hint="eastAsia" w:asciiTheme="minorEastAsia" w:hAnsiTheme="minorEastAsia"/>
                <w:bCs/>
                <w:szCs w:val="21"/>
              </w:rPr>
            </w:pPr>
            <w:r>
              <w:rPr>
                <w:rFonts w:asciiTheme="minorEastAsia" w:hAnsiTheme="minorEastAsia"/>
                <w:bCs/>
                <w:szCs w:val="21"/>
              </w:rPr>
              <w:t>20</w:t>
            </w:r>
          </w:p>
        </w:tc>
        <w:tc>
          <w:tcPr>
            <w:tcW w:w="789" w:type="dxa"/>
            <w:vMerge w:val="restart"/>
          </w:tcPr>
          <w:p w14:paraId="73EAAE0D">
            <w:pPr>
              <w:ind w:firstLine="360"/>
              <w:rPr>
                <w:rFonts w:hint="eastAsia" w:asciiTheme="minorEastAsia" w:hAnsiTheme="minorEastAsia"/>
                <w:bCs/>
                <w:szCs w:val="21"/>
              </w:rPr>
            </w:pPr>
          </w:p>
          <w:p w14:paraId="3F73BB92">
            <w:pPr>
              <w:ind w:firstLine="360"/>
              <w:rPr>
                <w:rFonts w:hint="eastAsia" w:asciiTheme="minorEastAsia" w:hAnsiTheme="minorEastAsia"/>
                <w:bCs/>
                <w:szCs w:val="21"/>
              </w:rPr>
            </w:pPr>
          </w:p>
          <w:p w14:paraId="674383AD">
            <w:pPr>
              <w:ind w:firstLine="360"/>
              <w:rPr>
                <w:rFonts w:hint="eastAsia" w:asciiTheme="minorEastAsia" w:hAnsiTheme="minorEastAsia"/>
                <w:bCs/>
                <w:szCs w:val="21"/>
              </w:rPr>
            </w:pPr>
          </w:p>
          <w:p w14:paraId="62C455D3">
            <w:pPr>
              <w:ind w:firstLine="360"/>
              <w:rPr>
                <w:rFonts w:hint="eastAsia" w:asciiTheme="minorEastAsia" w:hAnsiTheme="minorEastAsia"/>
                <w:bCs/>
                <w:szCs w:val="21"/>
              </w:rPr>
            </w:pPr>
          </w:p>
          <w:p w14:paraId="2071F25C">
            <w:pPr>
              <w:ind w:firstLine="360"/>
              <w:rPr>
                <w:rFonts w:hint="eastAsia" w:asciiTheme="minorEastAsia" w:hAnsiTheme="minorEastAsia"/>
                <w:bCs/>
                <w:szCs w:val="21"/>
              </w:rPr>
            </w:pPr>
            <w:r>
              <w:rPr>
                <w:rFonts w:asciiTheme="minorEastAsia" w:hAnsiTheme="minorEastAsia"/>
                <w:bCs/>
                <w:szCs w:val="21"/>
              </w:rPr>
              <w:t>36</w:t>
            </w:r>
          </w:p>
        </w:tc>
      </w:tr>
      <w:tr w14:paraId="7F99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96" w:type="dxa"/>
            <w:vMerge w:val="continue"/>
          </w:tcPr>
          <w:p w14:paraId="4A2797EA">
            <w:pPr>
              <w:ind w:firstLine="360"/>
              <w:rPr>
                <w:rFonts w:hint="eastAsia" w:asciiTheme="minorEastAsia" w:hAnsiTheme="minorEastAsia"/>
                <w:bCs/>
                <w:szCs w:val="21"/>
              </w:rPr>
            </w:pPr>
          </w:p>
        </w:tc>
        <w:tc>
          <w:tcPr>
            <w:tcW w:w="891" w:type="dxa"/>
            <w:vMerge w:val="continue"/>
            <w:tcBorders>
              <w:left w:val="single" w:color="auto" w:sz="4" w:space="0"/>
              <w:bottom w:val="single" w:color="auto" w:sz="4" w:space="0"/>
              <w:right w:val="single" w:color="auto" w:sz="4" w:space="0"/>
            </w:tcBorders>
          </w:tcPr>
          <w:p w14:paraId="08097536">
            <w:pPr>
              <w:ind w:firstLine="168" w:firstLineChars="80"/>
              <w:jc w:val="left"/>
              <w:rPr>
                <w:rFonts w:hint="eastAsia" w:asciiTheme="minorEastAsia" w:hAnsiTheme="minorEastAsia"/>
                <w:bCs/>
                <w:szCs w:val="21"/>
              </w:rPr>
            </w:pPr>
          </w:p>
        </w:tc>
        <w:tc>
          <w:tcPr>
            <w:tcW w:w="1626" w:type="dxa"/>
            <w:vMerge w:val="continue"/>
            <w:vAlign w:val="center"/>
          </w:tcPr>
          <w:p w14:paraId="6BFBCB64">
            <w:pPr>
              <w:ind w:firstLine="360"/>
              <w:rPr>
                <w:rFonts w:hint="eastAsia" w:asciiTheme="minorEastAsia" w:hAnsiTheme="minorEastAsia"/>
                <w:bCs/>
                <w:szCs w:val="21"/>
              </w:rPr>
            </w:pPr>
          </w:p>
        </w:tc>
        <w:tc>
          <w:tcPr>
            <w:tcW w:w="3995" w:type="dxa"/>
            <w:gridSpan w:val="2"/>
          </w:tcPr>
          <w:p w14:paraId="35B69DEF">
            <w:pPr>
              <w:ind w:firstLine="360"/>
              <w:rPr>
                <w:rFonts w:hint="eastAsia" w:asciiTheme="minorEastAsia" w:hAnsiTheme="minorEastAsia"/>
                <w:bCs/>
                <w:szCs w:val="21"/>
              </w:rPr>
            </w:pPr>
            <w:r>
              <w:rPr>
                <w:rFonts w:hint="eastAsia" w:asciiTheme="minorEastAsia" w:hAnsiTheme="minorEastAsia"/>
                <w:bCs/>
                <w:szCs w:val="21"/>
              </w:rPr>
              <w:t>梁、板、楼梯、阳台、空调板等构件预制比例</w:t>
            </w:r>
            <w:r>
              <w:rPr>
                <w:rFonts w:asciiTheme="minorEastAsia" w:hAnsiTheme="minorEastAsia"/>
                <w:bCs/>
                <w:szCs w:val="21"/>
              </w:rPr>
              <w:t>q1b</w:t>
            </w:r>
            <w:r>
              <w:rPr>
                <w:rFonts w:hint="eastAsia" w:asciiTheme="minorEastAsia" w:hAnsiTheme="minorEastAsia"/>
                <w:bCs/>
                <w:szCs w:val="21"/>
              </w:rPr>
              <w:t>≥7</w:t>
            </w:r>
            <w:r>
              <w:rPr>
                <w:rFonts w:asciiTheme="minorEastAsia" w:hAnsiTheme="minorEastAsia"/>
                <w:bCs/>
                <w:szCs w:val="21"/>
              </w:rPr>
              <w:t>0</w:t>
            </w:r>
            <w:r>
              <w:rPr>
                <w:rFonts w:hint="eastAsia" w:asciiTheme="minorEastAsia" w:hAnsiTheme="minorEastAsia"/>
                <w:bCs/>
                <w:szCs w:val="21"/>
              </w:rPr>
              <w:t>%</w:t>
            </w:r>
          </w:p>
        </w:tc>
        <w:tc>
          <w:tcPr>
            <w:tcW w:w="763" w:type="dxa"/>
          </w:tcPr>
          <w:p w14:paraId="39D5B52A">
            <w:pPr>
              <w:jc w:val="center"/>
              <w:rPr>
                <w:rFonts w:hint="eastAsia" w:asciiTheme="minorEastAsia" w:hAnsiTheme="minorEastAsia"/>
                <w:bCs/>
                <w:szCs w:val="21"/>
              </w:rPr>
            </w:pPr>
            <w:r>
              <w:rPr>
                <w:rFonts w:asciiTheme="minorEastAsia" w:hAnsiTheme="minorEastAsia"/>
                <w:bCs/>
                <w:szCs w:val="21"/>
              </w:rPr>
              <w:t>20</w:t>
            </w:r>
          </w:p>
        </w:tc>
        <w:tc>
          <w:tcPr>
            <w:tcW w:w="789" w:type="dxa"/>
            <w:vMerge w:val="continue"/>
          </w:tcPr>
          <w:p w14:paraId="5693CFD8">
            <w:pPr>
              <w:ind w:firstLine="361"/>
              <w:rPr>
                <w:rFonts w:hint="eastAsia" w:asciiTheme="minorEastAsia" w:hAnsiTheme="minorEastAsia"/>
                <w:b/>
                <w:szCs w:val="21"/>
              </w:rPr>
            </w:pPr>
          </w:p>
        </w:tc>
      </w:tr>
      <w:tr w14:paraId="21B9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96" w:type="dxa"/>
            <w:vMerge w:val="continue"/>
          </w:tcPr>
          <w:p w14:paraId="45C9E7E7">
            <w:pPr>
              <w:ind w:firstLine="360"/>
              <w:rPr>
                <w:rFonts w:hint="eastAsia" w:asciiTheme="minorEastAsia" w:hAnsiTheme="minorEastAsia"/>
                <w:bCs/>
                <w:szCs w:val="21"/>
              </w:rPr>
            </w:pPr>
          </w:p>
        </w:tc>
        <w:tc>
          <w:tcPr>
            <w:tcW w:w="891" w:type="dxa"/>
            <w:tcBorders>
              <w:top w:val="single" w:color="auto" w:sz="4" w:space="0"/>
              <w:left w:val="single" w:color="auto" w:sz="4" w:space="0"/>
              <w:bottom w:val="single" w:color="auto" w:sz="4" w:space="0"/>
              <w:right w:val="single" w:color="auto" w:sz="4" w:space="0"/>
            </w:tcBorders>
          </w:tcPr>
          <w:p w14:paraId="49E0FED8">
            <w:pPr>
              <w:ind w:firstLine="168" w:firstLineChars="80"/>
              <w:jc w:val="left"/>
              <w:rPr>
                <w:rFonts w:hint="eastAsia" w:asciiTheme="minorEastAsia" w:hAnsiTheme="minorEastAsia"/>
                <w:bCs/>
                <w:szCs w:val="21"/>
              </w:rPr>
            </w:pPr>
          </w:p>
          <w:p w14:paraId="1C09F7DA">
            <w:pPr>
              <w:ind w:firstLine="168" w:firstLineChars="80"/>
              <w:jc w:val="left"/>
              <w:rPr>
                <w:rFonts w:hint="eastAsia" w:asciiTheme="minorEastAsia" w:hAnsiTheme="minorEastAsia"/>
                <w:bCs/>
                <w:szCs w:val="21"/>
              </w:rPr>
            </w:pPr>
            <w:r>
              <w:rPr>
                <w:rFonts w:asciiTheme="minorEastAsia" w:hAnsiTheme="minorEastAsia"/>
                <w:bCs/>
                <w:szCs w:val="21"/>
              </w:rPr>
              <w:t>Q</w:t>
            </w:r>
            <w:r>
              <w:rPr>
                <w:rFonts w:asciiTheme="minorEastAsia" w:hAnsiTheme="minorEastAsia"/>
                <w:bCs/>
                <w:szCs w:val="21"/>
                <w:vertAlign w:val="subscript"/>
              </w:rPr>
              <w:t>1</w:t>
            </w:r>
            <w:r>
              <w:rPr>
                <w:rFonts w:hint="eastAsia" w:asciiTheme="minorEastAsia" w:hAnsiTheme="minorEastAsia"/>
                <w:bCs/>
                <w:szCs w:val="21"/>
                <w:vertAlign w:val="subscript"/>
              </w:rPr>
              <w:t>b</w:t>
            </w:r>
          </w:p>
        </w:tc>
        <w:tc>
          <w:tcPr>
            <w:tcW w:w="1626" w:type="dxa"/>
            <w:vAlign w:val="center"/>
          </w:tcPr>
          <w:p w14:paraId="6DD2551E">
            <w:pPr>
              <w:rPr>
                <w:rFonts w:hint="eastAsia" w:asciiTheme="minorEastAsia" w:hAnsiTheme="minorEastAsia"/>
                <w:bCs/>
                <w:szCs w:val="21"/>
              </w:rPr>
            </w:pPr>
            <w:r>
              <w:rPr>
                <w:rFonts w:hint="eastAsia" w:asciiTheme="minorEastAsia" w:hAnsiTheme="minorEastAsia"/>
                <w:bCs/>
                <w:szCs w:val="21"/>
              </w:rPr>
              <w:t>围护墙和内隔墙部分的评价分值不低于10分：</w:t>
            </w:r>
          </w:p>
        </w:tc>
        <w:tc>
          <w:tcPr>
            <w:tcW w:w="3995" w:type="dxa"/>
            <w:gridSpan w:val="2"/>
          </w:tcPr>
          <w:p w14:paraId="391855B0">
            <w:pPr>
              <w:ind w:firstLine="360"/>
              <w:rPr>
                <w:rFonts w:hint="eastAsia" w:asciiTheme="minorEastAsia" w:hAnsiTheme="minorEastAsia"/>
                <w:bCs/>
                <w:szCs w:val="21"/>
              </w:rPr>
            </w:pPr>
            <w:r>
              <w:rPr>
                <w:rFonts w:hint="eastAsia" w:asciiTheme="minorEastAsia" w:hAnsiTheme="minorEastAsia"/>
                <w:bCs/>
                <w:szCs w:val="21"/>
              </w:rPr>
              <w:t>非承重围护墙非砌筑比例q1c≥50%及内隔墙</w:t>
            </w:r>
            <w:bookmarkStart w:id="113" w:name="_GoBack"/>
            <w:bookmarkEnd w:id="113"/>
            <w:r>
              <w:rPr>
                <w:rFonts w:hint="eastAsia" w:asciiTheme="minorEastAsia" w:hAnsiTheme="minorEastAsia"/>
                <w:bCs/>
                <w:szCs w:val="21"/>
              </w:rPr>
              <w:t>非砌筑比例q1d≥50%</w:t>
            </w:r>
          </w:p>
        </w:tc>
        <w:tc>
          <w:tcPr>
            <w:tcW w:w="763" w:type="dxa"/>
          </w:tcPr>
          <w:p w14:paraId="759C0917">
            <w:pPr>
              <w:jc w:val="center"/>
              <w:rPr>
                <w:rFonts w:hint="eastAsia" w:asciiTheme="minorEastAsia" w:hAnsiTheme="minorEastAsia"/>
                <w:bCs/>
                <w:szCs w:val="21"/>
              </w:rPr>
            </w:pPr>
            <w:r>
              <w:rPr>
                <w:rFonts w:asciiTheme="minorEastAsia" w:hAnsiTheme="minorEastAsia"/>
                <w:bCs/>
                <w:szCs w:val="21"/>
              </w:rPr>
              <w:t>10</w:t>
            </w:r>
          </w:p>
        </w:tc>
        <w:tc>
          <w:tcPr>
            <w:tcW w:w="789" w:type="dxa"/>
            <w:vMerge w:val="continue"/>
          </w:tcPr>
          <w:p w14:paraId="7E15B47B">
            <w:pPr>
              <w:ind w:firstLine="361"/>
              <w:rPr>
                <w:rFonts w:hint="eastAsia" w:asciiTheme="minorEastAsia" w:hAnsiTheme="minorEastAsia"/>
                <w:b/>
                <w:szCs w:val="21"/>
              </w:rPr>
            </w:pPr>
          </w:p>
        </w:tc>
      </w:tr>
      <w:tr w14:paraId="5383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96" w:type="dxa"/>
            <w:vMerge w:val="continue"/>
          </w:tcPr>
          <w:p w14:paraId="72D60973">
            <w:pPr>
              <w:ind w:firstLine="360"/>
              <w:rPr>
                <w:rFonts w:hint="eastAsia" w:asciiTheme="minorEastAsia" w:hAnsiTheme="minorEastAsia"/>
                <w:bCs/>
                <w:szCs w:val="21"/>
              </w:rPr>
            </w:pPr>
          </w:p>
        </w:tc>
        <w:tc>
          <w:tcPr>
            <w:tcW w:w="891" w:type="dxa"/>
            <w:tcBorders>
              <w:top w:val="single" w:color="auto" w:sz="4" w:space="0"/>
              <w:left w:val="single" w:color="auto" w:sz="4" w:space="0"/>
              <w:bottom w:val="single" w:color="auto" w:sz="4" w:space="0"/>
              <w:right w:val="single" w:color="auto" w:sz="4" w:space="0"/>
            </w:tcBorders>
          </w:tcPr>
          <w:p w14:paraId="61980C90">
            <w:pPr>
              <w:ind w:firstLine="168" w:firstLineChars="80"/>
              <w:jc w:val="left"/>
              <w:rPr>
                <w:rFonts w:hint="eastAsia" w:asciiTheme="minorEastAsia" w:hAnsiTheme="minorEastAsia"/>
                <w:bCs/>
                <w:szCs w:val="21"/>
              </w:rPr>
            </w:pPr>
            <w:r>
              <w:rPr>
                <w:rFonts w:asciiTheme="minorEastAsia" w:hAnsiTheme="minorEastAsia"/>
                <w:bCs/>
                <w:szCs w:val="21"/>
              </w:rPr>
              <w:t>Q</w:t>
            </w:r>
            <w:r>
              <w:rPr>
                <w:rFonts w:asciiTheme="minorEastAsia" w:hAnsiTheme="minorEastAsia"/>
                <w:bCs/>
                <w:szCs w:val="21"/>
                <w:vertAlign w:val="subscript"/>
              </w:rPr>
              <w:t>1</w:t>
            </w:r>
            <w:r>
              <w:rPr>
                <w:rFonts w:hint="eastAsia" w:asciiTheme="minorEastAsia" w:hAnsiTheme="minorEastAsia"/>
                <w:bCs/>
                <w:szCs w:val="21"/>
                <w:vertAlign w:val="subscript"/>
              </w:rPr>
              <w:t>c</w:t>
            </w:r>
          </w:p>
        </w:tc>
        <w:tc>
          <w:tcPr>
            <w:tcW w:w="1626" w:type="dxa"/>
            <w:vAlign w:val="center"/>
          </w:tcPr>
          <w:p w14:paraId="183564BC">
            <w:pPr>
              <w:rPr>
                <w:rFonts w:hint="eastAsia" w:asciiTheme="minorEastAsia" w:hAnsiTheme="minorEastAsia"/>
                <w:bCs/>
                <w:szCs w:val="21"/>
              </w:rPr>
            </w:pPr>
            <w:r>
              <w:rPr>
                <w:rFonts w:hint="eastAsia" w:asciiTheme="minorEastAsia" w:hAnsiTheme="minorEastAsia"/>
                <w:bCs/>
                <w:szCs w:val="21"/>
              </w:rPr>
              <w:t>采用全装修。</w:t>
            </w:r>
          </w:p>
        </w:tc>
        <w:tc>
          <w:tcPr>
            <w:tcW w:w="3995" w:type="dxa"/>
            <w:gridSpan w:val="2"/>
          </w:tcPr>
          <w:p w14:paraId="53663FC3">
            <w:pPr>
              <w:ind w:firstLine="420"/>
              <w:jc w:val="center"/>
              <w:rPr>
                <w:rFonts w:hint="eastAsia" w:asciiTheme="minorEastAsia" w:hAnsiTheme="minorEastAsia"/>
                <w:bCs/>
                <w:szCs w:val="21"/>
              </w:rPr>
            </w:pPr>
            <w:r>
              <w:rPr>
                <w:rFonts w:hint="eastAsia" w:asciiTheme="minorEastAsia" w:hAnsiTheme="minorEastAsia"/>
                <w:bCs/>
                <w:szCs w:val="21"/>
              </w:rPr>
              <w:t>—</w:t>
            </w:r>
          </w:p>
        </w:tc>
        <w:tc>
          <w:tcPr>
            <w:tcW w:w="763" w:type="dxa"/>
          </w:tcPr>
          <w:p w14:paraId="14A8EFEA">
            <w:pPr>
              <w:jc w:val="center"/>
              <w:rPr>
                <w:rFonts w:hint="eastAsia" w:asciiTheme="minorEastAsia" w:hAnsiTheme="minorEastAsia"/>
                <w:bCs/>
                <w:szCs w:val="21"/>
              </w:rPr>
            </w:pPr>
            <w:r>
              <w:rPr>
                <w:rFonts w:asciiTheme="minorEastAsia" w:hAnsiTheme="minorEastAsia"/>
                <w:bCs/>
                <w:szCs w:val="21"/>
              </w:rPr>
              <w:t>6</w:t>
            </w:r>
          </w:p>
        </w:tc>
        <w:tc>
          <w:tcPr>
            <w:tcW w:w="789" w:type="dxa"/>
            <w:vMerge w:val="continue"/>
          </w:tcPr>
          <w:p w14:paraId="30088FD8">
            <w:pPr>
              <w:ind w:firstLine="361"/>
              <w:rPr>
                <w:rFonts w:hint="eastAsia" w:asciiTheme="minorEastAsia" w:hAnsiTheme="minorEastAsia"/>
                <w:b/>
                <w:szCs w:val="21"/>
              </w:rPr>
            </w:pPr>
          </w:p>
        </w:tc>
      </w:tr>
      <w:tr w14:paraId="738D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restart"/>
          </w:tcPr>
          <w:p w14:paraId="5995A86B">
            <w:pPr>
              <w:rPr>
                <w:rFonts w:hint="eastAsia" w:asciiTheme="minorEastAsia" w:hAnsiTheme="minorEastAsia"/>
                <w:bCs/>
                <w:szCs w:val="21"/>
              </w:rPr>
            </w:pPr>
          </w:p>
          <w:p w14:paraId="6E080841">
            <w:pPr>
              <w:rPr>
                <w:rFonts w:hint="eastAsia" w:asciiTheme="minorEastAsia" w:hAnsiTheme="minorEastAsia"/>
                <w:bCs/>
                <w:szCs w:val="21"/>
              </w:rPr>
            </w:pPr>
          </w:p>
          <w:p w14:paraId="1BCFFED1">
            <w:pPr>
              <w:rPr>
                <w:rFonts w:hint="eastAsia" w:asciiTheme="minorEastAsia" w:hAnsiTheme="minorEastAsia"/>
                <w:bCs/>
                <w:szCs w:val="21"/>
              </w:rPr>
            </w:pPr>
          </w:p>
          <w:p w14:paraId="6C6700A9">
            <w:pPr>
              <w:rPr>
                <w:rFonts w:hint="eastAsia" w:asciiTheme="minorEastAsia" w:hAnsiTheme="minorEastAsia"/>
                <w:bCs/>
                <w:szCs w:val="21"/>
              </w:rPr>
            </w:pPr>
          </w:p>
          <w:p w14:paraId="4F974DE2">
            <w:pPr>
              <w:rPr>
                <w:rFonts w:hint="eastAsia" w:asciiTheme="minorEastAsia" w:hAnsiTheme="minorEastAsia"/>
                <w:bCs/>
                <w:szCs w:val="21"/>
              </w:rPr>
            </w:pPr>
          </w:p>
          <w:p w14:paraId="0DC6DB26">
            <w:pPr>
              <w:rPr>
                <w:rFonts w:hint="eastAsia" w:asciiTheme="minorEastAsia" w:hAnsiTheme="minorEastAsia"/>
                <w:bCs/>
                <w:szCs w:val="21"/>
              </w:rPr>
            </w:pPr>
            <w:r>
              <w:rPr>
                <w:rFonts w:asciiTheme="minorEastAsia" w:hAnsiTheme="minorEastAsia"/>
                <w:bCs/>
                <w:szCs w:val="21"/>
              </w:rPr>
              <w:t>Q2</w:t>
            </w:r>
            <w:r>
              <w:rPr>
                <w:rFonts w:hint="eastAsia" w:asciiTheme="minorEastAsia" w:hAnsiTheme="minorEastAsia"/>
                <w:bCs/>
                <w:szCs w:val="21"/>
              </w:rPr>
              <w:t>：系统化集成设计（</w:t>
            </w:r>
            <w:r>
              <w:rPr>
                <w:rFonts w:asciiTheme="minorEastAsia" w:hAnsiTheme="minorEastAsia"/>
                <w:bCs/>
                <w:szCs w:val="21"/>
              </w:rPr>
              <w:t>25</w:t>
            </w:r>
            <w:r>
              <w:rPr>
                <w:rFonts w:hint="eastAsia" w:asciiTheme="minorEastAsia" w:hAnsiTheme="minorEastAsia"/>
                <w:bCs/>
                <w:szCs w:val="21"/>
              </w:rPr>
              <w:t>分）</w:t>
            </w:r>
          </w:p>
        </w:tc>
        <w:tc>
          <w:tcPr>
            <w:tcW w:w="891" w:type="dxa"/>
            <w:vMerge w:val="restart"/>
            <w:tcBorders>
              <w:right w:val="single" w:color="auto" w:sz="4" w:space="0"/>
            </w:tcBorders>
          </w:tcPr>
          <w:p w14:paraId="1DA69F53">
            <w:pPr>
              <w:ind w:firstLine="168" w:firstLineChars="80"/>
              <w:jc w:val="left"/>
              <w:rPr>
                <w:rFonts w:hint="eastAsia" w:asciiTheme="minorEastAsia" w:hAnsiTheme="minorEastAsia"/>
                <w:bCs/>
                <w:szCs w:val="21"/>
              </w:rPr>
            </w:pPr>
          </w:p>
          <w:p w14:paraId="1F23ACD2">
            <w:pPr>
              <w:ind w:firstLine="168" w:firstLineChars="80"/>
              <w:jc w:val="left"/>
              <w:rPr>
                <w:rFonts w:hint="eastAsia" w:asciiTheme="minorEastAsia" w:hAnsiTheme="minorEastAsia"/>
                <w:bCs/>
                <w:szCs w:val="21"/>
              </w:rPr>
            </w:pPr>
          </w:p>
          <w:p w14:paraId="39952230">
            <w:pPr>
              <w:ind w:firstLine="168" w:firstLineChars="80"/>
              <w:jc w:val="left"/>
              <w:rPr>
                <w:rFonts w:hint="eastAsia" w:asciiTheme="minorEastAsia" w:hAnsiTheme="minorEastAsia"/>
                <w:bCs/>
                <w:szCs w:val="21"/>
              </w:rPr>
            </w:pPr>
          </w:p>
          <w:p w14:paraId="6D6D0F0E">
            <w:pPr>
              <w:ind w:firstLine="168" w:firstLineChars="80"/>
              <w:jc w:val="left"/>
              <w:rPr>
                <w:rFonts w:hint="eastAsia" w:asciiTheme="minorEastAsia" w:hAnsiTheme="minorEastAsia"/>
                <w:bCs/>
                <w:szCs w:val="21"/>
              </w:rPr>
            </w:pPr>
            <w:r>
              <w:rPr>
                <w:rFonts w:asciiTheme="minorEastAsia" w:hAnsiTheme="minorEastAsia"/>
                <w:bCs/>
                <w:szCs w:val="21"/>
              </w:rPr>
              <w:t>Q2a</w:t>
            </w:r>
          </w:p>
        </w:tc>
        <w:tc>
          <w:tcPr>
            <w:tcW w:w="1626" w:type="dxa"/>
            <w:vMerge w:val="restart"/>
            <w:tcBorders>
              <w:left w:val="single" w:color="auto" w:sz="4" w:space="0"/>
            </w:tcBorders>
          </w:tcPr>
          <w:p w14:paraId="65A7DD25">
            <w:pPr>
              <w:ind w:firstLine="360"/>
              <w:rPr>
                <w:rFonts w:hint="eastAsia" w:asciiTheme="minorEastAsia" w:hAnsiTheme="minorEastAsia"/>
                <w:bCs/>
                <w:szCs w:val="21"/>
              </w:rPr>
            </w:pPr>
          </w:p>
          <w:p w14:paraId="0F4AB677">
            <w:pPr>
              <w:rPr>
                <w:rFonts w:hint="eastAsia" w:asciiTheme="minorEastAsia" w:hAnsiTheme="minorEastAsia"/>
                <w:bCs/>
                <w:szCs w:val="21"/>
              </w:rPr>
            </w:pPr>
          </w:p>
          <w:p w14:paraId="336CAA9F">
            <w:pPr>
              <w:rPr>
                <w:rFonts w:hint="eastAsia" w:asciiTheme="minorEastAsia" w:hAnsiTheme="minorEastAsia"/>
                <w:bCs/>
                <w:szCs w:val="21"/>
              </w:rPr>
            </w:pPr>
            <w:r>
              <w:rPr>
                <w:rFonts w:hint="eastAsia" w:asciiTheme="minorEastAsia" w:hAnsiTheme="minorEastAsia"/>
                <w:bCs/>
                <w:szCs w:val="21"/>
              </w:rPr>
              <w:t>标准化设计</w:t>
            </w:r>
          </w:p>
        </w:tc>
        <w:tc>
          <w:tcPr>
            <w:tcW w:w="1237" w:type="dxa"/>
          </w:tcPr>
          <w:p w14:paraId="6ADA5779">
            <w:pPr>
              <w:rPr>
                <w:rFonts w:hint="eastAsia" w:asciiTheme="minorEastAsia" w:hAnsiTheme="minorEastAsia"/>
                <w:bCs/>
                <w:szCs w:val="21"/>
              </w:rPr>
            </w:pPr>
            <w:r>
              <w:rPr>
                <w:rFonts w:hint="eastAsia" w:asciiTheme="minorEastAsia" w:hAnsiTheme="minorEastAsia"/>
                <w:bCs/>
                <w:szCs w:val="21"/>
              </w:rPr>
              <w:t>平面布置标准化</w:t>
            </w:r>
          </w:p>
        </w:tc>
        <w:tc>
          <w:tcPr>
            <w:tcW w:w="2758" w:type="dxa"/>
          </w:tcPr>
          <w:p w14:paraId="555AA242">
            <w:pPr>
              <w:ind w:firstLine="360"/>
              <w:rPr>
                <w:rFonts w:hint="eastAsia" w:asciiTheme="minorEastAsia" w:hAnsiTheme="minorEastAsia"/>
                <w:bCs/>
                <w:szCs w:val="21"/>
              </w:rPr>
            </w:pPr>
            <w:r>
              <w:rPr>
                <w:rFonts w:hint="eastAsia" w:asciiTheme="minorEastAsia" w:hAnsiTheme="minorEastAsia"/>
                <w:bCs/>
                <w:szCs w:val="21"/>
              </w:rPr>
              <w:t>条文</w:t>
            </w:r>
            <w:r>
              <w:rPr>
                <w:rFonts w:asciiTheme="minorEastAsia" w:hAnsiTheme="minorEastAsia"/>
                <w:bCs/>
                <w:szCs w:val="21"/>
              </w:rPr>
              <w:t>4.3.1</w:t>
            </w:r>
          </w:p>
        </w:tc>
        <w:tc>
          <w:tcPr>
            <w:tcW w:w="763" w:type="dxa"/>
          </w:tcPr>
          <w:p w14:paraId="110FADFF">
            <w:pPr>
              <w:jc w:val="center"/>
              <w:rPr>
                <w:rFonts w:hint="eastAsia" w:asciiTheme="minorEastAsia" w:hAnsiTheme="minorEastAsia"/>
                <w:bCs/>
                <w:szCs w:val="21"/>
              </w:rPr>
            </w:pPr>
            <w:r>
              <w:rPr>
                <w:rFonts w:asciiTheme="minorEastAsia" w:hAnsiTheme="minorEastAsia"/>
                <w:bCs/>
                <w:szCs w:val="21"/>
              </w:rPr>
              <w:t>8</w:t>
            </w:r>
          </w:p>
        </w:tc>
        <w:tc>
          <w:tcPr>
            <w:tcW w:w="789" w:type="dxa"/>
            <w:vMerge w:val="restart"/>
          </w:tcPr>
          <w:p w14:paraId="7E132789">
            <w:pPr>
              <w:ind w:firstLine="360"/>
              <w:rPr>
                <w:rFonts w:hint="eastAsia" w:asciiTheme="minorEastAsia" w:hAnsiTheme="minorEastAsia"/>
                <w:bCs/>
                <w:szCs w:val="21"/>
              </w:rPr>
            </w:pPr>
          </w:p>
          <w:p w14:paraId="2B9A9C7B">
            <w:pPr>
              <w:ind w:firstLine="360"/>
              <w:rPr>
                <w:rFonts w:hint="eastAsia" w:asciiTheme="minorEastAsia" w:hAnsiTheme="minorEastAsia"/>
                <w:bCs/>
                <w:szCs w:val="21"/>
              </w:rPr>
            </w:pPr>
          </w:p>
          <w:p w14:paraId="5FB02AFF">
            <w:pPr>
              <w:ind w:firstLine="360"/>
              <w:rPr>
                <w:rFonts w:hint="eastAsia" w:asciiTheme="minorEastAsia" w:hAnsiTheme="minorEastAsia"/>
                <w:bCs/>
                <w:szCs w:val="21"/>
              </w:rPr>
            </w:pPr>
          </w:p>
          <w:p w14:paraId="1A642135">
            <w:pPr>
              <w:ind w:firstLine="360"/>
              <w:rPr>
                <w:rFonts w:hint="eastAsia" w:asciiTheme="minorEastAsia" w:hAnsiTheme="minorEastAsia"/>
                <w:bCs/>
                <w:szCs w:val="21"/>
              </w:rPr>
            </w:pPr>
          </w:p>
          <w:p w14:paraId="46826E87">
            <w:pPr>
              <w:ind w:firstLine="360"/>
              <w:rPr>
                <w:rFonts w:hint="eastAsia" w:asciiTheme="minorEastAsia" w:hAnsiTheme="minorEastAsia"/>
                <w:bCs/>
                <w:szCs w:val="21"/>
              </w:rPr>
            </w:pPr>
          </w:p>
          <w:p w14:paraId="187035C9">
            <w:pPr>
              <w:ind w:firstLine="360"/>
              <w:rPr>
                <w:rFonts w:hint="eastAsia" w:asciiTheme="minorEastAsia" w:hAnsiTheme="minorEastAsia"/>
                <w:bCs/>
                <w:szCs w:val="21"/>
              </w:rPr>
            </w:pPr>
          </w:p>
          <w:p w14:paraId="2192D852">
            <w:pPr>
              <w:ind w:firstLine="360"/>
              <w:rPr>
                <w:rFonts w:hint="eastAsia" w:asciiTheme="minorEastAsia" w:hAnsiTheme="minorEastAsia"/>
                <w:bCs/>
                <w:szCs w:val="21"/>
              </w:rPr>
            </w:pPr>
            <w:r>
              <w:rPr>
                <w:rFonts w:asciiTheme="minorEastAsia" w:hAnsiTheme="minorEastAsia"/>
                <w:bCs/>
                <w:szCs w:val="21"/>
              </w:rPr>
              <w:t>5</w:t>
            </w:r>
          </w:p>
        </w:tc>
      </w:tr>
      <w:tr w14:paraId="7602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continue"/>
          </w:tcPr>
          <w:p w14:paraId="179636B4">
            <w:pPr>
              <w:ind w:firstLine="360"/>
              <w:rPr>
                <w:rFonts w:hint="eastAsia" w:asciiTheme="minorEastAsia" w:hAnsiTheme="minorEastAsia"/>
                <w:bCs/>
                <w:szCs w:val="21"/>
              </w:rPr>
            </w:pPr>
          </w:p>
        </w:tc>
        <w:tc>
          <w:tcPr>
            <w:tcW w:w="891" w:type="dxa"/>
            <w:vMerge w:val="continue"/>
            <w:tcBorders>
              <w:right w:val="single" w:color="auto" w:sz="4" w:space="0"/>
            </w:tcBorders>
          </w:tcPr>
          <w:p w14:paraId="4A1DE5BD">
            <w:pPr>
              <w:ind w:firstLine="168" w:firstLineChars="80"/>
              <w:jc w:val="left"/>
              <w:rPr>
                <w:rFonts w:hint="eastAsia" w:asciiTheme="minorEastAsia" w:hAnsiTheme="minorEastAsia"/>
                <w:bCs/>
                <w:szCs w:val="21"/>
              </w:rPr>
            </w:pPr>
          </w:p>
        </w:tc>
        <w:tc>
          <w:tcPr>
            <w:tcW w:w="1626" w:type="dxa"/>
            <w:vMerge w:val="continue"/>
            <w:tcBorders>
              <w:left w:val="single" w:color="auto" w:sz="4" w:space="0"/>
            </w:tcBorders>
          </w:tcPr>
          <w:p w14:paraId="139459CD">
            <w:pPr>
              <w:ind w:firstLine="360"/>
              <w:rPr>
                <w:rFonts w:hint="eastAsia" w:asciiTheme="minorEastAsia" w:hAnsiTheme="minorEastAsia"/>
                <w:bCs/>
                <w:szCs w:val="21"/>
              </w:rPr>
            </w:pPr>
          </w:p>
        </w:tc>
        <w:tc>
          <w:tcPr>
            <w:tcW w:w="1237" w:type="dxa"/>
          </w:tcPr>
          <w:p w14:paraId="3D45D986">
            <w:pPr>
              <w:rPr>
                <w:rFonts w:hint="eastAsia" w:asciiTheme="minorEastAsia" w:hAnsiTheme="minorEastAsia"/>
                <w:bCs/>
                <w:szCs w:val="21"/>
              </w:rPr>
            </w:pPr>
            <w:r>
              <w:rPr>
                <w:rFonts w:hint="eastAsia" w:asciiTheme="minorEastAsia" w:hAnsiTheme="minorEastAsia"/>
                <w:bCs/>
                <w:szCs w:val="21"/>
              </w:rPr>
              <w:t>预制构件与部品标准化</w:t>
            </w:r>
          </w:p>
        </w:tc>
        <w:tc>
          <w:tcPr>
            <w:tcW w:w="2758" w:type="dxa"/>
          </w:tcPr>
          <w:p w14:paraId="3BB6D188">
            <w:pPr>
              <w:ind w:firstLine="360"/>
              <w:rPr>
                <w:rFonts w:hint="eastAsia" w:asciiTheme="minorEastAsia" w:hAnsiTheme="minorEastAsia"/>
                <w:bCs/>
                <w:szCs w:val="21"/>
              </w:rPr>
            </w:pPr>
            <w:r>
              <w:rPr>
                <w:rFonts w:hint="eastAsia" w:asciiTheme="minorEastAsia" w:hAnsiTheme="minorEastAsia"/>
                <w:bCs/>
                <w:szCs w:val="21"/>
              </w:rPr>
              <w:t>条文</w:t>
            </w:r>
            <w:r>
              <w:rPr>
                <w:rFonts w:asciiTheme="minorEastAsia" w:hAnsiTheme="minorEastAsia"/>
                <w:bCs/>
                <w:szCs w:val="21"/>
              </w:rPr>
              <w:t>4.3.2</w:t>
            </w:r>
          </w:p>
        </w:tc>
        <w:tc>
          <w:tcPr>
            <w:tcW w:w="763" w:type="dxa"/>
          </w:tcPr>
          <w:p w14:paraId="6F911ECD">
            <w:pPr>
              <w:jc w:val="center"/>
              <w:rPr>
                <w:rFonts w:hint="eastAsia" w:asciiTheme="minorEastAsia" w:hAnsiTheme="minorEastAsia"/>
                <w:bCs/>
                <w:szCs w:val="21"/>
              </w:rPr>
            </w:pPr>
            <w:r>
              <w:rPr>
                <w:rFonts w:asciiTheme="minorEastAsia" w:hAnsiTheme="minorEastAsia"/>
                <w:bCs/>
                <w:szCs w:val="21"/>
              </w:rPr>
              <w:t>8</w:t>
            </w:r>
          </w:p>
        </w:tc>
        <w:tc>
          <w:tcPr>
            <w:tcW w:w="789" w:type="dxa"/>
            <w:vMerge w:val="continue"/>
          </w:tcPr>
          <w:p w14:paraId="2D579ADB">
            <w:pPr>
              <w:ind w:firstLine="360"/>
              <w:rPr>
                <w:rFonts w:hint="eastAsia" w:asciiTheme="minorEastAsia" w:hAnsiTheme="minorEastAsia"/>
                <w:bCs/>
                <w:szCs w:val="21"/>
              </w:rPr>
            </w:pPr>
          </w:p>
        </w:tc>
      </w:tr>
      <w:tr w14:paraId="37E4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continue"/>
          </w:tcPr>
          <w:p w14:paraId="6BD1C348">
            <w:pPr>
              <w:ind w:firstLine="360"/>
              <w:rPr>
                <w:rFonts w:hint="eastAsia" w:asciiTheme="minorEastAsia" w:hAnsiTheme="minorEastAsia"/>
                <w:bCs/>
                <w:szCs w:val="21"/>
              </w:rPr>
            </w:pPr>
          </w:p>
        </w:tc>
        <w:tc>
          <w:tcPr>
            <w:tcW w:w="891" w:type="dxa"/>
            <w:vMerge w:val="continue"/>
            <w:tcBorders>
              <w:right w:val="single" w:color="auto" w:sz="4" w:space="0"/>
            </w:tcBorders>
          </w:tcPr>
          <w:p w14:paraId="3240FF07">
            <w:pPr>
              <w:ind w:firstLine="168" w:firstLineChars="80"/>
              <w:jc w:val="left"/>
              <w:rPr>
                <w:rFonts w:hint="eastAsia" w:asciiTheme="minorEastAsia" w:hAnsiTheme="minorEastAsia"/>
                <w:bCs/>
                <w:szCs w:val="21"/>
              </w:rPr>
            </w:pPr>
          </w:p>
        </w:tc>
        <w:tc>
          <w:tcPr>
            <w:tcW w:w="1626" w:type="dxa"/>
            <w:vMerge w:val="continue"/>
            <w:tcBorders>
              <w:left w:val="single" w:color="auto" w:sz="4" w:space="0"/>
            </w:tcBorders>
          </w:tcPr>
          <w:p w14:paraId="77C98D30">
            <w:pPr>
              <w:ind w:firstLine="360"/>
              <w:rPr>
                <w:rFonts w:hint="eastAsia" w:asciiTheme="minorEastAsia" w:hAnsiTheme="minorEastAsia"/>
                <w:bCs/>
                <w:szCs w:val="21"/>
              </w:rPr>
            </w:pPr>
          </w:p>
        </w:tc>
        <w:tc>
          <w:tcPr>
            <w:tcW w:w="1237" w:type="dxa"/>
          </w:tcPr>
          <w:p w14:paraId="0A3A72D0">
            <w:pPr>
              <w:rPr>
                <w:rFonts w:hint="eastAsia" w:asciiTheme="minorEastAsia" w:hAnsiTheme="minorEastAsia"/>
                <w:bCs/>
                <w:szCs w:val="21"/>
              </w:rPr>
            </w:pPr>
            <w:r>
              <w:rPr>
                <w:rFonts w:hint="eastAsia" w:asciiTheme="minorEastAsia" w:hAnsiTheme="minorEastAsia"/>
                <w:bCs/>
                <w:szCs w:val="21"/>
              </w:rPr>
              <w:t>节点标准化</w:t>
            </w:r>
          </w:p>
        </w:tc>
        <w:tc>
          <w:tcPr>
            <w:tcW w:w="2758" w:type="dxa"/>
          </w:tcPr>
          <w:p w14:paraId="7F533926">
            <w:pPr>
              <w:ind w:firstLine="360"/>
              <w:rPr>
                <w:rFonts w:hint="eastAsia" w:asciiTheme="minorEastAsia" w:hAnsiTheme="minorEastAsia"/>
                <w:bCs/>
                <w:szCs w:val="21"/>
              </w:rPr>
            </w:pPr>
            <w:r>
              <w:rPr>
                <w:rFonts w:hint="eastAsia" w:asciiTheme="minorEastAsia" w:hAnsiTheme="minorEastAsia"/>
                <w:bCs/>
                <w:szCs w:val="21"/>
              </w:rPr>
              <w:t>条文</w:t>
            </w:r>
            <w:r>
              <w:rPr>
                <w:rFonts w:asciiTheme="minorEastAsia" w:hAnsiTheme="minorEastAsia"/>
                <w:bCs/>
                <w:szCs w:val="21"/>
              </w:rPr>
              <w:t>4.3.3</w:t>
            </w:r>
          </w:p>
        </w:tc>
        <w:tc>
          <w:tcPr>
            <w:tcW w:w="763" w:type="dxa"/>
          </w:tcPr>
          <w:p w14:paraId="36C471B9">
            <w:pPr>
              <w:jc w:val="center"/>
              <w:rPr>
                <w:rFonts w:hint="eastAsia" w:asciiTheme="minorEastAsia" w:hAnsiTheme="minorEastAsia"/>
                <w:bCs/>
                <w:szCs w:val="21"/>
              </w:rPr>
            </w:pPr>
            <w:r>
              <w:rPr>
                <w:rFonts w:asciiTheme="minorEastAsia" w:hAnsiTheme="minorEastAsia"/>
                <w:bCs/>
                <w:szCs w:val="21"/>
              </w:rPr>
              <w:t>3</w:t>
            </w:r>
          </w:p>
        </w:tc>
        <w:tc>
          <w:tcPr>
            <w:tcW w:w="789" w:type="dxa"/>
            <w:vMerge w:val="continue"/>
          </w:tcPr>
          <w:p w14:paraId="294B970E">
            <w:pPr>
              <w:ind w:firstLine="360"/>
              <w:rPr>
                <w:rFonts w:hint="eastAsia" w:asciiTheme="minorEastAsia" w:hAnsiTheme="minorEastAsia"/>
                <w:bCs/>
                <w:szCs w:val="21"/>
              </w:rPr>
            </w:pPr>
          </w:p>
        </w:tc>
      </w:tr>
      <w:tr w14:paraId="6112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96" w:type="dxa"/>
            <w:vMerge w:val="continue"/>
          </w:tcPr>
          <w:p w14:paraId="0B506F6B">
            <w:pPr>
              <w:ind w:firstLine="360"/>
              <w:rPr>
                <w:rFonts w:hint="eastAsia" w:asciiTheme="minorEastAsia" w:hAnsiTheme="minorEastAsia"/>
                <w:bCs/>
                <w:szCs w:val="21"/>
              </w:rPr>
            </w:pPr>
          </w:p>
        </w:tc>
        <w:tc>
          <w:tcPr>
            <w:tcW w:w="891" w:type="dxa"/>
            <w:tcBorders>
              <w:right w:val="single" w:color="auto" w:sz="4" w:space="0"/>
            </w:tcBorders>
          </w:tcPr>
          <w:p w14:paraId="326BFCB4">
            <w:pPr>
              <w:ind w:firstLine="168" w:firstLineChars="80"/>
              <w:jc w:val="left"/>
              <w:rPr>
                <w:rFonts w:hint="eastAsia" w:asciiTheme="minorEastAsia" w:hAnsiTheme="minorEastAsia"/>
                <w:bCs/>
                <w:szCs w:val="21"/>
              </w:rPr>
            </w:pPr>
            <w:r>
              <w:rPr>
                <w:rFonts w:asciiTheme="minorEastAsia" w:hAnsiTheme="minorEastAsia"/>
                <w:bCs/>
                <w:szCs w:val="21"/>
              </w:rPr>
              <w:t>Q2b</w:t>
            </w:r>
          </w:p>
        </w:tc>
        <w:tc>
          <w:tcPr>
            <w:tcW w:w="1626" w:type="dxa"/>
          </w:tcPr>
          <w:p w14:paraId="06209358">
            <w:pPr>
              <w:rPr>
                <w:rFonts w:hint="eastAsia" w:asciiTheme="minorEastAsia" w:hAnsiTheme="minorEastAsia"/>
                <w:bCs/>
                <w:szCs w:val="21"/>
              </w:rPr>
            </w:pPr>
            <w:r>
              <w:rPr>
                <w:rFonts w:hint="eastAsia" w:asciiTheme="minorEastAsia" w:hAnsiTheme="minorEastAsia"/>
                <w:bCs/>
                <w:szCs w:val="21"/>
              </w:rPr>
              <w:t>多专业协同</w:t>
            </w:r>
          </w:p>
        </w:tc>
        <w:tc>
          <w:tcPr>
            <w:tcW w:w="3995" w:type="dxa"/>
            <w:gridSpan w:val="2"/>
          </w:tcPr>
          <w:p w14:paraId="2AC156E2">
            <w:pPr>
              <w:ind w:firstLine="360"/>
              <w:rPr>
                <w:rFonts w:hint="eastAsia" w:asciiTheme="minorEastAsia" w:hAnsiTheme="minorEastAsia"/>
                <w:bCs/>
                <w:szCs w:val="21"/>
              </w:rPr>
            </w:pPr>
            <w:r>
              <w:rPr>
                <w:rFonts w:asciiTheme="minorEastAsia" w:hAnsiTheme="minorEastAsia"/>
                <w:bCs/>
                <w:szCs w:val="21"/>
              </w:rPr>
              <w:t>BIM正向设计</w:t>
            </w:r>
          </w:p>
        </w:tc>
        <w:tc>
          <w:tcPr>
            <w:tcW w:w="763" w:type="dxa"/>
          </w:tcPr>
          <w:p w14:paraId="562EF39E">
            <w:pPr>
              <w:ind w:firstLine="360"/>
              <w:jc w:val="center"/>
              <w:rPr>
                <w:rFonts w:hint="eastAsia" w:asciiTheme="minorEastAsia" w:hAnsiTheme="minorEastAsia"/>
                <w:bCs/>
                <w:szCs w:val="21"/>
              </w:rPr>
            </w:pPr>
            <w:r>
              <w:rPr>
                <w:rFonts w:asciiTheme="minorEastAsia" w:hAnsiTheme="minorEastAsia"/>
                <w:bCs/>
                <w:szCs w:val="21"/>
              </w:rPr>
              <w:t>1</w:t>
            </w:r>
          </w:p>
        </w:tc>
        <w:tc>
          <w:tcPr>
            <w:tcW w:w="789" w:type="dxa"/>
            <w:vMerge w:val="continue"/>
          </w:tcPr>
          <w:p w14:paraId="6244D43B">
            <w:pPr>
              <w:ind w:firstLine="360"/>
              <w:rPr>
                <w:rFonts w:hint="eastAsia" w:asciiTheme="minorEastAsia" w:hAnsiTheme="minorEastAsia"/>
                <w:bCs/>
                <w:szCs w:val="21"/>
              </w:rPr>
            </w:pPr>
          </w:p>
        </w:tc>
      </w:tr>
      <w:tr w14:paraId="043C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continue"/>
          </w:tcPr>
          <w:p w14:paraId="50A19B05">
            <w:pPr>
              <w:ind w:firstLine="360"/>
              <w:rPr>
                <w:rFonts w:hint="eastAsia" w:asciiTheme="minorEastAsia" w:hAnsiTheme="minorEastAsia"/>
                <w:bCs/>
                <w:szCs w:val="21"/>
              </w:rPr>
            </w:pPr>
          </w:p>
        </w:tc>
        <w:tc>
          <w:tcPr>
            <w:tcW w:w="891" w:type="dxa"/>
            <w:tcBorders>
              <w:right w:val="single" w:color="auto" w:sz="4" w:space="0"/>
            </w:tcBorders>
          </w:tcPr>
          <w:p w14:paraId="35EDC086">
            <w:pPr>
              <w:ind w:firstLine="168" w:firstLineChars="80"/>
              <w:jc w:val="left"/>
              <w:rPr>
                <w:rFonts w:hint="eastAsia" w:asciiTheme="minorEastAsia" w:hAnsiTheme="minorEastAsia"/>
                <w:bCs/>
                <w:szCs w:val="21"/>
              </w:rPr>
            </w:pPr>
            <w:r>
              <w:rPr>
                <w:rFonts w:asciiTheme="minorEastAsia" w:hAnsiTheme="minorEastAsia"/>
                <w:bCs/>
                <w:szCs w:val="21"/>
              </w:rPr>
              <w:t>Q2c</w:t>
            </w:r>
          </w:p>
        </w:tc>
        <w:tc>
          <w:tcPr>
            <w:tcW w:w="1626" w:type="dxa"/>
          </w:tcPr>
          <w:p w14:paraId="28EE97FF">
            <w:pPr>
              <w:rPr>
                <w:rFonts w:hint="eastAsia" w:asciiTheme="minorEastAsia" w:hAnsiTheme="minorEastAsia"/>
                <w:bCs/>
                <w:szCs w:val="21"/>
              </w:rPr>
            </w:pPr>
            <w:r>
              <w:rPr>
                <w:rFonts w:hint="eastAsia" w:asciiTheme="minorEastAsia" w:hAnsiTheme="minorEastAsia"/>
                <w:bCs/>
                <w:szCs w:val="21"/>
              </w:rPr>
              <w:t>建筑工业化方案技术论证</w:t>
            </w:r>
          </w:p>
        </w:tc>
        <w:tc>
          <w:tcPr>
            <w:tcW w:w="3995" w:type="dxa"/>
            <w:gridSpan w:val="2"/>
          </w:tcPr>
          <w:p w14:paraId="6449C88F">
            <w:pPr>
              <w:ind w:firstLine="360"/>
              <w:rPr>
                <w:rFonts w:hint="eastAsia" w:asciiTheme="minorEastAsia" w:hAnsiTheme="minorEastAsia"/>
                <w:bCs/>
                <w:szCs w:val="21"/>
              </w:rPr>
            </w:pPr>
            <w:r>
              <w:rPr>
                <w:rFonts w:asciiTheme="minorEastAsia" w:hAnsiTheme="minorEastAsia"/>
                <w:bCs/>
                <w:szCs w:val="21"/>
              </w:rPr>
              <w:t>召开</w:t>
            </w:r>
            <w:r>
              <w:rPr>
                <w:rFonts w:hint="eastAsia" w:asciiTheme="minorEastAsia" w:hAnsiTheme="minorEastAsia"/>
                <w:bCs/>
                <w:szCs w:val="21"/>
              </w:rPr>
              <w:t>针对建筑工业化技术论证会议</w:t>
            </w:r>
          </w:p>
        </w:tc>
        <w:tc>
          <w:tcPr>
            <w:tcW w:w="763" w:type="dxa"/>
          </w:tcPr>
          <w:p w14:paraId="7D9FF541">
            <w:pPr>
              <w:ind w:firstLine="360"/>
              <w:jc w:val="center"/>
              <w:rPr>
                <w:rFonts w:hint="eastAsia" w:asciiTheme="minorEastAsia" w:hAnsiTheme="minorEastAsia"/>
                <w:bCs/>
                <w:szCs w:val="21"/>
              </w:rPr>
            </w:pPr>
            <w:r>
              <w:rPr>
                <w:rFonts w:asciiTheme="minorEastAsia" w:hAnsiTheme="minorEastAsia"/>
                <w:bCs/>
                <w:szCs w:val="21"/>
              </w:rPr>
              <w:t>1</w:t>
            </w:r>
          </w:p>
        </w:tc>
        <w:tc>
          <w:tcPr>
            <w:tcW w:w="789" w:type="dxa"/>
            <w:vMerge w:val="continue"/>
          </w:tcPr>
          <w:p w14:paraId="7C90C09C">
            <w:pPr>
              <w:ind w:firstLine="360"/>
              <w:rPr>
                <w:rFonts w:hint="eastAsia" w:asciiTheme="minorEastAsia" w:hAnsiTheme="minorEastAsia"/>
                <w:bCs/>
                <w:szCs w:val="21"/>
              </w:rPr>
            </w:pPr>
          </w:p>
        </w:tc>
      </w:tr>
      <w:tr w14:paraId="279A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continue"/>
          </w:tcPr>
          <w:p w14:paraId="4D368D89">
            <w:pPr>
              <w:ind w:firstLine="360"/>
              <w:rPr>
                <w:rFonts w:hint="eastAsia" w:asciiTheme="minorEastAsia" w:hAnsiTheme="minorEastAsia"/>
                <w:bCs/>
                <w:szCs w:val="21"/>
              </w:rPr>
            </w:pPr>
          </w:p>
        </w:tc>
        <w:tc>
          <w:tcPr>
            <w:tcW w:w="891" w:type="dxa"/>
            <w:tcBorders>
              <w:right w:val="single" w:color="auto" w:sz="4" w:space="0"/>
            </w:tcBorders>
          </w:tcPr>
          <w:p w14:paraId="7592501C">
            <w:pPr>
              <w:ind w:firstLine="168" w:firstLineChars="80"/>
              <w:jc w:val="left"/>
              <w:rPr>
                <w:rFonts w:hint="eastAsia" w:asciiTheme="minorEastAsia" w:hAnsiTheme="minorEastAsia"/>
                <w:bCs/>
                <w:szCs w:val="21"/>
              </w:rPr>
            </w:pPr>
            <w:r>
              <w:rPr>
                <w:rFonts w:asciiTheme="minorEastAsia" w:hAnsiTheme="minorEastAsia"/>
                <w:bCs/>
                <w:szCs w:val="21"/>
              </w:rPr>
              <w:t>Q2d</w:t>
            </w:r>
          </w:p>
        </w:tc>
        <w:tc>
          <w:tcPr>
            <w:tcW w:w="1626" w:type="dxa"/>
          </w:tcPr>
          <w:p w14:paraId="04E87537">
            <w:pPr>
              <w:rPr>
                <w:rFonts w:hint="eastAsia" w:asciiTheme="minorEastAsia" w:hAnsiTheme="minorEastAsia"/>
                <w:bCs/>
                <w:szCs w:val="21"/>
              </w:rPr>
            </w:pPr>
            <w:r>
              <w:rPr>
                <w:rFonts w:hint="eastAsia" w:asciiTheme="minorEastAsia" w:hAnsiTheme="minorEastAsia"/>
                <w:bCs/>
                <w:szCs w:val="21"/>
              </w:rPr>
              <w:t>围护墙采用墙体、保温、隔热集成一体化</w:t>
            </w:r>
          </w:p>
        </w:tc>
        <w:tc>
          <w:tcPr>
            <w:tcW w:w="3995" w:type="dxa"/>
            <w:gridSpan w:val="2"/>
          </w:tcPr>
          <w:p w14:paraId="475A6CA6">
            <w:pPr>
              <w:ind w:firstLine="360"/>
              <w:rPr>
                <w:rFonts w:hint="eastAsia" w:asciiTheme="minorEastAsia" w:hAnsiTheme="minorEastAsia"/>
                <w:bCs/>
                <w:szCs w:val="21"/>
              </w:rPr>
            </w:pPr>
          </w:p>
          <w:p w14:paraId="64E58290">
            <w:pPr>
              <w:ind w:firstLine="360"/>
              <w:rPr>
                <w:rFonts w:hint="eastAsia" w:asciiTheme="minorEastAsia" w:hAnsiTheme="minorEastAsia"/>
                <w:bCs/>
                <w:szCs w:val="21"/>
              </w:rPr>
            </w:pPr>
            <w:r>
              <w:rPr>
                <w:rFonts w:hint="eastAsia" w:asciiTheme="minorEastAsia" w:hAnsiTheme="minorEastAsia"/>
                <w:bCs/>
                <w:szCs w:val="21"/>
              </w:rPr>
              <w:t>比例≥</w:t>
            </w:r>
            <w:r>
              <w:rPr>
                <w:rFonts w:asciiTheme="minorEastAsia" w:hAnsiTheme="minorEastAsia"/>
                <w:bCs/>
                <w:szCs w:val="21"/>
              </w:rPr>
              <w:t>50%</w:t>
            </w:r>
          </w:p>
        </w:tc>
        <w:tc>
          <w:tcPr>
            <w:tcW w:w="763" w:type="dxa"/>
          </w:tcPr>
          <w:p w14:paraId="53CEC85F">
            <w:pPr>
              <w:ind w:firstLine="360"/>
              <w:jc w:val="center"/>
              <w:rPr>
                <w:rFonts w:hint="eastAsia" w:asciiTheme="minorEastAsia" w:hAnsiTheme="minorEastAsia"/>
                <w:bCs/>
                <w:szCs w:val="21"/>
              </w:rPr>
            </w:pPr>
            <w:r>
              <w:rPr>
                <w:rFonts w:asciiTheme="minorEastAsia" w:hAnsiTheme="minorEastAsia"/>
                <w:bCs/>
                <w:szCs w:val="21"/>
              </w:rPr>
              <w:t>2</w:t>
            </w:r>
          </w:p>
        </w:tc>
        <w:tc>
          <w:tcPr>
            <w:tcW w:w="789" w:type="dxa"/>
            <w:vMerge w:val="continue"/>
          </w:tcPr>
          <w:p w14:paraId="3EE9BA3B">
            <w:pPr>
              <w:ind w:firstLine="360"/>
              <w:rPr>
                <w:rFonts w:hint="eastAsia" w:asciiTheme="minorEastAsia" w:hAnsiTheme="minorEastAsia"/>
                <w:bCs/>
                <w:szCs w:val="21"/>
              </w:rPr>
            </w:pPr>
          </w:p>
        </w:tc>
      </w:tr>
      <w:tr w14:paraId="6A1A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continue"/>
          </w:tcPr>
          <w:p w14:paraId="7B85D48E">
            <w:pPr>
              <w:ind w:firstLine="360"/>
              <w:rPr>
                <w:rFonts w:hint="eastAsia" w:asciiTheme="minorEastAsia" w:hAnsiTheme="minorEastAsia"/>
                <w:bCs/>
                <w:szCs w:val="21"/>
              </w:rPr>
            </w:pPr>
          </w:p>
        </w:tc>
        <w:tc>
          <w:tcPr>
            <w:tcW w:w="891" w:type="dxa"/>
            <w:tcBorders>
              <w:right w:val="single" w:color="auto" w:sz="4" w:space="0"/>
            </w:tcBorders>
          </w:tcPr>
          <w:p w14:paraId="00EB4351">
            <w:pPr>
              <w:ind w:firstLine="168" w:firstLineChars="80"/>
              <w:jc w:val="left"/>
              <w:rPr>
                <w:rFonts w:hint="eastAsia" w:asciiTheme="minorEastAsia" w:hAnsiTheme="minorEastAsia"/>
                <w:bCs/>
                <w:szCs w:val="21"/>
              </w:rPr>
            </w:pPr>
            <w:r>
              <w:rPr>
                <w:rFonts w:asciiTheme="minorEastAsia" w:hAnsiTheme="minorEastAsia"/>
                <w:bCs/>
                <w:szCs w:val="21"/>
              </w:rPr>
              <w:t>Q2e</w:t>
            </w:r>
          </w:p>
        </w:tc>
        <w:tc>
          <w:tcPr>
            <w:tcW w:w="1626" w:type="dxa"/>
          </w:tcPr>
          <w:p w14:paraId="00986EF7">
            <w:pPr>
              <w:rPr>
                <w:rFonts w:hint="eastAsia" w:asciiTheme="minorEastAsia" w:hAnsiTheme="minorEastAsia"/>
                <w:bCs/>
                <w:szCs w:val="21"/>
              </w:rPr>
            </w:pPr>
            <w:r>
              <w:rPr>
                <w:rFonts w:hint="eastAsia" w:asciiTheme="minorEastAsia" w:hAnsiTheme="minorEastAsia"/>
                <w:bCs/>
                <w:szCs w:val="21"/>
              </w:rPr>
              <w:t>内隔墙采用墙体、管线集成、装饰一体化</w:t>
            </w:r>
          </w:p>
        </w:tc>
        <w:tc>
          <w:tcPr>
            <w:tcW w:w="3995" w:type="dxa"/>
            <w:gridSpan w:val="2"/>
          </w:tcPr>
          <w:p w14:paraId="5B5D35FC">
            <w:pPr>
              <w:ind w:firstLine="360"/>
              <w:rPr>
                <w:rFonts w:hint="eastAsia" w:asciiTheme="minorEastAsia" w:hAnsiTheme="minorEastAsia"/>
                <w:bCs/>
                <w:szCs w:val="21"/>
              </w:rPr>
            </w:pPr>
          </w:p>
          <w:p w14:paraId="72E5A556">
            <w:pPr>
              <w:ind w:firstLine="360"/>
              <w:rPr>
                <w:rFonts w:hint="eastAsia" w:asciiTheme="minorEastAsia" w:hAnsiTheme="minorEastAsia"/>
                <w:bCs/>
                <w:szCs w:val="21"/>
              </w:rPr>
            </w:pPr>
            <w:r>
              <w:rPr>
                <w:rFonts w:hint="eastAsia" w:asciiTheme="minorEastAsia" w:hAnsiTheme="minorEastAsia"/>
                <w:bCs/>
                <w:szCs w:val="21"/>
              </w:rPr>
              <w:t>比例≥</w:t>
            </w:r>
            <w:r>
              <w:rPr>
                <w:rFonts w:asciiTheme="minorEastAsia" w:hAnsiTheme="minorEastAsia"/>
                <w:bCs/>
                <w:szCs w:val="21"/>
              </w:rPr>
              <w:t>50%</w:t>
            </w:r>
          </w:p>
        </w:tc>
        <w:tc>
          <w:tcPr>
            <w:tcW w:w="763" w:type="dxa"/>
          </w:tcPr>
          <w:p w14:paraId="6F04C981">
            <w:pPr>
              <w:ind w:firstLine="360"/>
              <w:jc w:val="center"/>
              <w:rPr>
                <w:rFonts w:hint="eastAsia" w:asciiTheme="minorEastAsia" w:hAnsiTheme="minorEastAsia"/>
                <w:bCs/>
                <w:szCs w:val="21"/>
              </w:rPr>
            </w:pPr>
            <w:r>
              <w:rPr>
                <w:rFonts w:asciiTheme="minorEastAsia" w:hAnsiTheme="minorEastAsia"/>
                <w:bCs/>
                <w:szCs w:val="21"/>
              </w:rPr>
              <w:t>2</w:t>
            </w:r>
          </w:p>
        </w:tc>
        <w:tc>
          <w:tcPr>
            <w:tcW w:w="789" w:type="dxa"/>
            <w:vMerge w:val="continue"/>
          </w:tcPr>
          <w:p w14:paraId="25B34995">
            <w:pPr>
              <w:ind w:firstLine="360"/>
              <w:rPr>
                <w:rFonts w:hint="eastAsia" w:asciiTheme="minorEastAsia" w:hAnsiTheme="minorEastAsia"/>
                <w:bCs/>
                <w:szCs w:val="21"/>
              </w:rPr>
            </w:pPr>
          </w:p>
        </w:tc>
      </w:tr>
      <w:tr w14:paraId="2F50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restart"/>
          </w:tcPr>
          <w:p w14:paraId="3281E68F">
            <w:pPr>
              <w:ind w:firstLine="360"/>
              <w:jc w:val="left"/>
              <w:rPr>
                <w:rFonts w:hint="eastAsia" w:asciiTheme="minorEastAsia" w:hAnsiTheme="minorEastAsia"/>
                <w:bCs/>
                <w:szCs w:val="21"/>
              </w:rPr>
            </w:pPr>
          </w:p>
          <w:p w14:paraId="57A3606F">
            <w:pPr>
              <w:ind w:firstLine="360"/>
              <w:jc w:val="left"/>
              <w:rPr>
                <w:rFonts w:hint="eastAsia" w:asciiTheme="minorEastAsia" w:hAnsiTheme="minorEastAsia"/>
                <w:bCs/>
                <w:szCs w:val="21"/>
              </w:rPr>
            </w:pPr>
          </w:p>
          <w:p w14:paraId="635A0096">
            <w:pPr>
              <w:ind w:firstLine="360"/>
              <w:jc w:val="left"/>
              <w:rPr>
                <w:rFonts w:hint="eastAsia" w:asciiTheme="minorEastAsia" w:hAnsiTheme="minorEastAsia"/>
                <w:bCs/>
                <w:szCs w:val="21"/>
              </w:rPr>
            </w:pPr>
          </w:p>
          <w:p w14:paraId="49E6794B">
            <w:pPr>
              <w:jc w:val="left"/>
              <w:rPr>
                <w:rFonts w:hint="eastAsia" w:asciiTheme="minorEastAsia" w:hAnsiTheme="minorEastAsia"/>
                <w:bCs/>
                <w:szCs w:val="21"/>
              </w:rPr>
            </w:pPr>
            <w:r>
              <w:rPr>
                <w:rFonts w:asciiTheme="minorEastAsia" w:hAnsiTheme="minorEastAsia"/>
                <w:bCs/>
                <w:szCs w:val="21"/>
              </w:rPr>
              <w:t>Q3</w:t>
            </w:r>
            <w:r>
              <w:rPr>
                <w:rFonts w:hint="eastAsia" w:asciiTheme="minorEastAsia" w:hAnsiTheme="minorEastAsia"/>
                <w:bCs/>
                <w:szCs w:val="21"/>
              </w:rPr>
              <w:t>：构件和部品部件生产（</w:t>
            </w:r>
            <w:r>
              <w:rPr>
                <w:rFonts w:asciiTheme="minorEastAsia" w:hAnsiTheme="minorEastAsia"/>
                <w:bCs/>
                <w:szCs w:val="21"/>
              </w:rPr>
              <w:t>15</w:t>
            </w:r>
            <w:r>
              <w:rPr>
                <w:rFonts w:hint="eastAsia" w:asciiTheme="minorEastAsia" w:hAnsiTheme="minorEastAsia"/>
                <w:bCs/>
                <w:szCs w:val="21"/>
              </w:rPr>
              <w:t>分）</w:t>
            </w:r>
          </w:p>
        </w:tc>
        <w:tc>
          <w:tcPr>
            <w:tcW w:w="891" w:type="dxa"/>
            <w:tcBorders>
              <w:right w:val="single" w:color="auto" w:sz="4" w:space="0"/>
            </w:tcBorders>
          </w:tcPr>
          <w:p w14:paraId="0B35D0EE">
            <w:pPr>
              <w:ind w:firstLine="169"/>
              <w:rPr>
                <w:rFonts w:hint="eastAsia" w:asciiTheme="minorEastAsia" w:hAnsiTheme="minorEastAsia"/>
                <w:bCs/>
                <w:szCs w:val="21"/>
              </w:rPr>
            </w:pPr>
            <w:r>
              <w:rPr>
                <w:rFonts w:asciiTheme="minorEastAsia" w:hAnsiTheme="minorEastAsia"/>
                <w:bCs/>
                <w:szCs w:val="21"/>
              </w:rPr>
              <w:t>Q3a</w:t>
            </w:r>
          </w:p>
        </w:tc>
        <w:tc>
          <w:tcPr>
            <w:tcW w:w="1626" w:type="dxa"/>
            <w:vMerge w:val="restart"/>
          </w:tcPr>
          <w:p w14:paraId="19F5029B">
            <w:pPr>
              <w:ind w:firstLine="360"/>
              <w:jc w:val="center"/>
              <w:rPr>
                <w:rFonts w:hint="eastAsia" w:asciiTheme="minorEastAsia" w:hAnsiTheme="minorEastAsia"/>
                <w:bCs/>
                <w:szCs w:val="21"/>
              </w:rPr>
            </w:pPr>
          </w:p>
          <w:p w14:paraId="2A4CF90A">
            <w:pPr>
              <w:ind w:firstLine="360"/>
              <w:jc w:val="center"/>
              <w:rPr>
                <w:rFonts w:hint="eastAsia" w:asciiTheme="minorEastAsia" w:hAnsiTheme="minorEastAsia"/>
                <w:bCs/>
                <w:szCs w:val="21"/>
              </w:rPr>
            </w:pPr>
          </w:p>
          <w:p w14:paraId="5DB97670">
            <w:pPr>
              <w:ind w:firstLine="360"/>
              <w:jc w:val="center"/>
              <w:rPr>
                <w:rFonts w:hint="eastAsia" w:asciiTheme="minorEastAsia" w:hAnsiTheme="minorEastAsia"/>
                <w:bCs/>
                <w:szCs w:val="21"/>
              </w:rPr>
            </w:pPr>
          </w:p>
          <w:p w14:paraId="120F85D3">
            <w:pPr>
              <w:ind w:firstLine="360"/>
              <w:rPr>
                <w:rFonts w:hint="eastAsia" w:asciiTheme="minorEastAsia" w:hAnsiTheme="minorEastAsia"/>
                <w:bCs/>
                <w:szCs w:val="21"/>
              </w:rPr>
            </w:pPr>
            <w:r>
              <w:rPr>
                <w:rFonts w:hint="eastAsia" w:asciiTheme="minorEastAsia" w:hAnsiTheme="minorEastAsia"/>
                <w:bCs/>
                <w:szCs w:val="21"/>
              </w:rPr>
              <w:t>构件和部件标准化生产、集成化建筑部品、构件和部品部件认证</w:t>
            </w:r>
          </w:p>
        </w:tc>
        <w:tc>
          <w:tcPr>
            <w:tcW w:w="3995" w:type="dxa"/>
            <w:gridSpan w:val="2"/>
          </w:tcPr>
          <w:p w14:paraId="788D98A3">
            <w:pPr>
              <w:ind w:firstLine="360"/>
              <w:rPr>
                <w:rFonts w:hint="eastAsia" w:asciiTheme="minorEastAsia" w:hAnsiTheme="minorEastAsia"/>
                <w:bCs/>
                <w:szCs w:val="21"/>
              </w:rPr>
            </w:pPr>
            <w:r>
              <w:rPr>
                <w:rFonts w:hint="eastAsia" w:asciiTheme="minorEastAsia" w:hAnsiTheme="minorEastAsia"/>
                <w:bCs/>
                <w:szCs w:val="21"/>
              </w:rPr>
              <w:t>构件与部件生产企业应具备相应的生产工艺设备和完善的质量管理体系。（</w:t>
            </w:r>
            <w:r>
              <w:rPr>
                <w:rFonts w:asciiTheme="minorEastAsia" w:hAnsiTheme="minorEastAsia"/>
                <w:bCs/>
                <w:szCs w:val="21"/>
              </w:rPr>
              <w:t>3</w:t>
            </w:r>
            <w:r>
              <w:rPr>
                <w:rFonts w:hint="eastAsia" w:asciiTheme="minorEastAsia" w:hAnsiTheme="minorEastAsia"/>
                <w:bCs/>
                <w:szCs w:val="21"/>
              </w:rPr>
              <w:t>分）</w:t>
            </w:r>
          </w:p>
        </w:tc>
        <w:tc>
          <w:tcPr>
            <w:tcW w:w="763" w:type="dxa"/>
            <w:vMerge w:val="restart"/>
          </w:tcPr>
          <w:p w14:paraId="08DBC6B7">
            <w:pPr>
              <w:ind w:firstLine="360"/>
              <w:jc w:val="center"/>
              <w:rPr>
                <w:rFonts w:hint="eastAsia" w:asciiTheme="minorEastAsia" w:hAnsiTheme="minorEastAsia"/>
                <w:szCs w:val="21"/>
              </w:rPr>
            </w:pPr>
          </w:p>
          <w:p w14:paraId="5D5D5EB3">
            <w:pPr>
              <w:ind w:firstLine="360"/>
              <w:jc w:val="center"/>
              <w:rPr>
                <w:rFonts w:hint="eastAsia" w:asciiTheme="minorEastAsia" w:hAnsiTheme="minorEastAsia"/>
                <w:szCs w:val="21"/>
              </w:rPr>
            </w:pPr>
          </w:p>
          <w:p w14:paraId="3DD0FDEC">
            <w:pPr>
              <w:ind w:firstLine="360"/>
              <w:jc w:val="center"/>
              <w:rPr>
                <w:rFonts w:hint="eastAsia" w:asciiTheme="minorEastAsia" w:hAnsiTheme="minorEastAsia"/>
                <w:szCs w:val="21"/>
              </w:rPr>
            </w:pPr>
          </w:p>
          <w:p w14:paraId="16B434EA">
            <w:pPr>
              <w:ind w:firstLine="360"/>
              <w:jc w:val="center"/>
              <w:rPr>
                <w:rFonts w:hint="eastAsia" w:asciiTheme="minorEastAsia" w:hAnsiTheme="minorEastAsia"/>
                <w:szCs w:val="21"/>
              </w:rPr>
            </w:pPr>
          </w:p>
          <w:p w14:paraId="364776B2">
            <w:pPr>
              <w:ind w:firstLine="360"/>
              <w:jc w:val="center"/>
              <w:rPr>
                <w:rFonts w:hint="eastAsia" w:asciiTheme="minorEastAsia" w:hAnsiTheme="minorEastAsia"/>
                <w:szCs w:val="21"/>
              </w:rPr>
            </w:pPr>
          </w:p>
          <w:p w14:paraId="53D303F6">
            <w:pPr>
              <w:ind w:firstLine="360"/>
              <w:jc w:val="center"/>
              <w:rPr>
                <w:rFonts w:hint="eastAsia" w:asciiTheme="minorEastAsia" w:hAnsiTheme="minorEastAsia"/>
                <w:szCs w:val="21"/>
              </w:rPr>
            </w:pPr>
          </w:p>
          <w:p w14:paraId="73E82763">
            <w:pPr>
              <w:ind w:firstLine="360"/>
              <w:jc w:val="center"/>
              <w:rPr>
                <w:rFonts w:hint="eastAsia" w:asciiTheme="minorEastAsia" w:hAnsiTheme="minorEastAsia"/>
                <w:szCs w:val="21"/>
              </w:rPr>
            </w:pPr>
          </w:p>
          <w:p w14:paraId="6B258CC3">
            <w:pPr>
              <w:jc w:val="center"/>
              <w:rPr>
                <w:rFonts w:hint="eastAsia" w:asciiTheme="minorEastAsia" w:hAnsiTheme="minorEastAsia"/>
                <w:szCs w:val="21"/>
              </w:rPr>
            </w:pPr>
            <w:r>
              <w:rPr>
                <w:rFonts w:asciiTheme="minorEastAsia" w:hAnsiTheme="minorEastAsia"/>
                <w:szCs w:val="21"/>
              </w:rPr>
              <w:t>10</w:t>
            </w:r>
          </w:p>
        </w:tc>
        <w:tc>
          <w:tcPr>
            <w:tcW w:w="789" w:type="dxa"/>
            <w:vMerge w:val="restart"/>
          </w:tcPr>
          <w:p w14:paraId="719F6447">
            <w:pPr>
              <w:ind w:firstLine="360"/>
              <w:rPr>
                <w:rFonts w:hint="eastAsia" w:asciiTheme="minorEastAsia" w:hAnsiTheme="minorEastAsia"/>
                <w:szCs w:val="21"/>
              </w:rPr>
            </w:pPr>
          </w:p>
          <w:p w14:paraId="7000F0E7">
            <w:pPr>
              <w:ind w:firstLine="360"/>
              <w:rPr>
                <w:rFonts w:hint="eastAsia" w:asciiTheme="minorEastAsia" w:hAnsiTheme="minorEastAsia"/>
                <w:szCs w:val="21"/>
              </w:rPr>
            </w:pPr>
          </w:p>
          <w:p w14:paraId="3EA46E3F">
            <w:pPr>
              <w:ind w:firstLine="360"/>
              <w:rPr>
                <w:rFonts w:hint="eastAsia" w:asciiTheme="minorEastAsia" w:hAnsiTheme="minorEastAsia"/>
                <w:szCs w:val="21"/>
              </w:rPr>
            </w:pPr>
          </w:p>
          <w:p w14:paraId="69655C08">
            <w:pPr>
              <w:ind w:firstLine="360"/>
              <w:rPr>
                <w:rFonts w:hint="eastAsia" w:asciiTheme="minorEastAsia" w:hAnsiTheme="minorEastAsia"/>
                <w:szCs w:val="21"/>
              </w:rPr>
            </w:pPr>
          </w:p>
          <w:p w14:paraId="40AF307D">
            <w:pPr>
              <w:ind w:firstLine="360"/>
              <w:rPr>
                <w:rFonts w:hint="eastAsia" w:asciiTheme="minorEastAsia" w:hAnsiTheme="minorEastAsia"/>
                <w:szCs w:val="21"/>
              </w:rPr>
            </w:pPr>
          </w:p>
          <w:p w14:paraId="133D55DC">
            <w:pPr>
              <w:ind w:firstLine="360"/>
              <w:rPr>
                <w:rFonts w:hint="eastAsia" w:asciiTheme="minorEastAsia" w:hAnsiTheme="minorEastAsia"/>
                <w:szCs w:val="21"/>
              </w:rPr>
            </w:pPr>
          </w:p>
          <w:p w14:paraId="1117AA0E">
            <w:pPr>
              <w:ind w:firstLine="360"/>
              <w:rPr>
                <w:rFonts w:hint="eastAsia" w:asciiTheme="minorEastAsia" w:hAnsiTheme="minorEastAsia"/>
                <w:szCs w:val="21"/>
              </w:rPr>
            </w:pPr>
            <w:r>
              <w:rPr>
                <w:rFonts w:asciiTheme="minorEastAsia" w:hAnsiTheme="minorEastAsia"/>
                <w:szCs w:val="21"/>
              </w:rPr>
              <w:t>5</w:t>
            </w:r>
          </w:p>
          <w:p w14:paraId="1A96163E">
            <w:pPr>
              <w:ind w:firstLine="360"/>
              <w:rPr>
                <w:rFonts w:hint="eastAsia" w:asciiTheme="minorEastAsia" w:hAnsiTheme="minorEastAsia"/>
                <w:szCs w:val="21"/>
              </w:rPr>
            </w:pPr>
          </w:p>
        </w:tc>
      </w:tr>
      <w:tr w14:paraId="720D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996" w:type="dxa"/>
            <w:vMerge w:val="continue"/>
          </w:tcPr>
          <w:p w14:paraId="5C9325EC">
            <w:pPr>
              <w:ind w:firstLine="361"/>
              <w:rPr>
                <w:rFonts w:hint="eastAsia" w:asciiTheme="minorEastAsia" w:hAnsiTheme="minorEastAsia"/>
                <w:b/>
                <w:szCs w:val="21"/>
              </w:rPr>
            </w:pPr>
          </w:p>
        </w:tc>
        <w:tc>
          <w:tcPr>
            <w:tcW w:w="891" w:type="dxa"/>
            <w:tcBorders>
              <w:right w:val="single" w:color="auto" w:sz="4" w:space="0"/>
            </w:tcBorders>
          </w:tcPr>
          <w:p w14:paraId="39DE084A">
            <w:pPr>
              <w:ind w:firstLine="169"/>
              <w:rPr>
                <w:rFonts w:hint="eastAsia" w:asciiTheme="minorEastAsia" w:hAnsiTheme="minorEastAsia"/>
                <w:bCs/>
                <w:szCs w:val="21"/>
              </w:rPr>
            </w:pPr>
          </w:p>
          <w:p w14:paraId="5F3EBA6E">
            <w:pPr>
              <w:ind w:firstLine="169"/>
              <w:rPr>
                <w:rFonts w:hint="eastAsia" w:asciiTheme="minorEastAsia" w:hAnsiTheme="minorEastAsia"/>
                <w:bCs/>
                <w:szCs w:val="21"/>
              </w:rPr>
            </w:pPr>
            <w:r>
              <w:rPr>
                <w:rFonts w:asciiTheme="minorEastAsia" w:hAnsiTheme="minorEastAsia"/>
                <w:bCs/>
                <w:szCs w:val="21"/>
              </w:rPr>
              <w:t>Q3b</w:t>
            </w:r>
          </w:p>
        </w:tc>
        <w:tc>
          <w:tcPr>
            <w:tcW w:w="1626" w:type="dxa"/>
            <w:vMerge w:val="continue"/>
          </w:tcPr>
          <w:p w14:paraId="4BF06395">
            <w:pPr>
              <w:ind w:firstLine="360"/>
              <w:jc w:val="center"/>
              <w:rPr>
                <w:rFonts w:hint="eastAsia" w:asciiTheme="minorEastAsia" w:hAnsiTheme="minorEastAsia"/>
                <w:bCs/>
                <w:szCs w:val="21"/>
              </w:rPr>
            </w:pPr>
          </w:p>
        </w:tc>
        <w:tc>
          <w:tcPr>
            <w:tcW w:w="3995" w:type="dxa"/>
            <w:gridSpan w:val="2"/>
          </w:tcPr>
          <w:p w14:paraId="60293946">
            <w:pPr>
              <w:ind w:firstLine="360"/>
              <w:rPr>
                <w:rFonts w:hint="eastAsia" w:asciiTheme="minorEastAsia" w:hAnsiTheme="minorEastAsia"/>
                <w:bCs/>
                <w:szCs w:val="21"/>
              </w:rPr>
            </w:pPr>
            <w:r>
              <w:rPr>
                <w:rFonts w:hint="eastAsia" w:asciiTheme="minorEastAsia" w:hAnsiTheme="minorEastAsia"/>
                <w:bCs/>
                <w:szCs w:val="21"/>
              </w:rPr>
              <w:t>构件和部品各项性能指标符合设计及标准图集要求，构件质量符合国家现行有关标准要求，产品具有合格证及相关性能检测报告且可追溯。（</w:t>
            </w:r>
            <w:r>
              <w:rPr>
                <w:rFonts w:asciiTheme="minorEastAsia" w:hAnsiTheme="minorEastAsia"/>
                <w:bCs/>
                <w:szCs w:val="21"/>
              </w:rPr>
              <w:t>3</w:t>
            </w:r>
            <w:r>
              <w:rPr>
                <w:rFonts w:hint="eastAsia" w:asciiTheme="minorEastAsia" w:hAnsiTheme="minorEastAsia"/>
                <w:bCs/>
                <w:szCs w:val="21"/>
              </w:rPr>
              <w:t>分）</w:t>
            </w:r>
          </w:p>
        </w:tc>
        <w:tc>
          <w:tcPr>
            <w:tcW w:w="763" w:type="dxa"/>
            <w:vMerge w:val="continue"/>
          </w:tcPr>
          <w:p w14:paraId="28870CB8">
            <w:pPr>
              <w:ind w:firstLine="360"/>
              <w:rPr>
                <w:rFonts w:hint="eastAsia" w:asciiTheme="minorEastAsia" w:hAnsiTheme="minorEastAsia"/>
                <w:szCs w:val="21"/>
              </w:rPr>
            </w:pPr>
          </w:p>
        </w:tc>
        <w:tc>
          <w:tcPr>
            <w:tcW w:w="789" w:type="dxa"/>
            <w:vMerge w:val="continue"/>
          </w:tcPr>
          <w:p w14:paraId="5FFFC3F6">
            <w:pPr>
              <w:ind w:firstLine="360"/>
              <w:rPr>
                <w:rFonts w:hint="eastAsia" w:asciiTheme="minorEastAsia" w:hAnsiTheme="minorEastAsia"/>
                <w:szCs w:val="21"/>
              </w:rPr>
            </w:pPr>
          </w:p>
        </w:tc>
      </w:tr>
      <w:tr w14:paraId="1AC4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96" w:type="dxa"/>
            <w:vMerge w:val="continue"/>
          </w:tcPr>
          <w:p w14:paraId="23B7A20A">
            <w:pPr>
              <w:ind w:firstLine="361"/>
              <w:rPr>
                <w:rFonts w:hint="eastAsia" w:asciiTheme="minorEastAsia" w:hAnsiTheme="minorEastAsia"/>
                <w:b/>
                <w:szCs w:val="21"/>
              </w:rPr>
            </w:pPr>
          </w:p>
        </w:tc>
        <w:tc>
          <w:tcPr>
            <w:tcW w:w="891" w:type="dxa"/>
            <w:tcBorders>
              <w:right w:val="single" w:color="auto" w:sz="4" w:space="0"/>
            </w:tcBorders>
          </w:tcPr>
          <w:p w14:paraId="2F4DDAC3">
            <w:pPr>
              <w:ind w:leftChars="-6" w:hanging="13"/>
              <w:rPr>
                <w:rFonts w:hint="eastAsia" w:asciiTheme="minorEastAsia" w:hAnsiTheme="minorEastAsia"/>
                <w:bCs/>
                <w:szCs w:val="21"/>
              </w:rPr>
            </w:pPr>
            <w:r>
              <w:rPr>
                <w:rFonts w:asciiTheme="minorEastAsia" w:hAnsiTheme="minorEastAsia"/>
                <w:bCs/>
                <w:szCs w:val="21"/>
              </w:rPr>
              <w:t>Q3c</w:t>
            </w:r>
          </w:p>
        </w:tc>
        <w:tc>
          <w:tcPr>
            <w:tcW w:w="1626" w:type="dxa"/>
            <w:vMerge w:val="continue"/>
          </w:tcPr>
          <w:p w14:paraId="2988D672">
            <w:pPr>
              <w:ind w:firstLine="360"/>
              <w:jc w:val="center"/>
              <w:rPr>
                <w:rFonts w:hint="eastAsia" w:asciiTheme="minorEastAsia" w:hAnsiTheme="minorEastAsia"/>
                <w:bCs/>
                <w:szCs w:val="21"/>
              </w:rPr>
            </w:pPr>
          </w:p>
        </w:tc>
        <w:tc>
          <w:tcPr>
            <w:tcW w:w="3995" w:type="dxa"/>
            <w:gridSpan w:val="2"/>
          </w:tcPr>
          <w:p w14:paraId="019789BE">
            <w:pPr>
              <w:ind w:firstLine="360"/>
              <w:rPr>
                <w:rFonts w:hint="eastAsia" w:asciiTheme="minorEastAsia" w:hAnsiTheme="minorEastAsia"/>
                <w:bCs/>
                <w:szCs w:val="21"/>
              </w:rPr>
            </w:pPr>
            <w:r>
              <w:rPr>
                <w:rFonts w:hint="eastAsia" w:asciiTheme="minorEastAsia" w:hAnsiTheme="minorEastAsia"/>
                <w:bCs/>
                <w:szCs w:val="21"/>
              </w:rPr>
              <w:t>集成卫生间</w:t>
            </w:r>
            <w:r>
              <w:rPr>
                <w:rFonts w:asciiTheme="minorEastAsia" w:hAnsiTheme="minorEastAsia"/>
                <w:bCs/>
                <w:szCs w:val="21"/>
              </w:rPr>
              <w:t>(1.5</w:t>
            </w:r>
            <w:r>
              <w:rPr>
                <w:rFonts w:hint="eastAsia" w:asciiTheme="minorEastAsia" w:hAnsiTheme="minorEastAsia"/>
                <w:bCs/>
                <w:szCs w:val="21"/>
              </w:rPr>
              <w:t>分</w:t>
            </w:r>
            <w:r>
              <w:rPr>
                <w:rFonts w:asciiTheme="minorEastAsia" w:hAnsiTheme="minorEastAsia"/>
                <w:bCs/>
                <w:szCs w:val="21"/>
              </w:rPr>
              <w:t>)</w:t>
            </w:r>
          </w:p>
        </w:tc>
        <w:tc>
          <w:tcPr>
            <w:tcW w:w="763" w:type="dxa"/>
            <w:vMerge w:val="continue"/>
          </w:tcPr>
          <w:p w14:paraId="2D8BE596">
            <w:pPr>
              <w:ind w:firstLine="360"/>
              <w:rPr>
                <w:rFonts w:hint="eastAsia" w:asciiTheme="minorEastAsia" w:hAnsiTheme="minorEastAsia"/>
                <w:szCs w:val="21"/>
              </w:rPr>
            </w:pPr>
          </w:p>
        </w:tc>
        <w:tc>
          <w:tcPr>
            <w:tcW w:w="789" w:type="dxa"/>
            <w:vMerge w:val="continue"/>
          </w:tcPr>
          <w:p w14:paraId="6AF381BC">
            <w:pPr>
              <w:ind w:firstLine="360"/>
              <w:rPr>
                <w:rFonts w:hint="eastAsia" w:asciiTheme="minorEastAsia" w:hAnsiTheme="minorEastAsia"/>
                <w:szCs w:val="21"/>
              </w:rPr>
            </w:pPr>
          </w:p>
        </w:tc>
      </w:tr>
      <w:tr w14:paraId="231F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96" w:type="dxa"/>
            <w:vMerge w:val="continue"/>
          </w:tcPr>
          <w:p w14:paraId="358801C4">
            <w:pPr>
              <w:ind w:firstLine="361"/>
              <w:rPr>
                <w:rFonts w:hint="eastAsia" w:asciiTheme="minorEastAsia" w:hAnsiTheme="minorEastAsia"/>
                <w:b/>
                <w:szCs w:val="21"/>
              </w:rPr>
            </w:pPr>
          </w:p>
        </w:tc>
        <w:tc>
          <w:tcPr>
            <w:tcW w:w="891" w:type="dxa"/>
            <w:tcBorders>
              <w:right w:val="single" w:color="auto" w:sz="4" w:space="0"/>
            </w:tcBorders>
          </w:tcPr>
          <w:p w14:paraId="7C9AD3F7">
            <w:pPr>
              <w:ind w:leftChars="-6" w:hanging="13"/>
              <w:rPr>
                <w:rFonts w:hint="eastAsia" w:asciiTheme="minorEastAsia" w:hAnsiTheme="minorEastAsia"/>
                <w:bCs/>
                <w:szCs w:val="21"/>
              </w:rPr>
            </w:pPr>
            <w:r>
              <w:rPr>
                <w:rFonts w:asciiTheme="minorEastAsia" w:hAnsiTheme="minorEastAsia"/>
                <w:bCs/>
                <w:szCs w:val="21"/>
              </w:rPr>
              <w:t>Q3d</w:t>
            </w:r>
          </w:p>
        </w:tc>
        <w:tc>
          <w:tcPr>
            <w:tcW w:w="1626" w:type="dxa"/>
            <w:vMerge w:val="continue"/>
          </w:tcPr>
          <w:p w14:paraId="29E4C74C">
            <w:pPr>
              <w:ind w:firstLine="360"/>
              <w:jc w:val="center"/>
              <w:rPr>
                <w:rFonts w:hint="eastAsia" w:asciiTheme="minorEastAsia" w:hAnsiTheme="minorEastAsia"/>
                <w:bCs/>
                <w:szCs w:val="21"/>
              </w:rPr>
            </w:pPr>
          </w:p>
        </w:tc>
        <w:tc>
          <w:tcPr>
            <w:tcW w:w="3995" w:type="dxa"/>
            <w:gridSpan w:val="2"/>
          </w:tcPr>
          <w:p w14:paraId="48BE6F46">
            <w:pPr>
              <w:ind w:firstLine="360"/>
              <w:rPr>
                <w:rFonts w:hint="eastAsia" w:asciiTheme="minorEastAsia" w:hAnsiTheme="minorEastAsia"/>
                <w:bCs/>
                <w:szCs w:val="21"/>
              </w:rPr>
            </w:pPr>
            <w:r>
              <w:rPr>
                <w:rFonts w:hint="eastAsia" w:asciiTheme="minorEastAsia" w:hAnsiTheme="minorEastAsia"/>
                <w:bCs/>
                <w:szCs w:val="21"/>
              </w:rPr>
              <w:t>集成厨房</w:t>
            </w:r>
            <w:r>
              <w:rPr>
                <w:rFonts w:asciiTheme="minorEastAsia" w:hAnsiTheme="minorEastAsia"/>
                <w:bCs/>
                <w:szCs w:val="21"/>
              </w:rPr>
              <w:t>(1.5</w:t>
            </w:r>
            <w:r>
              <w:rPr>
                <w:rFonts w:hint="eastAsia" w:asciiTheme="minorEastAsia" w:hAnsiTheme="minorEastAsia"/>
                <w:bCs/>
                <w:szCs w:val="21"/>
              </w:rPr>
              <w:t>分</w:t>
            </w:r>
            <w:r>
              <w:rPr>
                <w:rFonts w:asciiTheme="minorEastAsia" w:hAnsiTheme="minorEastAsia"/>
                <w:bCs/>
                <w:szCs w:val="21"/>
              </w:rPr>
              <w:t>)</w:t>
            </w:r>
          </w:p>
        </w:tc>
        <w:tc>
          <w:tcPr>
            <w:tcW w:w="763" w:type="dxa"/>
            <w:vMerge w:val="continue"/>
          </w:tcPr>
          <w:p w14:paraId="4CBFA0E7">
            <w:pPr>
              <w:ind w:firstLine="360"/>
              <w:rPr>
                <w:rFonts w:hint="eastAsia" w:asciiTheme="minorEastAsia" w:hAnsiTheme="minorEastAsia"/>
                <w:szCs w:val="21"/>
              </w:rPr>
            </w:pPr>
          </w:p>
        </w:tc>
        <w:tc>
          <w:tcPr>
            <w:tcW w:w="789" w:type="dxa"/>
            <w:vMerge w:val="continue"/>
          </w:tcPr>
          <w:p w14:paraId="6E8C9AE7">
            <w:pPr>
              <w:ind w:firstLine="360"/>
              <w:rPr>
                <w:rFonts w:hint="eastAsia" w:asciiTheme="minorEastAsia" w:hAnsiTheme="minorEastAsia"/>
                <w:szCs w:val="21"/>
              </w:rPr>
            </w:pPr>
          </w:p>
        </w:tc>
      </w:tr>
      <w:tr w14:paraId="0DC5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96" w:type="dxa"/>
            <w:vMerge w:val="continue"/>
          </w:tcPr>
          <w:p w14:paraId="098D4D9B">
            <w:pPr>
              <w:ind w:firstLine="361"/>
              <w:rPr>
                <w:rFonts w:hint="eastAsia" w:asciiTheme="minorEastAsia" w:hAnsiTheme="minorEastAsia"/>
                <w:b/>
                <w:szCs w:val="21"/>
              </w:rPr>
            </w:pPr>
          </w:p>
        </w:tc>
        <w:tc>
          <w:tcPr>
            <w:tcW w:w="891" w:type="dxa"/>
            <w:tcBorders>
              <w:right w:val="single" w:color="auto" w:sz="4" w:space="0"/>
            </w:tcBorders>
          </w:tcPr>
          <w:p w14:paraId="789A6AC7">
            <w:pPr>
              <w:ind w:leftChars="-6" w:hanging="13"/>
              <w:rPr>
                <w:rFonts w:hint="eastAsia" w:asciiTheme="minorEastAsia" w:hAnsiTheme="minorEastAsia"/>
                <w:bCs/>
                <w:szCs w:val="21"/>
              </w:rPr>
            </w:pPr>
            <w:r>
              <w:rPr>
                <w:rFonts w:asciiTheme="minorEastAsia" w:hAnsiTheme="minorEastAsia"/>
                <w:bCs/>
                <w:szCs w:val="21"/>
              </w:rPr>
              <w:t>Q3e</w:t>
            </w:r>
          </w:p>
        </w:tc>
        <w:tc>
          <w:tcPr>
            <w:tcW w:w="1626" w:type="dxa"/>
            <w:vMerge w:val="continue"/>
          </w:tcPr>
          <w:p w14:paraId="3D99E5AD">
            <w:pPr>
              <w:ind w:firstLine="360"/>
              <w:jc w:val="center"/>
              <w:rPr>
                <w:rFonts w:hint="eastAsia" w:asciiTheme="minorEastAsia" w:hAnsiTheme="minorEastAsia"/>
                <w:bCs/>
                <w:szCs w:val="21"/>
              </w:rPr>
            </w:pPr>
          </w:p>
        </w:tc>
        <w:tc>
          <w:tcPr>
            <w:tcW w:w="3995" w:type="dxa"/>
            <w:gridSpan w:val="2"/>
          </w:tcPr>
          <w:p w14:paraId="540D00AD">
            <w:pPr>
              <w:ind w:firstLine="360"/>
              <w:rPr>
                <w:rFonts w:hint="eastAsia" w:asciiTheme="minorEastAsia" w:hAnsiTheme="minorEastAsia"/>
                <w:bCs/>
                <w:szCs w:val="21"/>
              </w:rPr>
            </w:pPr>
            <w:r>
              <w:rPr>
                <w:rFonts w:hint="eastAsia" w:asciiTheme="minorEastAsia" w:hAnsiTheme="minorEastAsia"/>
                <w:bCs/>
                <w:szCs w:val="21"/>
              </w:rPr>
              <w:t>整体门窗</w:t>
            </w:r>
            <w:r>
              <w:rPr>
                <w:rFonts w:asciiTheme="minorEastAsia" w:hAnsiTheme="minorEastAsia"/>
                <w:bCs/>
                <w:szCs w:val="21"/>
              </w:rPr>
              <w:t>(1</w:t>
            </w:r>
            <w:r>
              <w:rPr>
                <w:rFonts w:hint="eastAsia" w:asciiTheme="minorEastAsia" w:hAnsiTheme="minorEastAsia"/>
                <w:bCs/>
                <w:szCs w:val="21"/>
              </w:rPr>
              <w:t>分</w:t>
            </w:r>
            <w:r>
              <w:rPr>
                <w:rFonts w:asciiTheme="minorEastAsia" w:hAnsiTheme="minorEastAsia"/>
                <w:bCs/>
                <w:szCs w:val="21"/>
              </w:rPr>
              <w:t>)</w:t>
            </w:r>
          </w:p>
        </w:tc>
        <w:tc>
          <w:tcPr>
            <w:tcW w:w="763" w:type="dxa"/>
            <w:vMerge w:val="continue"/>
          </w:tcPr>
          <w:p w14:paraId="11DFDD18">
            <w:pPr>
              <w:ind w:firstLine="360"/>
              <w:rPr>
                <w:rFonts w:hint="eastAsia" w:asciiTheme="minorEastAsia" w:hAnsiTheme="minorEastAsia"/>
                <w:szCs w:val="21"/>
              </w:rPr>
            </w:pPr>
          </w:p>
        </w:tc>
        <w:tc>
          <w:tcPr>
            <w:tcW w:w="789" w:type="dxa"/>
            <w:vMerge w:val="continue"/>
          </w:tcPr>
          <w:p w14:paraId="543198F1">
            <w:pPr>
              <w:ind w:firstLine="360"/>
              <w:rPr>
                <w:rFonts w:hint="eastAsia" w:asciiTheme="minorEastAsia" w:hAnsiTheme="minorEastAsia"/>
                <w:szCs w:val="21"/>
              </w:rPr>
            </w:pPr>
          </w:p>
        </w:tc>
      </w:tr>
      <w:tr w14:paraId="1AC4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6" w:type="dxa"/>
            <w:vMerge w:val="continue"/>
          </w:tcPr>
          <w:p w14:paraId="5FF749AA">
            <w:pPr>
              <w:ind w:firstLine="361"/>
              <w:rPr>
                <w:rFonts w:hint="eastAsia" w:asciiTheme="minorEastAsia" w:hAnsiTheme="minorEastAsia"/>
                <w:b/>
                <w:szCs w:val="21"/>
              </w:rPr>
            </w:pPr>
          </w:p>
        </w:tc>
        <w:tc>
          <w:tcPr>
            <w:tcW w:w="891" w:type="dxa"/>
            <w:tcBorders>
              <w:right w:val="single" w:color="auto" w:sz="4" w:space="0"/>
            </w:tcBorders>
          </w:tcPr>
          <w:p w14:paraId="1879AA94">
            <w:pPr>
              <w:ind w:leftChars="-6" w:hanging="13"/>
              <w:rPr>
                <w:rFonts w:hint="eastAsia" w:asciiTheme="minorEastAsia" w:hAnsiTheme="minorEastAsia"/>
                <w:bCs/>
                <w:szCs w:val="21"/>
              </w:rPr>
            </w:pPr>
            <w:r>
              <w:rPr>
                <w:rFonts w:asciiTheme="minorEastAsia" w:hAnsiTheme="minorEastAsia"/>
                <w:bCs/>
                <w:szCs w:val="21"/>
              </w:rPr>
              <w:t>Q3f</w:t>
            </w:r>
          </w:p>
        </w:tc>
        <w:tc>
          <w:tcPr>
            <w:tcW w:w="1626" w:type="dxa"/>
          </w:tcPr>
          <w:p w14:paraId="76C8DD9D">
            <w:pPr>
              <w:ind w:firstLine="360"/>
              <w:rPr>
                <w:rFonts w:hint="eastAsia" w:asciiTheme="minorEastAsia" w:hAnsiTheme="minorEastAsia"/>
                <w:bCs/>
                <w:szCs w:val="21"/>
              </w:rPr>
            </w:pPr>
            <w:r>
              <w:rPr>
                <w:rFonts w:hint="eastAsia" w:asciiTheme="minorEastAsia" w:hAnsiTheme="minorEastAsia"/>
                <w:bCs/>
                <w:szCs w:val="21"/>
              </w:rPr>
              <w:t>绿色建材</w:t>
            </w:r>
          </w:p>
        </w:tc>
        <w:tc>
          <w:tcPr>
            <w:tcW w:w="3995" w:type="dxa"/>
            <w:gridSpan w:val="2"/>
          </w:tcPr>
          <w:p w14:paraId="12EAC1DB">
            <w:pPr>
              <w:ind w:firstLine="360"/>
              <w:rPr>
                <w:rFonts w:hint="eastAsia" w:asciiTheme="minorEastAsia" w:hAnsiTheme="minorEastAsia"/>
                <w:bCs/>
                <w:szCs w:val="21"/>
              </w:rPr>
            </w:pPr>
            <w:r>
              <w:rPr>
                <w:rFonts w:hint="eastAsia" w:asciiTheme="minorEastAsia" w:hAnsiTheme="minorEastAsia"/>
                <w:bCs/>
                <w:szCs w:val="21"/>
              </w:rPr>
              <w:t>4</w:t>
            </w:r>
            <w:r>
              <w:rPr>
                <w:rFonts w:asciiTheme="minorEastAsia" w:hAnsiTheme="minorEastAsia"/>
                <w:bCs/>
                <w:szCs w:val="21"/>
              </w:rPr>
              <w:t>.4.6</w:t>
            </w:r>
          </w:p>
        </w:tc>
        <w:tc>
          <w:tcPr>
            <w:tcW w:w="763" w:type="dxa"/>
          </w:tcPr>
          <w:p w14:paraId="531B9EBD">
            <w:pPr>
              <w:ind w:firstLine="360"/>
              <w:rPr>
                <w:rFonts w:hint="eastAsia" w:asciiTheme="minorEastAsia" w:hAnsiTheme="minorEastAsia"/>
                <w:szCs w:val="21"/>
              </w:rPr>
            </w:pPr>
            <w:r>
              <w:rPr>
                <w:rFonts w:asciiTheme="minorEastAsia" w:hAnsiTheme="minorEastAsia"/>
                <w:szCs w:val="21"/>
              </w:rPr>
              <w:t>5</w:t>
            </w:r>
          </w:p>
        </w:tc>
        <w:tc>
          <w:tcPr>
            <w:tcW w:w="789" w:type="dxa"/>
            <w:vMerge w:val="continue"/>
          </w:tcPr>
          <w:p w14:paraId="65A58AA1">
            <w:pPr>
              <w:ind w:firstLine="360"/>
              <w:rPr>
                <w:rFonts w:hint="eastAsia" w:asciiTheme="minorEastAsia" w:hAnsiTheme="minorEastAsia"/>
                <w:szCs w:val="21"/>
              </w:rPr>
            </w:pPr>
          </w:p>
        </w:tc>
      </w:tr>
      <w:tr w14:paraId="15ED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restart"/>
          </w:tcPr>
          <w:p w14:paraId="3C3B653A">
            <w:pPr>
              <w:ind w:firstLine="360"/>
              <w:rPr>
                <w:rFonts w:hint="eastAsia" w:asciiTheme="minorEastAsia" w:hAnsiTheme="minorEastAsia"/>
                <w:bCs/>
                <w:szCs w:val="21"/>
              </w:rPr>
            </w:pPr>
          </w:p>
          <w:p w14:paraId="725FC878">
            <w:pPr>
              <w:ind w:firstLine="360"/>
              <w:rPr>
                <w:rFonts w:hint="eastAsia" w:asciiTheme="minorEastAsia" w:hAnsiTheme="minorEastAsia"/>
                <w:bCs/>
                <w:szCs w:val="21"/>
              </w:rPr>
            </w:pPr>
          </w:p>
          <w:p w14:paraId="03CD816B">
            <w:pPr>
              <w:ind w:firstLine="360"/>
              <w:rPr>
                <w:rFonts w:hint="eastAsia" w:asciiTheme="minorEastAsia" w:hAnsiTheme="minorEastAsia"/>
                <w:bCs/>
                <w:szCs w:val="21"/>
              </w:rPr>
            </w:pPr>
          </w:p>
          <w:p w14:paraId="63D3FFC4">
            <w:pPr>
              <w:ind w:firstLine="360"/>
              <w:rPr>
                <w:rFonts w:hint="eastAsia" w:asciiTheme="minorEastAsia" w:hAnsiTheme="minorEastAsia"/>
                <w:bCs/>
                <w:szCs w:val="21"/>
              </w:rPr>
            </w:pPr>
          </w:p>
          <w:p w14:paraId="4D4A04DB">
            <w:pPr>
              <w:ind w:firstLine="360"/>
              <w:rPr>
                <w:rFonts w:hint="eastAsia" w:asciiTheme="minorEastAsia" w:hAnsiTheme="minorEastAsia"/>
                <w:bCs/>
                <w:szCs w:val="21"/>
              </w:rPr>
            </w:pPr>
          </w:p>
          <w:p w14:paraId="0386B097">
            <w:pPr>
              <w:ind w:firstLine="360"/>
              <w:rPr>
                <w:rFonts w:hint="eastAsia" w:asciiTheme="minorEastAsia" w:hAnsiTheme="minorEastAsia"/>
                <w:bCs/>
                <w:szCs w:val="21"/>
              </w:rPr>
            </w:pPr>
          </w:p>
          <w:p w14:paraId="34189180">
            <w:pPr>
              <w:ind w:firstLine="360"/>
              <w:rPr>
                <w:rFonts w:hint="eastAsia" w:asciiTheme="minorEastAsia" w:hAnsiTheme="minorEastAsia"/>
                <w:bCs/>
                <w:szCs w:val="21"/>
              </w:rPr>
            </w:pPr>
          </w:p>
          <w:p w14:paraId="1EDDE424">
            <w:pPr>
              <w:ind w:firstLine="360"/>
              <w:rPr>
                <w:rFonts w:hint="eastAsia" w:asciiTheme="minorEastAsia" w:hAnsiTheme="minorEastAsia"/>
                <w:bCs/>
                <w:szCs w:val="21"/>
              </w:rPr>
            </w:pPr>
          </w:p>
          <w:p w14:paraId="29F82962">
            <w:pPr>
              <w:ind w:firstLine="360"/>
              <w:rPr>
                <w:rFonts w:hint="eastAsia" w:asciiTheme="minorEastAsia" w:hAnsiTheme="minorEastAsia"/>
                <w:bCs/>
                <w:szCs w:val="21"/>
              </w:rPr>
            </w:pPr>
            <w:r>
              <w:rPr>
                <w:rFonts w:asciiTheme="minorEastAsia" w:hAnsiTheme="minorEastAsia"/>
                <w:bCs/>
                <w:szCs w:val="21"/>
              </w:rPr>
              <w:t>Q4</w:t>
            </w:r>
            <w:r>
              <w:rPr>
                <w:rFonts w:hint="eastAsia" w:asciiTheme="minorEastAsia" w:hAnsiTheme="minorEastAsia"/>
                <w:bCs/>
                <w:szCs w:val="21"/>
              </w:rPr>
              <w:t>：精益化施工（</w:t>
            </w:r>
            <w:r>
              <w:rPr>
                <w:rFonts w:asciiTheme="minorEastAsia" w:hAnsiTheme="minorEastAsia"/>
                <w:bCs/>
                <w:szCs w:val="21"/>
              </w:rPr>
              <w:t>25</w:t>
            </w:r>
            <w:r>
              <w:rPr>
                <w:rFonts w:hint="eastAsia" w:asciiTheme="minorEastAsia" w:hAnsiTheme="minorEastAsia"/>
                <w:bCs/>
                <w:szCs w:val="21"/>
              </w:rPr>
              <w:t>分）</w:t>
            </w:r>
          </w:p>
        </w:tc>
        <w:tc>
          <w:tcPr>
            <w:tcW w:w="891" w:type="dxa"/>
            <w:tcBorders>
              <w:right w:val="single" w:color="auto" w:sz="4" w:space="0"/>
            </w:tcBorders>
          </w:tcPr>
          <w:p w14:paraId="068ED7E9">
            <w:pPr>
              <w:tabs>
                <w:tab w:val="left" w:pos="780"/>
              </w:tabs>
              <w:ind w:leftChars="-6" w:hanging="13"/>
              <w:jc w:val="center"/>
              <w:rPr>
                <w:rFonts w:hint="eastAsia" w:asciiTheme="minorEastAsia" w:hAnsiTheme="minorEastAsia"/>
                <w:bCs/>
                <w:szCs w:val="21"/>
              </w:rPr>
            </w:pPr>
            <w:r>
              <w:rPr>
                <w:rFonts w:asciiTheme="minorEastAsia" w:hAnsiTheme="minorEastAsia"/>
                <w:bCs/>
                <w:szCs w:val="21"/>
              </w:rPr>
              <w:t>Q4a</w:t>
            </w:r>
          </w:p>
        </w:tc>
        <w:tc>
          <w:tcPr>
            <w:tcW w:w="1626" w:type="dxa"/>
          </w:tcPr>
          <w:p w14:paraId="26F6939A">
            <w:pPr>
              <w:rPr>
                <w:rFonts w:hint="eastAsia" w:asciiTheme="minorEastAsia" w:hAnsiTheme="minorEastAsia"/>
                <w:bCs/>
                <w:szCs w:val="21"/>
              </w:rPr>
            </w:pPr>
            <w:r>
              <w:rPr>
                <w:rFonts w:hint="eastAsia" w:asciiTheme="minorEastAsia" w:hAnsiTheme="minorEastAsia"/>
                <w:bCs/>
                <w:szCs w:val="21"/>
              </w:rPr>
              <w:t>装配式建筑形式</w:t>
            </w:r>
          </w:p>
        </w:tc>
        <w:tc>
          <w:tcPr>
            <w:tcW w:w="3995" w:type="dxa"/>
            <w:gridSpan w:val="2"/>
          </w:tcPr>
          <w:p w14:paraId="5C892FC5">
            <w:pPr>
              <w:rPr>
                <w:rFonts w:hint="eastAsia" w:asciiTheme="minorEastAsia" w:hAnsiTheme="minorEastAsia"/>
                <w:bCs/>
                <w:szCs w:val="21"/>
              </w:rPr>
            </w:pPr>
            <w:r>
              <w:rPr>
                <w:rFonts w:hint="eastAsia" w:asciiTheme="minorEastAsia" w:hAnsiTheme="minorEastAsia"/>
                <w:bCs/>
                <w:szCs w:val="21"/>
              </w:rPr>
              <w:t>配式混凝土建筑、装配式钢结构建筑、装配式木结构建筑及装配式混合结构建筑</w:t>
            </w:r>
          </w:p>
        </w:tc>
        <w:tc>
          <w:tcPr>
            <w:tcW w:w="763" w:type="dxa"/>
          </w:tcPr>
          <w:p w14:paraId="15FA7495">
            <w:pPr>
              <w:ind w:firstLine="360"/>
              <w:rPr>
                <w:rFonts w:hint="eastAsia" w:asciiTheme="minorEastAsia" w:hAnsiTheme="minorEastAsia"/>
                <w:bCs/>
                <w:szCs w:val="21"/>
              </w:rPr>
            </w:pPr>
            <w:r>
              <w:rPr>
                <w:rFonts w:asciiTheme="minorEastAsia" w:hAnsiTheme="minorEastAsia"/>
                <w:bCs/>
                <w:szCs w:val="21"/>
              </w:rPr>
              <w:t>1</w:t>
            </w:r>
          </w:p>
        </w:tc>
        <w:tc>
          <w:tcPr>
            <w:tcW w:w="789" w:type="dxa"/>
            <w:vMerge w:val="restart"/>
          </w:tcPr>
          <w:p w14:paraId="44572DB4">
            <w:pPr>
              <w:ind w:firstLine="360"/>
              <w:rPr>
                <w:rFonts w:hint="eastAsia" w:asciiTheme="minorEastAsia" w:hAnsiTheme="minorEastAsia"/>
                <w:bCs/>
                <w:szCs w:val="21"/>
              </w:rPr>
            </w:pPr>
            <w:r>
              <w:rPr>
                <w:rFonts w:hint="eastAsia" w:asciiTheme="minorEastAsia" w:hAnsiTheme="minorEastAsia"/>
                <w:bCs/>
                <w:szCs w:val="21"/>
              </w:rPr>
              <w:t>4</w:t>
            </w:r>
          </w:p>
        </w:tc>
      </w:tr>
      <w:tr w14:paraId="4445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continue"/>
          </w:tcPr>
          <w:p w14:paraId="78CFCD82">
            <w:pPr>
              <w:ind w:firstLine="360"/>
              <w:rPr>
                <w:rFonts w:hint="eastAsia" w:asciiTheme="minorEastAsia" w:hAnsiTheme="minorEastAsia"/>
                <w:bCs/>
                <w:szCs w:val="21"/>
              </w:rPr>
            </w:pPr>
          </w:p>
        </w:tc>
        <w:tc>
          <w:tcPr>
            <w:tcW w:w="891" w:type="dxa"/>
          </w:tcPr>
          <w:p w14:paraId="570BF34E">
            <w:pPr>
              <w:jc w:val="center"/>
              <w:rPr>
                <w:rFonts w:hint="eastAsia" w:asciiTheme="minorEastAsia" w:hAnsiTheme="minorEastAsia"/>
                <w:bCs/>
                <w:szCs w:val="21"/>
              </w:rPr>
            </w:pPr>
            <w:r>
              <w:rPr>
                <w:rFonts w:asciiTheme="minorEastAsia" w:hAnsiTheme="minorEastAsia"/>
                <w:bCs/>
                <w:szCs w:val="21"/>
              </w:rPr>
              <w:t>Q4b</w:t>
            </w:r>
          </w:p>
        </w:tc>
        <w:tc>
          <w:tcPr>
            <w:tcW w:w="1626" w:type="dxa"/>
            <w:tcBorders>
              <w:top w:val="single" w:color="auto" w:sz="4" w:space="0"/>
              <w:left w:val="single" w:color="auto" w:sz="4" w:space="0"/>
              <w:bottom w:val="single" w:color="auto" w:sz="4" w:space="0"/>
            </w:tcBorders>
          </w:tcPr>
          <w:p w14:paraId="0F9E78E2">
            <w:pPr>
              <w:rPr>
                <w:rFonts w:hint="eastAsia" w:asciiTheme="minorEastAsia" w:hAnsiTheme="minorEastAsia"/>
                <w:bCs/>
                <w:szCs w:val="21"/>
              </w:rPr>
            </w:pPr>
            <w:r>
              <w:rPr>
                <w:rFonts w:hint="eastAsia" w:asciiTheme="minorEastAsia" w:hAnsiTheme="minorEastAsia"/>
                <w:bCs/>
                <w:szCs w:val="21"/>
              </w:rPr>
              <w:t>新技术和新材料</w:t>
            </w:r>
          </w:p>
        </w:tc>
        <w:tc>
          <w:tcPr>
            <w:tcW w:w="3995" w:type="dxa"/>
            <w:gridSpan w:val="2"/>
          </w:tcPr>
          <w:p w14:paraId="4D903EB5">
            <w:pPr>
              <w:rPr>
                <w:rFonts w:hint="eastAsia" w:asciiTheme="minorEastAsia" w:hAnsiTheme="minorEastAsia"/>
                <w:bCs/>
                <w:szCs w:val="21"/>
              </w:rPr>
            </w:pPr>
            <w:r>
              <w:rPr>
                <w:rFonts w:hint="eastAsia" w:asciiTheme="minorEastAsia" w:hAnsiTheme="minorEastAsia"/>
                <w:bCs/>
                <w:szCs w:val="21"/>
              </w:rPr>
              <w:t>高性能混凝土、高强钢筋、消能减震、预应力技术等新技术及新专利</w:t>
            </w:r>
          </w:p>
        </w:tc>
        <w:tc>
          <w:tcPr>
            <w:tcW w:w="763" w:type="dxa"/>
          </w:tcPr>
          <w:p w14:paraId="31C28B78">
            <w:pPr>
              <w:ind w:firstLine="360"/>
              <w:rPr>
                <w:rFonts w:hint="eastAsia" w:asciiTheme="minorEastAsia" w:hAnsiTheme="minorEastAsia"/>
                <w:bCs/>
                <w:szCs w:val="21"/>
              </w:rPr>
            </w:pPr>
            <w:r>
              <w:rPr>
                <w:rFonts w:asciiTheme="minorEastAsia" w:hAnsiTheme="minorEastAsia"/>
                <w:bCs/>
                <w:szCs w:val="21"/>
              </w:rPr>
              <w:t>3</w:t>
            </w:r>
          </w:p>
        </w:tc>
        <w:tc>
          <w:tcPr>
            <w:tcW w:w="789" w:type="dxa"/>
            <w:vMerge w:val="continue"/>
          </w:tcPr>
          <w:p w14:paraId="0F6D575C">
            <w:pPr>
              <w:ind w:firstLine="360"/>
              <w:rPr>
                <w:rFonts w:hint="eastAsia" w:asciiTheme="minorEastAsia" w:hAnsiTheme="minorEastAsia"/>
                <w:bCs/>
                <w:szCs w:val="21"/>
              </w:rPr>
            </w:pPr>
          </w:p>
        </w:tc>
      </w:tr>
      <w:tr w14:paraId="62F7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96" w:type="dxa"/>
            <w:vMerge w:val="continue"/>
          </w:tcPr>
          <w:p w14:paraId="208CECC4">
            <w:pPr>
              <w:ind w:firstLine="360"/>
              <w:rPr>
                <w:rFonts w:hint="eastAsia" w:asciiTheme="minorEastAsia" w:hAnsiTheme="minorEastAsia"/>
                <w:bCs/>
                <w:szCs w:val="21"/>
              </w:rPr>
            </w:pPr>
          </w:p>
        </w:tc>
        <w:tc>
          <w:tcPr>
            <w:tcW w:w="891" w:type="dxa"/>
          </w:tcPr>
          <w:p w14:paraId="5963D1AD">
            <w:pPr>
              <w:ind w:firstLine="169"/>
              <w:jc w:val="center"/>
              <w:rPr>
                <w:rFonts w:hint="eastAsia" w:asciiTheme="minorEastAsia" w:hAnsiTheme="minorEastAsia"/>
                <w:bCs/>
                <w:szCs w:val="21"/>
              </w:rPr>
            </w:pPr>
            <w:r>
              <w:rPr>
                <w:rFonts w:asciiTheme="minorEastAsia" w:hAnsiTheme="minorEastAsia"/>
                <w:bCs/>
                <w:szCs w:val="21"/>
              </w:rPr>
              <w:t>Q4c</w:t>
            </w:r>
          </w:p>
        </w:tc>
        <w:tc>
          <w:tcPr>
            <w:tcW w:w="1626" w:type="dxa"/>
            <w:tcBorders>
              <w:top w:val="single" w:color="auto" w:sz="4" w:space="0"/>
              <w:left w:val="single" w:color="auto" w:sz="4" w:space="0"/>
              <w:bottom w:val="single" w:color="auto" w:sz="4" w:space="0"/>
            </w:tcBorders>
          </w:tcPr>
          <w:p w14:paraId="099AD51F">
            <w:pPr>
              <w:rPr>
                <w:rFonts w:hint="eastAsia" w:asciiTheme="minorEastAsia" w:hAnsiTheme="minorEastAsia"/>
                <w:bCs/>
                <w:szCs w:val="21"/>
              </w:rPr>
            </w:pPr>
            <w:r>
              <w:rPr>
                <w:rFonts w:hint="eastAsia" w:asciiTheme="minorEastAsia" w:hAnsiTheme="minorEastAsia"/>
                <w:bCs/>
                <w:szCs w:val="21"/>
              </w:rPr>
              <w:t>装配式装修</w:t>
            </w:r>
          </w:p>
        </w:tc>
        <w:tc>
          <w:tcPr>
            <w:tcW w:w="3995" w:type="dxa"/>
            <w:gridSpan w:val="2"/>
          </w:tcPr>
          <w:p w14:paraId="13EEBD1D">
            <w:pPr>
              <w:ind w:firstLine="360"/>
              <w:rPr>
                <w:rFonts w:hint="eastAsia" w:asciiTheme="minorEastAsia" w:hAnsiTheme="minorEastAsia"/>
                <w:bCs/>
                <w:szCs w:val="21"/>
              </w:rPr>
            </w:pPr>
            <w:r>
              <w:rPr>
                <w:rFonts w:hint="eastAsia" w:asciiTheme="minorEastAsia" w:hAnsiTheme="minorEastAsia"/>
                <w:bCs/>
                <w:color w:val="000000" w:themeColor="text1"/>
                <w:szCs w:val="21"/>
                <w14:textFill>
                  <w14:solidFill>
                    <w14:schemeClr w14:val="tx1"/>
                  </w14:solidFill>
                </w14:textFill>
              </w:rPr>
              <w:t>4.5.3</w:t>
            </w:r>
          </w:p>
        </w:tc>
        <w:tc>
          <w:tcPr>
            <w:tcW w:w="763" w:type="dxa"/>
          </w:tcPr>
          <w:p w14:paraId="48D9B383">
            <w:pPr>
              <w:ind w:firstLine="360"/>
              <w:rPr>
                <w:rFonts w:hint="eastAsia" w:asciiTheme="minorEastAsia" w:hAnsiTheme="minorEastAsia"/>
                <w:bCs/>
                <w:szCs w:val="21"/>
              </w:rPr>
            </w:pPr>
            <w:r>
              <w:rPr>
                <w:rFonts w:asciiTheme="minorEastAsia" w:hAnsiTheme="minorEastAsia"/>
                <w:bCs/>
                <w:szCs w:val="21"/>
              </w:rPr>
              <w:t>3</w:t>
            </w:r>
          </w:p>
        </w:tc>
        <w:tc>
          <w:tcPr>
            <w:tcW w:w="789" w:type="dxa"/>
            <w:vMerge w:val="continue"/>
          </w:tcPr>
          <w:p w14:paraId="62C88859">
            <w:pPr>
              <w:ind w:firstLine="360"/>
              <w:rPr>
                <w:rFonts w:hint="eastAsia" w:asciiTheme="minorEastAsia" w:hAnsiTheme="minorEastAsia"/>
                <w:bCs/>
                <w:szCs w:val="21"/>
              </w:rPr>
            </w:pPr>
          </w:p>
        </w:tc>
      </w:tr>
      <w:tr w14:paraId="6790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continue"/>
          </w:tcPr>
          <w:p w14:paraId="6B5AD89A">
            <w:pPr>
              <w:ind w:firstLine="360"/>
              <w:rPr>
                <w:rFonts w:hint="eastAsia" w:asciiTheme="minorEastAsia" w:hAnsiTheme="minorEastAsia"/>
                <w:bCs/>
                <w:szCs w:val="21"/>
              </w:rPr>
            </w:pPr>
          </w:p>
        </w:tc>
        <w:tc>
          <w:tcPr>
            <w:tcW w:w="891" w:type="dxa"/>
          </w:tcPr>
          <w:p w14:paraId="173477C5">
            <w:pPr>
              <w:ind w:firstLine="169"/>
              <w:jc w:val="center"/>
              <w:rPr>
                <w:rFonts w:hint="eastAsia" w:asciiTheme="minorEastAsia" w:hAnsiTheme="minorEastAsia"/>
                <w:bCs/>
                <w:szCs w:val="21"/>
              </w:rPr>
            </w:pPr>
            <w:r>
              <w:rPr>
                <w:rFonts w:asciiTheme="minorEastAsia" w:hAnsiTheme="minorEastAsia"/>
                <w:bCs/>
                <w:szCs w:val="21"/>
              </w:rPr>
              <w:t>Q4d</w:t>
            </w:r>
          </w:p>
        </w:tc>
        <w:tc>
          <w:tcPr>
            <w:tcW w:w="1626" w:type="dxa"/>
            <w:tcBorders>
              <w:top w:val="single" w:color="auto" w:sz="4" w:space="0"/>
              <w:left w:val="single" w:color="auto" w:sz="4" w:space="0"/>
              <w:bottom w:val="single" w:color="auto" w:sz="4" w:space="0"/>
            </w:tcBorders>
          </w:tcPr>
          <w:p w14:paraId="7D1B0251">
            <w:pPr>
              <w:rPr>
                <w:rFonts w:hint="eastAsia" w:asciiTheme="minorEastAsia" w:hAnsiTheme="minorEastAsia"/>
                <w:bCs/>
                <w:szCs w:val="21"/>
              </w:rPr>
            </w:pPr>
            <w:r>
              <w:rPr>
                <w:rFonts w:hint="eastAsia" w:asciiTheme="minorEastAsia" w:hAnsiTheme="minorEastAsia"/>
                <w:bCs/>
                <w:szCs w:val="21"/>
              </w:rPr>
              <w:t>施工工艺工法、施工组织方式</w:t>
            </w:r>
          </w:p>
        </w:tc>
        <w:tc>
          <w:tcPr>
            <w:tcW w:w="3995" w:type="dxa"/>
            <w:gridSpan w:val="2"/>
          </w:tcPr>
          <w:p w14:paraId="1034DB15">
            <w:pPr>
              <w:ind w:firstLine="360"/>
              <w:rPr>
                <w:rFonts w:hint="eastAsia" w:asciiTheme="minorEastAsia" w:hAnsiTheme="minorEastAsia"/>
                <w:bCs/>
                <w:szCs w:val="21"/>
              </w:rPr>
            </w:pPr>
            <w:r>
              <w:rPr>
                <w:rFonts w:hint="eastAsia" w:asciiTheme="minorEastAsia" w:hAnsiTheme="minorEastAsia"/>
                <w:bCs/>
                <w:szCs w:val="21"/>
              </w:rPr>
              <w:t>条文</w:t>
            </w:r>
            <w:r>
              <w:rPr>
                <w:rFonts w:asciiTheme="minorEastAsia" w:hAnsiTheme="minorEastAsia"/>
                <w:bCs/>
                <w:szCs w:val="21"/>
              </w:rPr>
              <w:t>4.</w:t>
            </w:r>
            <w:r>
              <w:rPr>
                <w:rFonts w:hint="eastAsia" w:asciiTheme="minorEastAsia" w:hAnsiTheme="minorEastAsia"/>
                <w:bCs/>
                <w:szCs w:val="21"/>
              </w:rPr>
              <w:t>5.4</w:t>
            </w:r>
          </w:p>
        </w:tc>
        <w:tc>
          <w:tcPr>
            <w:tcW w:w="763" w:type="dxa"/>
          </w:tcPr>
          <w:p w14:paraId="56C57FA2">
            <w:pPr>
              <w:rPr>
                <w:rFonts w:hint="eastAsia" w:asciiTheme="minorEastAsia" w:hAnsiTheme="minorEastAsia"/>
                <w:bCs/>
                <w:szCs w:val="21"/>
              </w:rPr>
            </w:pPr>
            <w:r>
              <w:rPr>
                <w:rFonts w:asciiTheme="minorEastAsia" w:hAnsiTheme="minorEastAsia"/>
                <w:bCs/>
                <w:szCs w:val="21"/>
              </w:rPr>
              <w:t>10</w:t>
            </w:r>
          </w:p>
        </w:tc>
        <w:tc>
          <w:tcPr>
            <w:tcW w:w="789" w:type="dxa"/>
            <w:vMerge w:val="continue"/>
          </w:tcPr>
          <w:p w14:paraId="71BE3CDF">
            <w:pPr>
              <w:ind w:firstLine="360"/>
              <w:rPr>
                <w:rFonts w:hint="eastAsia" w:asciiTheme="minorEastAsia" w:hAnsiTheme="minorEastAsia"/>
                <w:bCs/>
                <w:szCs w:val="21"/>
              </w:rPr>
            </w:pPr>
          </w:p>
        </w:tc>
      </w:tr>
      <w:tr w14:paraId="525A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continue"/>
          </w:tcPr>
          <w:p w14:paraId="5F38BBDF">
            <w:pPr>
              <w:ind w:firstLine="360"/>
              <w:rPr>
                <w:rFonts w:hint="eastAsia" w:asciiTheme="minorEastAsia" w:hAnsiTheme="minorEastAsia"/>
                <w:bCs/>
                <w:szCs w:val="21"/>
              </w:rPr>
            </w:pPr>
          </w:p>
        </w:tc>
        <w:tc>
          <w:tcPr>
            <w:tcW w:w="891" w:type="dxa"/>
          </w:tcPr>
          <w:p w14:paraId="6B204975">
            <w:pPr>
              <w:ind w:firstLine="169"/>
              <w:jc w:val="center"/>
              <w:rPr>
                <w:rFonts w:hint="eastAsia" w:asciiTheme="minorEastAsia" w:hAnsiTheme="minorEastAsia"/>
                <w:bCs/>
                <w:szCs w:val="21"/>
              </w:rPr>
            </w:pPr>
          </w:p>
          <w:p w14:paraId="3A4B7C1E">
            <w:pPr>
              <w:ind w:firstLine="169"/>
              <w:jc w:val="center"/>
              <w:rPr>
                <w:rFonts w:hint="eastAsia" w:asciiTheme="minorEastAsia" w:hAnsiTheme="minorEastAsia"/>
                <w:bCs/>
                <w:szCs w:val="21"/>
              </w:rPr>
            </w:pPr>
          </w:p>
          <w:p w14:paraId="1E8C337A">
            <w:pPr>
              <w:ind w:firstLine="169"/>
              <w:jc w:val="center"/>
              <w:rPr>
                <w:rFonts w:hint="eastAsia" w:asciiTheme="minorEastAsia" w:hAnsiTheme="minorEastAsia"/>
                <w:bCs/>
                <w:szCs w:val="21"/>
              </w:rPr>
            </w:pPr>
            <w:r>
              <w:rPr>
                <w:rFonts w:asciiTheme="minorEastAsia" w:hAnsiTheme="minorEastAsia"/>
                <w:bCs/>
                <w:szCs w:val="21"/>
              </w:rPr>
              <w:t>Q4e</w:t>
            </w:r>
          </w:p>
        </w:tc>
        <w:tc>
          <w:tcPr>
            <w:tcW w:w="1626" w:type="dxa"/>
            <w:tcBorders>
              <w:top w:val="single" w:color="auto" w:sz="4" w:space="0"/>
              <w:left w:val="single" w:color="auto" w:sz="4" w:space="0"/>
              <w:bottom w:val="single" w:color="auto" w:sz="4" w:space="0"/>
            </w:tcBorders>
          </w:tcPr>
          <w:p w14:paraId="3B27D409">
            <w:pPr>
              <w:ind w:firstLine="360"/>
              <w:rPr>
                <w:rFonts w:hint="eastAsia" w:asciiTheme="minorEastAsia" w:hAnsiTheme="minorEastAsia"/>
                <w:bCs/>
                <w:szCs w:val="21"/>
              </w:rPr>
            </w:pPr>
          </w:p>
          <w:p w14:paraId="1E772396">
            <w:pPr>
              <w:ind w:firstLine="360"/>
              <w:rPr>
                <w:rFonts w:hint="eastAsia" w:asciiTheme="minorEastAsia" w:hAnsiTheme="minorEastAsia"/>
                <w:bCs/>
                <w:szCs w:val="21"/>
              </w:rPr>
            </w:pPr>
            <w:r>
              <w:rPr>
                <w:rFonts w:hint="eastAsia" w:asciiTheme="minorEastAsia" w:hAnsiTheme="minorEastAsia"/>
                <w:bCs/>
                <w:szCs w:val="21"/>
              </w:rPr>
              <w:t>绿色施工</w:t>
            </w:r>
          </w:p>
        </w:tc>
        <w:tc>
          <w:tcPr>
            <w:tcW w:w="3995" w:type="dxa"/>
            <w:gridSpan w:val="2"/>
          </w:tcPr>
          <w:p w14:paraId="5B9CFDD8">
            <w:pPr>
              <w:ind w:firstLine="360"/>
              <w:rPr>
                <w:rFonts w:hint="eastAsia" w:asciiTheme="minorEastAsia" w:hAnsiTheme="minorEastAsia"/>
                <w:bCs/>
                <w:szCs w:val="21"/>
              </w:rPr>
            </w:pPr>
            <w:r>
              <w:rPr>
                <w:rFonts w:hint="eastAsia" w:asciiTheme="minorEastAsia" w:hAnsiTheme="minorEastAsia"/>
                <w:bCs/>
                <w:szCs w:val="21"/>
              </w:rPr>
              <w:t>绿色施工按照国家标准《建筑工程绿色施工评价标准》GB/T50640或广东省《建筑工程绿色施工评价标准》DBJ/J 15-97规定开展绿色施工评价，等级为合格、优良的，在装配式建筑项目评价时该评价项分别得</w:t>
            </w:r>
            <w:r>
              <w:rPr>
                <w:rFonts w:asciiTheme="minorEastAsia" w:hAnsiTheme="minorEastAsia"/>
                <w:bCs/>
                <w:szCs w:val="21"/>
              </w:rPr>
              <w:t>1.5</w:t>
            </w:r>
            <w:r>
              <w:rPr>
                <w:rFonts w:hint="eastAsia" w:asciiTheme="minorEastAsia" w:hAnsiTheme="minorEastAsia"/>
                <w:bCs/>
                <w:szCs w:val="21"/>
              </w:rPr>
              <w:t>分、3分。</w:t>
            </w:r>
          </w:p>
        </w:tc>
        <w:tc>
          <w:tcPr>
            <w:tcW w:w="763" w:type="dxa"/>
          </w:tcPr>
          <w:p w14:paraId="30C324D5">
            <w:pPr>
              <w:ind w:firstLine="360"/>
              <w:rPr>
                <w:rFonts w:hint="eastAsia" w:asciiTheme="minorEastAsia" w:hAnsiTheme="minorEastAsia"/>
                <w:bCs/>
                <w:szCs w:val="21"/>
              </w:rPr>
            </w:pPr>
            <w:r>
              <w:rPr>
                <w:rFonts w:asciiTheme="minorEastAsia" w:hAnsiTheme="minorEastAsia"/>
                <w:bCs/>
                <w:szCs w:val="21"/>
              </w:rPr>
              <w:t>3</w:t>
            </w:r>
          </w:p>
        </w:tc>
        <w:tc>
          <w:tcPr>
            <w:tcW w:w="789" w:type="dxa"/>
            <w:vMerge w:val="continue"/>
          </w:tcPr>
          <w:p w14:paraId="4968BF4B">
            <w:pPr>
              <w:ind w:firstLine="360"/>
              <w:rPr>
                <w:rFonts w:hint="eastAsia" w:asciiTheme="minorEastAsia" w:hAnsiTheme="minorEastAsia"/>
                <w:bCs/>
                <w:szCs w:val="21"/>
              </w:rPr>
            </w:pPr>
          </w:p>
        </w:tc>
      </w:tr>
      <w:tr w14:paraId="16EB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continue"/>
          </w:tcPr>
          <w:p w14:paraId="7F2253AB">
            <w:pPr>
              <w:ind w:firstLine="360"/>
              <w:rPr>
                <w:rFonts w:hint="eastAsia" w:asciiTheme="minorEastAsia" w:hAnsiTheme="minorEastAsia"/>
                <w:bCs/>
                <w:szCs w:val="21"/>
              </w:rPr>
            </w:pPr>
          </w:p>
        </w:tc>
        <w:tc>
          <w:tcPr>
            <w:tcW w:w="891" w:type="dxa"/>
            <w:vMerge w:val="restart"/>
          </w:tcPr>
          <w:p w14:paraId="62F0D389">
            <w:pPr>
              <w:ind w:firstLine="169"/>
              <w:jc w:val="center"/>
              <w:rPr>
                <w:rFonts w:hint="eastAsia" w:asciiTheme="minorEastAsia" w:hAnsiTheme="minorEastAsia"/>
                <w:bCs/>
                <w:szCs w:val="21"/>
              </w:rPr>
            </w:pPr>
            <w:r>
              <w:rPr>
                <w:rFonts w:asciiTheme="minorEastAsia" w:hAnsiTheme="minorEastAsia"/>
                <w:bCs/>
                <w:szCs w:val="21"/>
              </w:rPr>
              <w:t>Q4f</w:t>
            </w:r>
          </w:p>
        </w:tc>
        <w:tc>
          <w:tcPr>
            <w:tcW w:w="1626" w:type="dxa"/>
            <w:vMerge w:val="restart"/>
            <w:tcBorders>
              <w:top w:val="single" w:color="auto" w:sz="4" w:space="0"/>
              <w:left w:val="single" w:color="auto" w:sz="4" w:space="0"/>
            </w:tcBorders>
          </w:tcPr>
          <w:p w14:paraId="4BF017E5">
            <w:pPr>
              <w:ind w:firstLine="360"/>
              <w:rPr>
                <w:rFonts w:hint="eastAsia" w:asciiTheme="minorEastAsia" w:hAnsiTheme="minorEastAsia"/>
                <w:bCs/>
                <w:szCs w:val="21"/>
              </w:rPr>
            </w:pPr>
            <w:r>
              <w:rPr>
                <w:rFonts w:hint="eastAsia" w:asciiTheme="minorEastAsia" w:hAnsiTheme="minorEastAsia"/>
                <w:bCs/>
                <w:szCs w:val="21"/>
              </w:rPr>
              <w:t>人工与效率</w:t>
            </w:r>
          </w:p>
        </w:tc>
        <w:tc>
          <w:tcPr>
            <w:tcW w:w="1237" w:type="dxa"/>
          </w:tcPr>
          <w:p w14:paraId="54D17FF6">
            <w:pPr>
              <w:rPr>
                <w:rFonts w:hint="eastAsia" w:asciiTheme="minorEastAsia" w:hAnsiTheme="minorEastAsia"/>
                <w:bCs/>
                <w:szCs w:val="21"/>
              </w:rPr>
            </w:pPr>
            <w:r>
              <w:rPr>
                <w:rFonts w:hint="eastAsia" w:asciiTheme="minorEastAsia" w:hAnsiTheme="minorEastAsia"/>
                <w:bCs/>
                <w:szCs w:val="21"/>
              </w:rPr>
              <w:t>建造工期</w:t>
            </w:r>
          </w:p>
        </w:tc>
        <w:tc>
          <w:tcPr>
            <w:tcW w:w="2758" w:type="dxa"/>
          </w:tcPr>
          <w:p w14:paraId="0426DD0F">
            <w:pPr>
              <w:ind w:firstLine="360"/>
              <w:rPr>
                <w:rFonts w:hint="eastAsia" w:asciiTheme="minorEastAsia" w:hAnsiTheme="minorEastAsia"/>
                <w:bCs/>
                <w:szCs w:val="21"/>
              </w:rPr>
            </w:pPr>
            <w:r>
              <w:rPr>
                <w:rFonts w:hint="eastAsia" w:asciiTheme="minorEastAsia" w:hAnsiTheme="minorEastAsia"/>
                <w:bCs/>
                <w:szCs w:val="21"/>
              </w:rPr>
              <w:t>条文4</w:t>
            </w:r>
            <w:r>
              <w:rPr>
                <w:rFonts w:asciiTheme="minorEastAsia" w:hAnsiTheme="minorEastAsia"/>
                <w:bCs/>
                <w:szCs w:val="21"/>
              </w:rPr>
              <w:t>.5.</w:t>
            </w:r>
            <w:r>
              <w:rPr>
                <w:rFonts w:hint="eastAsia" w:asciiTheme="minorEastAsia" w:hAnsiTheme="minorEastAsia"/>
                <w:bCs/>
                <w:szCs w:val="21"/>
              </w:rPr>
              <w:t>6</w:t>
            </w:r>
          </w:p>
        </w:tc>
        <w:tc>
          <w:tcPr>
            <w:tcW w:w="763" w:type="dxa"/>
          </w:tcPr>
          <w:p w14:paraId="61FB3002">
            <w:pPr>
              <w:rPr>
                <w:rFonts w:hint="eastAsia" w:asciiTheme="minorEastAsia" w:hAnsiTheme="minorEastAsia"/>
                <w:bCs/>
                <w:szCs w:val="21"/>
              </w:rPr>
            </w:pPr>
            <w:bookmarkStart w:id="53" w:name="_Hlk128649248"/>
            <w:r>
              <w:rPr>
                <w:rFonts w:asciiTheme="minorEastAsia" w:hAnsiTheme="minorEastAsia"/>
                <w:bCs/>
                <w:szCs w:val="21"/>
              </w:rPr>
              <w:t>2.5</w:t>
            </w:r>
            <w:r>
              <w:rPr>
                <w:rFonts w:hint="eastAsia" w:asciiTheme="minorEastAsia" w:hAnsiTheme="minorEastAsia"/>
                <w:bCs/>
                <w:szCs w:val="21"/>
                <w:vertAlign w:val="superscript"/>
              </w:rPr>
              <w:t>*</w:t>
            </w:r>
            <w:bookmarkEnd w:id="53"/>
          </w:p>
        </w:tc>
        <w:tc>
          <w:tcPr>
            <w:tcW w:w="789" w:type="dxa"/>
            <w:vMerge w:val="continue"/>
          </w:tcPr>
          <w:p w14:paraId="7C6DB954">
            <w:pPr>
              <w:ind w:firstLine="360"/>
              <w:rPr>
                <w:rFonts w:hint="eastAsia" w:asciiTheme="minorEastAsia" w:hAnsiTheme="minorEastAsia"/>
                <w:bCs/>
                <w:szCs w:val="21"/>
              </w:rPr>
            </w:pPr>
          </w:p>
        </w:tc>
      </w:tr>
      <w:tr w14:paraId="244B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6" w:type="dxa"/>
            <w:vMerge w:val="continue"/>
          </w:tcPr>
          <w:p w14:paraId="5A42B158">
            <w:pPr>
              <w:ind w:firstLine="360"/>
              <w:rPr>
                <w:rFonts w:hint="eastAsia" w:asciiTheme="minorEastAsia" w:hAnsiTheme="minorEastAsia"/>
                <w:bCs/>
                <w:szCs w:val="21"/>
              </w:rPr>
            </w:pPr>
          </w:p>
        </w:tc>
        <w:tc>
          <w:tcPr>
            <w:tcW w:w="891" w:type="dxa"/>
            <w:vMerge w:val="continue"/>
          </w:tcPr>
          <w:p w14:paraId="4B9A5456">
            <w:pPr>
              <w:ind w:firstLine="360"/>
              <w:rPr>
                <w:rFonts w:hint="eastAsia" w:asciiTheme="minorEastAsia" w:hAnsiTheme="minorEastAsia"/>
                <w:bCs/>
                <w:szCs w:val="21"/>
              </w:rPr>
            </w:pPr>
          </w:p>
        </w:tc>
        <w:tc>
          <w:tcPr>
            <w:tcW w:w="1626" w:type="dxa"/>
            <w:vMerge w:val="continue"/>
            <w:tcBorders>
              <w:left w:val="single" w:color="auto" w:sz="4" w:space="0"/>
              <w:bottom w:val="single" w:color="auto" w:sz="4" w:space="0"/>
            </w:tcBorders>
          </w:tcPr>
          <w:p w14:paraId="7AA23923">
            <w:pPr>
              <w:ind w:firstLine="360"/>
              <w:rPr>
                <w:rFonts w:hint="eastAsia" w:asciiTheme="minorEastAsia" w:hAnsiTheme="minorEastAsia"/>
                <w:bCs/>
                <w:szCs w:val="21"/>
              </w:rPr>
            </w:pPr>
          </w:p>
        </w:tc>
        <w:tc>
          <w:tcPr>
            <w:tcW w:w="1237" w:type="dxa"/>
          </w:tcPr>
          <w:p w14:paraId="3C76E203">
            <w:pPr>
              <w:rPr>
                <w:rFonts w:hint="eastAsia" w:asciiTheme="minorEastAsia" w:hAnsiTheme="minorEastAsia"/>
                <w:bCs/>
                <w:szCs w:val="21"/>
              </w:rPr>
            </w:pPr>
            <w:r>
              <w:rPr>
                <w:rFonts w:hint="eastAsia" w:asciiTheme="minorEastAsia" w:hAnsiTheme="minorEastAsia"/>
                <w:bCs/>
                <w:szCs w:val="21"/>
              </w:rPr>
              <w:t>人工用量</w:t>
            </w:r>
          </w:p>
        </w:tc>
        <w:tc>
          <w:tcPr>
            <w:tcW w:w="2758" w:type="dxa"/>
          </w:tcPr>
          <w:p w14:paraId="37C94EF4">
            <w:pPr>
              <w:ind w:firstLine="360"/>
              <w:rPr>
                <w:rFonts w:hint="eastAsia" w:asciiTheme="minorEastAsia" w:hAnsiTheme="minorEastAsia"/>
                <w:bCs/>
                <w:szCs w:val="21"/>
              </w:rPr>
            </w:pPr>
            <w:r>
              <w:rPr>
                <w:rFonts w:hint="eastAsia" w:asciiTheme="minorEastAsia" w:hAnsiTheme="minorEastAsia"/>
                <w:bCs/>
                <w:szCs w:val="21"/>
              </w:rPr>
              <w:t>条文4</w:t>
            </w:r>
            <w:r>
              <w:rPr>
                <w:rFonts w:asciiTheme="minorEastAsia" w:hAnsiTheme="minorEastAsia"/>
                <w:bCs/>
                <w:szCs w:val="21"/>
              </w:rPr>
              <w:t>.5.</w:t>
            </w:r>
            <w:r>
              <w:rPr>
                <w:rFonts w:hint="eastAsia" w:asciiTheme="minorEastAsia" w:hAnsiTheme="minorEastAsia"/>
                <w:bCs/>
                <w:szCs w:val="21"/>
              </w:rPr>
              <w:t>7</w:t>
            </w:r>
          </w:p>
        </w:tc>
        <w:tc>
          <w:tcPr>
            <w:tcW w:w="763" w:type="dxa"/>
          </w:tcPr>
          <w:p w14:paraId="40E6B384">
            <w:pPr>
              <w:rPr>
                <w:rFonts w:hint="eastAsia" w:asciiTheme="minorEastAsia" w:hAnsiTheme="minorEastAsia"/>
                <w:bCs/>
                <w:szCs w:val="21"/>
              </w:rPr>
            </w:pPr>
            <w:r>
              <w:rPr>
                <w:rFonts w:asciiTheme="minorEastAsia" w:hAnsiTheme="minorEastAsia"/>
                <w:bCs/>
                <w:szCs w:val="21"/>
              </w:rPr>
              <w:t>2.5</w:t>
            </w:r>
            <w:r>
              <w:rPr>
                <w:rFonts w:hint="eastAsia" w:asciiTheme="minorEastAsia" w:hAnsiTheme="minorEastAsia"/>
                <w:bCs/>
                <w:szCs w:val="21"/>
                <w:vertAlign w:val="superscript"/>
              </w:rPr>
              <w:t>*</w:t>
            </w:r>
          </w:p>
        </w:tc>
        <w:tc>
          <w:tcPr>
            <w:tcW w:w="789" w:type="dxa"/>
            <w:vMerge w:val="continue"/>
          </w:tcPr>
          <w:p w14:paraId="6D81B6BA">
            <w:pPr>
              <w:ind w:firstLine="360"/>
              <w:rPr>
                <w:rFonts w:hint="eastAsia" w:asciiTheme="minorEastAsia" w:hAnsiTheme="minorEastAsia"/>
                <w:bCs/>
                <w:szCs w:val="21"/>
              </w:rPr>
            </w:pPr>
          </w:p>
        </w:tc>
      </w:tr>
      <w:tr w14:paraId="3C51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996" w:type="dxa"/>
            <w:vMerge w:val="restart"/>
          </w:tcPr>
          <w:p w14:paraId="47E3CF26">
            <w:pPr>
              <w:ind w:firstLine="360"/>
              <w:rPr>
                <w:rFonts w:hint="eastAsia" w:asciiTheme="minorEastAsia" w:hAnsiTheme="minorEastAsia"/>
                <w:bCs/>
                <w:szCs w:val="21"/>
              </w:rPr>
            </w:pPr>
          </w:p>
          <w:p w14:paraId="46E67293">
            <w:pPr>
              <w:ind w:firstLine="360"/>
              <w:rPr>
                <w:rFonts w:hint="eastAsia" w:asciiTheme="minorEastAsia" w:hAnsiTheme="minorEastAsia"/>
                <w:bCs/>
                <w:szCs w:val="21"/>
              </w:rPr>
            </w:pPr>
          </w:p>
          <w:p w14:paraId="00720D7E">
            <w:pPr>
              <w:ind w:firstLine="360"/>
              <w:rPr>
                <w:rFonts w:hint="eastAsia" w:asciiTheme="minorEastAsia" w:hAnsiTheme="minorEastAsia"/>
                <w:bCs/>
                <w:szCs w:val="21"/>
              </w:rPr>
            </w:pPr>
          </w:p>
          <w:p w14:paraId="6388594E">
            <w:pPr>
              <w:ind w:firstLine="360"/>
              <w:rPr>
                <w:rFonts w:hint="eastAsia" w:asciiTheme="minorEastAsia" w:hAnsiTheme="minorEastAsia"/>
                <w:bCs/>
                <w:szCs w:val="21"/>
              </w:rPr>
            </w:pPr>
          </w:p>
          <w:p w14:paraId="4F6615AC">
            <w:pPr>
              <w:ind w:firstLine="360"/>
              <w:rPr>
                <w:rFonts w:hint="eastAsia" w:asciiTheme="minorEastAsia" w:hAnsiTheme="minorEastAsia"/>
                <w:bCs/>
                <w:szCs w:val="21"/>
              </w:rPr>
            </w:pPr>
          </w:p>
          <w:p w14:paraId="67EB906E">
            <w:pPr>
              <w:ind w:firstLine="360"/>
              <w:rPr>
                <w:rFonts w:hint="eastAsia" w:asciiTheme="minorEastAsia" w:hAnsiTheme="minorEastAsia"/>
                <w:bCs/>
                <w:szCs w:val="21"/>
              </w:rPr>
            </w:pPr>
          </w:p>
          <w:p w14:paraId="44E2CB09">
            <w:pPr>
              <w:ind w:firstLine="360"/>
              <w:rPr>
                <w:rFonts w:hint="eastAsia" w:asciiTheme="minorEastAsia" w:hAnsiTheme="minorEastAsia"/>
                <w:bCs/>
                <w:szCs w:val="21"/>
              </w:rPr>
            </w:pPr>
          </w:p>
          <w:p w14:paraId="05E42C09">
            <w:pPr>
              <w:ind w:firstLine="360"/>
              <w:rPr>
                <w:rFonts w:hint="eastAsia" w:asciiTheme="minorEastAsia" w:hAnsiTheme="minorEastAsia"/>
                <w:bCs/>
                <w:szCs w:val="21"/>
              </w:rPr>
            </w:pPr>
          </w:p>
          <w:p w14:paraId="707738FC">
            <w:pPr>
              <w:ind w:firstLine="360"/>
              <w:rPr>
                <w:rFonts w:hint="eastAsia" w:asciiTheme="minorEastAsia" w:hAnsiTheme="minorEastAsia"/>
                <w:bCs/>
                <w:szCs w:val="21"/>
              </w:rPr>
            </w:pPr>
          </w:p>
          <w:p w14:paraId="1BBF51B2">
            <w:pPr>
              <w:ind w:firstLine="360"/>
              <w:rPr>
                <w:rFonts w:hint="eastAsia" w:asciiTheme="minorEastAsia" w:hAnsiTheme="minorEastAsia"/>
                <w:bCs/>
                <w:szCs w:val="21"/>
              </w:rPr>
            </w:pPr>
          </w:p>
          <w:p w14:paraId="47EB8C84">
            <w:pPr>
              <w:ind w:firstLine="360"/>
              <w:rPr>
                <w:rFonts w:hint="eastAsia" w:asciiTheme="minorEastAsia" w:hAnsiTheme="minorEastAsia"/>
                <w:bCs/>
                <w:szCs w:val="21"/>
              </w:rPr>
            </w:pPr>
          </w:p>
          <w:p w14:paraId="21F63260">
            <w:pPr>
              <w:ind w:firstLine="360"/>
              <w:rPr>
                <w:rFonts w:hint="eastAsia" w:asciiTheme="minorEastAsia" w:hAnsiTheme="minorEastAsia"/>
                <w:bCs/>
                <w:szCs w:val="21"/>
              </w:rPr>
            </w:pPr>
          </w:p>
          <w:p w14:paraId="365DD7FF">
            <w:pPr>
              <w:ind w:firstLine="360"/>
              <w:rPr>
                <w:rFonts w:hint="eastAsia" w:asciiTheme="minorEastAsia" w:hAnsiTheme="minorEastAsia"/>
                <w:bCs/>
                <w:szCs w:val="21"/>
              </w:rPr>
            </w:pPr>
          </w:p>
          <w:p w14:paraId="6E0AE04E">
            <w:pPr>
              <w:ind w:firstLine="360"/>
              <w:rPr>
                <w:rFonts w:hint="eastAsia" w:asciiTheme="minorEastAsia" w:hAnsiTheme="minorEastAsia"/>
                <w:bCs/>
                <w:szCs w:val="21"/>
              </w:rPr>
            </w:pPr>
          </w:p>
          <w:p w14:paraId="2918276B">
            <w:pPr>
              <w:ind w:firstLine="360"/>
              <w:rPr>
                <w:rFonts w:hint="eastAsia" w:asciiTheme="minorEastAsia" w:hAnsiTheme="minorEastAsia"/>
                <w:bCs/>
                <w:szCs w:val="21"/>
              </w:rPr>
            </w:pPr>
          </w:p>
          <w:p w14:paraId="6E58C348">
            <w:pPr>
              <w:ind w:firstLine="360"/>
              <w:rPr>
                <w:rFonts w:hint="eastAsia" w:asciiTheme="minorEastAsia" w:hAnsiTheme="minorEastAsia"/>
                <w:bCs/>
                <w:szCs w:val="21"/>
              </w:rPr>
            </w:pPr>
          </w:p>
          <w:p w14:paraId="1FA5E350">
            <w:pPr>
              <w:ind w:firstLine="360"/>
              <w:rPr>
                <w:rFonts w:hint="eastAsia" w:asciiTheme="minorEastAsia" w:hAnsiTheme="minorEastAsia"/>
                <w:bCs/>
                <w:szCs w:val="21"/>
              </w:rPr>
            </w:pPr>
          </w:p>
          <w:p w14:paraId="0FDDE2ED">
            <w:pPr>
              <w:ind w:firstLine="360"/>
              <w:rPr>
                <w:rFonts w:hint="eastAsia" w:asciiTheme="minorEastAsia" w:hAnsiTheme="minorEastAsia"/>
                <w:bCs/>
                <w:szCs w:val="21"/>
              </w:rPr>
            </w:pPr>
            <w:r>
              <w:rPr>
                <w:rFonts w:asciiTheme="minorEastAsia" w:hAnsiTheme="minorEastAsia"/>
                <w:bCs/>
                <w:szCs w:val="21"/>
              </w:rPr>
              <w:t>Q5</w:t>
            </w:r>
            <w:r>
              <w:rPr>
                <w:rFonts w:hint="eastAsia" w:asciiTheme="minorEastAsia" w:hAnsiTheme="minorEastAsia"/>
                <w:bCs/>
                <w:szCs w:val="21"/>
              </w:rPr>
              <w:t>：信息化技术应用（</w:t>
            </w:r>
            <w:r>
              <w:rPr>
                <w:rFonts w:asciiTheme="minorEastAsia" w:hAnsiTheme="minorEastAsia"/>
                <w:bCs/>
                <w:szCs w:val="21"/>
              </w:rPr>
              <w:t>30</w:t>
            </w:r>
            <w:r>
              <w:rPr>
                <w:rFonts w:hint="eastAsia" w:asciiTheme="minorEastAsia" w:hAnsiTheme="minorEastAsia"/>
                <w:bCs/>
                <w:szCs w:val="21"/>
              </w:rPr>
              <w:t>分）</w:t>
            </w:r>
          </w:p>
        </w:tc>
        <w:tc>
          <w:tcPr>
            <w:tcW w:w="891" w:type="dxa"/>
            <w:vMerge w:val="restart"/>
          </w:tcPr>
          <w:p w14:paraId="036E45CD">
            <w:pPr>
              <w:ind w:firstLine="360"/>
              <w:rPr>
                <w:rFonts w:hint="eastAsia" w:asciiTheme="minorEastAsia" w:hAnsiTheme="minorEastAsia"/>
                <w:bCs/>
                <w:szCs w:val="21"/>
              </w:rPr>
            </w:pPr>
          </w:p>
          <w:p w14:paraId="07E3483C">
            <w:pPr>
              <w:ind w:firstLine="360"/>
              <w:rPr>
                <w:rFonts w:hint="eastAsia" w:asciiTheme="minorEastAsia" w:hAnsiTheme="minorEastAsia"/>
                <w:bCs/>
                <w:szCs w:val="21"/>
              </w:rPr>
            </w:pPr>
          </w:p>
          <w:p w14:paraId="660CB2B9">
            <w:pPr>
              <w:ind w:firstLine="360"/>
              <w:rPr>
                <w:rFonts w:hint="eastAsia" w:asciiTheme="minorEastAsia" w:hAnsiTheme="minorEastAsia"/>
                <w:bCs/>
                <w:szCs w:val="21"/>
              </w:rPr>
            </w:pPr>
          </w:p>
          <w:p w14:paraId="50B9F096">
            <w:pPr>
              <w:ind w:firstLine="360"/>
              <w:rPr>
                <w:rFonts w:hint="eastAsia" w:asciiTheme="minorEastAsia" w:hAnsiTheme="minorEastAsia"/>
                <w:bCs/>
                <w:szCs w:val="21"/>
              </w:rPr>
            </w:pPr>
          </w:p>
          <w:p w14:paraId="6C38B232">
            <w:pPr>
              <w:ind w:firstLine="360"/>
              <w:rPr>
                <w:rFonts w:hint="eastAsia" w:asciiTheme="minorEastAsia" w:hAnsiTheme="minorEastAsia"/>
                <w:bCs/>
                <w:szCs w:val="21"/>
              </w:rPr>
            </w:pPr>
          </w:p>
          <w:p w14:paraId="1E1A50BA">
            <w:pPr>
              <w:ind w:firstLine="360"/>
              <w:rPr>
                <w:rFonts w:hint="eastAsia" w:asciiTheme="minorEastAsia" w:hAnsiTheme="minorEastAsia"/>
                <w:bCs/>
                <w:szCs w:val="21"/>
              </w:rPr>
            </w:pPr>
          </w:p>
          <w:p w14:paraId="42984404">
            <w:pPr>
              <w:ind w:firstLine="360"/>
              <w:rPr>
                <w:rFonts w:hint="eastAsia" w:asciiTheme="minorEastAsia" w:hAnsiTheme="minorEastAsia"/>
                <w:bCs/>
                <w:szCs w:val="21"/>
              </w:rPr>
            </w:pPr>
          </w:p>
          <w:p w14:paraId="5F66678D">
            <w:pPr>
              <w:ind w:firstLine="360"/>
              <w:rPr>
                <w:rFonts w:hint="eastAsia" w:asciiTheme="minorEastAsia" w:hAnsiTheme="minorEastAsia"/>
                <w:bCs/>
                <w:szCs w:val="21"/>
              </w:rPr>
            </w:pPr>
          </w:p>
          <w:p w14:paraId="6BC833B4">
            <w:pPr>
              <w:ind w:firstLine="360"/>
              <w:rPr>
                <w:rFonts w:hint="eastAsia" w:asciiTheme="minorEastAsia" w:hAnsiTheme="minorEastAsia"/>
                <w:bCs/>
                <w:szCs w:val="21"/>
              </w:rPr>
            </w:pPr>
          </w:p>
          <w:p w14:paraId="6195E30D">
            <w:pPr>
              <w:ind w:firstLine="360"/>
              <w:rPr>
                <w:rFonts w:hint="eastAsia" w:asciiTheme="minorEastAsia" w:hAnsiTheme="minorEastAsia"/>
                <w:bCs/>
                <w:szCs w:val="21"/>
              </w:rPr>
            </w:pPr>
          </w:p>
          <w:p w14:paraId="493B5884">
            <w:pPr>
              <w:ind w:firstLine="360"/>
              <w:rPr>
                <w:rFonts w:hint="eastAsia" w:asciiTheme="minorEastAsia" w:hAnsiTheme="minorEastAsia"/>
                <w:bCs/>
                <w:szCs w:val="21"/>
              </w:rPr>
            </w:pPr>
          </w:p>
          <w:p w14:paraId="43BB6698">
            <w:pPr>
              <w:ind w:firstLine="360"/>
              <w:rPr>
                <w:rFonts w:hint="eastAsia" w:asciiTheme="minorEastAsia" w:hAnsiTheme="minorEastAsia"/>
                <w:bCs/>
                <w:szCs w:val="21"/>
              </w:rPr>
            </w:pPr>
          </w:p>
          <w:p w14:paraId="61E1F4EF">
            <w:pPr>
              <w:ind w:firstLine="360"/>
              <w:rPr>
                <w:rFonts w:hint="eastAsia" w:asciiTheme="minorEastAsia" w:hAnsiTheme="minorEastAsia"/>
                <w:bCs/>
                <w:szCs w:val="21"/>
              </w:rPr>
            </w:pPr>
          </w:p>
          <w:p w14:paraId="6C57A488">
            <w:pPr>
              <w:ind w:firstLine="360"/>
              <w:rPr>
                <w:rFonts w:hint="eastAsia" w:asciiTheme="minorEastAsia" w:hAnsiTheme="minorEastAsia"/>
                <w:bCs/>
                <w:szCs w:val="21"/>
              </w:rPr>
            </w:pPr>
          </w:p>
          <w:p w14:paraId="6E2A593C">
            <w:pPr>
              <w:ind w:firstLine="360"/>
              <w:rPr>
                <w:rFonts w:hint="eastAsia" w:asciiTheme="minorEastAsia" w:hAnsiTheme="minorEastAsia"/>
                <w:bCs/>
                <w:szCs w:val="21"/>
              </w:rPr>
            </w:pPr>
          </w:p>
          <w:p w14:paraId="3B0FD9FC">
            <w:pPr>
              <w:ind w:firstLine="360"/>
              <w:rPr>
                <w:rFonts w:hint="eastAsia" w:asciiTheme="minorEastAsia" w:hAnsiTheme="minorEastAsia"/>
                <w:bCs/>
                <w:szCs w:val="21"/>
              </w:rPr>
            </w:pPr>
          </w:p>
          <w:p w14:paraId="4F9FAE14">
            <w:pPr>
              <w:ind w:firstLine="360"/>
              <w:rPr>
                <w:rFonts w:hint="eastAsia" w:asciiTheme="minorEastAsia" w:hAnsiTheme="minorEastAsia"/>
                <w:bCs/>
                <w:szCs w:val="21"/>
              </w:rPr>
            </w:pPr>
          </w:p>
          <w:p w14:paraId="1B1331B4">
            <w:pPr>
              <w:ind w:firstLine="360"/>
              <w:rPr>
                <w:rFonts w:hint="eastAsia" w:asciiTheme="minorEastAsia" w:hAnsiTheme="minorEastAsia"/>
                <w:bCs/>
                <w:szCs w:val="21"/>
              </w:rPr>
            </w:pPr>
          </w:p>
          <w:p w14:paraId="4E576547">
            <w:pPr>
              <w:ind w:firstLine="360"/>
              <w:rPr>
                <w:rFonts w:hint="eastAsia" w:asciiTheme="minorEastAsia" w:hAnsiTheme="minorEastAsia"/>
                <w:bCs/>
                <w:szCs w:val="21"/>
              </w:rPr>
            </w:pPr>
            <w:r>
              <w:rPr>
                <w:rFonts w:asciiTheme="minorEastAsia" w:hAnsiTheme="minorEastAsia"/>
                <w:bCs/>
                <w:szCs w:val="21"/>
              </w:rPr>
              <w:t>Q5a</w:t>
            </w:r>
          </w:p>
        </w:tc>
        <w:tc>
          <w:tcPr>
            <w:tcW w:w="1626" w:type="dxa"/>
            <w:vMerge w:val="restart"/>
            <w:tcBorders>
              <w:top w:val="single" w:color="auto" w:sz="4" w:space="0"/>
              <w:left w:val="single" w:color="auto" w:sz="4" w:space="0"/>
            </w:tcBorders>
          </w:tcPr>
          <w:p w14:paraId="1DB93F1B">
            <w:pPr>
              <w:ind w:firstLine="360"/>
              <w:rPr>
                <w:rFonts w:hint="eastAsia" w:asciiTheme="minorEastAsia" w:hAnsiTheme="minorEastAsia"/>
                <w:bCs/>
                <w:szCs w:val="21"/>
              </w:rPr>
            </w:pPr>
          </w:p>
          <w:p w14:paraId="0333DB7C">
            <w:pPr>
              <w:ind w:firstLine="360"/>
              <w:rPr>
                <w:rFonts w:hint="eastAsia" w:asciiTheme="minorEastAsia" w:hAnsiTheme="minorEastAsia"/>
                <w:bCs/>
                <w:szCs w:val="21"/>
              </w:rPr>
            </w:pPr>
          </w:p>
          <w:p w14:paraId="773E441C">
            <w:pPr>
              <w:ind w:firstLine="360"/>
              <w:rPr>
                <w:rFonts w:hint="eastAsia" w:asciiTheme="minorEastAsia" w:hAnsiTheme="minorEastAsia"/>
                <w:bCs/>
                <w:szCs w:val="21"/>
              </w:rPr>
            </w:pPr>
          </w:p>
          <w:p w14:paraId="1579BC95">
            <w:pPr>
              <w:ind w:firstLine="360"/>
              <w:rPr>
                <w:rFonts w:hint="eastAsia" w:asciiTheme="minorEastAsia" w:hAnsiTheme="minorEastAsia"/>
                <w:bCs/>
                <w:szCs w:val="21"/>
              </w:rPr>
            </w:pPr>
          </w:p>
          <w:p w14:paraId="4A6033DA">
            <w:pPr>
              <w:ind w:firstLine="360"/>
              <w:rPr>
                <w:rFonts w:hint="eastAsia" w:asciiTheme="minorEastAsia" w:hAnsiTheme="minorEastAsia"/>
                <w:bCs/>
                <w:szCs w:val="21"/>
              </w:rPr>
            </w:pPr>
          </w:p>
          <w:p w14:paraId="71477CF2">
            <w:pPr>
              <w:ind w:firstLine="360"/>
              <w:rPr>
                <w:rFonts w:hint="eastAsia" w:asciiTheme="minorEastAsia" w:hAnsiTheme="minorEastAsia"/>
                <w:bCs/>
                <w:szCs w:val="21"/>
              </w:rPr>
            </w:pPr>
          </w:p>
          <w:p w14:paraId="02D4D907">
            <w:pPr>
              <w:ind w:firstLine="360"/>
              <w:rPr>
                <w:rFonts w:hint="eastAsia" w:asciiTheme="minorEastAsia" w:hAnsiTheme="minorEastAsia"/>
                <w:bCs/>
                <w:szCs w:val="21"/>
              </w:rPr>
            </w:pPr>
          </w:p>
          <w:p w14:paraId="1527BA08">
            <w:pPr>
              <w:ind w:firstLine="360"/>
              <w:rPr>
                <w:rFonts w:hint="eastAsia" w:asciiTheme="minorEastAsia" w:hAnsiTheme="minorEastAsia"/>
                <w:bCs/>
                <w:szCs w:val="21"/>
              </w:rPr>
            </w:pPr>
          </w:p>
          <w:p w14:paraId="70EC6687">
            <w:pPr>
              <w:ind w:firstLine="360"/>
              <w:rPr>
                <w:rFonts w:hint="eastAsia" w:asciiTheme="minorEastAsia" w:hAnsiTheme="minorEastAsia"/>
                <w:bCs/>
                <w:szCs w:val="21"/>
              </w:rPr>
            </w:pPr>
          </w:p>
          <w:p w14:paraId="622279A5">
            <w:pPr>
              <w:ind w:firstLine="360"/>
              <w:rPr>
                <w:rFonts w:hint="eastAsia" w:asciiTheme="minorEastAsia" w:hAnsiTheme="minorEastAsia"/>
                <w:bCs/>
                <w:szCs w:val="21"/>
              </w:rPr>
            </w:pPr>
          </w:p>
          <w:p w14:paraId="63DC5E14">
            <w:pPr>
              <w:ind w:firstLine="360"/>
              <w:rPr>
                <w:rFonts w:hint="eastAsia" w:asciiTheme="minorEastAsia" w:hAnsiTheme="minorEastAsia"/>
                <w:bCs/>
                <w:szCs w:val="21"/>
              </w:rPr>
            </w:pPr>
          </w:p>
          <w:p w14:paraId="51C02732">
            <w:pPr>
              <w:ind w:firstLine="360"/>
              <w:rPr>
                <w:rFonts w:hint="eastAsia" w:asciiTheme="minorEastAsia" w:hAnsiTheme="minorEastAsia"/>
                <w:bCs/>
                <w:szCs w:val="21"/>
              </w:rPr>
            </w:pPr>
          </w:p>
          <w:p w14:paraId="1923B6D7">
            <w:pPr>
              <w:ind w:firstLine="360"/>
              <w:rPr>
                <w:rFonts w:hint="eastAsia" w:asciiTheme="minorEastAsia" w:hAnsiTheme="minorEastAsia"/>
                <w:bCs/>
                <w:szCs w:val="21"/>
              </w:rPr>
            </w:pPr>
          </w:p>
          <w:p w14:paraId="09D54411">
            <w:pPr>
              <w:ind w:firstLine="360"/>
              <w:rPr>
                <w:rFonts w:hint="eastAsia" w:asciiTheme="minorEastAsia" w:hAnsiTheme="minorEastAsia"/>
                <w:bCs/>
                <w:szCs w:val="21"/>
              </w:rPr>
            </w:pPr>
            <w:r>
              <w:rPr>
                <w:rFonts w:asciiTheme="minorEastAsia" w:hAnsiTheme="minorEastAsia"/>
                <w:bCs/>
                <w:szCs w:val="21"/>
              </w:rPr>
              <w:t>BIM</w:t>
            </w:r>
            <w:r>
              <w:rPr>
                <w:rFonts w:hint="eastAsia" w:asciiTheme="minorEastAsia" w:hAnsiTheme="minorEastAsia"/>
                <w:bCs/>
                <w:szCs w:val="21"/>
              </w:rPr>
              <w:t>技术、大数据、物联网应用、构件质量管理</w:t>
            </w:r>
          </w:p>
        </w:tc>
        <w:tc>
          <w:tcPr>
            <w:tcW w:w="1237" w:type="dxa"/>
            <w:vMerge w:val="restart"/>
          </w:tcPr>
          <w:p w14:paraId="136D68BC">
            <w:pPr>
              <w:ind w:firstLine="360"/>
              <w:rPr>
                <w:rFonts w:hint="eastAsia" w:asciiTheme="minorEastAsia" w:hAnsiTheme="minorEastAsia"/>
                <w:bCs/>
                <w:szCs w:val="21"/>
              </w:rPr>
            </w:pPr>
          </w:p>
          <w:p w14:paraId="1A6DD5CF">
            <w:pPr>
              <w:ind w:firstLine="360"/>
              <w:rPr>
                <w:rFonts w:hint="eastAsia" w:asciiTheme="minorEastAsia" w:hAnsiTheme="minorEastAsia"/>
                <w:bCs/>
                <w:szCs w:val="21"/>
              </w:rPr>
            </w:pPr>
          </w:p>
          <w:p w14:paraId="20F47AF3">
            <w:pPr>
              <w:ind w:firstLine="360"/>
              <w:rPr>
                <w:rFonts w:hint="eastAsia" w:asciiTheme="minorEastAsia" w:hAnsiTheme="minorEastAsia"/>
                <w:bCs/>
                <w:szCs w:val="21"/>
              </w:rPr>
            </w:pPr>
          </w:p>
          <w:p w14:paraId="2C7CF7F5">
            <w:pPr>
              <w:ind w:firstLine="360"/>
              <w:rPr>
                <w:rFonts w:hint="eastAsia" w:asciiTheme="minorEastAsia" w:hAnsiTheme="minorEastAsia"/>
                <w:bCs/>
                <w:szCs w:val="21"/>
              </w:rPr>
            </w:pPr>
          </w:p>
          <w:p w14:paraId="635E3786">
            <w:pPr>
              <w:ind w:firstLine="360"/>
              <w:rPr>
                <w:rFonts w:hint="eastAsia" w:asciiTheme="minorEastAsia" w:hAnsiTheme="minorEastAsia"/>
                <w:bCs/>
                <w:szCs w:val="21"/>
              </w:rPr>
            </w:pPr>
          </w:p>
          <w:p w14:paraId="10D4EFE7">
            <w:pPr>
              <w:ind w:firstLine="360"/>
              <w:rPr>
                <w:rFonts w:hint="eastAsia" w:asciiTheme="minorEastAsia" w:hAnsiTheme="minorEastAsia"/>
                <w:bCs/>
                <w:szCs w:val="21"/>
              </w:rPr>
            </w:pPr>
          </w:p>
          <w:p w14:paraId="4D9E968D">
            <w:pPr>
              <w:ind w:firstLine="360"/>
              <w:rPr>
                <w:rFonts w:hint="eastAsia" w:asciiTheme="minorEastAsia" w:hAnsiTheme="minorEastAsia"/>
                <w:bCs/>
                <w:szCs w:val="21"/>
              </w:rPr>
            </w:pPr>
          </w:p>
          <w:p w14:paraId="0D978E7B">
            <w:pPr>
              <w:ind w:firstLine="360"/>
              <w:rPr>
                <w:rFonts w:hint="eastAsia" w:asciiTheme="minorEastAsia" w:hAnsiTheme="minorEastAsia"/>
                <w:bCs/>
                <w:szCs w:val="21"/>
              </w:rPr>
            </w:pPr>
          </w:p>
          <w:p w14:paraId="41797FF5">
            <w:pPr>
              <w:ind w:firstLine="360"/>
              <w:rPr>
                <w:rFonts w:hint="eastAsia" w:asciiTheme="minorEastAsia" w:hAnsiTheme="minorEastAsia"/>
                <w:bCs/>
                <w:szCs w:val="21"/>
              </w:rPr>
            </w:pPr>
          </w:p>
          <w:p w14:paraId="4DC0DF1A">
            <w:pPr>
              <w:ind w:firstLine="360"/>
              <w:rPr>
                <w:rFonts w:hint="eastAsia" w:asciiTheme="minorEastAsia" w:hAnsiTheme="minorEastAsia"/>
                <w:bCs/>
                <w:szCs w:val="21"/>
              </w:rPr>
            </w:pPr>
          </w:p>
          <w:p w14:paraId="55A0E989">
            <w:pPr>
              <w:ind w:firstLine="360"/>
              <w:rPr>
                <w:rFonts w:hint="eastAsia" w:asciiTheme="minorEastAsia" w:hAnsiTheme="minorEastAsia"/>
                <w:bCs/>
                <w:szCs w:val="21"/>
              </w:rPr>
            </w:pPr>
            <w:r>
              <w:rPr>
                <w:rFonts w:hint="eastAsia" w:asciiTheme="minorEastAsia" w:hAnsiTheme="minorEastAsia"/>
                <w:bCs/>
                <w:szCs w:val="21"/>
              </w:rPr>
              <w:t>设计全过程运用</w:t>
            </w:r>
            <w:r>
              <w:rPr>
                <w:rFonts w:asciiTheme="minorEastAsia" w:hAnsiTheme="minorEastAsia"/>
                <w:bCs/>
                <w:szCs w:val="21"/>
              </w:rPr>
              <w:t>BIM</w:t>
            </w:r>
            <w:r>
              <w:rPr>
                <w:rFonts w:hint="eastAsia" w:asciiTheme="minorEastAsia" w:hAnsiTheme="minorEastAsia"/>
                <w:bCs/>
                <w:szCs w:val="21"/>
              </w:rPr>
              <w:t>技术</w:t>
            </w:r>
          </w:p>
        </w:tc>
        <w:tc>
          <w:tcPr>
            <w:tcW w:w="2758" w:type="dxa"/>
          </w:tcPr>
          <w:p w14:paraId="192C10CD">
            <w:pPr>
              <w:ind w:firstLine="360"/>
              <w:rPr>
                <w:rFonts w:hint="eastAsia" w:asciiTheme="minorEastAsia" w:hAnsiTheme="minorEastAsia"/>
                <w:bCs/>
                <w:szCs w:val="21"/>
              </w:rPr>
            </w:pPr>
            <w:r>
              <w:rPr>
                <w:rFonts w:hint="eastAsia" w:asciiTheme="minorEastAsia" w:hAnsiTheme="minorEastAsia"/>
                <w:bCs/>
                <w:szCs w:val="21"/>
              </w:rPr>
              <w:t>初步设计：应用</w:t>
            </w:r>
            <w:r>
              <w:rPr>
                <w:rFonts w:asciiTheme="minorEastAsia" w:hAnsiTheme="minorEastAsia"/>
                <w:bCs/>
                <w:szCs w:val="21"/>
              </w:rPr>
              <w:t>BIM</w:t>
            </w:r>
            <w:r>
              <w:rPr>
                <w:rFonts w:hint="eastAsia" w:asciiTheme="minorEastAsia" w:hAnsiTheme="minorEastAsia"/>
                <w:bCs/>
                <w:szCs w:val="21"/>
              </w:rPr>
              <w:t>信息技术进行设计，包括建筑、结构模型。</w:t>
            </w:r>
          </w:p>
        </w:tc>
        <w:tc>
          <w:tcPr>
            <w:tcW w:w="763" w:type="dxa"/>
          </w:tcPr>
          <w:p w14:paraId="4A8D4EC1">
            <w:pPr>
              <w:ind w:firstLine="361"/>
              <w:rPr>
                <w:rFonts w:hint="eastAsia" w:asciiTheme="minorEastAsia" w:hAnsiTheme="minorEastAsia"/>
                <w:b/>
                <w:szCs w:val="21"/>
              </w:rPr>
            </w:pPr>
            <w:r>
              <w:rPr>
                <w:rFonts w:hint="eastAsia" w:asciiTheme="minorEastAsia" w:hAnsiTheme="minorEastAsia"/>
                <w:b/>
                <w:szCs w:val="21"/>
              </w:rPr>
              <w:t>2</w:t>
            </w:r>
          </w:p>
        </w:tc>
        <w:tc>
          <w:tcPr>
            <w:tcW w:w="789" w:type="dxa"/>
            <w:vMerge w:val="restart"/>
          </w:tcPr>
          <w:p w14:paraId="450F8935">
            <w:pPr>
              <w:ind w:firstLine="361"/>
              <w:rPr>
                <w:rFonts w:hint="eastAsia" w:asciiTheme="minorEastAsia" w:hAnsiTheme="minorEastAsia"/>
                <w:b/>
                <w:szCs w:val="21"/>
              </w:rPr>
            </w:pPr>
          </w:p>
          <w:p w14:paraId="702339DF">
            <w:pPr>
              <w:ind w:firstLine="361"/>
              <w:rPr>
                <w:rFonts w:hint="eastAsia" w:asciiTheme="minorEastAsia" w:hAnsiTheme="minorEastAsia"/>
                <w:b/>
                <w:szCs w:val="21"/>
              </w:rPr>
            </w:pPr>
          </w:p>
          <w:p w14:paraId="70071A97">
            <w:pPr>
              <w:ind w:firstLine="361"/>
              <w:rPr>
                <w:rFonts w:hint="eastAsia" w:asciiTheme="minorEastAsia" w:hAnsiTheme="minorEastAsia"/>
                <w:b/>
                <w:szCs w:val="21"/>
              </w:rPr>
            </w:pPr>
          </w:p>
          <w:p w14:paraId="57D4B8FD">
            <w:pPr>
              <w:ind w:firstLine="361"/>
              <w:rPr>
                <w:rFonts w:hint="eastAsia" w:asciiTheme="minorEastAsia" w:hAnsiTheme="minorEastAsia"/>
                <w:b/>
                <w:szCs w:val="21"/>
              </w:rPr>
            </w:pPr>
          </w:p>
          <w:p w14:paraId="2A132A7D">
            <w:pPr>
              <w:ind w:firstLine="361"/>
              <w:rPr>
                <w:rFonts w:hint="eastAsia" w:asciiTheme="minorEastAsia" w:hAnsiTheme="minorEastAsia"/>
                <w:b/>
                <w:szCs w:val="21"/>
              </w:rPr>
            </w:pPr>
            <w:r>
              <w:rPr>
                <w:rFonts w:asciiTheme="minorEastAsia" w:hAnsiTheme="minorEastAsia"/>
                <w:b/>
                <w:szCs w:val="21"/>
              </w:rPr>
              <w:t>10</w:t>
            </w:r>
          </w:p>
        </w:tc>
      </w:tr>
      <w:tr w14:paraId="7F39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996" w:type="dxa"/>
            <w:vMerge w:val="continue"/>
          </w:tcPr>
          <w:p w14:paraId="4EA1E380">
            <w:pPr>
              <w:ind w:firstLine="360"/>
              <w:rPr>
                <w:rFonts w:hint="eastAsia" w:asciiTheme="minorEastAsia" w:hAnsiTheme="minorEastAsia"/>
                <w:bCs/>
                <w:szCs w:val="21"/>
              </w:rPr>
            </w:pPr>
          </w:p>
        </w:tc>
        <w:tc>
          <w:tcPr>
            <w:tcW w:w="891" w:type="dxa"/>
            <w:vMerge w:val="continue"/>
          </w:tcPr>
          <w:p w14:paraId="33A1966B">
            <w:pPr>
              <w:ind w:firstLine="360"/>
              <w:rPr>
                <w:rFonts w:hint="eastAsia" w:asciiTheme="minorEastAsia" w:hAnsiTheme="minorEastAsia"/>
                <w:bCs/>
                <w:szCs w:val="21"/>
              </w:rPr>
            </w:pPr>
          </w:p>
        </w:tc>
        <w:tc>
          <w:tcPr>
            <w:tcW w:w="1626" w:type="dxa"/>
            <w:vMerge w:val="continue"/>
            <w:tcBorders>
              <w:left w:val="single" w:color="auto" w:sz="4" w:space="0"/>
            </w:tcBorders>
          </w:tcPr>
          <w:p w14:paraId="59145672">
            <w:pPr>
              <w:ind w:firstLine="360"/>
              <w:rPr>
                <w:rFonts w:hint="eastAsia" w:asciiTheme="minorEastAsia" w:hAnsiTheme="minorEastAsia"/>
                <w:bCs/>
                <w:szCs w:val="21"/>
              </w:rPr>
            </w:pPr>
          </w:p>
        </w:tc>
        <w:tc>
          <w:tcPr>
            <w:tcW w:w="1237" w:type="dxa"/>
            <w:vMerge w:val="continue"/>
          </w:tcPr>
          <w:p w14:paraId="7C452981">
            <w:pPr>
              <w:ind w:firstLine="360"/>
              <w:rPr>
                <w:rFonts w:hint="eastAsia" w:asciiTheme="minorEastAsia" w:hAnsiTheme="minorEastAsia"/>
                <w:bCs/>
                <w:szCs w:val="21"/>
              </w:rPr>
            </w:pPr>
          </w:p>
        </w:tc>
        <w:tc>
          <w:tcPr>
            <w:tcW w:w="2758" w:type="dxa"/>
          </w:tcPr>
          <w:p w14:paraId="04562EC1">
            <w:pPr>
              <w:ind w:firstLine="360"/>
              <w:rPr>
                <w:rFonts w:hint="eastAsia" w:asciiTheme="minorEastAsia" w:hAnsiTheme="minorEastAsia"/>
                <w:bCs/>
                <w:szCs w:val="21"/>
              </w:rPr>
            </w:pPr>
            <w:r>
              <w:rPr>
                <w:rFonts w:hint="eastAsia" w:asciiTheme="minorEastAsia" w:hAnsiTheme="minorEastAsia"/>
                <w:bCs/>
                <w:szCs w:val="21"/>
              </w:rPr>
              <w:t>方案设计：应用</w:t>
            </w:r>
            <w:r>
              <w:rPr>
                <w:rFonts w:asciiTheme="minorEastAsia" w:hAnsiTheme="minorEastAsia"/>
                <w:bCs/>
                <w:szCs w:val="21"/>
              </w:rPr>
              <w:t>BIM</w:t>
            </w:r>
            <w:r>
              <w:rPr>
                <w:rFonts w:hint="eastAsia" w:asciiTheme="minorEastAsia" w:hAnsiTheme="minorEastAsia"/>
                <w:bCs/>
                <w:szCs w:val="21"/>
              </w:rPr>
              <w:t>信息技术进行设计即模型深度为</w:t>
            </w:r>
            <w:r>
              <w:rPr>
                <w:rFonts w:asciiTheme="minorEastAsia" w:hAnsiTheme="minorEastAsia"/>
                <w:bCs/>
                <w:szCs w:val="21"/>
              </w:rPr>
              <w:t>LOD200</w:t>
            </w:r>
            <w:r>
              <w:rPr>
                <w:rFonts w:hint="eastAsia" w:asciiTheme="minorEastAsia" w:hAnsiTheme="minorEastAsia"/>
                <w:bCs/>
                <w:szCs w:val="21"/>
              </w:rPr>
              <w:t>，包括项目总体分析、性能分析、方案优化、产品标准化定型并将设计信息传递给后续环节；</w:t>
            </w:r>
          </w:p>
        </w:tc>
        <w:tc>
          <w:tcPr>
            <w:tcW w:w="763" w:type="dxa"/>
          </w:tcPr>
          <w:p w14:paraId="465B8C5E">
            <w:pPr>
              <w:ind w:firstLine="361"/>
              <w:rPr>
                <w:rFonts w:hint="eastAsia" w:asciiTheme="minorEastAsia" w:hAnsiTheme="minorEastAsia"/>
                <w:b/>
                <w:szCs w:val="21"/>
              </w:rPr>
            </w:pPr>
          </w:p>
          <w:p w14:paraId="7EAF69CA">
            <w:pPr>
              <w:ind w:firstLine="361"/>
              <w:rPr>
                <w:rFonts w:hint="eastAsia" w:asciiTheme="minorEastAsia" w:hAnsiTheme="minorEastAsia"/>
                <w:b/>
                <w:szCs w:val="21"/>
              </w:rPr>
            </w:pPr>
          </w:p>
          <w:p w14:paraId="439FC5B6">
            <w:pPr>
              <w:ind w:firstLine="361"/>
              <w:rPr>
                <w:rFonts w:hint="eastAsia" w:asciiTheme="minorEastAsia" w:hAnsiTheme="minorEastAsia"/>
                <w:b/>
                <w:szCs w:val="21"/>
              </w:rPr>
            </w:pPr>
          </w:p>
          <w:p w14:paraId="794C635F">
            <w:pPr>
              <w:ind w:firstLine="361"/>
              <w:rPr>
                <w:rFonts w:hint="eastAsia" w:asciiTheme="minorEastAsia" w:hAnsiTheme="minorEastAsia"/>
                <w:b/>
                <w:szCs w:val="21"/>
              </w:rPr>
            </w:pPr>
            <w:r>
              <w:rPr>
                <w:rFonts w:hint="eastAsia" w:asciiTheme="minorEastAsia" w:hAnsiTheme="minorEastAsia"/>
                <w:b/>
                <w:szCs w:val="21"/>
              </w:rPr>
              <w:t>2</w:t>
            </w:r>
          </w:p>
        </w:tc>
        <w:tc>
          <w:tcPr>
            <w:tcW w:w="789" w:type="dxa"/>
            <w:vMerge w:val="continue"/>
          </w:tcPr>
          <w:p w14:paraId="028D3BBC">
            <w:pPr>
              <w:ind w:firstLine="361"/>
              <w:rPr>
                <w:rFonts w:hint="eastAsia" w:asciiTheme="minorEastAsia" w:hAnsiTheme="minorEastAsia"/>
                <w:b/>
                <w:szCs w:val="21"/>
              </w:rPr>
            </w:pPr>
          </w:p>
        </w:tc>
      </w:tr>
      <w:tr w14:paraId="4771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996" w:type="dxa"/>
            <w:vMerge w:val="continue"/>
          </w:tcPr>
          <w:p w14:paraId="55DD449A">
            <w:pPr>
              <w:ind w:firstLine="360"/>
              <w:rPr>
                <w:rFonts w:hint="eastAsia" w:asciiTheme="minorEastAsia" w:hAnsiTheme="minorEastAsia"/>
                <w:bCs/>
                <w:szCs w:val="21"/>
              </w:rPr>
            </w:pPr>
          </w:p>
        </w:tc>
        <w:tc>
          <w:tcPr>
            <w:tcW w:w="891" w:type="dxa"/>
            <w:vMerge w:val="continue"/>
          </w:tcPr>
          <w:p w14:paraId="249DA6BB">
            <w:pPr>
              <w:ind w:firstLine="360"/>
              <w:rPr>
                <w:rFonts w:hint="eastAsia" w:asciiTheme="minorEastAsia" w:hAnsiTheme="minorEastAsia"/>
                <w:bCs/>
                <w:szCs w:val="21"/>
              </w:rPr>
            </w:pPr>
          </w:p>
        </w:tc>
        <w:tc>
          <w:tcPr>
            <w:tcW w:w="1626" w:type="dxa"/>
            <w:vMerge w:val="continue"/>
            <w:tcBorders>
              <w:left w:val="single" w:color="auto" w:sz="4" w:space="0"/>
            </w:tcBorders>
          </w:tcPr>
          <w:p w14:paraId="4F122528">
            <w:pPr>
              <w:ind w:firstLine="360"/>
              <w:rPr>
                <w:rFonts w:hint="eastAsia" w:asciiTheme="minorEastAsia" w:hAnsiTheme="minorEastAsia"/>
                <w:bCs/>
                <w:szCs w:val="21"/>
              </w:rPr>
            </w:pPr>
          </w:p>
        </w:tc>
        <w:tc>
          <w:tcPr>
            <w:tcW w:w="1237" w:type="dxa"/>
            <w:vMerge w:val="continue"/>
          </w:tcPr>
          <w:p w14:paraId="0628457A">
            <w:pPr>
              <w:ind w:firstLine="360"/>
              <w:rPr>
                <w:rFonts w:hint="eastAsia" w:asciiTheme="minorEastAsia" w:hAnsiTheme="minorEastAsia"/>
                <w:bCs/>
                <w:szCs w:val="21"/>
              </w:rPr>
            </w:pPr>
          </w:p>
        </w:tc>
        <w:tc>
          <w:tcPr>
            <w:tcW w:w="2758" w:type="dxa"/>
          </w:tcPr>
          <w:p w14:paraId="51FE19E8">
            <w:pPr>
              <w:ind w:firstLine="360"/>
              <w:rPr>
                <w:rFonts w:hint="eastAsia" w:asciiTheme="minorEastAsia" w:hAnsiTheme="minorEastAsia"/>
                <w:bCs/>
                <w:szCs w:val="21"/>
              </w:rPr>
            </w:pPr>
            <w:r>
              <w:rPr>
                <w:rFonts w:hint="eastAsia" w:asciiTheme="minorEastAsia" w:hAnsiTheme="minorEastAsia"/>
                <w:bCs/>
                <w:szCs w:val="21"/>
              </w:rPr>
              <w:t>施工图设计：应用</w:t>
            </w:r>
            <w:r>
              <w:rPr>
                <w:rFonts w:asciiTheme="minorEastAsia" w:hAnsiTheme="minorEastAsia"/>
                <w:bCs/>
                <w:szCs w:val="21"/>
              </w:rPr>
              <w:t>BIM</w:t>
            </w:r>
            <w:r>
              <w:rPr>
                <w:rFonts w:hint="eastAsia" w:asciiTheme="minorEastAsia" w:hAnsiTheme="minorEastAsia"/>
                <w:bCs/>
                <w:szCs w:val="21"/>
              </w:rPr>
              <w:t>信息技术进行设计即模型深度为</w:t>
            </w:r>
            <w:r>
              <w:rPr>
                <w:rFonts w:asciiTheme="minorEastAsia" w:hAnsiTheme="minorEastAsia"/>
                <w:bCs/>
                <w:szCs w:val="21"/>
              </w:rPr>
              <w:t>LOD300</w:t>
            </w:r>
            <w:r>
              <w:rPr>
                <w:rFonts w:hint="eastAsia" w:asciiTheme="minorEastAsia" w:hAnsiTheme="minorEastAsia"/>
                <w:bCs/>
                <w:szCs w:val="21"/>
              </w:rPr>
              <w:t>，包括专业协同、管线综合、信息模型制作、施工图表达；</w:t>
            </w:r>
          </w:p>
        </w:tc>
        <w:tc>
          <w:tcPr>
            <w:tcW w:w="763" w:type="dxa"/>
          </w:tcPr>
          <w:p w14:paraId="0235F228">
            <w:pPr>
              <w:ind w:firstLine="361"/>
              <w:rPr>
                <w:rFonts w:hint="eastAsia" w:asciiTheme="minorEastAsia" w:hAnsiTheme="minorEastAsia"/>
                <w:b/>
                <w:szCs w:val="21"/>
              </w:rPr>
            </w:pPr>
          </w:p>
          <w:p w14:paraId="3B76F2D4">
            <w:pPr>
              <w:ind w:firstLine="361"/>
              <w:rPr>
                <w:rFonts w:hint="eastAsia" w:asciiTheme="minorEastAsia" w:hAnsiTheme="minorEastAsia"/>
                <w:b/>
                <w:szCs w:val="21"/>
              </w:rPr>
            </w:pPr>
          </w:p>
          <w:p w14:paraId="1C34C927">
            <w:pPr>
              <w:ind w:firstLine="361"/>
              <w:rPr>
                <w:rFonts w:hint="eastAsia" w:asciiTheme="minorEastAsia" w:hAnsiTheme="minorEastAsia"/>
                <w:b/>
                <w:szCs w:val="21"/>
              </w:rPr>
            </w:pPr>
            <w:r>
              <w:rPr>
                <w:rFonts w:hint="eastAsia" w:asciiTheme="minorEastAsia" w:hAnsiTheme="minorEastAsia"/>
                <w:b/>
                <w:szCs w:val="21"/>
              </w:rPr>
              <w:t>4</w:t>
            </w:r>
          </w:p>
        </w:tc>
        <w:tc>
          <w:tcPr>
            <w:tcW w:w="789" w:type="dxa"/>
            <w:vMerge w:val="continue"/>
          </w:tcPr>
          <w:p w14:paraId="301597EA">
            <w:pPr>
              <w:ind w:firstLine="361"/>
              <w:rPr>
                <w:rFonts w:hint="eastAsia" w:asciiTheme="minorEastAsia" w:hAnsiTheme="minorEastAsia"/>
                <w:b/>
                <w:szCs w:val="21"/>
              </w:rPr>
            </w:pPr>
          </w:p>
        </w:tc>
      </w:tr>
      <w:tr w14:paraId="450D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996" w:type="dxa"/>
            <w:vMerge w:val="continue"/>
          </w:tcPr>
          <w:p w14:paraId="6F560ED1">
            <w:pPr>
              <w:ind w:firstLine="360"/>
              <w:rPr>
                <w:rFonts w:hint="eastAsia" w:asciiTheme="minorEastAsia" w:hAnsiTheme="minorEastAsia"/>
                <w:bCs/>
                <w:szCs w:val="21"/>
              </w:rPr>
            </w:pPr>
          </w:p>
        </w:tc>
        <w:tc>
          <w:tcPr>
            <w:tcW w:w="891" w:type="dxa"/>
            <w:vMerge w:val="continue"/>
          </w:tcPr>
          <w:p w14:paraId="53835A7E">
            <w:pPr>
              <w:ind w:firstLine="360"/>
              <w:rPr>
                <w:rFonts w:hint="eastAsia" w:asciiTheme="minorEastAsia" w:hAnsiTheme="minorEastAsia"/>
                <w:bCs/>
                <w:szCs w:val="21"/>
              </w:rPr>
            </w:pPr>
          </w:p>
        </w:tc>
        <w:tc>
          <w:tcPr>
            <w:tcW w:w="1626" w:type="dxa"/>
            <w:vMerge w:val="continue"/>
            <w:tcBorders>
              <w:left w:val="single" w:color="auto" w:sz="4" w:space="0"/>
            </w:tcBorders>
          </w:tcPr>
          <w:p w14:paraId="71336345">
            <w:pPr>
              <w:ind w:firstLine="360"/>
              <w:rPr>
                <w:rFonts w:hint="eastAsia" w:asciiTheme="minorEastAsia" w:hAnsiTheme="minorEastAsia"/>
                <w:bCs/>
                <w:szCs w:val="21"/>
              </w:rPr>
            </w:pPr>
          </w:p>
        </w:tc>
        <w:tc>
          <w:tcPr>
            <w:tcW w:w="1237" w:type="dxa"/>
            <w:vMerge w:val="continue"/>
          </w:tcPr>
          <w:p w14:paraId="5B74438D">
            <w:pPr>
              <w:ind w:firstLine="360"/>
              <w:rPr>
                <w:rFonts w:hint="eastAsia" w:asciiTheme="minorEastAsia" w:hAnsiTheme="minorEastAsia"/>
                <w:bCs/>
                <w:szCs w:val="21"/>
              </w:rPr>
            </w:pPr>
          </w:p>
        </w:tc>
        <w:tc>
          <w:tcPr>
            <w:tcW w:w="2758" w:type="dxa"/>
          </w:tcPr>
          <w:p w14:paraId="1650713C">
            <w:pPr>
              <w:rPr>
                <w:rFonts w:hint="eastAsia" w:asciiTheme="minorEastAsia" w:hAnsiTheme="minorEastAsia"/>
                <w:bCs/>
                <w:szCs w:val="21"/>
              </w:rPr>
            </w:pPr>
            <w:r>
              <w:rPr>
                <w:rFonts w:hint="eastAsia" w:asciiTheme="minorEastAsia" w:hAnsiTheme="minorEastAsia"/>
                <w:bCs/>
                <w:szCs w:val="21"/>
              </w:rPr>
              <w:t>构件图设计：应用信息技术进行构件深化设计即模型深度为</w:t>
            </w:r>
            <w:r>
              <w:rPr>
                <w:rFonts w:asciiTheme="minorEastAsia" w:hAnsiTheme="minorEastAsia"/>
                <w:bCs/>
                <w:szCs w:val="21"/>
              </w:rPr>
              <w:t>LOD300</w:t>
            </w:r>
            <w:r>
              <w:rPr>
                <w:rFonts w:hint="eastAsia" w:asciiTheme="minorEastAsia" w:hAnsiTheme="minorEastAsia"/>
                <w:bCs/>
                <w:szCs w:val="21"/>
              </w:rPr>
              <w:t>，包括连接点设计、钢筋碰触检查、预留预埋设计、管线集成、材料材质、关键性能指标、构件图表达。</w:t>
            </w:r>
          </w:p>
        </w:tc>
        <w:tc>
          <w:tcPr>
            <w:tcW w:w="763" w:type="dxa"/>
          </w:tcPr>
          <w:p w14:paraId="2FCA8206">
            <w:pPr>
              <w:ind w:firstLine="361"/>
              <w:rPr>
                <w:rFonts w:hint="eastAsia" w:asciiTheme="minorEastAsia" w:hAnsiTheme="minorEastAsia"/>
                <w:b/>
                <w:szCs w:val="21"/>
              </w:rPr>
            </w:pPr>
          </w:p>
          <w:p w14:paraId="7C175F86">
            <w:pPr>
              <w:ind w:firstLine="361"/>
              <w:rPr>
                <w:rFonts w:hint="eastAsia" w:asciiTheme="minorEastAsia" w:hAnsiTheme="minorEastAsia"/>
                <w:b/>
                <w:szCs w:val="21"/>
              </w:rPr>
            </w:pPr>
          </w:p>
          <w:p w14:paraId="6DC4A093">
            <w:pPr>
              <w:ind w:firstLine="361"/>
              <w:rPr>
                <w:rFonts w:hint="eastAsia" w:asciiTheme="minorEastAsia" w:hAnsiTheme="minorEastAsia"/>
                <w:b/>
                <w:szCs w:val="21"/>
              </w:rPr>
            </w:pPr>
          </w:p>
          <w:p w14:paraId="2714CBB0">
            <w:pPr>
              <w:ind w:firstLine="361"/>
              <w:rPr>
                <w:rFonts w:hint="eastAsia" w:asciiTheme="minorEastAsia" w:hAnsiTheme="minorEastAsia"/>
                <w:b/>
                <w:szCs w:val="21"/>
              </w:rPr>
            </w:pPr>
            <w:r>
              <w:rPr>
                <w:rFonts w:hint="eastAsia" w:asciiTheme="minorEastAsia" w:hAnsiTheme="minorEastAsia"/>
                <w:b/>
                <w:szCs w:val="21"/>
              </w:rPr>
              <w:t>4</w:t>
            </w:r>
          </w:p>
        </w:tc>
        <w:tc>
          <w:tcPr>
            <w:tcW w:w="789" w:type="dxa"/>
            <w:vMerge w:val="continue"/>
          </w:tcPr>
          <w:p w14:paraId="63D6DDF3">
            <w:pPr>
              <w:ind w:firstLine="361"/>
              <w:rPr>
                <w:rFonts w:hint="eastAsia" w:asciiTheme="minorEastAsia" w:hAnsiTheme="minorEastAsia"/>
                <w:b/>
                <w:szCs w:val="21"/>
              </w:rPr>
            </w:pPr>
          </w:p>
        </w:tc>
      </w:tr>
      <w:tr w14:paraId="3D18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continue"/>
          </w:tcPr>
          <w:p w14:paraId="2AE0E23E">
            <w:pPr>
              <w:ind w:firstLine="360"/>
              <w:rPr>
                <w:rFonts w:hint="eastAsia" w:asciiTheme="minorEastAsia" w:hAnsiTheme="minorEastAsia"/>
                <w:bCs/>
                <w:szCs w:val="21"/>
              </w:rPr>
            </w:pPr>
          </w:p>
        </w:tc>
        <w:tc>
          <w:tcPr>
            <w:tcW w:w="891" w:type="dxa"/>
            <w:vMerge w:val="continue"/>
          </w:tcPr>
          <w:p w14:paraId="10542EB5">
            <w:pPr>
              <w:ind w:firstLine="360"/>
              <w:rPr>
                <w:rFonts w:hint="eastAsia" w:asciiTheme="minorEastAsia" w:hAnsiTheme="minorEastAsia"/>
                <w:bCs/>
                <w:szCs w:val="21"/>
              </w:rPr>
            </w:pPr>
          </w:p>
        </w:tc>
        <w:tc>
          <w:tcPr>
            <w:tcW w:w="1626" w:type="dxa"/>
            <w:vMerge w:val="continue"/>
            <w:tcBorders>
              <w:left w:val="single" w:color="auto" w:sz="4" w:space="0"/>
            </w:tcBorders>
          </w:tcPr>
          <w:p w14:paraId="0890827D">
            <w:pPr>
              <w:ind w:firstLine="360"/>
              <w:rPr>
                <w:rFonts w:hint="eastAsia" w:asciiTheme="minorEastAsia" w:hAnsiTheme="minorEastAsia"/>
                <w:bCs/>
                <w:szCs w:val="21"/>
              </w:rPr>
            </w:pPr>
          </w:p>
        </w:tc>
        <w:tc>
          <w:tcPr>
            <w:tcW w:w="1237" w:type="dxa"/>
            <w:vMerge w:val="restart"/>
          </w:tcPr>
          <w:p w14:paraId="132AED8C">
            <w:pPr>
              <w:rPr>
                <w:rFonts w:hint="eastAsia" w:asciiTheme="minorEastAsia" w:hAnsiTheme="minorEastAsia"/>
                <w:bCs/>
                <w:szCs w:val="21"/>
              </w:rPr>
            </w:pPr>
          </w:p>
          <w:p w14:paraId="2AEAB9BF">
            <w:pPr>
              <w:rPr>
                <w:rFonts w:hint="eastAsia" w:asciiTheme="minorEastAsia" w:hAnsiTheme="minorEastAsia"/>
                <w:bCs/>
                <w:szCs w:val="21"/>
              </w:rPr>
            </w:pPr>
            <w:r>
              <w:rPr>
                <w:rFonts w:hint="eastAsia" w:asciiTheme="minorEastAsia" w:hAnsiTheme="minorEastAsia"/>
                <w:bCs/>
                <w:szCs w:val="21"/>
              </w:rPr>
              <w:t>生产阶段应用信息模型</w:t>
            </w:r>
          </w:p>
        </w:tc>
        <w:tc>
          <w:tcPr>
            <w:tcW w:w="2758" w:type="dxa"/>
          </w:tcPr>
          <w:p w14:paraId="09E4A10B">
            <w:pPr>
              <w:rPr>
                <w:rFonts w:hint="eastAsia" w:asciiTheme="minorEastAsia" w:hAnsiTheme="minorEastAsia"/>
                <w:bCs/>
                <w:szCs w:val="21"/>
              </w:rPr>
            </w:pPr>
            <w:r>
              <w:rPr>
                <w:rFonts w:hint="eastAsia" w:asciiTheme="minorEastAsia" w:hAnsiTheme="minorEastAsia"/>
                <w:bCs/>
                <w:szCs w:val="21"/>
              </w:rPr>
              <w:t>采用了工厂生产信息化管理系统，包括计划安排、人财物管理、构件生产流程管理、构件质量控制；</w:t>
            </w:r>
          </w:p>
        </w:tc>
        <w:tc>
          <w:tcPr>
            <w:tcW w:w="763" w:type="dxa"/>
          </w:tcPr>
          <w:p w14:paraId="2302CF81">
            <w:pPr>
              <w:ind w:firstLine="361"/>
              <w:rPr>
                <w:rFonts w:hint="eastAsia" w:asciiTheme="minorEastAsia" w:hAnsiTheme="minorEastAsia"/>
                <w:b/>
                <w:szCs w:val="21"/>
              </w:rPr>
            </w:pPr>
            <w:r>
              <w:rPr>
                <w:rFonts w:asciiTheme="minorEastAsia" w:hAnsiTheme="minorEastAsia"/>
                <w:b/>
                <w:szCs w:val="21"/>
              </w:rPr>
              <w:t>3</w:t>
            </w:r>
          </w:p>
        </w:tc>
        <w:tc>
          <w:tcPr>
            <w:tcW w:w="789" w:type="dxa"/>
            <w:vMerge w:val="continue"/>
          </w:tcPr>
          <w:p w14:paraId="3DDF5DA8">
            <w:pPr>
              <w:ind w:firstLine="361"/>
              <w:rPr>
                <w:rFonts w:hint="eastAsia" w:asciiTheme="minorEastAsia" w:hAnsiTheme="minorEastAsia"/>
                <w:b/>
                <w:szCs w:val="21"/>
              </w:rPr>
            </w:pPr>
          </w:p>
        </w:tc>
      </w:tr>
      <w:tr w14:paraId="273F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continue"/>
          </w:tcPr>
          <w:p w14:paraId="3D7C3B0B">
            <w:pPr>
              <w:ind w:firstLine="360"/>
              <w:rPr>
                <w:rFonts w:hint="eastAsia" w:asciiTheme="minorEastAsia" w:hAnsiTheme="minorEastAsia"/>
                <w:bCs/>
                <w:szCs w:val="21"/>
              </w:rPr>
            </w:pPr>
          </w:p>
        </w:tc>
        <w:tc>
          <w:tcPr>
            <w:tcW w:w="891" w:type="dxa"/>
            <w:vMerge w:val="continue"/>
          </w:tcPr>
          <w:p w14:paraId="61F1F7AD">
            <w:pPr>
              <w:ind w:firstLine="360"/>
              <w:rPr>
                <w:rFonts w:hint="eastAsia" w:asciiTheme="minorEastAsia" w:hAnsiTheme="minorEastAsia"/>
                <w:bCs/>
                <w:szCs w:val="21"/>
              </w:rPr>
            </w:pPr>
          </w:p>
        </w:tc>
        <w:tc>
          <w:tcPr>
            <w:tcW w:w="1626" w:type="dxa"/>
            <w:vMerge w:val="continue"/>
            <w:tcBorders>
              <w:left w:val="single" w:color="auto" w:sz="4" w:space="0"/>
            </w:tcBorders>
          </w:tcPr>
          <w:p w14:paraId="1AB78A28">
            <w:pPr>
              <w:ind w:firstLine="360"/>
              <w:rPr>
                <w:rFonts w:hint="eastAsia" w:asciiTheme="minorEastAsia" w:hAnsiTheme="minorEastAsia"/>
                <w:bCs/>
                <w:szCs w:val="21"/>
              </w:rPr>
            </w:pPr>
          </w:p>
        </w:tc>
        <w:tc>
          <w:tcPr>
            <w:tcW w:w="1237" w:type="dxa"/>
            <w:vMerge w:val="continue"/>
          </w:tcPr>
          <w:p w14:paraId="0E3BE000">
            <w:pPr>
              <w:ind w:firstLine="360"/>
              <w:rPr>
                <w:rFonts w:hint="eastAsia" w:asciiTheme="minorEastAsia" w:hAnsiTheme="minorEastAsia"/>
                <w:bCs/>
                <w:szCs w:val="21"/>
              </w:rPr>
            </w:pPr>
          </w:p>
        </w:tc>
        <w:tc>
          <w:tcPr>
            <w:tcW w:w="2758" w:type="dxa"/>
          </w:tcPr>
          <w:p w14:paraId="2A0D0DB5">
            <w:pPr>
              <w:ind w:firstLine="360"/>
              <w:rPr>
                <w:rFonts w:hint="eastAsia" w:asciiTheme="minorEastAsia" w:hAnsiTheme="minorEastAsia"/>
                <w:bCs/>
                <w:szCs w:val="21"/>
              </w:rPr>
            </w:pPr>
            <w:r>
              <w:rPr>
                <w:rFonts w:hint="eastAsia" w:asciiTheme="minorEastAsia" w:hAnsiTheme="minorEastAsia"/>
                <w:bCs/>
                <w:szCs w:val="21"/>
              </w:rPr>
              <w:t>建立了构件生产信息数据库，每个构件有唯一身份标识，用于记录构件生产关键信息，追溯、管理构件生产质量、进度。</w:t>
            </w:r>
          </w:p>
        </w:tc>
        <w:tc>
          <w:tcPr>
            <w:tcW w:w="763" w:type="dxa"/>
          </w:tcPr>
          <w:p w14:paraId="51D3AAF3">
            <w:pPr>
              <w:ind w:firstLine="361"/>
              <w:rPr>
                <w:rFonts w:hint="eastAsia" w:asciiTheme="minorEastAsia" w:hAnsiTheme="minorEastAsia"/>
                <w:b/>
                <w:szCs w:val="21"/>
              </w:rPr>
            </w:pPr>
            <w:r>
              <w:rPr>
                <w:rFonts w:asciiTheme="minorEastAsia" w:hAnsiTheme="minorEastAsia"/>
                <w:b/>
                <w:szCs w:val="21"/>
              </w:rPr>
              <w:t>3</w:t>
            </w:r>
          </w:p>
        </w:tc>
        <w:tc>
          <w:tcPr>
            <w:tcW w:w="789" w:type="dxa"/>
            <w:vMerge w:val="continue"/>
          </w:tcPr>
          <w:p w14:paraId="40521015">
            <w:pPr>
              <w:ind w:firstLine="361"/>
              <w:rPr>
                <w:rFonts w:hint="eastAsia" w:asciiTheme="minorEastAsia" w:hAnsiTheme="minorEastAsia"/>
                <w:b/>
                <w:szCs w:val="21"/>
              </w:rPr>
            </w:pPr>
          </w:p>
        </w:tc>
      </w:tr>
      <w:tr w14:paraId="72C8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continue"/>
          </w:tcPr>
          <w:p w14:paraId="55B683E3">
            <w:pPr>
              <w:ind w:firstLine="360"/>
              <w:rPr>
                <w:rFonts w:hint="eastAsia" w:asciiTheme="minorEastAsia" w:hAnsiTheme="minorEastAsia"/>
                <w:bCs/>
                <w:szCs w:val="21"/>
              </w:rPr>
            </w:pPr>
          </w:p>
        </w:tc>
        <w:tc>
          <w:tcPr>
            <w:tcW w:w="891" w:type="dxa"/>
            <w:vMerge w:val="continue"/>
          </w:tcPr>
          <w:p w14:paraId="55EE7527">
            <w:pPr>
              <w:ind w:firstLine="360"/>
              <w:rPr>
                <w:rFonts w:hint="eastAsia" w:asciiTheme="minorEastAsia" w:hAnsiTheme="minorEastAsia"/>
                <w:bCs/>
                <w:szCs w:val="21"/>
              </w:rPr>
            </w:pPr>
          </w:p>
        </w:tc>
        <w:tc>
          <w:tcPr>
            <w:tcW w:w="1626" w:type="dxa"/>
            <w:vMerge w:val="continue"/>
            <w:tcBorders>
              <w:left w:val="single" w:color="auto" w:sz="4" w:space="0"/>
            </w:tcBorders>
          </w:tcPr>
          <w:p w14:paraId="38114344">
            <w:pPr>
              <w:ind w:firstLine="360"/>
              <w:rPr>
                <w:rFonts w:hint="eastAsia" w:asciiTheme="minorEastAsia" w:hAnsiTheme="minorEastAsia"/>
                <w:bCs/>
                <w:szCs w:val="21"/>
              </w:rPr>
            </w:pPr>
          </w:p>
        </w:tc>
        <w:tc>
          <w:tcPr>
            <w:tcW w:w="1237" w:type="dxa"/>
            <w:vMerge w:val="restart"/>
          </w:tcPr>
          <w:p w14:paraId="419DD1EC">
            <w:pPr>
              <w:ind w:firstLine="360"/>
              <w:rPr>
                <w:rFonts w:hint="eastAsia" w:asciiTheme="minorEastAsia" w:hAnsiTheme="minorEastAsia"/>
                <w:bCs/>
                <w:szCs w:val="21"/>
              </w:rPr>
            </w:pPr>
          </w:p>
          <w:p w14:paraId="55303295">
            <w:pPr>
              <w:ind w:firstLine="360"/>
              <w:rPr>
                <w:rFonts w:hint="eastAsia" w:asciiTheme="minorEastAsia" w:hAnsiTheme="minorEastAsia"/>
                <w:bCs/>
                <w:szCs w:val="21"/>
              </w:rPr>
            </w:pPr>
          </w:p>
          <w:p w14:paraId="094E6957">
            <w:pPr>
              <w:ind w:firstLine="360"/>
              <w:rPr>
                <w:rFonts w:hint="eastAsia" w:asciiTheme="minorEastAsia" w:hAnsiTheme="minorEastAsia"/>
                <w:bCs/>
                <w:szCs w:val="21"/>
              </w:rPr>
            </w:pPr>
            <w:r>
              <w:rPr>
                <w:rFonts w:hint="eastAsia" w:asciiTheme="minorEastAsia" w:hAnsiTheme="minorEastAsia"/>
                <w:bCs/>
                <w:szCs w:val="21"/>
              </w:rPr>
              <w:t>施工阶段应用信息模型</w:t>
            </w:r>
          </w:p>
        </w:tc>
        <w:tc>
          <w:tcPr>
            <w:tcW w:w="2758" w:type="dxa"/>
          </w:tcPr>
          <w:p w14:paraId="202BD5B8">
            <w:pPr>
              <w:ind w:firstLine="360"/>
              <w:rPr>
                <w:rFonts w:hint="eastAsia" w:asciiTheme="minorEastAsia" w:hAnsiTheme="minorEastAsia"/>
                <w:bCs/>
                <w:szCs w:val="21"/>
              </w:rPr>
            </w:pPr>
            <w:r>
              <w:rPr>
                <w:rFonts w:hint="eastAsia" w:asciiTheme="minorEastAsia" w:hAnsiTheme="minorEastAsia"/>
                <w:bCs/>
                <w:szCs w:val="21"/>
              </w:rPr>
              <w:t>建立施工过程信息模型，将深化设计模型与施工进度、成本管理、材料采购、室内装修、质量管控等信息关联整合、协同工作；</w:t>
            </w:r>
          </w:p>
        </w:tc>
        <w:tc>
          <w:tcPr>
            <w:tcW w:w="763" w:type="dxa"/>
          </w:tcPr>
          <w:p w14:paraId="4CB2C6A4">
            <w:pPr>
              <w:ind w:firstLine="361"/>
              <w:rPr>
                <w:rFonts w:hint="eastAsia" w:asciiTheme="minorEastAsia" w:hAnsiTheme="minorEastAsia"/>
                <w:b/>
                <w:szCs w:val="21"/>
              </w:rPr>
            </w:pPr>
            <w:r>
              <w:rPr>
                <w:rFonts w:asciiTheme="minorEastAsia" w:hAnsiTheme="minorEastAsia"/>
                <w:b/>
                <w:szCs w:val="21"/>
              </w:rPr>
              <w:t>3</w:t>
            </w:r>
          </w:p>
        </w:tc>
        <w:tc>
          <w:tcPr>
            <w:tcW w:w="789" w:type="dxa"/>
            <w:vMerge w:val="continue"/>
          </w:tcPr>
          <w:p w14:paraId="017B5068">
            <w:pPr>
              <w:ind w:firstLine="361"/>
              <w:rPr>
                <w:rFonts w:hint="eastAsia" w:asciiTheme="minorEastAsia" w:hAnsiTheme="minorEastAsia"/>
                <w:b/>
                <w:szCs w:val="21"/>
              </w:rPr>
            </w:pPr>
          </w:p>
        </w:tc>
      </w:tr>
      <w:tr w14:paraId="69BF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continue"/>
          </w:tcPr>
          <w:p w14:paraId="0B9384F6">
            <w:pPr>
              <w:ind w:firstLine="360"/>
              <w:rPr>
                <w:rFonts w:hint="eastAsia" w:asciiTheme="minorEastAsia" w:hAnsiTheme="minorEastAsia"/>
                <w:bCs/>
                <w:szCs w:val="21"/>
              </w:rPr>
            </w:pPr>
          </w:p>
        </w:tc>
        <w:tc>
          <w:tcPr>
            <w:tcW w:w="891" w:type="dxa"/>
            <w:vMerge w:val="continue"/>
          </w:tcPr>
          <w:p w14:paraId="35609A6C">
            <w:pPr>
              <w:ind w:firstLine="360"/>
              <w:rPr>
                <w:rFonts w:hint="eastAsia" w:asciiTheme="minorEastAsia" w:hAnsiTheme="minorEastAsia"/>
                <w:bCs/>
                <w:szCs w:val="21"/>
              </w:rPr>
            </w:pPr>
          </w:p>
        </w:tc>
        <w:tc>
          <w:tcPr>
            <w:tcW w:w="1626" w:type="dxa"/>
            <w:vMerge w:val="continue"/>
            <w:tcBorders>
              <w:left w:val="single" w:color="auto" w:sz="4" w:space="0"/>
            </w:tcBorders>
          </w:tcPr>
          <w:p w14:paraId="5610FEE5">
            <w:pPr>
              <w:ind w:firstLine="360"/>
              <w:rPr>
                <w:rFonts w:hint="eastAsia" w:asciiTheme="minorEastAsia" w:hAnsiTheme="minorEastAsia"/>
                <w:bCs/>
                <w:szCs w:val="21"/>
              </w:rPr>
            </w:pPr>
          </w:p>
        </w:tc>
        <w:tc>
          <w:tcPr>
            <w:tcW w:w="1237" w:type="dxa"/>
            <w:vMerge w:val="continue"/>
          </w:tcPr>
          <w:p w14:paraId="650F72FA">
            <w:pPr>
              <w:ind w:firstLine="360"/>
              <w:rPr>
                <w:rFonts w:hint="eastAsia" w:asciiTheme="minorEastAsia" w:hAnsiTheme="minorEastAsia"/>
                <w:bCs/>
                <w:szCs w:val="21"/>
              </w:rPr>
            </w:pPr>
          </w:p>
        </w:tc>
        <w:tc>
          <w:tcPr>
            <w:tcW w:w="2758" w:type="dxa"/>
          </w:tcPr>
          <w:p w14:paraId="1CBACE38">
            <w:pPr>
              <w:ind w:firstLine="360"/>
              <w:rPr>
                <w:rFonts w:hint="eastAsia" w:asciiTheme="minorEastAsia" w:hAnsiTheme="minorEastAsia"/>
                <w:bCs/>
                <w:szCs w:val="21"/>
              </w:rPr>
            </w:pPr>
            <w:r>
              <w:rPr>
                <w:rFonts w:hint="eastAsia" w:asciiTheme="minorEastAsia" w:hAnsiTheme="minorEastAsia"/>
                <w:bCs/>
                <w:szCs w:val="21"/>
              </w:rPr>
              <w:t>建立竣工验收信息模型，项目竣工信息资料完整、可追溯；</w:t>
            </w:r>
          </w:p>
        </w:tc>
        <w:tc>
          <w:tcPr>
            <w:tcW w:w="763" w:type="dxa"/>
          </w:tcPr>
          <w:p w14:paraId="4585F550">
            <w:pPr>
              <w:ind w:firstLine="361"/>
              <w:rPr>
                <w:rFonts w:hint="eastAsia" w:asciiTheme="minorEastAsia" w:hAnsiTheme="minorEastAsia"/>
                <w:b/>
                <w:szCs w:val="21"/>
              </w:rPr>
            </w:pPr>
            <w:r>
              <w:rPr>
                <w:rFonts w:asciiTheme="minorEastAsia" w:hAnsiTheme="minorEastAsia"/>
                <w:b/>
                <w:szCs w:val="21"/>
              </w:rPr>
              <w:t>3</w:t>
            </w:r>
          </w:p>
        </w:tc>
        <w:tc>
          <w:tcPr>
            <w:tcW w:w="789" w:type="dxa"/>
            <w:vMerge w:val="continue"/>
          </w:tcPr>
          <w:p w14:paraId="3F20D607">
            <w:pPr>
              <w:ind w:firstLine="361"/>
              <w:rPr>
                <w:rFonts w:hint="eastAsia" w:asciiTheme="minorEastAsia" w:hAnsiTheme="minorEastAsia"/>
                <w:b/>
                <w:szCs w:val="21"/>
              </w:rPr>
            </w:pPr>
          </w:p>
        </w:tc>
      </w:tr>
      <w:tr w14:paraId="6C75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continue"/>
          </w:tcPr>
          <w:p w14:paraId="797C44FA">
            <w:pPr>
              <w:ind w:firstLine="360"/>
              <w:rPr>
                <w:rFonts w:hint="eastAsia" w:asciiTheme="minorEastAsia" w:hAnsiTheme="minorEastAsia"/>
                <w:bCs/>
                <w:szCs w:val="21"/>
              </w:rPr>
            </w:pPr>
          </w:p>
        </w:tc>
        <w:tc>
          <w:tcPr>
            <w:tcW w:w="891" w:type="dxa"/>
            <w:vMerge w:val="continue"/>
          </w:tcPr>
          <w:p w14:paraId="2F6F160B">
            <w:pPr>
              <w:ind w:firstLine="360"/>
              <w:rPr>
                <w:rFonts w:hint="eastAsia" w:asciiTheme="minorEastAsia" w:hAnsiTheme="minorEastAsia"/>
                <w:bCs/>
                <w:szCs w:val="21"/>
              </w:rPr>
            </w:pPr>
          </w:p>
        </w:tc>
        <w:tc>
          <w:tcPr>
            <w:tcW w:w="1626" w:type="dxa"/>
            <w:vMerge w:val="continue"/>
            <w:tcBorders>
              <w:left w:val="single" w:color="auto" w:sz="4" w:space="0"/>
              <w:bottom w:val="single" w:color="auto" w:sz="4" w:space="0"/>
            </w:tcBorders>
          </w:tcPr>
          <w:p w14:paraId="53AD7B23">
            <w:pPr>
              <w:ind w:firstLine="360"/>
              <w:rPr>
                <w:rFonts w:hint="eastAsia" w:asciiTheme="minorEastAsia" w:hAnsiTheme="minorEastAsia"/>
                <w:bCs/>
                <w:szCs w:val="21"/>
              </w:rPr>
            </w:pPr>
          </w:p>
        </w:tc>
        <w:tc>
          <w:tcPr>
            <w:tcW w:w="1237" w:type="dxa"/>
          </w:tcPr>
          <w:p w14:paraId="4159D112">
            <w:pPr>
              <w:ind w:firstLine="360"/>
              <w:rPr>
                <w:rFonts w:hint="eastAsia" w:asciiTheme="minorEastAsia" w:hAnsiTheme="minorEastAsia"/>
                <w:bCs/>
                <w:szCs w:val="21"/>
              </w:rPr>
            </w:pPr>
            <w:r>
              <w:rPr>
                <w:rFonts w:asciiTheme="minorEastAsia" w:hAnsiTheme="minorEastAsia"/>
                <w:bCs/>
                <w:szCs w:val="21"/>
              </w:rPr>
              <w:t>BIM</w:t>
            </w:r>
            <w:r>
              <w:rPr>
                <w:rFonts w:hint="eastAsia" w:asciiTheme="minorEastAsia" w:hAnsiTheme="minorEastAsia"/>
                <w:bCs/>
                <w:szCs w:val="21"/>
              </w:rPr>
              <w:t>应用满足运营、维护阶段要求</w:t>
            </w:r>
          </w:p>
        </w:tc>
        <w:tc>
          <w:tcPr>
            <w:tcW w:w="2758" w:type="dxa"/>
          </w:tcPr>
          <w:p w14:paraId="2DB673D6">
            <w:pPr>
              <w:ind w:firstLine="360"/>
              <w:rPr>
                <w:rFonts w:hint="eastAsia" w:asciiTheme="minorEastAsia" w:hAnsiTheme="minorEastAsia"/>
                <w:bCs/>
                <w:szCs w:val="21"/>
              </w:rPr>
            </w:pPr>
            <w:r>
              <w:rPr>
                <w:rFonts w:hint="eastAsia" w:asciiTheme="minorEastAsia" w:hAnsiTheme="minorEastAsia"/>
                <w:bCs/>
                <w:szCs w:val="21"/>
              </w:rPr>
              <w:t>在项目竣工验收时，提供的</w:t>
            </w:r>
            <w:r>
              <w:rPr>
                <w:rFonts w:asciiTheme="minorEastAsia" w:hAnsiTheme="minorEastAsia"/>
                <w:bCs/>
                <w:szCs w:val="21"/>
              </w:rPr>
              <w:t>BIM</w:t>
            </w:r>
            <w:r>
              <w:rPr>
                <w:rFonts w:hint="eastAsia" w:asciiTheme="minorEastAsia" w:hAnsiTheme="minorEastAsia"/>
                <w:bCs/>
                <w:szCs w:val="21"/>
              </w:rPr>
              <w:t>资料可满足使用方在运营、维护阶段的主要需求，该评价项得</w:t>
            </w:r>
            <w:r>
              <w:rPr>
                <w:rFonts w:asciiTheme="minorEastAsia" w:hAnsiTheme="minorEastAsia"/>
                <w:bCs/>
                <w:szCs w:val="21"/>
              </w:rPr>
              <w:t>2</w:t>
            </w:r>
            <w:r>
              <w:rPr>
                <w:rFonts w:hint="eastAsia" w:asciiTheme="minorEastAsia" w:hAnsiTheme="minorEastAsia"/>
                <w:bCs/>
                <w:szCs w:val="21"/>
              </w:rPr>
              <w:t>分。</w:t>
            </w:r>
          </w:p>
        </w:tc>
        <w:tc>
          <w:tcPr>
            <w:tcW w:w="763" w:type="dxa"/>
          </w:tcPr>
          <w:p w14:paraId="0D2B9865">
            <w:pPr>
              <w:ind w:firstLine="361"/>
              <w:rPr>
                <w:rFonts w:hint="eastAsia" w:asciiTheme="minorEastAsia" w:hAnsiTheme="minorEastAsia"/>
                <w:b/>
                <w:szCs w:val="21"/>
              </w:rPr>
            </w:pPr>
          </w:p>
          <w:p w14:paraId="2FEC5F00">
            <w:pPr>
              <w:ind w:firstLine="361"/>
              <w:rPr>
                <w:rFonts w:hint="eastAsia" w:asciiTheme="minorEastAsia" w:hAnsiTheme="minorEastAsia"/>
                <w:b/>
                <w:szCs w:val="21"/>
              </w:rPr>
            </w:pPr>
          </w:p>
          <w:p w14:paraId="4B86997B">
            <w:pPr>
              <w:ind w:firstLine="361"/>
              <w:rPr>
                <w:rFonts w:hint="eastAsia" w:asciiTheme="minorEastAsia" w:hAnsiTheme="minorEastAsia"/>
                <w:b/>
                <w:szCs w:val="21"/>
              </w:rPr>
            </w:pPr>
            <w:r>
              <w:rPr>
                <w:rFonts w:asciiTheme="minorEastAsia" w:hAnsiTheme="minorEastAsia"/>
                <w:b/>
                <w:szCs w:val="21"/>
              </w:rPr>
              <w:t>2</w:t>
            </w:r>
          </w:p>
        </w:tc>
        <w:tc>
          <w:tcPr>
            <w:tcW w:w="789" w:type="dxa"/>
            <w:vMerge w:val="continue"/>
          </w:tcPr>
          <w:p w14:paraId="05BADB21">
            <w:pPr>
              <w:ind w:firstLine="361"/>
              <w:rPr>
                <w:rFonts w:hint="eastAsia" w:asciiTheme="minorEastAsia" w:hAnsiTheme="minorEastAsia"/>
                <w:b/>
                <w:szCs w:val="21"/>
              </w:rPr>
            </w:pPr>
          </w:p>
        </w:tc>
      </w:tr>
      <w:tr w14:paraId="6CC1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continue"/>
          </w:tcPr>
          <w:p w14:paraId="67452C95">
            <w:pPr>
              <w:ind w:firstLine="361"/>
              <w:rPr>
                <w:rFonts w:hint="eastAsia" w:asciiTheme="minorEastAsia" w:hAnsiTheme="minorEastAsia"/>
                <w:b/>
                <w:szCs w:val="21"/>
              </w:rPr>
            </w:pPr>
          </w:p>
        </w:tc>
        <w:tc>
          <w:tcPr>
            <w:tcW w:w="891" w:type="dxa"/>
          </w:tcPr>
          <w:p w14:paraId="63CC38CD">
            <w:pPr>
              <w:ind w:firstLine="161"/>
              <w:rPr>
                <w:rFonts w:hint="eastAsia" w:asciiTheme="minorEastAsia" w:hAnsiTheme="minorEastAsia"/>
                <w:bCs/>
                <w:szCs w:val="21"/>
              </w:rPr>
            </w:pPr>
            <w:r>
              <w:rPr>
                <w:rFonts w:asciiTheme="minorEastAsia" w:hAnsiTheme="minorEastAsia"/>
                <w:bCs/>
                <w:szCs w:val="21"/>
              </w:rPr>
              <w:t>Q5b</w:t>
            </w:r>
          </w:p>
        </w:tc>
        <w:tc>
          <w:tcPr>
            <w:tcW w:w="1626" w:type="dxa"/>
            <w:tcBorders>
              <w:top w:val="single" w:color="auto" w:sz="4" w:space="0"/>
              <w:left w:val="single" w:color="auto" w:sz="4" w:space="0"/>
              <w:bottom w:val="single" w:color="auto" w:sz="4" w:space="0"/>
            </w:tcBorders>
          </w:tcPr>
          <w:p w14:paraId="5E9B7EF1">
            <w:pPr>
              <w:widowControl/>
              <w:ind w:firstLine="360"/>
              <w:rPr>
                <w:rFonts w:hint="eastAsia" w:cs="宋体" w:asciiTheme="minorEastAsia" w:hAnsiTheme="minorEastAsia"/>
                <w:bCs/>
                <w:color w:val="000000"/>
                <w:kern w:val="0"/>
                <w:szCs w:val="21"/>
              </w:rPr>
            </w:pPr>
            <w:r>
              <w:rPr>
                <w:rFonts w:hint="eastAsia" w:asciiTheme="minorEastAsia" w:hAnsiTheme="minorEastAsia"/>
                <w:bCs/>
                <w:color w:val="000000"/>
                <w:szCs w:val="21"/>
              </w:rPr>
              <w:t>智能建造</w:t>
            </w:r>
          </w:p>
        </w:tc>
        <w:tc>
          <w:tcPr>
            <w:tcW w:w="3995" w:type="dxa"/>
            <w:gridSpan w:val="2"/>
          </w:tcPr>
          <w:p w14:paraId="0E61D598">
            <w:pPr>
              <w:ind w:firstLine="360"/>
              <w:jc w:val="center"/>
              <w:rPr>
                <w:rFonts w:hint="eastAsia" w:asciiTheme="minorEastAsia" w:hAnsiTheme="minorEastAsia"/>
                <w:bCs/>
                <w:szCs w:val="21"/>
              </w:rPr>
            </w:pPr>
            <w:r>
              <w:rPr>
                <w:rFonts w:asciiTheme="minorEastAsia" w:hAnsiTheme="minorEastAsia"/>
                <w:bCs/>
                <w:szCs w:val="21"/>
              </w:rPr>
              <w:t>-</w:t>
            </w:r>
          </w:p>
        </w:tc>
        <w:tc>
          <w:tcPr>
            <w:tcW w:w="763" w:type="dxa"/>
          </w:tcPr>
          <w:p w14:paraId="5A4BED3A">
            <w:pPr>
              <w:ind w:firstLine="360"/>
              <w:rPr>
                <w:rFonts w:hint="eastAsia" w:asciiTheme="minorEastAsia" w:hAnsiTheme="minorEastAsia"/>
                <w:bCs/>
                <w:szCs w:val="21"/>
              </w:rPr>
            </w:pPr>
            <w:r>
              <w:rPr>
                <w:rFonts w:asciiTheme="minorEastAsia" w:hAnsiTheme="minorEastAsia"/>
                <w:bCs/>
                <w:szCs w:val="21"/>
              </w:rPr>
              <w:t>4</w:t>
            </w:r>
          </w:p>
        </w:tc>
        <w:tc>
          <w:tcPr>
            <w:tcW w:w="789" w:type="dxa"/>
            <w:vMerge w:val="continue"/>
          </w:tcPr>
          <w:p w14:paraId="2DD8AF13">
            <w:pPr>
              <w:ind w:firstLine="361"/>
              <w:rPr>
                <w:rFonts w:hint="eastAsia" w:asciiTheme="minorEastAsia" w:hAnsiTheme="minorEastAsia"/>
                <w:b/>
                <w:szCs w:val="21"/>
              </w:rPr>
            </w:pPr>
          </w:p>
        </w:tc>
      </w:tr>
      <w:tr w14:paraId="4BE1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restart"/>
          </w:tcPr>
          <w:p w14:paraId="67819799">
            <w:pPr>
              <w:ind w:firstLine="360"/>
              <w:rPr>
                <w:rFonts w:hint="eastAsia" w:asciiTheme="minorEastAsia" w:hAnsiTheme="minorEastAsia"/>
                <w:bCs/>
                <w:szCs w:val="21"/>
              </w:rPr>
            </w:pPr>
          </w:p>
          <w:p w14:paraId="397B0F38">
            <w:pPr>
              <w:ind w:firstLine="360"/>
              <w:rPr>
                <w:rFonts w:hint="eastAsia" w:asciiTheme="minorEastAsia" w:hAnsiTheme="minorEastAsia"/>
                <w:bCs/>
                <w:szCs w:val="21"/>
              </w:rPr>
            </w:pPr>
          </w:p>
          <w:p w14:paraId="4CC2E586">
            <w:pPr>
              <w:ind w:firstLine="360"/>
              <w:rPr>
                <w:rFonts w:hint="eastAsia" w:asciiTheme="minorEastAsia" w:hAnsiTheme="minorEastAsia"/>
                <w:bCs/>
                <w:szCs w:val="21"/>
              </w:rPr>
            </w:pPr>
            <w:r>
              <w:rPr>
                <w:rFonts w:asciiTheme="minorEastAsia" w:hAnsiTheme="minorEastAsia"/>
                <w:bCs/>
                <w:szCs w:val="21"/>
              </w:rPr>
              <w:t>Q6</w:t>
            </w:r>
            <w:r>
              <w:rPr>
                <w:rFonts w:hint="eastAsia" w:asciiTheme="minorEastAsia" w:hAnsiTheme="minorEastAsia"/>
                <w:bCs/>
                <w:szCs w:val="21"/>
              </w:rPr>
              <w:t>：组织管理模式（5分）</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6BEC2583">
            <w:pPr>
              <w:ind w:firstLine="161"/>
              <w:rPr>
                <w:rFonts w:hint="eastAsia" w:asciiTheme="minorEastAsia" w:hAnsiTheme="minorEastAsia"/>
                <w:bCs/>
                <w:szCs w:val="21"/>
              </w:rPr>
            </w:pPr>
            <w:r>
              <w:rPr>
                <w:rFonts w:asciiTheme="minorEastAsia" w:hAnsiTheme="minorEastAsia"/>
                <w:bCs/>
                <w:color w:val="000000"/>
                <w:szCs w:val="21"/>
              </w:rPr>
              <w:t>Q</w:t>
            </w:r>
            <w:r>
              <w:rPr>
                <w:rFonts w:asciiTheme="minorEastAsia" w:hAnsiTheme="minorEastAsia"/>
                <w:bCs/>
                <w:color w:val="000000"/>
                <w:szCs w:val="21"/>
                <w:vertAlign w:val="subscript"/>
              </w:rPr>
              <w:t>6a</w:t>
            </w:r>
          </w:p>
        </w:tc>
        <w:tc>
          <w:tcPr>
            <w:tcW w:w="1626" w:type="dxa"/>
            <w:tcBorders>
              <w:top w:val="single" w:color="auto" w:sz="4" w:space="0"/>
              <w:left w:val="single" w:color="auto" w:sz="4" w:space="0"/>
              <w:bottom w:val="single" w:color="auto" w:sz="4" w:space="0"/>
              <w:right w:val="single" w:color="auto" w:sz="4" w:space="0"/>
            </w:tcBorders>
          </w:tcPr>
          <w:p w14:paraId="78BA94B3">
            <w:pPr>
              <w:rPr>
                <w:rFonts w:hint="eastAsia" w:asciiTheme="minorEastAsia" w:hAnsiTheme="minorEastAsia"/>
                <w:bCs/>
                <w:szCs w:val="21"/>
              </w:rPr>
            </w:pPr>
            <w:r>
              <w:rPr>
                <w:rFonts w:hint="eastAsia" w:asciiTheme="minorEastAsia" w:hAnsiTheme="minorEastAsia"/>
                <w:bCs/>
                <w:color w:val="000000"/>
                <w:szCs w:val="21"/>
              </w:rPr>
              <w:t>采用工程总承包</w:t>
            </w:r>
          </w:p>
        </w:tc>
        <w:tc>
          <w:tcPr>
            <w:tcW w:w="3995" w:type="dxa"/>
            <w:gridSpan w:val="2"/>
          </w:tcPr>
          <w:p w14:paraId="28E7912A">
            <w:pPr>
              <w:ind w:firstLine="360"/>
              <w:jc w:val="center"/>
              <w:rPr>
                <w:rFonts w:hint="eastAsia" w:asciiTheme="minorEastAsia" w:hAnsiTheme="minorEastAsia"/>
                <w:bCs/>
                <w:szCs w:val="21"/>
              </w:rPr>
            </w:pPr>
            <w:r>
              <w:rPr>
                <w:rFonts w:asciiTheme="minorEastAsia" w:hAnsiTheme="minorEastAsia"/>
                <w:bCs/>
                <w:szCs w:val="21"/>
              </w:rPr>
              <w:t>-</w:t>
            </w:r>
          </w:p>
        </w:tc>
        <w:tc>
          <w:tcPr>
            <w:tcW w:w="763" w:type="dxa"/>
          </w:tcPr>
          <w:p w14:paraId="56B8AEBB">
            <w:pPr>
              <w:rPr>
                <w:rFonts w:hint="eastAsia" w:asciiTheme="minorEastAsia" w:hAnsiTheme="minorEastAsia"/>
                <w:bCs/>
                <w:szCs w:val="21"/>
              </w:rPr>
            </w:pPr>
            <w:r>
              <w:rPr>
                <w:rFonts w:asciiTheme="minorEastAsia" w:hAnsiTheme="minorEastAsia"/>
                <w:bCs/>
                <w:szCs w:val="21"/>
              </w:rPr>
              <w:t>1.5</w:t>
            </w:r>
          </w:p>
        </w:tc>
        <w:tc>
          <w:tcPr>
            <w:tcW w:w="789" w:type="dxa"/>
            <w:vMerge w:val="restart"/>
          </w:tcPr>
          <w:p w14:paraId="061417CD">
            <w:pPr>
              <w:ind w:firstLine="361"/>
              <w:rPr>
                <w:rFonts w:hint="eastAsia" w:asciiTheme="minorEastAsia" w:hAnsiTheme="minorEastAsia"/>
                <w:b/>
                <w:szCs w:val="21"/>
              </w:rPr>
            </w:pPr>
            <w:r>
              <w:rPr>
                <w:rFonts w:asciiTheme="minorEastAsia" w:hAnsiTheme="minorEastAsia"/>
                <w:b/>
                <w:szCs w:val="21"/>
              </w:rPr>
              <w:t>-</w:t>
            </w:r>
          </w:p>
        </w:tc>
      </w:tr>
      <w:tr w14:paraId="0095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continue"/>
          </w:tcPr>
          <w:p w14:paraId="50647D85">
            <w:pPr>
              <w:ind w:firstLine="360"/>
              <w:rPr>
                <w:rFonts w:hint="eastAsia" w:asciiTheme="minorEastAsia" w:hAnsiTheme="minorEastAsia"/>
                <w:bCs/>
                <w:szCs w:val="21"/>
              </w:rPr>
            </w:pPr>
          </w:p>
        </w:tc>
        <w:tc>
          <w:tcPr>
            <w:tcW w:w="891" w:type="dxa"/>
            <w:tcBorders>
              <w:top w:val="nil"/>
              <w:left w:val="single" w:color="auto" w:sz="4" w:space="0"/>
              <w:bottom w:val="single" w:color="auto" w:sz="4" w:space="0"/>
              <w:right w:val="single" w:color="auto" w:sz="4" w:space="0"/>
            </w:tcBorders>
            <w:shd w:val="clear" w:color="auto" w:fill="auto"/>
            <w:vAlign w:val="center"/>
          </w:tcPr>
          <w:p w14:paraId="3A303C8C">
            <w:pPr>
              <w:ind w:firstLine="161"/>
              <w:rPr>
                <w:rFonts w:hint="eastAsia" w:asciiTheme="minorEastAsia" w:hAnsiTheme="minorEastAsia"/>
                <w:bCs/>
                <w:szCs w:val="21"/>
              </w:rPr>
            </w:pPr>
            <w:r>
              <w:rPr>
                <w:rFonts w:asciiTheme="minorEastAsia" w:hAnsiTheme="minorEastAsia"/>
                <w:bCs/>
                <w:color w:val="000000"/>
                <w:szCs w:val="21"/>
              </w:rPr>
              <w:t>Q</w:t>
            </w:r>
            <w:r>
              <w:rPr>
                <w:rFonts w:asciiTheme="minorEastAsia" w:hAnsiTheme="minorEastAsia"/>
                <w:bCs/>
                <w:color w:val="000000"/>
                <w:szCs w:val="21"/>
                <w:vertAlign w:val="subscript"/>
              </w:rPr>
              <w:t>6b</w:t>
            </w:r>
          </w:p>
        </w:tc>
        <w:tc>
          <w:tcPr>
            <w:tcW w:w="1626" w:type="dxa"/>
            <w:tcBorders>
              <w:top w:val="single" w:color="auto" w:sz="4" w:space="0"/>
              <w:left w:val="single" w:color="auto" w:sz="4" w:space="0"/>
              <w:bottom w:val="single" w:color="auto" w:sz="4" w:space="0"/>
              <w:right w:val="single" w:color="auto" w:sz="4" w:space="0"/>
            </w:tcBorders>
          </w:tcPr>
          <w:p w14:paraId="089C8CAA">
            <w:pPr>
              <w:rPr>
                <w:rFonts w:hint="eastAsia" w:asciiTheme="minorEastAsia" w:hAnsiTheme="minorEastAsia"/>
                <w:bCs/>
                <w:szCs w:val="21"/>
              </w:rPr>
            </w:pPr>
            <w:r>
              <w:rPr>
                <w:rFonts w:hint="eastAsia" w:asciiTheme="minorEastAsia" w:hAnsiTheme="minorEastAsia"/>
                <w:bCs/>
                <w:color w:val="000000"/>
                <w:szCs w:val="21"/>
              </w:rPr>
              <w:t>采用全过程工程咨询</w:t>
            </w:r>
          </w:p>
        </w:tc>
        <w:tc>
          <w:tcPr>
            <w:tcW w:w="3995" w:type="dxa"/>
            <w:gridSpan w:val="2"/>
          </w:tcPr>
          <w:p w14:paraId="78CD1033">
            <w:pPr>
              <w:ind w:firstLine="360"/>
              <w:jc w:val="center"/>
              <w:rPr>
                <w:rFonts w:hint="eastAsia" w:asciiTheme="minorEastAsia" w:hAnsiTheme="minorEastAsia"/>
                <w:bCs/>
                <w:szCs w:val="21"/>
              </w:rPr>
            </w:pPr>
            <w:r>
              <w:rPr>
                <w:rFonts w:asciiTheme="minorEastAsia" w:hAnsiTheme="minorEastAsia"/>
                <w:bCs/>
                <w:szCs w:val="21"/>
              </w:rPr>
              <w:t>-</w:t>
            </w:r>
          </w:p>
        </w:tc>
        <w:tc>
          <w:tcPr>
            <w:tcW w:w="763" w:type="dxa"/>
          </w:tcPr>
          <w:p w14:paraId="6DF36870">
            <w:pPr>
              <w:rPr>
                <w:rFonts w:hint="eastAsia" w:asciiTheme="minorEastAsia" w:hAnsiTheme="minorEastAsia"/>
                <w:bCs/>
                <w:szCs w:val="21"/>
              </w:rPr>
            </w:pPr>
            <w:r>
              <w:rPr>
                <w:rFonts w:asciiTheme="minorEastAsia" w:hAnsiTheme="minorEastAsia"/>
                <w:bCs/>
                <w:szCs w:val="21"/>
              </w:rPr>
              <w:t>1.5</w:t>
            </w:r>
          </w:p>
        </w:tc>
        <w:tc>
          <w:tcPr>
            <w:tcW w:w="789" w:type="dxa"/>
            <w:vMerge w:val="continue"/>
          </w:tcPr>
          <w:p w14:paraId="2DFA90E4">
            <w:pPr>
              <w:ind w:firstLine="361"/>
              <w:rPr>
                <w:rFonts w:hint="eastAsia" w:asciiTheme="minorEastAsia" w:hAnsiTheme="minorEastAsia"/>
                <w:b/>
                <w:szCs w:val="21"/>
              </w:rPr>
            </w:pPr>
          </w:p>
        </w:tc>
      </w:tr>
      <w:tr w14:paraId="052A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continue"/>
          </w:tcPr>
          <w:p w14:paraId="7AA783C2">
            <w:pPr>
              <w:ind w:firstLine="360"/>
              <w:rPr>
                <w:rFonts w:hint="eastAsia" w:asciiTheme="minorEastAsia" w:hAnsiTheme="minorEastAsia"/>
                <w:bCs/>
                <w:szCs w:val="21"/>
              </w:rPr>
            </w:pPr>
          </w:p>
        </w:tc>
        <w:tc>
          <w:tcPr>
            <w:tcW w:w="891" w:type="dxa"/>
            <w:tcBorders>
              <w:top w:val="nil"/>
              <w:left w:val="single" w:color="auto" w:sz="4" w:space="0"/>
              <w:bottom w:val="single" w:color="auto" w:sz="4" w:space="0"/>
              <w:right w:val="single" w:color="auto" w:sz="4" w:space="0"/>
            </w:tcBorders>
            <w:shd w:val="clear" w:color="auto" w:fill="auto"/>
            <w:vAlign w:val="center"/>
          </w:tcPr>
          <w:p w14:paraId="077699F3">
            <w:pPr>
              <w:ind w:firstLine="161"/>
              <w:rPr>
                <w:rFonts w:hint="eastAsia" w:asciiTheme="minorEastAsia" w:hAnsiTheme="minorEastAsia"/>
                <w:bCs/>
                <w:szCs w:val="21"/>
              </w:rPr>
            </w:pPr>
            <w:r>
              <w:rPr>
                <w:rFonts w:asciiTheme="minorEastAsia" w:hAnsiTheme="minorEastAsia"/>
                <w:bCs/>
                <w:color w:val="000000"/>
                <w:szCs w:val="21"/>
              </w:rPr>
              <w:t>Q</w:t>
            </w:r>
            <w:r>
              <w:rPr>
                <w:rFonts w:asciiTheme="minorEastAsia" w:hAnsiTheme="minorEastAsia"/>
                <w:bCs/>
                <w:color w:val="000000"/>
                <w:szCs w:val="21"/>
                <w:vertAlign w:val="subscript"/>
              </w:rPr>
              <w:t>6</w:t>
            </w:r>
            <w:r>
              <w:rPr>
                <w:rFonts w:hint="eastAsia" w:asciiTheme="minorEastAsia" w:hAnsiTheme="minorEastAsia"/>
                <w:bCs/>
                <w:color w:val="000000"/>
                <w:szCs w:val="21"/>
                <w:vertAlign w:val="subscript"/>
              </w:rPr>
              <w:t>c</w:t>
            </w:r>
            <w:r>
              <w:rPr>
                <w:rFonts w:asciiTheme="minorEastAsia" w:hAnsiTheme="minorEastAsia"/>
                <w:bCs/>
                <w:color w:val="000000"/>
                <w:szCs w:val="21"/>
              </w:rPr>
              <w:t xml:space="preserve"> </w:t>
            </w:r>
            <w:r>
              <w:rPr>
                <w:rFonts w:hint="eastAsia" w:asciiTheme="minorEastAsia" w:hAnsiTheme="minorEastAsia"/>
                <w:bCs/>
                <w:color w:val="000000"/>
                <w:szCs w:val="21"/>
              </w:rPr>
              <w:t xml:space="preserve"> </w:t>
            </w:r>
          </w:p>
        </w:tc>
        <w:tc>
          <w:tcPr>
            <w:tcW w:w="1626" w:type="dxa"/>
            <w:tcBorders>
              <w:top w:val="single" w:color="auto" w:sz="4" w:space="0"/>
              <w:left w:val="single" w:color="auto" w:sz="4" w:space="0"/>
              <w:bottom w:val="single" w:color="auto" w:sz="4" w:space="0"/>
              <w:right w:val="single" w:color="auto" w:sz="4" w:space="0"/>
            </w:tcBorders>
          </w:tcPr>
          <w:p w14:paraId="5811EB68">
            <w:pPr>
              <w:rPr>
                <w:rFonts w:hint="eastAsia" w:asciiTheme="minorEastAsia" w:hAnsiTheme="minorEastAsia"/>
                <w:bCs/>
                <w:szCs w:val="21"/>
              </w:rPr>
            </w:pPr>
            <w:r>
              <w:rPr>
                <w:rFonts w:hint="eastAsia" w:asciiTheme="minorEastAsia" w:hAnsiTheme="minorEastAsia"/>
                <w:bCs/>
                <w:color w:val="000000"/>
                <w:szCs w:val="21"/>
              </w:rPr>
              <w:t>构件质量监督</w:t>
            </w:r>
          </w:p>
        </w:tc>
        <w:tc>
          <w:tcPr>
            <w:tcW w:w="3995" w:type="dxa"/>
            <w:gridSpan w:val="2"/>
          </w:tcPr>
          <w:p w14:paraId="4280CE9F">
            <w:pPr>
              <w:widowControl/>
              <w:ind w:firstLine="360"/>
              <w:rPr>
                <w:rFonts w:hint="eastAsia" w:cs="宋体" w:asciiTheme="minorEastAsia" w:hAnsiTheme="minorEastAsia"/>
                <w:bCs/>
                <w:color w:val="000000"/>
                <w:kern w:val="0"/>
                <w:szCs w:val="21"/>
              </w:rPr>
            </w:pPr>
            <w:r>
              <w:rPr>
                <w:rFonts w:hint="eastAsia" w:asciiTheme="minorEastAsia" w:hAnsiTheme="minorEastAsia"/>
                <w:bCs/>
                <w:color w:val="000000"/>
                <w:szCs w:val="21"/>
              </w:rPr>
              <w:t>构件生产厂建立了构件质量监督机制</w:t>
            </w:r>
          </w:p>
        </w:tc>
        <w:tc>
          <w:tcPr>
            <w:tcW w:w="763" w:type="dxa"/>
          </w:tcPr>
          <w:p w14:paraId="62837B6F">
            <w:pPr>
              <w:ind w:firstLine="360"/>
              <w:rPr>
                <w:rFonts w:hint="eastAsia" w:asciiTheme="minorEastAsia" w:hAnsiTheme="minorEastAsia"/>
                <w:bCs/>
                <w:szCs w:val="21"/>
              </w:rPr>
            </w:pPr>
            <w:r>
              <w:rPr>
                <w:rFonts w:asciiTheme="minorEastAsia" w:hAnsiTheme="minorEastAsia"/>
                <w:bCs/>
                <w:szCs w:val="21"/>
              </w:rPr>
              <w:t>1</w:t>
            </w:r>
          </w:p>
        </w:tc>
        <w:tc>
          <w:tcPr>
            <w:tcW w:w="789" w:type="dxa"/>
            <w:vMerge w:val="continue"/>
          </w:tcPr>
          <w:p w14:paraId="69232AB6">
            <w:pPr>
              <w:ind w:firstLine="361"/>
              <w:rPr>
                <w:rFonts w:hint="eastAsia" w:asciiTheme="minorEastAsia" w:hAnsiTheme="minorEastAsia"/>
                <w:b/>
                <w:szCs w:val="21"/>
              </w:rPr>
            </w:pPr>
          </w:p>
        </w:tc>
      </w:tr>
      <w:tr w14:paraId="2312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96" w:type="dxa"/>
            <w:vMerge w:val="continue"/>
          </w:tcPr>
          <w:p w14:paraId="49FEF782">
            <w:pPr>
              <w:ind w:firstLine="360"/>
              <w:rPr>
                <w:rFonts w:hint="eastAsia" w:asciiTheme="minorEastAsia" w:hAnsiTheme="minorEastAsia"/>
                <w:bCs/>
                <w:szCs w:val="21"/>
              </w:rPr>
            </w:pPr>
          </w:p>
        </w:tc>
        <w:tc>
          <w:tcPr>
            <w:tcW w:w="891" w:type="dxa"/>
            <w:tcBorders>
              <w:top w:val="nil"/>
              <w:left w:val="single" w:color="auto" w:sz="4" w:space="0"/>
              <w:bottom w:val="single" w:color="auto" w:sz="4" w:space="0"/>
              <w:right w:val="single" w:color="auto" w:sz="4" w:space="0"/>
            </w:tcBorders>
            <w:shd w:val="clear" w:color="auto" w:fill="auto"/>
            <w:vAlign w:val="center"/>
          </w:tcPr>
          <w:p w14:paraId="556A0234">
            <w:pPr>
              <w:ind w:firstLine="161"/>
              <w:rPr>
                <w:rFonts w:hint="eastAsia" w:asciiTheme="minorEastAsia" w:hAnsiTheme="minorEastAsia"/>
                <w:bCs/>
                <w:szCs w:val="21"/>
              </w:rPr>
            </w:pPr>
            <w:r>
              <w:rPr>
                <w:rFonts w:asciiTheme="minorEastAsia" w:hAnsiTheme="minorEastAsia"/>
                <w:bCs/>
                <w:color w:val="000000"/>
                <w:szCs w:val="21"/>
              </w:rPr>
              <w:t>Q</w:t>
            </w:r>
            <w:r>
              <w:rPr>
                <w:rFonts w:asciiTheme="minorEastAsia" w:hAnsiTheme="minorEastAsia"/>
                <w:bCs/>
                <w:color w:val="000000"/>
                <w:szCs w:val="21"/>
                <w:vertAlign w:val="subscript"/>
              </w:rPr>
              <w:t>6d</w:t>
            </w:r>
          </w:p>
        </w:tc>
        <w:tc>
          <w:tcPr>
            <w:tcW w:w="1626" w:type="dxa"/>
            <w:tcBorders>
              <w:top w:val="single" w:color="auto" w:sz="4" w:space="0"/>
              <w:left w:val="single" w:color="auto" w:sz="4" w:space="0"/>
              <w:bottom w:val="single" w:color="auto" w:sz="4" w:space="0"/>
              <w:right w:val="single" w:color="auto" w:sz="4" w:space="0"/>
            </w:tcBorders>
          </w:tcPr>
          <w:p w14:paraId="54C43173">
            <w:pPr>
              <w:rPr>
                <w:rFonts w:hint="eastAsia" w:asciiTheme="minorEastAsia" w:hAnsiTheme="minorEastAsia"/>
                <w:bCs/>
                <w:szCs w:val="21"/>
              </w:rPr>
            </w:pPr>
            <w:r>
              <w:rPr>
                <w:rFonts w:hint="eastAsia" w:asciiTheme="minorEastAsia" w:hAnsiTheme="minorEastAsia"/>
                <w:bCs/>
                <w:color w:val="000000"/>
                <w:szCs w:val="21"/>
              </w:rPr>
              <w:t>建筑师负责制</w:t>
            </w:r>
          </w:p>
        </w:tc>
        <w:tc>
          <w:tcPr>
            <w:tcW w:w="3995" w:type="dxa"/>
            <w:gridSpan w:val="2"/>
          </w:tcPr>
          <w:p w14:paraId="05A9DE6D">
            <w:pPr>
              <w:ind w:firstLine="360"/>
              <w:jc w:val="center"/>
              <w:rPr>
                <w:rFonts w:hint="eastAsia" w:asciiTheme="minorEastAsia" w:hAnsiTheme="minorEastAsia"/>
                <w:bCs/>
                <w:szCs w:val="21"/>
              </w:rPr>
            </w:pPr>
            <w:r>
              <w:rPr>
                <w:rFonts w:asciiTheme="minorEastAsia" w:hAnsiTheme="minorEastAsia"/>
                <w:bCs/>
                <w:szCs w:val="21"/>
              </w:rPr>
              <w:t>-</w:t>
            </w:r>
          </w:p>
        </w:tc>
        <w:tc>
          <w:tcPr>
            <w:tcW w:w="763" w:type="dxa"/>
          </w:tcPr>
          <w:p w14:paraId="60C6A050">
            <w:pPr>
              <w:ind w:firstLine="360"/>
              <w:rPr>
                <w:rFonts w:hint="eastAsia" w:asciiTheme="minorEastAsia" w:hAnsiTheme="minorEastAsia"/>
                <w:bCs/>
                <w:szCs w:val="21"/>
              </w:rPr>
            </w:pPr>
            <w:r>
              <w:rPr>
                <w:rFonts w:asciiTheme="minorEastAsia" w:hAnsiTheme="minorEastAsia"/>
                <w:bCs/>
                <w:szCs w:val="21"/>
              </w:rPr>
              <w:t>1</w:t>
            </w:r>
          </w:p>
        </w:tc>
        <w:tc>
          <w:tcPr>
            <w:tcW w:w="789" w:type="dxa"/>
            <w:vMerge w:val="continue"/>
          </w:tcPr>
          <w:p w14:paraId="3F00F70D">
            <w:pPr>
              <w:ind w:firstLine="361"/>
              <w:rPr>
                <w:rFonts w:hint="eastAsia" w:asciiTheme="minorEastAsia" w:hAnsiTheme="minorEastAsia"/>
                <w:b/>
                <w:szCs w:val="21"/>
              </w:rPr>
            </w:pPr>
          </w:p>
        </w:tc>
      </w:tr>
      <w:tr w14:paraId="060F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96" w:type="dxa"/>
            <w:vMerge w:val="restart"/>
          </w:tcPr>
          <w:p w14:paraId="78F6654A">
            <w:pPr>
              <w:ind w:firstLine="360"/>
              <w:rPr>
                <w:rFonts w:hint="eastAsia" w:asciiTheme="minorEastAsia" w:hAnsiTheme="minorEastAsia"/>
                <w:bCs/>
                <w:szCs w:val="21"/>
              </w:rPr>
            </w:pPr>
            <w:r>
              <w:rPr>
                <w:rFonts w:asciiTheme="minorEastAsia" w:hAnsiTheme="minorEastAsia"/>
                <w:bCs/>
                <w:szCs w:val="21"/>
              </w:rPr>
              <w:t>Q</w:t>
            </w:r>
            <w:r>
              <w:rPr>
                <w:rFonts w:hint="eastAsia" w:asciiTheme="minorEastAsia" w:hAnsiTheme="minorEastAsia"/>
                <w:bCs/>
                <w:szCs w:val="21"/>
              </w:rPr>
              <w:t>7：碳计算与绿色建筑（4分）</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1F98B4E8">
            <w:pPr>
              <w:ind w:firstLine="161"/>
              <w:rPr>
                <w:rFonts w:hint="eastAsia" w:asciiTheme="minorEastAsia" w:hAnsiTheme="minorEastAsia"/>
                <w:bCs/>
                <w:color w:val="000000"/>
                <w:szCs w:val="21"/>
              </w:rPr>
            </w:pPr>
            <w:r>
              <w:rPr>
                <w:rFonts w:asciiTheme="minorEastAsia" w:hAnsiTheme="minorEastAsia"/>
                <w:bCs/>
                <w:color w:val="000000"/>
                <w:szCs w:val="21"/>
              </w:rPr>
              <w:t>Q</w:t>
            </w:r>
            <w:r>
              <w:rPr>
                <w:rFonts w:hint="eastAsia" w:asciiTheme="minorEastAsia" w:hAnsiTheme="minorEastAsia"/>
                <w:bCs/>
                <w:color w:val="000000"/>
                <w:szCs w:val="21"/>
              </w:rPr>
              <w:t>7</w:t>
            </w:r>
            <w:r>
              <w:rPr>
                <w:rFonts w:asciiTheme="minorEastAsia" w:hAnsiTheme="minorEastAsia"/>
                <w:bCs/>
                <w:color w:val="000000"/>
                <w:szCs w:val="21"/>
                <w:vertAlign w:val="subscript"/>
              </w:rPr>
              <w:t>a</w:t>
            </w:r>
          </w:p>
        </w:tc>
        <w:tc>
          <w:tcPr>
            <w:tcW w:w="1626" w:type="dxa"/>
            <w:tcBorders>
              <w:top w:val="single" w:color="auto" w:sz="4" w:space="0"/>
              <w:left w:val="single" w:color="auto" w:sz="4" w:space="0"/>
              <w:bottom w:val="single" w:color="auto" w:sz="4" w:space="0"/>
              <w:right w:val="single" w:color="auto" w:sz="4" w:space="0"/>
            </w:tcBorders>
          </w:tcPr>
          <w:p w14:paraId="4060E6D9">
            <w:pPr>
              <w:rPr>
                <w:rFonts w:hint="eastAsia" w:asciiTheme="minorEastAsia" w:hAnsiTheme="minorEastAsia"/>
                <w:bCs/>
                <w:color w:val="000000"/>
                <w:szCs w:val="21"/>
              </w:rPr>
            </w:pPr>
            <w:r>
              <w:rPr>
                <w:rFonts w:hint="eastAsia" w:asciiTheme="minorEastAsia" w:hAnsiTheme="minorEastAsia"/>
                <w:bCs/>
                <w:color w:val="000000"/>
                <w:szCs w:val="21"/>
              </w:rPr>
              <w:t>碳计算</w:t>
            </w:r>
          </w:p>
        </w:tc>
        <w:tc>
          <w:tcPr>
            <w:tcW w:w="3995" w:type="dxa"/>
            <w:gridSpan w:val="2"/>
          </w:tcPr>
          <w:p w14:paraId="6084E002">
            <w:pPr>
              <w:ind w:firstLine="360"/>
              <w:jc w:val="center"/>
              <w:rPr>
                <w:rFonts w:hint="eastAsia" w:asciiTheme="minorEastAsia" w:hAnsiTheme="minorEastAsia"/>
                <w:bCs/>
                <w:szCs w:val="21"/>
              </w:rPr>
            </w:pPr>
            <w:r>
              <w:rPr>
                <w:rFonts w:hint="eastAsia" w:asciiTheme="minorEastAsia" w:hAnsiTheme="minorEastAsia"/>
                <w:bCs/>
                <w:szCs w:val="21"/>
              </w:rPr>
              <w:t>按照广东省《建筑碳排放计算导则（试行）》</w:t>
            </w:r>
          </w:p>
        </w:tc>
        <w:tc>
          <w:tcPr>
            <w:tcW w:w="763" w:type="dxa"/>
          </w:tcPr>
          <w:p w14:paraId="64928A03">
            <w:pPr>
              <w:ind w:firstLine="360"/>
              <w:rPr>
                <w:rFonts w:hint="eastAsia" w:asciiTheme="minorEastAsia" w:hAnsiTheme="minorEastAsia"/>
                <w:bCs/>
                <w:szCs w:val="21"/>
              </w:rPr>
            </w:pPr>
            <w:r>
              <w:rPr>
                <w:rFonts w:hint="eastAsia" w:asciiTheme="minorEastAsia" w:hAnsiTheme="minorEastAsia"/>
                <w:bCs/>
                <w:szCs w:val="21"/>
              </w:rPr>
              <w:t>2</w:t>
            </w:r>
          </w:p>
        </w:tc>
        <w:tc>
          <w:tcPr>
            <w:tcW w:w="789" w:type="dxa"/>
          </w:tcPr>
          <w:p w14:paraId="64C57466">
            <w:pPr>
              <w:ind w:firstLine="361"/>
              <w:rPr>
                <w:rFonts w:hint="eastAsia" w:asciiTheme="minorEastAsia" w:hAnsiTheme="minorEastAsia"/>
                <w:b/>
                <w:szCs w:val="21"/>
              </w:rPr>
            </w:pPr>
            <w:r>
              <w:rPr>
                <w:rFonts w:asciiTheme="minorEastAsia" w:hAnsiTheme="minorEastAsia"/>
                <w:b/>
                <w:szCs w:val="21"/>
              </w:rPr>
              <w:t>-</w:t>
            </w:r>
          </w:p>
        </w:tc>
      </w:tr>
      <w:tr w14:paraId="462D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96" w:type="dxa"/>
            <w:vMerge w:val="continue"/>
          </w:tcPr>
          <w:p w14:paraId="1738730B">
            <w:pPr>
              <w:ind w:firstLine="360"/>
              <w:rPr>
                <w:rFonts w:hint="eastAsia" w:asciiTheme="minorEastAsia" w:hAnsiTheme="minorEastAsia"/>
                <w:bCs/>
                <w:szCs w:val="21"/>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6BA23719">
            <w:pPr>
              <w:ind w:firstLine="161"/>
              <w:rPr>
                <w:rFonts w:hint="eastAsia" w:asciiTheme="minorEastAsia" w:hAnsiTheme="minorEastAsia"/>
                <w:bCs/>
                <w:color w:val="000000"/>
                <w:szCs w:val="21"/>
              </w:rPr>
            </w:pPr>
            <w:r>
              <w:rPr>
                <w:rFonts w:asciiTheme="minorEastAsia" w:hAnsiTheme="minorEastAsia"/>
                <w:bCs/>
                <w:color w:val="000000"/>
                <w:szCs w:val="21"/>
              </w:rPr>
              <w:t>Q</w:t>
            </w:r>
            <w:r>
              <w:rPr>
                <w:rFonts w:hint="eastAsia" w:asciiTheme="minorEastAsia" w:hAnsiTheme="minorEastAsia"/>
                <w:bCs/>
                <w:color w:val="000000"/>
                <w:szCs w:val="21"/>
              </w:rPr>
              <w:t>7</w:t>
            </w:r>
            <w:r>
              <w:rPr>
                <w:rFonts w:hint="eastAsia" w:asciiTheme="minorEastAsia" w:hAnsiTheme="minorEastAsia"/>
                <w:bCs/>
                <w:color w:val="000000"/>
                <w:szCs w:val="21"/>
                <w:vertAlign w:val="subscript"/>
              </w:rPr>
              <w:t>b</w:t>
            </w:r>
          </w:p>
        </w:tc>
        <w:tc>
          <w:tcPr>
            <w:tcW w:w="1626" w:type="dxa"/>
            <w:tcBorders>
              <w:top w:val="single" w:color="auto" w:sz="4" w:space="0"/>
              <w:left w:val="single" w:color="auto" w:sz="4" w:space="0"/>
              <w:bottom w:val="single" w:color="auto" w:sz="4" w:space="0"/>
              <w:right w:val="single" w:color="auto" w:sz="4" w:space="0"/>
            </w:tcBorders>
          </w:tcPr>
          <w:p w14:paraId="4928AC92">
            <w:pPr>
              <w:rPr>
                <w:rFonts w:hint="eastAsia" w:asciiTheme="minorEastAsia" w:hAnsiTheme="minorEastAsia"/>
                <w:bCs/>
                <w:color w:val="000000"/>
                <w:szCs w:val="21"/>
              </w:rPr>
            </w:pPr>
            <w:r>
              <w:rPr>
                <w:rFonts w:hint="eastAsia" w:asciiTheme="minorEastAsia" w:hAnsiTheme="minorEastAsia"/>
                <w:bCs/>
                <w:color w:val="000000"/>
                <w:szCs w:val="21"/>
              </w:rPr>
              <w:t>绿色建筑</w:t>
            </w:r>
          </w:p>
        </w:tc>
        <w:tc>
          <w:tcPr>
            <w:tcW w:w="3995" w:type="dxa"/>
            <w:gridSpan w:val="2"/>
          </w:tcPr>
          <w:p w14:paraId="38714BDC">
            <w:pPr>
              <w:ind w:firstLine="360"/>
              <w:jc w:val="center"/>
              <w:rPr>
                <w:rFonts w:hint="eastAsia" w:asciiTheme="minorEastAsia" w:hAnsiTheme="minorEastAsia"/>
                <w:bCs/>
                <w:szCs w:val="21"/>
              </w:rPr>
            </w:pPr>
            <w:r>
              <w:rPr>
                <w:rFonts w:hint="eastAsia" w:asciiTheme="minorEastAsia" w:hAnsiTheme="minorEastAsia"/>
                <w:bCs/>
                <w:szCs w:val="21"/>
              </w:rPr>
              <w:t>取得绿色建筑一星1分、二星1.5分、三星2分</w:t>
            </w:r>
          </w:p>
        </w:tc>
        <w:tc>
          <w:tcPr>
            <w:tcW w:w="763" w:type="dxa"/>
          </w:tcPr>
          <w:p w14:paraId="6D780332">
            <w:pPr>
              <w:ind w:firstLine="360"/>
              <w:rPr>
                <w:rFonts w:hint="eastAsia" w:asciiTheme="minorEastAsia" w:hAnsiTheme="minorEastAsia"/>
                <w:bCs/>
                <w:szCs w:val="21"/>
              </w:rPr>
            </w:pPr>
            <w:r>
              <w:rPr>
                <w:rFonts w:hint="eastAsia" w:asciiTheme="minorEastAsia" w:hAnsiTheme="minorEastAsia"/>
                <w:bCs/>
                <w:szCs w:val="21"/>
              </w:rPr>
              <w:t>2</w:t>
            </w:r>
          </w:p>
        </w:tc>
        <w:tc>
          <w:tcPr>
            <w:tcW w:w="789" w:type="dxa"/>
          </w:tcPr>
          <w:p w14:paraId="301F91EC">
            <w:pPr>
              <w:ind w:firstLine="361"/>
              <w:rPr>
                <w:rFonts w:hint="eastAsia" w:asciiTheme="minorEastAsia" w:hAnsiTheme="minorEastAsia"/>
                <w:b/>
                <w:szCs w:val="21"/>
              </w:rPr>
            </w:pPr>
            <w:r>
              <w:rPr>
                <w:rFonts w:asciiTheme="minorEastAsia" w:hAnsiTheme="minorEastAsia"/>
                <w:b/>
                <w:szCs w:val="21"/>
              </w:rPr>
              <w:t>-</w:t>
            </w:r>
          </w:p>
        </w:tc>
      </w:tr>
      <w:bookmarkEnd w:id="51"/>
    </w:tbl>
    <w:p w14:paraId="2919D609">
      <w:pPr>
        <w:spacing w:line="360" w:lineRule="auto"/>
        <w:ind w:firstLine="420"/>
        <w:rPr>
          <w:rFonts w:hint="eastAsia" w:cs="楷体" w:asciiTheme="minorEastAsia" w:hAnsiTheme="minorEastAsia"/>
          <w:iCs/>
          <w:szCs w:val="21"/>
          <w:shd w:val="clear" w:color="auto" w:fill="FFFFFF"/>
          <w:lang w:bidi="ar"/>
        </w:rPr>
      </w:pPr>
      <w:r>
        <w:rPr>
          <w:rFonts w:hint="eastAsia" w:cs="楷体" w:asciiTheme="minorEastAsia" w:hAnsiTheme="minorEastAsia"/>
          <w:iCs/>
          <w:szCs w:val="21"/>
          <w:shd w:val="clear" w:color="auto" w:fill="FFFFFF"/>
          <w:lang w:bidi="ar"/>
        </w:rPr>
        <w:t>注：</w:t>
      </w:r>
      <w:r>
        <w:rPr>
          <w:rFonts w:cs="楷体" w:asciiTheme="minorEastAsia" w:hAnsiTheme="minorEastAsia"/>
          <w:iCs/>
          <w:szCs w:val="21"/>
          <w:shd w:val="clear" w:color="auto" w:fill="FFFFFF"/>
          <w:lang w:bidi="ar"/>
        </w:rPr>
        <w:t>1.表中带“*”项的分值采用“内插法”计算，计算结果取小数点后1位。</w:t>
      </w:r>
    </w:p>
    <w:p w14:paraId="36D139EF">
      <w:pPr>
        <w:spacing w:line="360" w:lineRule="auto"/>
        <w:ind w:left="424" w:leftChars="202" w:firstLine="420"/>
        <w:rPr>
          <w:rFonts w:hint="eastAsia" w:cs="楷体" w:asciiTheme="minorEastAsia" w:hAnsiTheme="minorEastAsia"/>
          <w:iCs/>
          <w:szCs w:val="21"/>
          <w:shd w:val="clear" w:color="auto" w:fill="FFFFFF"/>
          <w:lang w:bidi="ar"/>
        </w:rPr>
      </w:pPr>
      <w:r>
        <w:rPr>
          <w:rFonts w:cs="楷体" w:asciiTheme="minorEastAsia" w:hAnsiTheme="minorEastAsia"/>
          <w:iCs/>
          <w:szCs w:val="21"/>
          <w:shd w:val="clear" w:color="auto" w:fill="FFFFFF"/>
          <w:lang w:bidi="ar"/>
        </w:rPr>
        <w:t>2.</w:t>
      </w:r>
      <w:r>
        <w:rPr>
          <w:rFonts w:hint="eastAsia" w:cs="楷体" w:asciiTheme="minorEastAsia" w:hAnsiTheme="minorEastAsia"/>
          <w:iCs/>
          <w:szCs w:val="21"/>
          <w:shd w:val="clear" w:color="auto" w:fill="FFFFFF"/>
          <w:lang w:bidi="ar"/>
        </w:rPr>
        <w:t>q</w:t>
      </w:r>
      <w:r>
        <w:rPr>
          <w:rFonts w:cs="楷体" w:asciiTheme="minorEastAsia" w:hAnsiTheme="minorEastAsia"/>
          <w:iCs/>
          <w:szCs w:val="21"/>
          <w:shd w:val="clear" w:color="auto" w:fill="FFFFFF"/>
          <w:lang w:bidi="ar"/>
        </w:rPr>
        <w:t>1a</w:t>
      </w:r>
      <w:r>
        <w:rPr>
          <w:rFonts w:hint="eastAsia" w:cs="楷体" w:asciiTheme="minorEastAsia" w:hAnsiTheme="minorEastAsia"/>
          <w:iCs/>
          <w:szCs w:val="21"/>
          <w:shd w:val="clear" w:color="auto" w:fill="FFFFFF"/>
          <w:lang w:bidi="ar"/>
        </w:rPr>
        <w:t>与q</w:t>
      </w:r>
      <w:r>
        <w:rPr>
          <w:rFonts w:cs="楷体" w:asciiTheme="minorEastAsia" w:hAnsiTheme="minorEastAsia"/>
          <w:iCs/>
          <w:szCs w:val="21"/>
          <w:shd w:val="clear" w:color="auto" w:fill="FFFFFF"/>
          <w:lang w:bidi="ar"/>
        </w:rPr>
        <w:t>1b</w:t>
      </w:r>
      <w:r>
        <w:rPr>
          <w:rFonts w:hint="eastAsia" w:cs="楷体" w:asciiTheme="minorEastAsia" w:hAnsiTheme="minorEastAsia"/>
          <w:iCs/>
          <w:szCs w:val="21"/>
          <w:shd w:val="clear" w:color="auto" w:fill="FFFFFF"/>
          <w:lang w:bidi="ar"/>
        </w:rPr>
        <w:t>合计得分大于2</w:t>
      </w:r>
      <w:r>
        <w:rPr>
          <w:rFonts w:cs="楷体" w:asciiTheme="minorEastAsia" w:hAnsiTheme="minorEastAsia"/>
          <w:iCs/>
          <w:szCs w:val="21"/>
          <w:shd w:val="clear" w:color="auto" w:fill="FFFFFF"/>
          <w:lang w:bidi="ar"/>
        </w:rPr>
        <w:t>0</w:t>
      </w:r>
      <w:r>
        <w:rPr>
          <w:rFonts w:hint="eastAsia" w:cs="楷体" w:asciiTheme="minorEastAsia" w:hAnsiTheme="minorEastAsia"/>
          <w:iCs/>
          <w:szCs w:val="21"/>
          <w:shd w:val="clear" w:color="auto" w:fill="FFFFFF"/>
          <w:lang w:bidi="ar"/>
        </w:rPr>
        <w:t>分按2</w:t>
      </w:r>
      <w:r>
        <w:rPr>
          <w:rFonts w:cs="楷体" w:asciiTheme="minorEastAsia" w:hAnsiTheme="minorEastAsia"/>
          <w:iCs/>
          <w:szCs w:val="21"/>
          <w:shd w:val="clear" w:color="auto" w:fill="FFFFFF"/>
          <w:lang w:bidi="ar"/>
        </w:rPr>
        <w:t>0</w:t>
      </w:r>
      <w:r>
        <w:rPr>
          <w:rFonts w:hint="eastAsia" w:cs="楷体" w:asciiTheme="minorEastAsia" w:hAnsiTheme="minorEastAsia"/>
          <w:iCs/>
          <w:szCs w:val="21"/>
          <w:shd w:val="clear" w:color="auto" w:fill="FFFFFF"/>
          <w:lang w:bidi="ar"/>
        </w:rPr>
        <w:t>分计算</w:t>
      </w:r>
      <w:r>
        <w:rPr>
          <w:rFonts w:cs="楷体" w:asciiTheme="minorEastAsia" w:hAnsiTheme="minorEastAsia"/>
          <w:iCs/>
          <w:szCs w:val="21"/>
          <w:shd w:val="clear" w:color="auto" w:fill="FFFFFF"/>
          <w:lang w:bidi="ar"/>
        </w:rPr>
        <w:t>。</w:t>
      </w:r>
    </w:p>
    <w:p w14:paraId="6664FB10">
      <w:pPr>
        <w:widowControl/>
        <w:jc w:val="left"/>
        <w:rPr>
          <w:rFonts w:hint="eastAsia" w:cs="楷体" w:asciiTheme="minorEastAsia" w:hAnsiTheme="minorEastAsia"/>
          <w:iCs/>
          <w:szCs w:val="21"/>
          <w:shd w:val="clear" w:color="auto" w:fill="FFFFFF"/>
          <w:lang w:bidi="ar"/>
        </w:rPr>
      </w:pPr>
      <w:r>
        <w:rPr>
          <w:rFonts w:hint="eastAsia" w:cs="楷体" w:asciiTheme="minorEastAsia" w:hAnsiTheme="minorEastAsia"/>
          <w:iCs/>
          <w:szCs w:val="21"/>
          <w:shd w:val="clear" w:color="auto" w:fill="FFFFFF"/>
          <w:lang w:bidi="ar"/>
        </w:rPr>
        <w:br w:type="page"/>
      </w:r>
    </w:p>
    <w:p w14:paraId="3B45345F">
      <w:pPr>
        <w:spacing w:line="360" w:lineRule="auto"/>
        <w:ind w:left="424" w:leftChars="202" w:firstLine="420"/>
        <w:rPr>
          <w:rFonts w:hint="eastAsia" w:cs="楷体" w:asciiTheme="minorEastAsia" w:hAnsiTheme="minorEastAsia"/>
          <w:iCs/>
          <w:szCs w:val="21"/>
          <w:shd w:val="clear" w:color="auto" w:fill="FFFFFF"/>
          <w:lang w:bidi="ar"/>
        </w:rPr>
      </w:pPr>
    </w:p>
    <w:p w14:paraId="0C13CF74">
      <w:pPr>
        <w:pStyle w:val="51"/>
        <w:widowControl/>
        <w:spacing w:before="156" w:after="156"/>
        <w:ind w:firstLine="562"/>
      </w:pPr>
      <w:bookmarkStart w:id="54" w:name="_Toc174629900"/>
      <w:bookmarkStart w:id="55" w:name="_Toc174629878"/>
      <w:r>
        <w:t xml:space="preserve">4.2 </w:t>
      </w:r>
      <w:r>
        <w:rPr>
          <w:rFonts w:hint="eastAsia"/>
        </w:rPr>
        <w:t>结构、围护、全装修</w:t>
      </w:r>
      <w:bookmarkEnd w:id="54"/>
      <w:bookmarkEnd w:id="55"/>
    </w:p>
    <w:p w14:paraId="122E297A">
      <w:pPr>
        <w:pStyle w:val="27"/>
      </w:pPr>
      <w:r>
        <w:rPr>
          <w:b/>
        </w:rPr>
        <w:t>4.2.</w:t>
      </w:r>
      <w:r>
        <w:rPr>
          <w:rFonts w:hint="eastAsia"/>
          <w:b/>
        </w:rPr>
        <w:t>1</w:t>
      </w:r>
      <w:r>
        <w:tab/>
      </w:r>
      <w:r>
        <w:rPr>
          <w:rFonts w:hint="eastAsia"/>
        </w:rPr>
        <w:t>柱、支撑、承重墙、延性墙板等主体结构竖向构件主要采用混凝土材料时，预制部品部件的应用比例按下列公式计算：</w:t>
      </w:r>
    </w:p>
    <w:p w14:paraId="362EF3E2">
      <w:pPr>
        <w:pStyle w:val="27"/>
        <w:jc w:val="center"/>
      </w:pPr>
      <m:oMath>
        <m:sSub>
          <m:sSubPr>
            <m:ctrlPr>
              <w:rPr>
                <w:rFonts w:ascii="Cambria Math" w:hAnsi="Cambria Math"/>
                <w:i/>
                <w:color w:val="000000"/>
              </w:rPr>
            </m:ctrlPr>
          </m:sSubPr>
          <m:e>
            <m:r>
              <m:rPr/>
              <w:rPr>
                <w:rFonts w:ascii="Cambria Math"/>
                <w:color w:val="000000"/>
              </w:rPr>
              <m:t>q</m:t>
            </m:r>
            <m:ctrlPr>
              <w:rPr>
                <w:rFonts w:ascii="Cambria Math" w:hAnsi="Cambria Math"/>
                <w:i/>
                <w:color w:val="000000"/>
              </w:rPr>
            </m:ctrlPr>
          </m:e>
          <m:sub>
            <m:r>
              <m:rPr/>
              <w:rPr>
                <w:rFonts w:ascii="Cambria Math"/>
                <w:color w:val="000000"/>
              </w:rPr>
              <m:t>1a</m:t>
            </m:r>
            <m:ctrlPr>
              <w:rPr>
                <w:rFonts w:ascii="Cambria Math" w:hAnsi="Cambria Math"/>
                <w:i/>
                <w:color w:val="000000"/>
              </w:rPr>
            </m:ctrlPr>
          </m:sub>
        </m:sSub>
        <m:r>
          <m:rPr/>
          <w:rPr>
            <w:rFonts w:ascii="Cambria Math"/>
            <w:color w:val="000000"/>
          </w:rPr>
          <m:t>=</m:t>
        </m:r>
        <m:f>
          <m:fPr>
            <m:ctrlPr>
              <w:rPr>
                <w:rFonts w:ascii="Cambria Math" w:hAnsi="Cambria Math"/>
                <w:i/>
                <w:color w:val="000000"/>
              </w:rPr>
            </m:ctrlPr>
          </m:fPr>
          <m:num>
            <m:sSub>
              <m:sSubPr>
                <m:ctrlPr>
                  <w:rPr>
                    <w:rFonts w:ascii="Cambria Math" w:hAnsi="Cambria Math"/>
                    <w:i/>
                    <w:color w:val="000000"/>
                  </w:rPr>
                </m:ctrlPr>
              </m:sSubPr>
              <m:e>
                <m:r>
                  <m:rPr/>
                  <w:rPr>
                    <w:rFonts w:ascii="Cambria Math"/>
                    <w:color w:val="000000"/>
                  </w:rPr>
                  <m:t>V</m:t>
                </m:r>
                <m:ctrlPr>
                  <w:rPr>
                    <w:rFonts w:ascii="Cambria Math" w:hAnsi="Cambria Math"/>
                    <w:i/>
                    <w:color w:val="000000"/>
                  </w:rPr>
                </m:ctrlPr>
              </m:e>
              <m:sub>
                <m:r>
                  <m:rPr/>
                  <w:rPr>
                    <w:rFonts w:ascii="Cambria Math"/>
                    <w:color w:val="000000"/>
                  </w:rPr>
                  <m:t>1a</m:t>
                </m:r>
                <m:ctrlPr>
                  <w:rPr>
                    <w:rFonts w:ascii="Cambria Math" w:hAnsi="Cambria Math"/>
                    <w:i/>
                    <w:color w:val="000000"/>
                  </w:rPr>
                </m:ctrlPr>
              </m:sub>
            </m:sSub>
            <m:ctrlPr>
              <w:rPr>
                <w:rFonts w:ascii="Cambria Math" w:hAnsi="Cambria Math"/>
                <w:i/>
                <w:color w:val="000000"/>
              </w:rPr>
            </m:ctrlPr>
          </m:num>
          <m:den>
            <m:r>
              <m:rPr/>
              <w:rPr>
                <w:rFonts w:ascii="Cambria Math"/>
                <w:color w:val="000000"/>
              </w:rPr>
              <m:t>V</m:t>
            </m:r>
            <m:ctrlPr>
              <w:rPr>
                <w:rFonts w:ascii="Cambria Math" w:hAnsi="Cambria Math"/>
                <w:i/>
                <w:color w:val="000000"/>
              </w:rPr>
            </m:ctrlPr>
          </m:den>
        </m:f>
        <m:r>
          <m:rPr/>
          <w:rPr>
            <w:rFonts w:ascii="Cambria Math"/>
            <w:color w:val="000000"/>
          </w:rPr>
          <m:t>×100%</m:t>
        </m:r>
      </m:oMath>
      <w:r>
        <w:rPr>
          <w:rFonts w:hint="eastAsia"/>
          <w:color w:val="000000"/>
        </w:rPr>
        <w:t xml:space="preserve"> </w:t>
      </w:r>
      <w:r>
        <w:rPr>
          <w:color w:val="000000"/>
        </w:rPr>
        <w:t xml:space="preserve">     </w:t>
      </w:r>
      <w:r>
        <w:rPr>
          <w:rFonts w:hint="eastAsia"/>
          <w:color w:val="000000"/>
        </w:rPr>
        <w:t>（</w:t>
      </w:r>
      <w:r>
        <w:rPr>
          <w:color w:val="000000"/>
        </w:rPr>
        <w:t>4.2.1</w:t>
      </w:r>
      <w:r>
        <w:rPr>
          <w:rFonts w:hint="eastAsia"/>
          <w:color w:val="000000"/>
        </w:rPr>
        <w:t>）</w:t>
      </w:r>
    </w:p>
    <w:p w14:paraId="01B01296">
      <w:pPr>
        <w:pStyle w:val="27"/>
        <w:ind w:left="1579" w:hanging="1579" w:hangingChars="658"/>
      </w:pPr>
      <w:r>
        <w:rPr>
          <w:rFonts w:hint="eastAsia"/>
        </w:rPr>
        <w:t>式中：q1a——柱、支撑、承重墙、延性墙板等主体结构竖向构件中预制部品部件的应用比例；</w:t>
      </w:r>
    </w:p>
    <w:p w14:paraId="5AC5AC81">
      <w:pPr>
        <w:pStyle w:val="27"/>
        <w:ind w:left="1698" w:leftChars="338" w:hanging="988" w:hangingChars="412"/>
      </w:pPr>
      <w:r>
        <w:rPr>
          <w:rFonts w:hint="eastAsia"/>
        </w:rPr>
        <w:t>V1a——柱、支撑、承重墙、延性墙板等主体结构竖向构件中预制混凝土体积之和，符合本标准第4.2.2条规定的预制构件间连续部分的后浇混凝土也可以计入计算；</w:t>
      </w:r>
    </w:p>
    <w:p w14:paraId="6C77AA8D">
      <w:pPr>
        <w:pStyle w:val="27"/>
        <w:spacing w:after="156" w:afterLines="50"/>
        <w:ind w:left="1698" w:leftChars="338" w:hanging="988" w:hangingChars="412"/>
      </w:pPr>
      <w:r>
        <w:rPr>
          <w:rFonts w:hint="eastAsia"/>
        </w:rPr>
        <w:t>V——柱、支撑、承重墙、延性墙板等主体结构竖向构件混凝土总体积。</w:t>
      </w:r>
    </w:p>
    <w:p w14:paraId="61BD8B1C">
      <w:pPr>
        <w:pStyle w:val="27"/>
      </w:pPr>
      <w:r>
        <w:rPr>
          <w:b/>
        </w:rPr>
        <w:t>4.2.2</w:t>
      </w:r>
      <w:r>
        <w:tab/>
      </w:r>
      <w:r>
        <w:rPr>
          <w:rFonts w:hint="eastAsia"/>
        </w:rPr>
        <w:t>当符合下列规定时，主体结构竖向构件间连接部分的后浇混凝土可计入预制混凝土体积计算：</w:t>
      </w:r>
      <w:r>
        <w:t xml:space="preserve"> </w:t>
      </w:r>
    </w:p>
    <w:p w14:paraId="3F8E8CF6">
      <w:pPr>
        <w:pStyle w:val="27"/>
        <w:ind w:firstLine="424" w:firstLineChars="177"/>
      </w:pPr>
      <w:r>
        <w:t xml:space="preserve">1 </w:t>
      </w:r>
      <w:r>
        <w:rPr>
          <w:rFonts w:hint="eastAsia"/>
        </w:rPr>
        <w:t>预制剪力墙板之间宽度不大于</w:t>
      </w:r>
      <w:r>
        <w:t>600mm</w:t>
      </w:r>
      <w:r>
        <w:rPr>
          <w:rFonts w:hint="eastAsia"/>
        </w:rPr>
        <w:t>的竖向现浇段和高度不大于</w:t>
      </w:r>
      <w:r>
        <w:t>300mm</w:t>
      </w:r>
      <w:r>
        <w:rPr>
          <w:rFonts w:hint="eastAsia"/>
        </w:rPr>
        <w:t>的水平后浇带、圈梁的后浇混凝土体积，预制剪力墙转角或端部边缘构件长度不大于</w:t>
      </w:r>
      <w:r>
        <w:t>400mm</w:t>
      </w:r>
      <w:r>
        <w:rPr>
          <w:rFonts w:hint="eastAsia"/>
        </w:rPr>
        <w:t>（不含墙厚）的后浇混凝土体积。</w:t>
      </w:r>
    </w:p>
    <w:p w14:paraId="5AC28066">
      <w:pPr>
        <w:pStyle w:val="27"/>
        <w:ind w:firstLine="424" w:firstLineChars="177"/>
      </w:pPr>
      <w:r>
        <w:t xml:space="preserve">2 </w:t>
      </w:r>
      <w:r>
        <w:rPr>
          <w:rFonts w:hint="eastAsia"/>
        </w:rPr>
        <w:t>预制框架柱和框架梁之间柱梁节点区的后浇混凝土体积。</w:t>
      </w:r>
    </w:p>
    <w:p w14:paraId="4150F0DE">
      <w:pPr>
        <w:pStyle w:val="27"/>
        <w:spacing w:after="156" w:afterLines="50"/>
        <w:ind w:firstLine="424" w:firstLineChars="177"/>
      </w:pPr>
      <w:r>
        <w:t xml:space="preserve">3 </w:t>
      </w:r>
      <w:r>
        <w:rPr>
          <w:rFonts w:hint="eastAsia"/>
        </w:rPr>
        <w:t>预制柱间高度不大于柱截面较小尺寸的连接区后浇混凝土体积。</w:t>
      </w:r>
    </w:p>
    <w:p w14:paraId="6708CEBC">
      <w:pPr>
        <w:pStyle w:val="27"/>
      </w:pPr>
      <w:r>
        <w:rPr>
          <w:b/>
        </w:rPr>
        <w:t>4.2.3</w:t>
      </w:r>
      <w:r>
        <w:tab/>
      </w:r>
      <w:r>
        <w:rPr>
          <w:rFonts w:hint="eastAsia"/>
        </w:rPr>
        <w:t>主体结构为装配式钢结构或钢</w:t>
      </w:r>
      <w:r>
        <w:t>-</w:t>
      </w:r>
      <w:r>
        <w:rPr>
          <w:rFonts w:hint="eastAsia"/>
        </w:rPr>
        <w:t>混凝土混合结构时，评价项分值按下列情况计算：</w:t>
      </w:r>
    </w:p>
    <w:p w14:paraId="57EFF277">
      <w:pPr>
        <w:pStyle w:val="33"/>
        <w:ind w:firstLine="480"/>
      </w:pPr>
      <w:r>
        <w:t xml:space="preserve">1 </w:t>
      </w:r>
      <w:r>
        <w:rPr>
          <w:rFonts w:hint="eastAsia"/>
        </w:rPr>
        <w:t>竖向构件全部采用钢构件，得</w:t>
      </w:r>
      <w:r>
        <w:t>30</w:t>
      </w:r>
      <w:r>
        <w:rPr>
          <w:rFonts w:hint="eastAsia"/>
        </w:rPr>
        <w:t>分。</w:t>
      </w:r>
    </w:p>
    <w:p w14:paraId="2B3595D9">
      <w:pPr>
        <w:pStyle w:val="33"/>
        <w:ind w:firstLine="480"/>
      </w:pPr>
      <w:r>
        <w:t xml:space="preserve">2 </w:t>
      </w:r>
      <w:r>
        <w:rPr>
          <w:rFonts w:hint="eastAsia"/>
        </w:rPr>
        <w:t>框架柱采用钢柱或外包钢</w:t>
      </w:r>
      <w:r>
        <w:t>-</w:t>
      </w:r>
      <w:r>
        <w:rPr>
          <w:rFonts w:hint="eastAsia"/>
        </w:rPr>
        <w:t>混凝土组合柱，剪力墙采用外包钢</w:t>
      </w:r>
      <w:r>
        <w:t>-</w:t>
      </w:r>
      <w:r>
        <w:rPr>
          <w:rFonts w:hint="eastAsia"/>
        </w:rPr>
        <w:t>混凝土组合剪力墙时，得</w:t>
      </w:r>
      <w:r>
        <w:t>25</w:t>
      </w:r>
      <w:r>
        <w:rPr>
          <w:rFonts w:hint="eastAsia"/>
        </w:rPr>
        <w:t>分。</w:t>
      </w:r>
    </w:p>
    <w:p w14:paraId="41C27EC6">
      <w:pPr>
        <w:pStyle w:val="33"/>
        <w:spacing w:after="156" w:afterLines="50"/>
        <w:ind w:firstLine="480"/>
      </w:pPr>
      <w:r>
        <w:t xml:space="preserve">3 </w:t>
      </w:r>
      <w:r>
        <w:rPr>
          <w:rFonts w:hint="eastAsia"/>
        </w:rPr>
        <w:t>框架柱采用钢柱或外包钢</w:t>
      </w:r>
      <w:r>
        <w:t>-</w:t>
      </w:r>
      <w:r>
        <w:rPr>
          <w:rFonts w:hint="eastAsia"/>
        </w:rPr>
        <w:t>混凝土组合柱，剪力墙采用混凝土剪力墙（含型钢混凝土剪力墙、型钢（钢管）混凝土剪力墙、内藏钢板混凝土剪力墙、带钢斜撑混凝土剪力墙）时，得</w:t>
      </w:r>
      <w:r>
        <w:t>20</w:t>
      </w:r>
      <w:r>
        <w:rPr>
          <w:rFonts w:hint="eastAsia"/>
        </w:rPr>
        <w:t>分。</w:t>
      </w:r>
    </w:p>
    <w:p w14:paraId="224B6B5E">
      <w:pPr>
        <w:pStyle w:val="27"/>
      </w:pPr>
      <w:r>
        <w:rPr>
          <w:b/>
        </w:rPr>
        <w:t>4.2.4</w:t>
      </w:r>
      <w:r>
        <w:tab/>
      </w:r>
      <w:r>
        <w:rPr>
          <w:rFonts w:hint="eastAsia"/>
        </w:rPr>
        <w:t>梁、板、楼梯、阳台、空调板等构件中预制部品部件的应用比例应按下列公式计算：</w:t>
      </w:r>
    </w:p>
    <w:p w14:paraId="4262B67C">
      <w:pPr>
        <w:tabs>
          <w:tab w:val="center" w:pos="4540"/>
          <w:tab w:val="right" w:pos="9080"/>
        </w:tabs>
        <w:spacing w:line="360" w:lineRule="auto"/>
        <w:ind w:firstLine="560"/>
        <w:rPr>
          <w:rFonts w:ascii="Times New Roman" w:hAnsi="Times New Roman" w:eastAsia="宋体" w:cs="Times New Roman"/>
          <w:color w:val="000000"/>
          <w:sz w:val="28"/>
        </w:rPr>
      </w:pPr>
      <w:r>
        <w:rPr>
          <w:rFonts w:ascii="Times New Roman" w:hAnsi="Times New Roman" w:eastAsia="宋体" w:cs="Times New Roman"/>
          <w:color w:val="000000"/>
          <w:sz w:val="28"/>
        </w:rPr>
        <w:tab/>
      </w:r>
      <m:oMath>
        <m:sSub>
          <m:sSubPr>
            <m:ctrlPr>
              <w:rPr>
                <w:rFonts w:ascii="Cambria Math" w:hAnsi="Cambria Math" w:eastAsia="宋体" w:cs="Times New Roman"/>
                <w:i/>
                <w:color w:val="000000"/>
                <w:sz w:val="28"/>
                <w:szCs w:val="28"/>
              </w:rPr>
            </m:ctrlPr>
          </m:sSubPr>
          <m:e>
            <m:r>
              <m:rPr/>
              <w:rPr>
                <w:rFonts w:ascii="Cambria Math" w:hAnsi="Times New Roman" w:eastAsia="宋体" w:cs="Times New Roman"/>
                <w:color w:val="000000"/>
                <w:sz w:val="28"/>
                <w:szCs w:val="28"/>
              </w:rPr>
              <m:t>q</m:t>
            </m:r>
            <m:ctrlPr>
              <w:rPr>
                <w:rFonts w:ascii="Cambria Math" w:hAnsi="Cambria Math" w:eastAsia="宋体" w:cs="Times New Roman"/>
                <w:i/>
                <w:color w:val="000000"/>
                <w:sz w:val="28"/>
                <w:szCs w:val="28"/>
              </w:rPr>
            </m:ctrlPr>
          </m:e>
          <m:sub>
            <m:r>
              <m:rPr/>
              <w:rPr>
                <w:rFonts w:ascii="Cambria Math" w:hAnsi="Times New Roman" w:eastAsia="宋体" w:cs="Times New Roman"/>
                <w:color w:val="000000"/>
                <w:sz w:val="28"/>
                <w:szCs w:val="28"/>
              </w:rPr>
              <m:t>1b</m:t>
            </m:r>
            <m:ctrlPr>
              <w:rPr>
                <w:rFonts w:ascii="Cambria Math" w:hAnsi="Cambria Math" w:eastAsia="宋体" w:cs="Times New Roman"/>
                <w:i/>
                <w:color w:val="000000"/>
                <w:sz w:val="28"/>
                <w:szCs w:val="28"/>
              </w:rPr>
            </m:ctrlPr>
          </m:sub>
        </m:sSub>
        <m:r>
          <m:rPr/>
          <w:rPr>
            <w:rFonts w:ascii="Cambria Math" w:hAnsi="Times New Roman" w:eastAsia="宋体" w:cs="Times New Roman"/>
            <w:color w:val="000000"/>
            <w:sz w:val="28"/>
            <w:szCs w:val="28"/>
          </w:rPr>
          <m:t>=</m:t>
        </m:r>
        <m:f>
          <m:fPr>
            <m:ctrlPr>
              <w:rPr>
                <w:rFonts w:ascii="Cambria Math" w:hAnsi="Cambria Math" w:eastAsia="宋体" w:cs="Times New Roman"/>
                <w:i/>
                <w:color w:val="000000"/>
                <w:sz w:val="28"/>
                <w:szCs w:val="28"/>
              </w:rPr>
            </m:ctrlPr>
          </m:fPr>
          <m:num>
            <m:sSub>
              <m:sSubPr>
                <m:ctrlPr>
                  <w:rPr>
                    <w:rFonts w:ascii="Cambria Math" w:hAnsi="Cambria Math" w:eastAsia="宋体" w:cs="Times New Roman"/>
                    <w:i/>
                    <w:color w:val="000000"/>
                    <w:sz w:val="28"/>
                    <w:szCs w:val="28"/>
                  </w:rPr>
                </m:ctrlPr>
              </m:sSubPr>
              <m:e>
                <m:r>
                  <m:rPr/>
                  <w:rPr>
                    <w:rFonts w:ascii="Cambria Math" w:hAnsi="Times New Roman" w:eastAsia="宋体" w:cs="Times New Roman"/>
                    <w:color w:val="000000"/>
                    <w:sz w:val="28"/>
                    <w:szCs w:val="28"/>
                  </w:rPr>
                  <m:t>A</m:t>
                </m:r>
                <m:ctrlPr>
                  <w:rPr>
                    <w:rFonts w:ascii="Cambria Math" w:hAnsi="Cambria Math" w:eastAsia="宋体" w:cs="Times New Roman"/>
                    <w:i/>
                    <w:color w:val="000000"/>
                    <w:sz w:val="28"/>
                    <w:szCs w:val="28"/>
                  </w:rPr>
                </m:ctrlPr>
              </m:e>
              <m:sub>
                <m:r>
                  <m:rPr/>
                  <w:rPr>
                    <w:rFonts w:ascii="Cambria Math" w:hAnsi="Times New Roman" w:eastAsia="宋体" w:cs="Times New Roman"/>
                    <w:color w:val="000000"/>
                    <w:sz w:val="28"/>
                    <w:szCs w:val="28"/>
                  </w:rPr>
                  <m:t>1b</m:t>
                </m:r>
                <m:ctrlPr>
                  <w:rPr>
                    <w:rFonts w:ascii="Cambria Math" w:hAnsi="Cambria Math" w:eastAsia="宋体" w:cs="Times New Roman"/>
                    <w:i/>
                    <w:color w:val="000000"/>
                    <w:sz w:val="28"/>
                    <w:szCs w:val="28"/>
                  </w:rPr>
                </m:ctrlPr>
              </m:sub>
            </m:sSub>
            <m:ctrlPr>
              <w:rPr>
                <w:rFonts w:ascii="Cambria Math" w:hAnsi="Cambria Math" w:eastAsia="宋体" w:cs="Times New Roman"/>
                <w:i/>
                <w:color w:val="000000"/>
                <w:sz w:val="28"/>
                <w:szCs w:val="28"/>
              </w:rPr>
            </m:ctrlPr>
          </m:num>
          <m:den>
            <m:r>
              <m:rPr/>
              <w:rPr>
                <w:rFonts w:ascii="Cambria Math" w:hAnsi="Times New Roman" w:eastAsia="宋体" w:cs="Times New Roman"/>
                <w:color w:val="000000"/>
                <w:sz w:val="28"/>
                <w:szCs w:val="28"/>
              </w:rPr>
              <m:t>A</m:t>
            </m:r>
            <m:ctrlPr>
              <w:rPr>
                <w:rFonts w:ascii="Cambria Math" w:hAnsi="Cambria Math" w:eastAsia="宋体" w:cs="Times New Roman"/>
                <w:i/>
                <w:color w:val="000000"/>
                <w:sz w:val="28"/>
                <w:szCs w:val="28"/>
              </w:rPr>
            </m:ctrlPr>
          </m:den>
        </m:f>
        <m:r>
          <m:rPr/>
          <w:rPr>
            <w:rFonts w:ascii="Cambria Math" w:hAnsi="Times New Roman" w:eastAsia="宋体" w:cs="Times New Roman"/>
            <w:color w:val="000000"/>
            <w:sz w:val="28"/>
            <w:szCs w:val="28"/>
          </w:rPr>
          <m:t>×100%</m:t>
        </m:r>
      </m:oMath>
      <w:r>
        <w:rPr>
          <w:rFonts w:ascii="Times New Roman" w:hAnsi="Times New Roman" w:eastAsia="宋体" w:cs="Times New Roman"/>
          <w:color w:val="000000"/>
          <w:sz w:val="28"/>
        </w:rPr>
        <w:tab/>
      </w:r>
      <w:r>
        <w:rPr>
          <w:rFonts w:hint="eastAsia" w:ascii="Times New Roman" w:hAnsi="Times New Roman" w:eastAsia="宋体" w:cs="Times New Roman"/>
          <w:color w:val="000000"/>
          <w:sz w:val="28"/>
        </w:rPr>
        <w:t>（</w:t>
      </w:r>
      <w:r>
        <w:rPr>
          <w:rFonts w:ascii="Times New Roman" w:hAnsi="Times New Roman" w:eastAsia="宋体" w:cs="Times New Roman"/>
          <w:color w:val="000000"/>
          <w:sz w:val="28"/>
        </w:rPr>
        <w:t>4.2.4</w:t>
      </w:r>
      <w:r>
        <w:rPr>
          <w:rFonts w:hint="eastAsia" w:ascii="Times New Roman" w:hAnsi="Times New Roman" w:eastAsia="宋体" w:cs="Times New Roman"/>
          <w:color w:val="000000"/>
          <w:sz w:val="28"/>
        </w:rPr>
        <w:t>）</w:t>
      </w:r>
    </w:p>
    <w:p w14:paraId="5FFF9BDF">
      <w:pPr>
        <w:pStyle w:val="33"/>
        <w:ind w:firstLine="480"/>
      </w:pPr>
      <w:r>
        <w:rPr>
          <w:rFonts w:hint="eastAsia"/>
        </w:rPr>
        <w:t>式中：</w:t>
      </w:r>
      <w:r>
        <w:t>q</w:t>
      </w:r>
      <w:r>
        <w:rPr>
          <w:vertAlign w:val="subscript"/>
        </w:rPr>
        <w:t>1b</w:t>
      </w:r>
      <w:r>
        <w:rPr>
          <w:rFonts w:hint="eastAsia"/>
        </w:rPr>
        <w:t xml:space="preserve">——梁、板、楼梯、阳台、空调板等构件中预制部品部件的应用比例； </w:t>
      </w:r>
      <w:r>
        <w:t xml:space="preserve">    </w:t>
      </w:r>
    </w:p>
    <w:p w14:paraId="6C0B9845">
      <w:pPr>
        <w:pStyle w:val="33"/>
        <w:ind w:left="1700" w:leftChars="540" w:hanging="566" w:hangingChars="236"/>
        <w:rPr>
          <w:rFonts w:hint="eastAsia" w:eastAsia="宋体"/>
          <w:lang w:eastAsia="zh-CN"/>
        </w:rPr>
      </w:pPr>
      <w:r>
        <w:t>A</w:t>
      </w:r>
      <w:r>
        <w:rPr>
          <w:vertAlign w:val="subscript"/>
        </w:rPr>
        <w:t>1b</w:t>
      </w:r>
      <w:r>
        <w:rPr>
          <w:rFonts w:hint="eastAsia"/>
        </w:rPr>
        <w:t>——各楼层中混凝土预制装配梁、板（含屋面板）、楼梯、阳台、空调板（悬挑板）等水平构件的水平投影面积之和</w:t>
      </w:r>
      <w:r>
        <w:rPr>
          <w:rFonts w:hint="eastAsia"/>
          <w:lang w:eastAsia="zh-CN"/>
        </w:rPr>
        <w:t>；</w:t>
      </w:r>
    </w:p>
    <w:p w14:paraId="13DD7C3D">
      <w:pPr>
        <w:pStyle w:val="33"/>
        <w:spacing w:after="156" w:afterLines="50"/>
        <w:ind w:left="1700" w:leftChars="540" w:hanging="566" w:hangingChars="236"/>
      </w:pPr>
      <w:r>
        <w:t>A</w:t>
      </w:r>
      <w:r>
        <w:rPr>
          <w:rFonts w:hint="eastAsia"/>
        </w:rPr>
        <w:t>——所有楼层的梁、楼板（含屋面板）、楼梯、阳台和空调板等构件的水平投影面积之和。</w:t>
      </w:r>
    </w:p>
    <w:p w14:paraId="7B03E16B">
      <w:pPr>
        <w:pStyle w:val="27"/>
      </w:pPr>
      <w:r>
        <w:rPr>
          <w:b/>
        </w:rPr>
        <w:t>4.2.5</w:t>
      </w:r>
      <w:r>
        <w:tab/>
      </w:r>
      <w:r>
        <w:rPr>
          <w:rFonts w:hint="eastAsia"/>
        </w:rPr>
        <w:t>预制装配式楼板、屋面板的水平投影面积包括：</w:t>
      </w:r>
    </w:p>
    <w:p w14:paraId="5EEBC4B9">
      <w:pPr>
        <w:pStyle w:val="33"/>
        <w:ind w:firstLine="480"/>
      </w:pPr>
      <w:r>
        <w:t xml:space="preserve">1 </w:t>
      </w:r>
      <w:r>
        <w:rPr>
          <w:rFonts w:hint="eastAsia"/>
        </w:rPr>
        <w:t>预制装配式叠合楼板、屋面板的水平投影面积；</w:t>
      </w:r>
    </w:p>
    <w:p w14:paraId="15E6DAFB">
      <w:pPr>
        <w:pStyle w:val="33"/>
        <w:ind w:firstLine="480"/>
      </w:pPr>
      <w:r>
        <w:t xml:space="preserve">2 </w:t>
      </w:r>
      <w:r>
        <w:rPr>
          <w:rFonts w:hint="eastAsia"/>
        </w:rPr>
        <w:t>预制构件间宽度不大于</w:t>
      </w:r>
      <w:r>
        <w:t>400mm</w:t>
      </w:r>
      <w:r>
        <w:rPr>
          <w:rFonts w:hint="eastAsia"/>
        </w:rPr>
        <w:t>的后浇混凝土带水平投影面积；</w:t>
      </w:r>
    </w:p>
    <w:p w14:paraId="546B86A1">
      <w:pPr>
        <w:pStyle w:val="33"/>
        <w:spacing w:after="156" w:afterLines="50"/>
        <w:ind w:firstLine="480"/>
      </w:pPr>
      <w:r>
        <w:t xml:space="preserve">3 </w:t>
      </w:r>
      <w:r>
        <w:rPr>
          <w:rFonts w:hint="eastAsia"/>
        </w:rPr>
        <w:t>屋面板、木楼盖和屋盖及其他在施工现场免支模的楼盖和屋盖的水平投影面积。</w:t>
      </w:r>
    </w:p>
    <w:p w14:paraId="1DE98C5A">
      <w:pPr>
        <w:pStyle w:val="27"/>
        <w:rPr>
          <w:color w:val="000000" w:themeColor="text1"/>
          <w14:textFill>
            <w14:solidFill>
              <w14:schemeClr w14:val="tx1"/>
            </w14:solidFill>
          </w14:textFill>
        </w:rPr>
      </w:pPr>
      <w:r>
        <w:rPr>
          <w:b/>
          <w:color w:val="000000" w:themeColor="text1"/>
          <w14:textFill>
            <w14:solidFill>
              <w14:schemeClr w14:val="tx1"/>
            </w14:solidFill>
          </w14:textFill>
        </w:rPr>
        <w:t>4.2.6</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非承重围护墙中非砌筑墙体的应用比例应按下列式计算：</w:t>
      </w:r>
    </w:p>
    <w:p w14:paraId="23BA1AC9">
      <w:pPr>
        <w:pStyle w:val="25"/>
        <w:ind w:firstLine="560"/>
        <w:rPr>
          <w:color w:val="000000" w:themeColor="text1"/>
          <w14:textFill>
            <w14:solidFill>
              <w14:schemeClr w14:val="tx1"/>
            </w14:solidFill>
          </w14:textFill>
        </w:rPr>
      </w:pPr>
      <w:r>
        <w:rPr>
          <w:color w:val="000000" w:themeColor="text1"/>
          <w14:textFill>
            <w14:solidFill>
              <w14:schemeClr w14:val="tx1"/>
            </w14:solidFill>
          </w14:textFill>
        </w:rPr>
        <w:tab/>
      </w:r>
      <m:oMath>
        <m:sSub>
          <m:sSubPr>
            <m:ctrlPr>
              <w:rPr>
                <w:rFonts w:ascii="Cambria Math" w:hAnsi="Cambria Math"/>
                <w:i/>
                <w:color w:val="000000" w:themeColor="text1"/>
                <w14:textFill>
                  <w14:solidFill>
                    <w14:schemeClr w14:val="tx1"/>
                  </w14:solidFill>
                </w14:textFill>
              </w:rPr>
            </m:ctrlPr>
          </m:sSubPr>
          <m:e>
            <m:r>
              <m:rPr/>
              <w:rPr>
                <w:rFonts w:ascii="Cambria Math"/>
                <w:color w:val="000000" w:themeColor="text1"/>
                <w14:textFill>
                  <w14:solidFill>
                    <w14:schemeClr w14:val="tx1"/>
                  </w14:solidFill>
                </w14:textFill>
              </w:rPr>
              <m:t>q</m:t>
            </m:r>
            <m:ctrlPr>
              <w:rPr>
                <w:rFonts w:ascii="Cambria Math" w:hAnsi="Cambria Math"/>
                <w:i/>
                <w:color w:val="000000" w:themeColor="text1"/>
                <w14:textFill>
                  <w14:solidFill>
                    <w14:schemeClr w14:val="tx1"/>
                  </w14:solidFill>
                </w14:textFill>
              </w:rPr>
            </m:ctrlPr>
          </m:e>
          <m:sub>
            <m:r>
              <m:rPr/>
              <w:rPr>
                <w:rFonts w:ascii="Cambria Math"/>
                <w:color w:val="000000" w:themeColor="text1"/>
                <w14:textFill>
                  <w14:solidFill>
                    <w14:schemeClr w14:val="tx1"/>
                  </w14:solidFill>
                </w14:textFill>
              </w:rPr>
              <m:t>1c</m:t>
            </m:r>
            <m:ctrlPr>
              <w:rPr>
                <w:rFonts w:ascii="Cambria Math" w:hAnsi="Cambria Math"/>
                <w:i/>
                <w:color w:val="000000" w:themeColor="text1"/>
                <w14:textFill>
                  <w14:solidFill>
                    <w14:schemeClr w14:val="tx1"/>
                  </w14:solidFill>
                </w14:textFill>
              </w:rPr>
            </m:ctrlPr>
          </m:sub>
        </m:sSub>
        <m:r>
          <m:rPr/>
          <w:rPr>
            <w:rFonts w:ascii="Cambria Math"/>
            <w:color w:val="000000" w:themeColor="text1"/>
            <w14:textFill>
              <w14:solidFill>
                <w14:schemeClr w14:val="tx1"/>
              </w14:solidFill>
            </w14:textFill>
          </w:rPr>
          <m:t>=</m:t>
        </m:r>
        <m:f>
          <m:fPr>
            <m:ctrlPr>
              <w:rPr>
                <w:rFonts w:ascii="Cambria Math" w:hAnsi="Cambria Math"/>
                <w:i/>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m:rPr/>
                  <w:rPr>
                    <w:rFonts w:ascii="Cambria Math"/>
                    <w:color w:val="000000" w:themeColor="text1"/>
                    <w14:textFill>
                      <w14:solidFill>
                        <w14:schemeClr w14:val="tx1"/>
                      </w14:solidFill>
                    </w14:textFill>
                  </w:rPr>
                  <m:t>A</m:t>
                </m:r>
                <m:ctrlPr>
                  <w:rPr>
                    <w:rFonts w:ascii="Cambria Math" w:hAnsi="Cambria Math"/>
                    <w:i/>
                    <w:color w:val="000000" w:themeColor="text1"/>
                    <w14:textFill>
                      <w14:solidFill>
                        <w14:schemeClr w14:val="tx1"/>
                      </w14:solidFill>
                    </w14:textFill>
                  </w:rPr>
                </m:ctrlPr>
              </m:e>
              <m:sub>
                <m:r>
                  <m:rPr/>
                  <w:rPr>
                    <w:rFonts w:ascii="Cambria Math"/>
                    <w:color w:val="000000" w:themeColor="text1"/>
                    <w14:textFill>
                      <w14:solidFill>
                        <w14:schemeClr w14:val="tx1"/>
                      </w14:solidFill>
                    </w14:textFill>
                  </w:rPr>
                  <m:t>1c</m:t>
                </m:r>
                <m:ctrlPr>
                  <w:rPr>
                    <w:rFonts w:ascii="Cambria Math" w:hAnsi="Cambria Math"/>
                    <w:i/>
                    <w:color w:val="000000" w:themeColor="text1"/>
                    <w14:textFill>
                      <w14:solidFill>
                        <w14:schemeClr w14:val="tx1"/>
                      </w14:solidFill>
                    </w14:textFill>
                  </w:rPr>
                </m:ctrlPr>
              </m:sub>
            </m:sSub>
            <m:ctrlPr>
              <w:rPr>
                <w:rFonts w:ascii="Cambria Math" w:hAnsi="Cambria Math"/>
                <w:i/>
                <w:color w:val="000000" w:themeColor="text1"/>
                <w14:textFill>
                  <w14:solidFill>
                    <w14:schemeClr w14:val="tx1"/>
                  </w14:solidFill>
                </w14:textFill>
              </w:rPr>
            </m:ctrlPr>
          </m:num>
          <m:den>
            <m:sSub>
              <m:sSubPr>
                <m:ctrlPr>
                  <w:rPr>
                    <w:rFonts w:ascii="Cambria Math" w:hAnsi="Cambria Math"/>
                    <w:i/>
                    <w:color w:val="000000" w:themeColor="text1"/>
                    <w14:textFill>
                      <w14:solidFill>
                        <w14:schemeClr w14:val="tx1"/>
                      </w14:solidFill>
                    </w14:textFill>
                  </w:rPr>
                </m:ctrlPr>
              </m:sSubPr>
              <m:e>
                <m:r>
                  <m:rPr/>
                  <w:rPr>
                    <w:rFonts w:ascii="Cambria Math"/>
                    <w:color w:val="000000" w:themeColor="text1"/>
                    <w14:textFill>
                      <w14:solidFill>
                        <w14:schemeClr w14:val="tx1"/>
                      </w14:solidFill>
                    </w14:textFill>
                  </w:rPr>
                  <m:t>A</m:t>
                </m:r>
                <m:ctrlPr>
                  <w:rPr>
                    <w:rFonts w:ascii="Cambria Math" w:hAnsi="Cambria Math"/>
                    <w:i/>
                    <w:color w:val="000000" w:themeColor="text1"/>
                    <w14:textFill>
                      <w14:solidFill>
                        <w14:schemeClr w14:val="tx1"/>
                      </w14:solidFill>
                    </w14:textFill>
                  </w:rPr>
                </m:ctrlPr>
              </m:e>
              <m:sub>
                <m:r>
                  <m:rPr/>
                  <w:rPr>
                    <w:rFonts w:ascii="Cambria Math"/>
                    <w:color w:val="000000" w:themeColor="text1"/>
                    <w14:textFill>
                      <w14:solidFill>
                        <w14:schemeClr w14:val="tx1"/>
                      </w14:solidFill>
                    </w14:textFill>
                  </w:rPr>
                  <m:t>w1</m:t>
                </m:r>
                <m:ctrlPr>
                  <w:rPr>
                    <w:rFonts w:ascii="Cambria Math" w:hAnsi="Cambria Math"/>
                    <w:i/>
                    <w:color w:val="000000" w:themeColor="text1"/>
                    <w14:textFill>
                      <w14:solidFill>
                        <w14:schemeClr w14:val="tx1"/>
                      </w14:solidFill>
                    </w14:textFill>
                  </w:rPr>
                </m:ctrlPr>
              </m:sub>
            </m:sSub>
            <m:ctrlPr>
              <w:rPr>
                <w:rFonts w:ascii="Cambria Math" w:hAnsi="Cambria Math"/>
                <w:i/>
                <w:color w:val="000000" w:themeColor="text1"/>
                <w14:textFill>
                  <w14:solidFill>
                    <w14:schemeClr w14:val="tx1"/>
                  </w14:solidFill>
                </w14:textFill>
              </w:rPr>
            </m:ctrlPr>
          </m:den>
        </m:f>
        <m:r>
          <m:rPr/>
          <w:rPr>
            <w:rFonts w:ascii="Cambria Math"/>
            <w:color w:val="000000" w:themeColor="text1"/>
            <w14:textFill>
              <w14:solidFill>
                <w14:schemeClr w14:val="tx1"/>
              </w14:solidFill>
            </w14:textFill>
          </w:rPr>
          <m:t>×100%</m:t>
        </m:r>
      </m:oMath>
      <w:r>
        <w:rPr>
          <w:color w:val="000000" w:themeColor="text1"/>
          <w14:textFill>
            <w14:solidFill>
              <w14:schemeClr w14:val="tx1"/>
            </w14:solidFill>
          </w14:textFill>
        </w:rPr>
        <w:tab/>
      </w:r>
      <w:r>
        <w:rPr>
          <w:rFonts w:hint="eastAsia"/>
          <w:color w:val="000000" w:themeColor="text1"/>
          <w14:textFill>
            <w14:solidFill>
              <w14:schemeClr w14:val="tx1"/>
            </w14:solidFill>
          </w14:textFill>
        </w:rPr>
        <w:t>（</w:t>
      </w:r>
      <w:r>
        <w:rPr>
          <w:color w:val="000000" w:themeColor="text1"/>
          <w14:textFill>
            <w14:solidFill>
              <w14:schemeClr w14:val="tx1"/>
            </w14:solidFill>
          </w14:textFill>
        </w:rPr>
        <w:t>4.3.1</w:t>
      </w:r>
      <w:r>
        <w:rPr>
          <w:rFonts w:hint="eastAsia"/>
          <w:color w:val="000000" w:themeColor="text1"/>
          <w14:textFill>
            <w14:solidFill>
              <w14:schemeClr w14:val="tx1"/>
            </w14:solidFill>
          </w14:textFill>
        </w:rPr>
        <w:t>）</w:t>
      </w:r>
    </w:p>
    <w:p w14:paraId="35A24C70">
      <w:pPr>
        <w:pStyle w:val="36"/>
        <w:ind w:left="1584" w:hanging="1584"/>
        <w:rPr>
          <w:color w:val="000000" w:themeColor="text1"/>
          <w14:textFill>
            <w14:solidFill>
              <w14:schemeClr w14:val="tx1"/>
            </w14:solidFill>
          </w14:textFill>
        </w:rPr>
      </w:pPr>
      <w:r>
        <w:rPr>
          <w:rFonts w:hint="eastAsia"/>
          <w:color w:val="000000" w:themeColor="text1"/>
          <w14:textFill>
            <w14:solidFill>
              <w14:schemeClr w14:val="tx1"/>
            </w14:solidFill>
          </w14:textFill>
        </w:rPr>
        <w:t>式中：</w:t>
      </w:r>
      <w:bookmarkStart w:id="56" w:name="_Hlk7450340"/>
      <w:r>
        <w:rPr>
          <w:color w:val="000000" w:themeColor="text1"/>
          <w14:textFill>
            <w14:solidFill>
              <w14:schemeClr w14:val="tx1"/>
            </w14:solidFill>
          </w14:textFill>
        </w:rPr>
        <w:t>q</w:t>
      </w:r>
      <w:bookmarkEnd w:id="56"/>
      <w:r>
        <w:rPr>
          <w:color w:val="000000" w:themeColor="text1"/>
          <w:vertAlign w:val="subscript"/>
          <w14:textFill>
            <w14:solidFill>
              <w14:schemeClr w14:val="tx1"/>
            </w14:solidFill>
          </w14:textFill>
        </w:rPr>
        <w:t>1c</w:t>
      </w:r>
      <w:r>
        <w:rPr>
          <w:rFonts w:hint="eastAsia"/>
          <w:color w:val="000000" w:themeColor="text1"/>
          <w14:textFill>
            <w14:solidFill>
              <w14:schemeClr w14:val="tx1"/>
            </w14:solidFill>
          </w14:textFill>
        </w:rPr>
        <w:t>——非承重围护墙中非砌筑墙体的应用比例；</w:t>
      </w:r>
    </w:p>
    <w:p w14:paraId="2E5B401A">
      <w:pPr>
        <w:pStyle w:val="26"/>
        <w:ind w:left="1557" w:leftChars="337" w:hanging="849" w:hangingChars="354"/>
        <w:rPr>
          <w:color w:val="000000" w:themeColor="text1"/>
          <w14:textFill>
            <w14:solidFill>
              <w14:schemeClr w14:val="tx1"/>
            </w14:solidFill>
          </w14:textFill>
        </w:rPr>
      </w:pPr>
      <w:r>
        <w:rPr>
          <w:color w:val="000000" w:themeColor="text1"/>
          <w14:textFill>
            <w14:solidFill>
              <w14:schemeClr w14:val="tx1"/>
            </w14:solidFill>
          </w14:textFill>
        </w:rPr>
        <w:t>A</w:t>
      </w:r>
      <w:r>
        <w:rPr>
          <w:color w:val="000000" w:themeColor="text1"/>
          <w:vertAlign w:val="subscript"/>
          <w14:textFill>
            <w14:solidFill>
              <w14:schemeClr w14:val="tx1"/>
            </w14:solidFill>
          </w14:textFill>
        </w:rPr>
        <w:t>1c</w:t>
      </w:r>
      <w:r>
        <w:rPr>
          <w:rFonts w:hint="eastAsia"/>
          <w:color w:val="000000" w:themeColor="text1"/>
          <w14:textFill>
            <w14:solidFill>
              <w14:schemeClr w14:val="tx1"/>
            </w14:solidFill>
          </w14:textFill>
        </w:rPr>
        <w:t>——各楼层非承重围护墙中非砌筑墙体的外表面积之和，计算时可不扣除门、窗及预留洞口等的面积；</w:t>
      </w:r>
    </w:p>
    <w:p w14:paraId="7DB6EFFF">
      <w:pPr>
        <w:pStyle w:val="26"/>
        <w:ind w:left="1559" w:leftChars="273" w:hanging="986" w:hangingChars="411"/>
        <w:rPr>
          <w:color w:val="000000" w:themeColor="text1"/>
          <w14:textFill>
            <w14:solidFill>
              <w14:schemeClr w14:val="tx1"/>
            </w14:solidFill>
          </w14:textFill>
        </w:rPr>
      </w:pPr>
      <w:r>
        <w:rPr>
          <w:color w:val="000000" w:themeColor="text1"/>
          <w14:textFill>
            <w14:solidFill>
              <w14:schemeClr w14:val="tx1"/>
            </w14:solidFill>
          </w14:textFill>
        </w:rPr>
        <w:t>A</w:t>
      </w:r>
      <w:r>
        <w:rPr>
          <w:color w:val="000000" w:themeColor="text1"/>
          <w:vertAlign w:val="subscript"/>
          <w14:textFill>
            <w14:solidFill>
              <w14:schemeClr w14:val="tx1"/>
            </w14:solidFill>
          </w14:textFill>
        </w:rPr>
        <w:t>w1</w:t>
      </w:r>
      <w:r>
        <w:rPr>
          <w:rFonts w:hint="eastAsia"/>
          <w:color w:val="000000" w:themeColor="text1"/>
          <w14:textFill>
            <w14:solidFill>
              <w14:schemeClr w14:val="tx1"/>
            </w14:solidFill>
          </w14:textFill>
        </w:rPr>
        <w:t>——各楼层非承重围护墙外表面总面积，计算时可不扣除门、窗及预留洞口等的面积。</w:t>
      </w:r>
    </w:p>
    <w:p w14:paraId="2A8CCC6F">
      <w:pPr>
        <w:pStyle w:val="27"/>
      </w:pPr>
      <w:r>
        <w:t>4.2.7</w:t>
      </w:r>
      <w:r>
        <w:tab/>
      </w:r>
      <w:r>
        <w:rPr>
          <w:rFonts w:hint="eastAsia"/>
        </w:rPr>
        <w:t>内隔墙中非砌筑墙体的应用比例应按下列式计算：</w:t>
      </w:r>
    </w:p>
    <w:p w14:paraId="768B80B5">
      <w:pPr>
        <w:pStyle w:val="27"/>
        <w:jc w:val="center"/>
      </w:pPr>
      <m:oMath>
        <m:sSub>
          <m:sSubPr>
            <m:ctrlPr>
              <w:rPr>
                <w:rFonts w:ascii="Cambria Math" w:hAnsi="Cambria Math"/>
              </w:rPr>
            </m:ctrlPr>
          </m:sSubPr>
          <m:e>
            <m:r>
              <m:rPr/>
              <w:rPr>
                <w:rFonts w:ascii="Cambria Math" w:hAnsi="Cambria Math"/>
              </w:rPr>
              <m:t>q</m:t>
            </m:r>
            <m:ctrlPr>
              <w:rPr>
                <w:rFonts w:ascii="Cambria Math" w:hAnsi="Cambria Math"/>
              </w:rPr>
            </m:ctrlPr>
          </m:e>
          <m:sub>
            <m:r>
              <m:rPr>
                <m:sty m:val="p"/>
              </m:rPr>
              <w:rPr>
                <w:rFonts w:ascii="Cambria Math" w:hAnsi="Cambria Math"/>
              </w:rPr>
              <m:t>1</m:t>
            </m:r>
            <m:r>
              <m:rPr/>
              <w:rPr>
                <w:rFonts w:ascii="Cambria Math" w:hAnsi="Cambria Math"/>
              </w:rPr>
              <m:t>d</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A</m:t>
                </m:r>
                <m:ctrlPr>
                  <w:rPr>
                    <w:rFonts w:ascii="Cambria Math" w:hAnsi="Cambria Math"/>
                  </w:rPr>
                </m:ctrlPr>
              </m:e>
              <m:sub>
                <m:r>
                  <m:rPr>
                    <m:sty m:val="p"/>
                  </m:rPr>
                  <w:rPr>
                    <w:rFonts w:ascii="Cambria Math" w:hAnsi="Cambria Math"/>
                  </w:rPr>
                  <m:t>1</m:t>
                </m:r>
                <m:r>
                  <m:rPr/>
                  <w:rPr>
                    <w:rFonts w:ascii="Cambria Math" w:hAnsi="Cambria Math"/>
                  </w:rPr>
                  <m:t>d</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A</m:t>
                </m:r>
                <m:ctrlPr>
                  <w:rPr>
                    <w:rFonts w:ascii="Cambria Math" w:hAnsi="Cambria Math"/>
                  </w:rPr>
                </m:ctrlPr>
              </m:e>
              <m:sub>
                <m:r>
                  <m:rPr>
                    <m:nor/>
                    <m:sty m:val="p"/>
                  </m:rPr>
                  <w:rPr>
                    <w:b w:val="0"/>
                    <w:i w:val="0"/>
                  </w:rPr>
                  <m:t>w3</m:t>
                </m:r>
                <m:ctrlPr>
                  <w:rPr>
                    <w:rFonts w:ascii="Cambria Math" w:hAnsi="Cambria Math"/>
                  </w:rPr>
                </m:ctrlPr>
              </m:sub>
            </m:sSub>
            <m:ctrlPr>
              <w:rPr>
                <w:rFonts w:ascii="Cambria Math" w:hAnsi="Cambria Math"/>
              </w:rPr>
            </m:ctrlPr>
          </m:den>
        </m:f>
        <m:r>
          <m:rPr>
            <m:sty m:val="p"/>
          </m:rPr>
          <w:rPr>
            <w:rFonts w:ascii="Cambria Math" w:hAnsi="Cambria Math"/>
          </w:rPr>
          <m:t>×100%</m:t>
        </m:r>
      </m:oMath>
      <w:r>
        <w:tab/>
      </w:r>
      <w:r>
        <w:rPr>
          <w:rFonts w:hint="eastAsia"/>
        </w:rPr>
        <w:t>（</w:t>
      </w:r>
      <w:r>
        <w:t>4.3.3</w:t>
      </w:r>
      <w:r>
        <w:rPr>
          <w:rFonts w:hint="eastAsia"/>
        </w:rPr>
        <w:t>）</w:t>
      </w:r>
    </w:p>
    <w:p w14:paraId="60D59D68">
      <w:pPr>
        <w:pStyle w:val="27"/>
        <w:ind w:firstLine="424" w:firstLineChars="177"/>
      </w:pPr>
      <w:r>
        <w:rPr>
          <w:rFonts w:hint="eastAsia"/>
        </w:rPr>
        <w:t>式中：</w:t>
      </w:r>
      <w:r>
        <w:t>q</w:t>
      </w:r>
      <w:r>
        <w:rPr>
          <w:vertAlign w:val="subscript"/>
        </w:rPr>
        <w:t>1d</w:t>
      </w:r>
      <w:r>
        <w:rPr>
          <w:rFonts w:hint="eastAsia"/>
        </w:rPr>
        <w:t>——内隔墙采用非砌筑做法的应用比例；</w:t>
      </w:r>
    </w:p>
    <w:p w14:paraId="7E049025">
      <w:pPr>
        <w:pStyle w:val="27"/>
        <w:ind w:left="1842" w:leftChars="540" w:hanging="708" w:hangingChars="295"/>
      </w:pPr>
      <w:r>
        <w:t>A</w:t>
      </w:r>
      <w:r>
        <w:rPr>
          <w:vertAlign w:val="subscript"/>
        </w:rPr>
        <w:t>1d</w:t>
      </w:r>
      <w:r>
        <w:rPr>
          <w:rFonts w:hint="eastAsia"/>
        </w:rPr>
        <w:t>——各楼层内隔墙中非砌筑墙体的墙体表面积之和，计算时可不扣除门、窗及预留洞口等的面积；</w:t>
      </w:r>
    </w:p>
    <w:p w14:paraId="101AD4D4">
      <w:pPr>
        <w:pStyle w:val="27"/>
        <w:ind w:left="1950" w:leftChars="540" w:hanging="816" w:hangingChars="340"/>
      </w:pPr>
      <w:r>
        <w:t>A</w:t>
      </w:r>
      <w:r>
        <w:rPr>
          <w:vertAlign w:val="subscript"/>
        </w:rPr>
        <w:t>w3</w:t>
      </w:r>
      <w:r>
        <w:rPr>
          <w:rFonts w:hint="eastAsia"/>
        </w:rPr>
        <w:t>——各楼层内隔墙墙面总面积，计算时可不扣除门、窗、预留洞口等的面积。</w:t>
      </w:r>
    </w:p>
    <w:p w14:paraId="7861F725">
      <w:pPr>
        <w:pStyle w:val="27"/>
        <w:rPr>
          <w:rFonts w:hint="eastAsia" w:hAnsi="宋体"/>
          <w:color w:val="000000" w:themeColor="text1"/>
          <w14:textFill>
            <w14:solidFill>
              <w14:schemeClr w14:val="tx1"/>
            </w14:solidFill>
          </w14:textFill>
        </w:rPr>
      </w:pPr>
      <w:r>
        <w:rPr>
          <w:b/>
          <w:color w:val="000000" w:themeColor="text1"/>
          <w14:textFill>
            <w14:solidFill>
              <w14:schemeClr w14:val="tx1"/>
            </w14:solidFill>
          </w14:textFill>
        </w:rPr>
        <w:t>4.2.8</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全装修宜满足以下要求：</w:t>
      </w:r>
    </w:p>
    <w:p w14:paraId="615344C5">
      <w:pPr>
        <w:pStyle w:val="33"/>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居住建筑全装修范围包括建筑的公共区域、户内各功能空间；</w:t>
      </w:r>
    </w:p>
    <w:p w14:paraId="52821CFF">
      <w:pPr>
        <w:pStyle w:val="33"/>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公共建筑全装修范围包括公共区域和已确定使用功能的室内区域；</w:t>
      </w:r>
    </w:p>
    <w:p w14:paraId="649F3DE6">
      <w:pPr>
        <w:pStyle w:val="33"/>
        <w:ind w:firstLine="48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 xml:space="preserve"> 建筑主体设计应与内、外装修设计同步协同设计。</w:t>
      </w:r>
    </w:p>
    <w:p w14:paraId="4C168389">
      <w:pPr>
        <w:pStyle w:val="33"/>
        <w:ind w:firstLine="48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 xml:space="preserve"> 政府投资保障性住房和人才公寓，应采用装配式装修，采用管线一体化隔墙、成品墙面、干式楼地面、集成卫生间、集成厨房和管线分离等</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项技术中不少于</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项。</w:t>
      </w:r>
    </w:p>
    <w:p w14:paraId="34C45FEE">
      <w:pPr>
        <w:spacing w:line="360" w:lineRule="auto"/>
        <w:ind w:firstLine="480"/>
        <w:rPr>
          <w:rFonts w:hint="eastAsia" w:ascii="楷体" w:hAnsi="楷体" w:eastAsia="楷体" w:cs="楷体"/>
          <w:iCs/>
          <w:sz w:val="24"/>
          <w:shd w:val="clear" w:color="auto" w:fill="FFFFFF"/>
          <w:lang w:bidi="ar"/>
        </w:rPr>
      </w:pPr>
    </w:p>
    <w:p w14:paraId="4583F06E">
      <w:pPr>
        <w:spacing w:line="360" w:lineRule="auto"/>
        <w:ind w:firstLine="480"/>
        <w:rPr>
          <w:rFonts w:hint="eastAsia" w:ascii="楷体" w:hAnsi="楷体" w:eastAsia="楷体" w:cs="楷体"/>
          <w:iCs/>
          <w:sz w:val="24"/>
          <w:shd w:val="clear" w:color="auto" w:fill="FFFFFF"/>
          <w:lang w:bidi="ar"/>
        </w:rPr>
        <w:sectPr>
          <w:pgSz w:w="11906" w:h="16838"/>
          <w:pgMar w:top="1418" w:right="1418" w:bottom="1418" w:left="1418" w:header="851" w:footer="992" w:gutter="0"/>
          <w:cols w:space="425" w:num="1"/>
          <w:docGrid w:type="lines" w:linePitch="312" w:charSpace="0"/>
        </w:sectPr>
      </w:pPr>
    </w:p>
    <w:p w14:paraId="722C363A">
      <w:pPr>
        <w:pStyle w:val="51"/>
        <w:widowControl/>
        <w:spacing w:before="156" w:after="156"/>
        <w:ind w:firstLine="562"/>
      </w:pPr>
      <w:bookmarkStart w:id="57" w:name="_Toc110785795"/>
      <w:bookmarkStart w:id="58" w:name="_Toc174629901"/>
      <w:bookmarkStart w:id="59" w:name="_Toc174629879"/>
      <w:r>
        <w:t>4.</w:t>
      </w:r>
      <w:bookmarkEnd w:id="57"/>
      <w:r>
        <w:t xml:space="preserve">3 </w:t>
      </w:r>
      <w:r>
        <w:rPr>
          <w:rFonts w:hint="eastAsia" w:cs="宋体"/>
        </w:rPr>
        <w:t>系统化集成设计</w:t>
      </w:r>
      <w:bookmarkEnd w:id="58"/>
      <w:bookmarkEnd w:id="59"/>
    </w:p>
    <w:p w14:paraId="137591C8">
      <w:pPr>
        <w:pStyle w:val="27"/>
        <w:widowControl/>
        <w:rPr>
          <w:rFonts w:cs="宋体"/>
        </w:rPr>
      </w:pPr>
      <w:r>
        <w:rPr>
          <w:b/>
        </w:rPr>
        <w:t>4.3.1</w:t>
      </w:r>
      <w:r>
        <w:tab/>
      </w:r>
      <w:r>
        <w:rPr>
          <w:rFonts w:hint="eastAsia" w:cs="宋体"/>
        </w:rPr>
        <w:t>平面布置标准化评价项应符合以下规定：</w:t>
      </w:r>
    </w:p>
    <w:p w14:paraId="20667322">
      <w:pPr>
        <w:pStyle w:val="33"/>
        <w:ind w:firstLine="480"/>
      </w:pPr>
      <w:r>
        <w:t>1</w:t>
      </w:r>
      <w:r>
        <w:rPr>
          <w:rFonts w:hint="eastAsia"/>
        </w:rPr>
        <w:t>、在公共建筑中，重复使用量最多的三个基本单元（写字楼的办公间、酒店的标准间、医院的病房、学校的教室等）的面积之和占评价单元总建筑面积的比例不低于</w:t>
      </w:r>
      <w:r>
        <w:t>50%</w:t>
      </w:r>
      <w:r>
        <w:rPr>
          <w:rFonts w:hint="eastAsia"/>
        </w:rPr>
        <w:t>时，该项评价分值为</w:t>
      </w:r>
      <w:r>
        <w:t>8</w:t>
      </w:r>
      <w:r>
        <w:rPr>
          <w:rFonts w:hint="eastAsia"/>
        </w:rPr>
        <w:t>分。</w:t>
      </w:r>
    </w:p>
    <w:p w14:paraId="155BB226">
      <w:pPr>
        <w:pStyle w:val="33"/>
        <w:ind w:firstLine="480"/>
      </w:pPr>
      <w:r>
        <w:t>2</w:t>
      </w:r>
      <w:r>
        <w:rPr>
          <w:rFonts w:hint="eastAsia"/>
        </w:rPr>
        <w:t>、居住建筑采用国家、省、市等标准化户型图集方案或满足下列技术要求时，该项评价分值为</w:t>
      </w:r>
      <w:r>
        <w:t>8</w:t>
      </w:r>
      <w:r>
        <w:rPr>
          <w:rFonts w:hint="eastAsia"/>
        </w:rPr>
        <w:t>分：主体结构网格尺寸宜满足相关规范的模数要求；评价单元中，重复使用量最多的三个基本户型的面积之和占总建筑面积的比例不低于</w:t>
      </w:r>
      <w:r>
        <w:t>50%</w:t>
      </w:r>
      <w:r>
        <w:rPr>
          <w:rFonts w:hint="eastAsia"/>
        </w:rPr>
        <w:t>。</w:t>
      </w:r>
    </w:p>
    <w:p w14:paraId="3E4805E6">
      <w:pPr>
        <w:pStyle w:val="27"/>
        <w:rPr>
          <w:lang w:bidi="ar"/>
        </w:rPr>
      </w:pPr>
      <w:r>
        <w:rPr>
          <w:b/>
        </w:rPr>
        <w:t>4.3.2</w:t>
      </w:r>
      <w:r>
        <w:tab/>
      </w:r>
      <w:r>
        <w:rPr>
          <w:rFonts w:hint="eastAsia"/>
          <w:lang w:bidi="ar"/>
        </w:rPr>
        <w:t>预制构件及部品应满足规格少、组合多的要求，预制构件及部品标准化评价项当满足以下任一规定时，该项评价分值为</w:t>
      </w:r>
      <w:r>
        <w:rPr>
          <w:lang w:bidi="ar"/>
        </w:rPr>
        <w:t>8</w:t>
      </w:r>
      <w:r>
        <w:rPr>
          <w:rFonts w:hint="eastAsia"/>
          <w:lang w:bidi="ar"/>
        </w:rPr>
        <w:t>分。</w:t>
      </w:r>
    </w:p>
    <w:p w14:paraId="37414D63">
      <w:pPr>
        <w:pStyle w:val="33"/>
        <w:ind w:firstLine="480"/>
      </w:pPr>
      <w:r>
        <w:rPr>
          <w:lang w:bidi="ar"/>
        </w:rPr>
        <w:t>1</w:t>
      </w:r>
      <w:r>
        <w:rPr>
          <w:rFonts w:hint="eastAsia"/>
          <w:lang w:bidi="ar"/>
        </w:rPr>
        <w:t>、采用国家、省、市等标准图集中标准样式的预制构件，所选种类的预制构件应用数量不低于同类构件的</w:t>
      </w:r>
      <w:r>
        <w:rPr>
          <w:lang w:bidi="ar"/>
        </w:rPr>
        <w:t>50%</w:t>
      </w:r>
      <w:r>
        <w:rPr>
          <w:rFonts w:hint="eastAsia"/>
          <w:lang w:bidi="ar"/>
        </w:rPr>
        <w:t>。</w:t>
      </w:r>
    </w:p>
    <w:p w14:paraId="5F42989E">
      <w:pPr>
        <w:pStyle w:val="33"/>
        <w:ind w:firstLine="480"/>
      </w:pPr>
      <w:r>
        <w:rPr>
          <w:lang w:bidi="ar"/>
        </w:rPr>
        <w:t>2</w:t>
      </w:r>
      <w:r>
        <w:rPr>
          <w:rFonts w:hint="eastAsia"/>
          <w:lang w:bidi="ar"/>
        </w:rPr>
        <w:t>、满足以下任意三项技术要求：</w:t>
      </w:r>
    </w:p>
    <w:p w14:paraId="18E5D472">
      <w:pPr>
        <w:pStyle w:val="33"/>
        <w:ind w:firstLine="480"/>
      </w:pPr>
      <w:r>
        <w:rPr>
          <w:lang w:bidi="ar"/>
        </w:rPr>
        <w:t>1</w:t>
      </w:r>
      <w:r>
        <w:rPr>
          <w:rFonts w:hint="eastAsia"/>
          <w:lang w:bidi="ar"/>
        </w:rPr>
        <w:t>）外窗宽度为扩大模数</w:t>
      </w:r>
      <w:r>
        <w:rPr>
          <w:lang w:bidi="ar"/>
        </w:rPr>
        <w:t>3M</w:t>
      </w:r>
      <w:r>
        <w:rPr>
          <w:rFonts w:hint="eastAsia"/>
          <w:lang w:bidi="ar"/>
        </w:rPr>
        <w:t>的整数倍，高度为基本模数的整数倍，该类外窗占外窗总数量的比例不低于</w:t>
      </w:r>
      <w:r>
        <w:rPr>
          <w:lang w:bidi="ar"/>
        </w:rPr>
        <w:t>50%</w:t>
      </w:r>
      <w:r>
        <w:rPr>
          <w:rFonts w:hint="eastAsia"/>
          <w:lang w:bidi="ar"/>
        </w:rPr>
        <w:t>；</w:t>
      </w:r>
    </w:p>
    <w:p w14:paraId="4413D43C">
      <w:pPr>
        <w:pStyle w:val="33"/>
        <w:ind w:firstLine="480"/>
      </w:pPr>
      <w:r>
        <w:rPr>
          <w:lang w:bidi="ar"/>
        </w:rPr>
        <w:t>2</w:t>
      </w:r>
      <w:r>
        <w:rPr>
          <w:rFonts w:hint="eastAsia"/>
          <w:lang w:bidi="ar"/>
        </w:rPr>
        <w:t>）预制楼梯在评价单元中重复使用量最多的一个规格构件（公共建筑为两个规格构件）的总个数占预制楼梯总数的比例不低于</w:t>
      </w:r>
      <w:r>
        <w:rPr>
          <w:lang w:bidi="ar"/>
        </w:rPr>
        <w:t>50%</w:t>
      </w:r>
      <w:r>
        <w:rPr>
          <w:rFonts w:hint="eastAsia"/>
          <w:lang w:bidi="ar"/>
        </w:rPr>
        <w:t>；</w:t>
      </w:r>
    </w:p>
    <w:p w14:paraId="47C1CBD3">
      <w:pPr>
        <w:pStyle w:val="33"/>
        <w:ind w:firstLine="480"/>
      </w:pPr>
      <w:r>
        <w:rPr>
          <w:lang w:bidi="ar"/>
        </w:rPr>
        <w:t>3</w:t>
      </w:r>
      <w:r>
        <w:rPr>
          <w:rFonts w:hint="eastAsia"/>
          <w:lang w:bidi="ar"/>
        </w:rPr>
        <w:t>）预制阳台板在评价单元中重复使用量最多的两个规格构件的总个数占预制阳台板总数量的比例不低于</w:t>
      </w:r>
      <w:r>
        <w:rPr>
          <w:lang w:bidi="ar"/>
        </w:rPr>
        <w:t>50%</w:t>
      </w:r>
      <w:r>
        <w:rPr>
          <w:rFonts w:hint="eastAsia"/>
          <w:lang w:bidi="ar"/>
        </w:rPr>
        <w:t>；</w:t>
      </w:r>
    </w:p>
    <w:p w14:paraId="70B5492C">
      <w:pPr>
        <w:pStyle w:val="33"/>
        <w:ind w:firstLine="480"/>
      </w:pPr>
      <w:r>
        <w:rPr>
          <w:lang w:bidi="ar"/>
        </w:rPr>
        <w:t>4</w:t>
      </w:r>
      <w:r>
        <w:rPr>
          <w:rFonts w:hint="eastAsia"/>
          <w:lang w:bidi="ar"/>
        </w:rPr>
        <w:t>）预制楼（屋）面板在评价单元中重复使用量最多的三个规格构件的总面积占预制楼（屋）面板总面积的比例不低于</w:t>
      </w:r>
      <w:r>
        <w:rPr>
          <w:lang w:bidi="ar"/>
        </w:rPr>
        <w:t>50%</w:t>
      </w:r>
      <w:r>
        <w:rPr>
          <w:rFonts w:hint="eastAsia"/>
          <w:lang w:bidi="ar"/>
        </w:rPr>
        <w:t>（住宅不低于</w:t>
      </w:r>
      <w:r>
        <w:rPr>
          <w:lang w:bidi="ar"/>
        </w:rPr>
        <w:t>30%</w:t>
      </w:r>
      <w:r>
        <w:rPr>
          <w:rFonts w:hint="eastAsia"/>
          <w:lang w:bidi="ar"/>
        </w:rPr>
        <w:t>）；</w:t>
      </w:r>
    </w:p>
    <w:p w14:paraId="75C50FEC">
      <w:pPr>
        <w:pStyle w:val="33"/>
        <w:ind w:firstLine="480"/>
      </w:pPr>
      <w:r>
        <w:rPr>
          <w:lang w:bidi="ar"/>
        </w:rPr>
        <w:t>5)</w:t>
      </w:r>
      <w:r>
        <w:rPr>
          <w:rFonts w:hint="eastAsia"/>
          <w:lang w:bidi="ar"/>
        </w:rPr>
        <w:t>预制梁在评价单元中重复使用量最多的三个规格构件的总个数占预制梁构件总数的比例不低于</w:t>
      </w:r>
      <w:r>
        <w:rPr>
          <w:lang w:bidi="ar"/>
        </w:rPr>
        <w:t>50%</w:t>
      </w:r>
      <w:r>
        <w:rPr>
          <w:rFonts w:hint="eastAsia"/>
          <w:lang w:bidi="ar"/>
        </w:rPr>
        <w:t>（住宅不低于</w:t>
      </w:r>
      <w:r>
        <w:rPr>
          <w:lang w:bidi="ar"/>
        </w:rPr>
        <w:t>30%</w:t>
      </w:r>
      <w:r>
        <w:rPr>
          <w:rFonts w:hint="eastAsia"/>
          <w:lang w:bidi="ar"/>
        </w:rPr>
        <w:t>）；</w:t>
      </w:r>
    </w:p>
    <w:p w14:paraId="2400C327">
      <w:pPr>
        <w:pStyle w:val="33"/>
        <w:ind w:firstLine="480"/>
      </w:pPr>
      <w:r>
        <w:rPr>
          <w:lang w:bidi="ar"/>
        </w:rPr>
        <w:t>6)</w:t>
      </w:r>
      <w:r>
        <w:rPr>
          <w:rFonts w:hint="eastAsia"/>
          <w:lang w:bidi="ar"/>
        </w:rPr>
        <w:t>预制柱或预制承重墙体在评价单元中重复使用量最多的三个规格构件的总个数占同类预制构件总数的比例不低于</w:t>
      </w:r>
      <w:r>
        <w:rPr>
          <w:lang w:bidi="ar"/>
        </w:rPr>
        <w:t>50%</w:t>
      </w:r>
      <w:r>
        <w:rPr>
          <w:rFonts w:hint="eastAsia"/>
          <w:lang w:bidi="ar"/>
        </w:rPr>
        <w:t>（住宅不低于</w:t>
      </w:r>
      <w:r>
        <w:rPr>
          <w:lang w:bidi="ar"/>
        </w:rPr>
        <w:t>30%</w:t>
      </w:r>
      <w:r>
        <w:rPr>
          <w:rFonts w:hint="eastAsia"/>
          <w:lang w:bidi="ar"/>
        </w:rPr>
        <w:t>）；</w:t>
      </w:r>
    </w:p>
    <w:p w14:paraId="4C4B70BB">
      <w:pPr>
        <w:pStyle w:val="33"/>
        <w:ind w:firstLine="480"/>
        <w:rPr>
          <w:lang w:bidi="ar"/>
        </w:rPr>
      </w:pPr>
      <w:r>
        <w:rPr>
          <w:lang w:bidi="ar"/>
        </w:rPr>
        <w:t>7)</w:t>
      </w:r>
      <w:r>
        <w:rPr>
          <w:rFonts w:hint="eastAsia"/>
          <w:lang w:bidi="ar"/>
        </w:rPr>
        <w:t>整间式预制外墙板、单元式幕墙在评价单元中重复使用量最多的三个规格构件的总个数占同类预制构件总数的比例不低于</w:t>
      </w:r>
      <w:r>
        <w:rPr>
          <w:lang w:bidi="ar"/>
        </w:rPr>
        <w:t>50%</w:t>
      </w:r>
      <w:r>
        <w:rPr>
          <w:rFonts w:hint="eastAsia"/>
          <w:lang w:bidi="ar"/>
        </w:rPr>
        <w:t>（住宅不低于</w:t>
      </w:r>
      <w:r>
        <w:rPr>
          <w:lang w:bidi="ar"/>
        </w:rPr>
        <w:t>30%</w:t>
      </w:r>
      <w:r>
        <w:rPr>
          <w:rFonts w:hint="eastAsia"/>
          <w:lang w:bidi="ar"/>
        </w:rPr>
        <w:t>）。</w:t>
      </w:r>
    </w:p>
    <w:p w14:paraId="7682964D">
      <w:pPr>
        <w:pStyle w:val="33"/>
        <w:spacing w:after="156" w:afterLines="50"/>
        <w:ind w:firstLine="480"/>
      </w:pPr>
      <w:r>
        <w:rPr>
          <w:lang w:bidi="ar"/>
        </w:rPr>
        <w:t>8)</w:t>
      </w:r>
      <w:r>
        <w:rPr>
          <w:rFonts w:hint="eastAsia"/>
          <w:lang w:bidi="ar"/>
        </w:rPr>
        <w:t>模块化建筑单元在评价单元中重复使用量最多的三个规格模块的总个数占同类预制构件总数的比例不低于6</w:t>
      </w:r>
      <w:r>
        <w:rPr>
          <w:lang w:bidi="ar"/>
        </w:rPr>
        <w:t>0</w:t>
      </w:r>
      <w:r>
        <w:rPr>
          <w:rFonts w:hint="eastAsia"/>
          <w:lang w:bidi="ar"/>
        </w:rPr>
        <w:t>%。</w:t>
      </w:r>
    </w:p>
    <w:p w14:paraId="1E20B398">
      <w:pPr>
        <w:pStyle w:val="27"/>
        <w:spacing w:after="156" w:afterLines="50"/>
        <w:rPr>
          <w:lang w:bidi="ar"/>
        </w:rPr>
      </w:pPr>
      <w:r>
        <w:rPr>
          <w:b/>
          <w:lang w:bidi="ar"/>
        </w:rPr>
        <w:t>4.3.3</w:t>
      </w:r>
      <w:r>
        <w:rPr>
          <w:lang w:bidi="ar"/>
        </w:rPr>
        <w:tab/>
      </w:r>
      <w:r>
        <w:rPr>
          <w:rFonts w:hint="eastAsia"/>
          <w:lang w:bidi="ar"/>
        </w:rPr>
        <w:t>预制构件的连接节点部位应满足安全、经济、方便施工的要求，当构件连接节点标准化设计满足《装配式混凝土建筑技术标准》</w:t>
      </w:r>
      <w:r>
        <w:rPr>
          <w:lang w:bidi="ar"/>
        </w:rPr>
        <w:t>GB/T51231</w:t>
      </w:r>
      <w:r>
        <w:rPr>
          <w:rFonts w:hint="eastAsia"/>
          <w:lang w:bidi="ar"/>
        </w:rPr>
        <w:t>、《装配式混凝土建筑结构技术规程》</w:t>
      </w:r>
      <w:r>
        <w:rPr>
          <w:lang w:bidi="ar"/>
        </w:rPr>
        <w:t>DBJ 15-107</w:t>
      </w:r>
      <w:r>
        <w:rPr>
          <w:rFonts w:hint="eastAsia"/>
          <w:lang w:bidi="ar"/>
        </w:rPr>
        <w:t>、《装配式钢结构建筑技术标准》</w:t>
      </w:r>
      <w:r>
        <w:rPr>
          <w:lang w:bidi="ar"/>
        </w:rPr>
        <w:t>GB/T 51232-2016</w:t>
      </w:r>
      <w:r>
        <w:rPr>
          <w:rFonts w:hint="eastAsia"/>
          <w:lang w:bidi="ar"/>
        </w:rPr>
        <w:t>、《装配式钢结构住宅建筑技术标准》</w:t>
      </w:r>
      <w:r>
        <w:rPr>
          <w:lang w:bidi="ar"/>
        </w:rPr>
        <w:t>JGJ/T469-2019</w:t>
      </w:r>
      <w:r>
        <w:rPr>
          <w:rFonts w:hint="eastAsia"/>
          <w:lang w:bidi="ar"/>
        </w:rPr>
        <w:t>规定，或采用国家、省、市装配式建筑标准图集节点大样，该评价分值为</w:t>
      </w:r>
      <w:r>
        <w:rPr>
          <w:lang w:bidi="ar"/>
        </w:rPr>
        <w:t>3</w:t>
      </w:r>
      <w:r>
        <w:rPr>
          <w:rFonts w:hint="eastAsia"/>
          <w:lang w:bidi="ar"/>
        </w:rPr>
        <w:t>分。</w:t>
      </w:r>
    </w:p>
    <w:p w14:paraId="58B32A28">
      <w:pPr>
        <w:pStyle w:val="27"/>
        <w:spacing w:after="156" w:afterLines="50"/>
        <w:rPr>
          <w:lang w:bidi="ar"/>
        </w:rPr>
      </w:pPr>
      <w:r>
        <w:rPr>
          <w:rFonts w:hint="eastAsia"/>
          <w:b/>
          <w:bCs/>
          <w:lang w:bidi="ar"/>
        </w:rPr>
        <w:t>4</w:t>
      </w:r>
      <w:r>
        <w:rPr>
          <w:b/>
          <w:bCs/>
          <w:lang w:bidi="ar"/>
        </w:rPr>
        <w:t>.3.4</w:t>
      </w:r>
      <w:r>
        <w:rPr>
          <w:lang w:bidi="ar"/>
        </w:rPr>
        <w:tab/>
      </w:r>
      <w:r>
        <w:rPr>
          <w:rFonts w:hint="eastAsia"/>
          <w:lang w:bidi="ar"/>
        </w:rPr>
        <w:t>多专业协同指，通过数字化设计手段推进建筑、结构、设备管线、装修等多专业一体化集成设计，提高建筑整体性，避免二次拆分设计，确保设计深度符合生产和施工要求，发挥新型建筑工业化系统集成综合优势。</w:t>
      </w:r>
    </w:p>
    <w:p w14:paraId="24FBCC1A">
      <w:pPr>
        <w:pStyle w:val="27"/>
        <w:spacing w:after="156" w:afterLines="50"/>
      </w:pPr>
      <w:r>
        <w:rPr>
          <w:rFonts w:hint="eastAsia"/>
          <w:b/>
          <w:bCs/>
          <w:lang w:bidi="ar"/>
        </w:rPr>
        <w:t>4</w:t>
      </w:r>
      <w:r>
        <w:rPr>
          <w:b/>
          <w:bCs/>
          <w:lang w:bidi="ar"/>
        </w:rPr>
        <w:t>.3.5</w:t>
      </w:r>
      <w:r>
        <w:rPr>
          <w:b/>
          <w:bCs/>
          <w:lang w:bidi="ar"/>
        </w:rPr>
        <w:tab/>
      </w:r>
      <w:r>
        <w:rPr>
          <w:rFonts w:hint="eastAsia"/>
          <w:lang w:bidi="ar"/>
        </w:rPr>
        <w:t>建筑工业化方案技术论证需满足，项目实施过程中有针对建筑工业化的技术方案论证会议，形成相应的会议文件。</w:t>
      </w:r>
    </w:p>
    <w:p w14:paraId="51B4DE1E">
      <w:pPr>
        <w:pStyle w:val="27"/>
      </w:pPr>
      <w:r>
        <w:rPr>
          <w:b/>
          <w:lang w:bidi="ar"/>
        </w:rPr>
        <w:t>4.3.6</w:t>
      </w:r>
      <w:r>
        <w:rPr>
          <w:lang w:bidi="ar"/>
        </w:rPr>
        <w:tab/>
      </w:r>
      <w:r>
        <w:rPr>
          <w:rFonts w:hint="eastAsia"/>
        </w:rPr>
        <w:t>围护墙采用墙体、保温、隔热集成一体化的应用比例应按下式计算：</w:t>
      </w:r>
    </w:p>
    <w:p w14:paraId="22BA1272">
      <w:pPr>
        <w:pStyle w:val="69"/>
        <w:tabs>
          <w:tab w:val="left" w:pos="3075"/>
        </w:tabs>
        <w:ind w:firstLine="560"/>
        <w:rPr>
          <w:rStyle w:val="30"/>
        </w:rPr>
      </w:pPr>
      <w:r>
        <w:rPr>
          <w:position w:val="-34"/>
        </w:rPr>
        <w:object>
          <v:shape id="_x0000_i1026" o:spt="75" type="#_x0000_t75" style="height:38.25pt;width:97.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Style w:val="30"/>
          <w:rFonts w:hint="eastAsia"/>
        </w:rPr>
        <w:t xml:space="preserve">     (4</w:t>
      </w:r>
      <w:r>
        <w:rPr>
          <w:rStyle w:val="30"/>
        </w:rPr>
        <w:t>.2.4)</w:t>
      </w:r>
    </w:p>
    <w:p w14:paraId="57626851">
      <w:pPr>
        <w:pStyle w:val="60"/>
        <w:spacing w:after="156"/>
        <w:ind w:firstLine="480"/>
      </w:pPr>
      <w:r>
        <w:rPr>
          <w:rFonts w:hint="eastAsia"/>
        </w:rPr>
        <w:t>式中：q</w:t>
      </w:r>
      <w:r>
        <w:rPr>
          <w:vertAlign w:val="subscript"/>
        </w:rPr>
        <w:t>2d</w:t>
      </w:r>
      <w:r>
        <w:rPr>
          <w:rFonts w:hint="eastAsia"/>
        </w:rPr>
        <w:t>——围护墙采用墙体、保温、隔热一体化的应用比例；</w:t>
      </w:r>
    </w:p>
    <w:p w14:paraId="7548E183">
      <w:pPr>
        <w:pStyle w:val="60"/>
        <w:spacing w:after="156"/>
        <w:ind w:left="2131" w:leftChars="631" w:hanging="806" w:hangingChars="336"/>
      </w:pPr>
      <w:r>
        <w:rPr>
          <w:rFonts w:hint="eastAsia"/>
        </w:rPr>
        <w:t>A</w:t>
      </w:r>
      <w:r>
        <w:rPr>
          <w:vertAlign w:val="subscript"/>
        </w:rPr>
        <w:t>2d</w:t>
      </w:r>
      <w:r>
        <w:rPr>
          <w:rFonts w:hint="eastAsia"/>
        </w:rPr>
        <w:t>——各楼层围护墙采用墙体、保温、隔热一体化墙体外表面积之和，计算时可不扣除门、窗及预留洞口等的面积，可扣除承重竖向构件的面积；</w:t>
      </w:r>
    </w:p>
    <w:p w14:paraId="0800429F">
      <w:pPr>
        <w:pStyle w:val="60"/>
        <w:spacing w:after="156"/>
        <w:ind w:left="2124" w:leftChars="608" w:hanging="847" w:hangingChars="353"/>
      </w:pPr>
      <w:r>
        <w:rPr>
          <w:rFonts w:hint="eastAsia"/>
        </w:rPr>
        <w:t>A</w:t>
      </w:r>
      <w:r>
        <w:rPr>
          <w:rFonts w:hint="eastAsia"/>
          <w:vertAlign w:val="subscript"/>
        </w:rPr>
        <w:t>w</w:t>
      </w:r>
      <w:r>
        <w:rPr>
          <w:vertAlign w:val="subscript"/>
        </w:rPr>
        <w:t>1</w:t>
      </w:r>
      <w:r>
        <w:rPr>
          <w:rFonts w:hint="eastAsia"/>
        </w:rPr>
        <w:t>——各楼层外围护墙外表总面积，计算时可不扣除门、窗及预留洞口等的面积，可扣除承重竖向构件的面积。</w:t>
      </w:r>
    </w:p>
    <w:p w14:paraId="0D08941F">
      <w:pPr>
        <w:pStyle w:val="27"/>
      </w:pPr>
      <w:r>
        <w:rPr>
          <w:rFonts w:hint="eastAsia"/>
          <w:b/>
        </w:rPr>
        <w:t>4.</w:t>
      </w:r>
      <w:r>
        <w:rPr>
          <w:b/>
        </w:rPr>
        <w:t>3</w:t>
      </w:r>
      <w:r>
        <w:rPr>
          <w:rFonts w:hint="eastAsia"/>
          <w:b/>
        </w:rPr>
        <w:t>.</w:t>
      </w:r>
      <w:r>
        <w:rPr>
          <w:b/>
        </w:rPr>
        <w:t>7</w:t>
      </w:r>
      <w:r>
        <w:tab/>
      </w:r>
      <w:r>
        <w:rPr>
          <w:rFonts w:hint="eastAsia"/>
        </w:rPr>
        <w:t>内隔墙采用墙体、管线集成、装饰一体化的应用比例应按下式计算：</w:t>
      </w:r>
    </w:p>
    <w:p w14:paraId="1D27323F">
      <w:pPr>
        <w:pStyle w:val="27"/>
        <w:jc w:val="center"/>
      </w:pPr>
      <w:r>
        <w:rPr>
          <w:position w:val="-34"/>
        </w:rPr>
        <w:object>
          <v:shape id="_x0000_i1027" o:spt="75" type="#_x0000_t75" style="height:38.25pt;width:98.2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tab/>
      </w:r>
      <w:r>
        <w:rPr>
          <w:rFonts w:hint="eastAsia"/>
        </w:rPr>
        <w:t>（4</w:t>
      </w:r>
      <w:r>
        <w:t>.2.5</w:t>
      </w:r>
      <w:r>
        <w:rPr>
          <w:rFonts w:hint="eastAsia"/>
        </w:rPr>
        <w:t>）</w:t>
      </w:r>
    </w:p>
    <w:p w14:paraId="03BF4B38">
      <w:pPr>
        <w:pStyle w:val="27"/>
      </w:pPr>
      <w:r>
        <w:rPr>
          <w:rFonts w:hint="eastAsia"/>
        </w:rPr>
        <w:t>式中：</w:t>
      </w:r>
      <w:r>
        <w:t>q</w:t>
      </w:r>
      <w:r>
        <w:rPr>
          <w:vertAlign w:val="subscript"/>
        </w:rPr>
        <w:t>2e</w:t>
      </w:r>
      <w:r>
        <w:rPr>
          <w:rFonts w:hint="eastAsia"/>
        </w:rPr>
        <w:t>——内隔墙采用墙体、管线一体化的应用比例；</w:t>
      </w:r>
    </w:p>
    <w:p w14:paraId="5CB55CE3">
      <w:pPr>
        <w:pStyle w:val="27"/>
        <w:ind w:left="1339" w:leftChars="295" w:hanging="720" w:hangingChars="300"/>
      </w:pPr>
      <w:r>
        <w:t>A</w:t>
      </w:r>
      <w:r>
        <w:rPr>
          <w:vertAlign w:val="subscript"/>
        </w:rPr>
        <w:t>2e</w:t>
      </w:r>
      <w:r>
        <w:rPr>
          <w:rFonts w:hint="eastAsia"/>
        </w:rPr>
        <w:t>——各楼层内隔墙采用墙体、管线一体化墙体表面积之和，计算时可  不扣除门、窗及预留洞口等的面积。</w:t>
      </w:r>
    </w:p>
    <w:p w14:paraId="34B95D7D">
      <w:pPr>
        <w:pStyle w:val="27"/>
        <w:ind w:left="1560" w:leftChars="337" w:hanging="852" w:hangingChars="355"/>
      </w:pPr>
      <w:r>
        <w:rPr>
          <w:rFonts w:hint="eastAsia"/>
        </w:rPr>
        <w:t>A</w:t>
      </w:r>
      <w:r>
        <w:rPr>
          <w:rFonts w:hint="eastAsia"/>
          <w:vertAlign w:val="subscript"/>
        </w:rPr>
        <w:t>w</w:t>
      </w:r>
      <w:r>
        <w:rPr>
          <w:vertAlign w:val="subscript"/>
        </w:rPr>
        <w:t>2</w:t>
      </w:r>
      <w:r>
        <w:rPr>
          <w:rFonts w:hint="eastAsia"/>
        </w:rPr>
        <w:t>——各楼层内隔墙墙面总面积，计算时可不扣除门、窗及预留洞口等的面积，可扣除承重竖向构件的面积。</w:t>
      </w:r>
    </w:p>
    <w:p w14:paraId="450D6D95">
      <w:pPr>
        <w:widowControl/>
        <w:ind w:firstLine="420"/>
        <w:jc w:val="left"/>
        <w:rPr>
          <w:rFonts w:ascii="Times New Roman" w:hAnsi="Times New Roman" w:eastAsia="宋体" w:cs="宋体"/>
          <w:sz w:val="28"/>
          <w:szCs w:val="28"/>
          <w:lang w:bidi="ar"/>
        </w:rPr>
      </w:pPr>
      <w:r>
        <w:rPr>
          <w:rFonts w:cs="宋体"/>
          <w:lang w:bidi="ar"/>
        </w:rPr>
        <w:br w:type="page"/>
      </w:r>
    </w:p>
    <w:p w14:paraId="18021C5B">
      <w:pPr>
        <w:pStyle w:val="33"/>
        <w:widowControl/>
        <w:ind w:firstLine="0" w:firstLineChars="0"/>
      </w:pPr>
    </w:p>
    <w:p w14:paraId="24068456">
      <w:pPr>
        <w:pStyle w:val="51"/>
        <w:widowControl/>
        <w:spacing w:before="156" w:after="156"/>
        <w:ind w:firstLine="562"/>
      </w:pPr>
      <w:bookmarkStart w:id="60" w:name="_Toc110785796"/>
      <w:bookmarkStart w:id="61" w:name="_Toc174629902"/>
      <w:bookmarkStart w:id="62" w:name="_Toc174629880"/>
      <w:r>
        <w:t>4.</w:t>
      </w:r>
      <w:bookmarkEnd w:id="60"/>
      <w:r>
        <w:t xml:space="preserve">4 </w:t>
      </w:r>
      <w:r>
        <w:rPr>
          <w:rFonts w:hint="eastAsia" w:cs="宋体"/>
        </w:rPr>
        <w:t>构件和部品部件生产</w:t>
      </w:r>
      <w:bookmarkEnd w:id="61"/>
      <w:bookmarkEnd w:id="62"/>
    </w:p>
    <w:p w14:paraId="49C5F98F">
      <w:pPr>
        <w:pStyle w:val="27"/>
        <w:widowControl/>
        <w:rPr>
          <w:rFonts w:cs="宋体"/>
        </w:rPr>
      </w:pPr>
      <w:r>
        <w:rPr>
          <w:b/>
        </w:rPr>
        <w:t>4.4.1</w:t>
      </w:r>
      <w:r>
        <w:tab/>
      </w:r>
      <w:r>
        <w:rPr>
          <w:rFonts w:hint="eastAsia" w:cs="宋体"/>
        </w:rPr>
        <w:t>构件与部件生产企业具备相关的生产工艺设备和完善的质量管理体系，得3分。</w:t>
      </w:r>
    </w:p>
    <w:p w14:paraId="1505B662">
      <w:pPr>
        <w:pStyle w:val="27"/>
        <w:widowControl/>
        <w:spacing w:after="156" w:afterLines="50"/>
        <w:rPr>
          <w:rFonts w:cs="宋体"/>
        </w:rPr>
      </w:pPr>
      <w:r>
        <w:rPr>
          <w:b/>
        </w:rPr>
        <w:t>4.4.2</w:t>
      </w:r>
      <w:r>
        <w:tab/>
      </w:r>
      <w:r>
        <w:rPr>
          <w:rFonts w:hint="eastAsia" w:cs="宋体"/>
        </w:rPr>
        <w:t>构件和部件各项性能指标符合设计及标准图集要求，构件质量符合国家现行有关标准要求，产品具有合格证及相关性能检测报告且可追溯，得3分。</w:t>
      </w:r>
    </w:p>
    <w:p w14:paraId="1B683743">
      <w:pPr>
        <w:pStyle w:val="27"/>
        <w:rPr>
          <w:rFonts w:cs="宋体"/>
        </w:rPr>
      </w:pPr>
      <w:r>
        <w:rPr>
          <w:rFonts w:cs="宋体"/>
          <w:b/>
        </w:rPr>
        <w:t>4.4.3</w:t>
      </w:r>
      <w:r>
        <w:rPr>
          <w:rFonts w:cs="宋体"/>
        </w:rPr>
        <w:tab/>
      </w:r>
      <w:r>
        <w:rPr>
          <w:rFonts w:hint="eastAsia" w:cs="宋体"/>
        </w:rPr>
        <w:t>集成卫生间的洁具设备等应全部安装到位，墙面、顶面和地面中干式工法施工的应用比例大于5</w:t>
      </w:r>
      <w:r>
        <w:rPr>
          <w:rFonts w:cs="宋体"/>
        </w:rPr>
        <w:t>0</w:t>
      </w:r>
      <w:r>
        <w:rPr>
          <w:rFonts w:hint="eastAsia" w:cs="宋体"/>
        </w:rPr>
        <w:t>%，得1</w:t>
      </w:r>
      <w:r>
        <w:rPr>
          <w:rFonts w:cs="宋体"/>
        </w:rPr>
        <w:t>.5</w:t>
      </w:r>
      <w:r>
        <w:rPr>
          <w:rFonts w:hint="eastAsia" w:cs="宋体"/>
        </w:rPr>
        <w:t>分，应用比例应按下式计算：</w:t>
      </w:r>
    </w:p>
    <w:p w14:paraId="081CD884">
      <w:pPr>
        <w:pStyle w:val="27"/>
        <w:jc w:val="center"/>
        <w:rPr>
          <w:rFonts w:cs="宋体"/>
        </w:rPr>
      </w:pPr>
      <w:r>
        <w:rPr>
          <w:position w:val="-34"/>
        </w:rPr>
        <w:object>
          <v:shape id="_x0000_i1028" o:spt="75" type="#_x0000_t75" style="height:38.25pt;width:96.7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cs="宋体"/>
        </w:rPr>
        <w:t xml:space="preserve">   </w:t>
      </w:r>
      <w:r>
        <w:rPr>
          <w:rFonts w:hint="eastAsia" w:cs="宋体"/>
        </w:rPr>
        <w:t>（</w:t>
      </w:r>
      <w:r>
        <w:rPr>
          <w:rFonts w:cs="宋体"/>
        </w:rPr>
        <w:t>4.4.3</w:t>
      </w:r>
      <w:r>
        <w:rPr>
          <w:rFonts w:hint="eastAsia" w:cs="宋体"/>
        </w:rPr>
        <w:t>）</w:t>
      </w:r>
    </w:p>
    <w:p w14:paraId="14C4298E">
      <w:pPr>
        <w:pStyle w:val="27"/>
        <w:widowControl/>
        <w:rPr>
          <w:rFonts w:cs="宋体"/>
        </w:rPr>
      </w:pPr>
      <w:r>
        <w:rPr>
          <w:rFonts w:hint="eastAsia" w:cs="宋体"/>
        </w:rPr>
        <w:t>式中：Q</w:t>
      </w:r>
      <w:r>
        <w:rPr>
          <w:rFonts w:cs="宋体"/>
          <w:vertAlign w:val="subscript"/>
        </w:rPr>
        <w:t>3C</w:t>
      </w:r>
      <w:r>
        <w:rPr>
          <w:rFonts w:cs="宋体"/>
        </w:rPr>
        <w:t xml:space="preserve"> ——</w:t>
      </w:r>
      <w:r>
        <w:rPr>
          <w:rFonts w:hint="eastAsia" w:cs="宋体"/>
        </w:rPr>
        <w:t>集成卫生间中干式工法的应用比例；</w:t>
      </w:r>
    </w:p>
    <w:p w14:paraId="2093B12A">
      <w:pPr>
        <w:pStyle w:val="27"/>
        <w:widowControl/>
        <w:ind w:left="1819" w:leftChars="400" w:hanging="979" w:hangingChars="408"/>
        <w:rPr>
          <w:rFonts w:cs="宋体"/>
        </w:rPr>
      </w:pPr>
      <w:r>
        <w:rPr>
          <w:rFonts w:cs="宋体"/>
        </w:rPr>
        <w:t>A</w:t>
      </w:r>
      <w:r>
        <w:rPr>
          <w:rFonts w:cs="宋体"/>
          <w:vertAlign w:val="subscript"/>
        </w:rPr>
        <w:t>3C</w:t>
      </w:r>
      <w:r>
        <w:rPr>
          <w:rFonts w:cs="宋体"/>
        </w:rPr>
        <w:t xml:space="preserve"> ——</w:t>
      </w:r>
      <w:r>
        <w:rPr>
          <w:rFonts w:hint="eastAsia" w:cs="宋体"/>
        </w:rPr>
        <w:t>各楼层卫生间墙面、顶面和地面采用干式工法的面积之和；</w:t>
      </w:r>
    </w:p>
    <w:p w14:paraId="04E8CA09">
      <w:pPr>
        <w:pStyle w:val="26"/>
        <w:widowControl/>
        <w:spacing w:after="156" w:afterLines="50"/>
        <w:ind w:left="1697" w:hanging="859"/>
      </w:pPr>
      <w:r>
        <w:rPr>
          <w:rFonts w:cs="宋体"/>
        </w:rPr>
        <w:t>A</w:t>
      </w:r>
      <w:r>
        <w:rPr>
          <w:rFonts w:cs="宋体"/>
          <w:b/>
          <w:vertAlign w:val="subscript"/>
        </w:rPr>
        <w:t>b</w:t>
      </w:r>
      <w:r>
        <w:rPr>
          <w:rFonts w:cs="宋体"/>
        </w:rPr>
        <w:t xml:space="preserve"> ——</w:t>
      </w:r>
      <w:r>
        <w:rPr>
          <w:rFonts w:hint="eastAsia" w:cs="宋体"/>
        </w:rPr>
        <w:t>各楼层卫生间墙面、顶面和地面的总面积。</w:t>
      </w:r>
    </w:p>
    <w:p w14:paraId="3947F45E">
      <w:pPr>
        <w:pStyle w:val="27"/>
        <w:rPr>
          <w:rFonts w:cs="宋体"/>
        </w:rPr>
      </w:pPr>
      <w:r>
        <w:rPr>
          <w:b/>
        </w:rPr>
        <w:t>4.4.4</w:t>
      </w:r>
      <w:r>
        <w:tab/>
      </w:r>
      <w:r>
        <w:rPr>
          <w:rFonts w:hint="eastAsia" w:cs="宋体"/>
        </w:rPr>
        <w:t>集成厨房的橱柜和厨房设备等应全部安装到位，墙面、顶面和地面中干式工法施工的应用比例大于5</w:t>
      </w:r>
      <w:r>
        <w:rPr>
          <w:rFonts w:cs="宋体"/>
        </w:rPr>
        <w:t>0</w:t>
      </w:r>
      <w:r>
        <w:rPr>
          <w:rFonts w:hint="eastAsia" w:cs="宋体"/>
        </w:rPr>
        <w:t>%，得1</w:t>
      </w:r>
      <w:r>
        <w:rPr>
          <w:rFonts w:cs="宋体"/>
        </w:rPr>
        <w:t>.5</w:t>
      </w:r>
      <w:r>
        <w:rPr>
          <w:rFonts w:hint="eastAsia" w:cs="宋体"/>
        </w:rPr>
        <w:t>分，应用比例应按下式计算：</w:t>
      </w:r>
    </w:p>
    <w:p w14:paraId="63B7C8BA">
      <w:pPr>
        <w:pStyle w:val="27"/>
        <w:widowControl/>
        <w:jc w:val="center"/>
        <w:rPr>
          <w:rFonts w:cs="宋体"/>
        </w:rPr>
      </w:pPr>
      <w:r>
        <w:rPr>
          <w:position w:val="-34"/>
        </w:rPr>
        <w:object>
          <v:shape id="_x0000_i1029" o:spt="75" type="#_x0000_t75" style="height:38.25pt;width:98.2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hint="eastAsia" w:cs="宋体"/>
        </w:rPr>
        <w:t>（</w:t>
      </w:r>
      <w:r>
        <w:t>4.4.4</w:t>
      </w:r>
      <w:r>
        <w:rPr>
          <w:rFonts w:hint="eastAsia" w:cs="宋体"/>
        </w:rPr>
        <w:t>）</w:t>
      </w:r>
    </w:p>
    <w:p w14:paraId="4ABFB819">
      <w:pPr>
        <w:pStyle w:val="27"/>
        <w:widowControl/>
        <w:rPr>
          <w:rFonts w:cs="宋体"/>
        </w:rPr>
      </w:pPr>
      <w:r>
        <w:rPr>
          <w:rFonts w:cs="宋体"/>
        </w:rPr>
        <w:t>式中：</w:t>
      </w:r>
      <w:r>
        <w:rPr>
          <w:rFonts w:hint="eastAsia" w:cs="宋体"/>
        </w:rPr>
        <w:t>Q</w:t>
      </w:r>
      <w:r>
        <w:rPr>
          <w:rFonts w:cs="宋体"/>
          <w:vertAlign w:val="subscript"/>
        </w:rPr>
        <w:t>3d</w:t>
      </w:r>
      <w:r>
        <w:rPr>
          <w:rFonts w:cs="宋体"/>
        </w:rPr>
        <w:t xml:space="preserve"> —— 集成厨房中干式工法施工的应用比例；</w:t>
      </w:r>
    </w:p>
    <w:p w14:paraId="36F5E32F">
      <w:pPr>
        <w:pStyle w:val="26"/>
        <w:widowControl/>
        <w:ind w:left="1697" w:hanging="859"/>
      </w:pPr>
      <w:r>
        <w:rPr>
          <w:rFonts w:cs="宋体"/>
        </w:rPr>
        <w:t>A</w:t>
      </w:r>
      <w:r>
        <w:rPr>
          <w:rFonts w:cs="宋体"/>
          <w:vertAlign w:val="subscript"/>
        </w:rPr>
        <w:t>3d</w:t>
      </w:r>
      <w:r>
        <w:rPr>
          <w:rFonts w:cs="宋体"/>
        </w:rPr>
        <w:t xml:space="preserve"> ——</w:t>
      </w:r>
      <w:r>
        <w:rPr>
          <w:rFonts w:hint="eastAsia" w:cs="宋体"/>
        </w:rPr>
        <w:t>各楼层厨房墙面、顶面和地面采用干式工法的面积之和；</w:t>
      </w:r>
    </w:p>
    <w:p w14:paraId="2900A27E">
      <w:pPr>
        <w:pStyle w:val="26"/>
        <w:widowControl/>
        <w:spacing w:after="156" w:afterLines="50"/>
        <w:ind w:left="1697" w:hanging="859"/>
      </w:pPr>
      <w:r>
        <w:t>A</w:t>
      </w:r>
      <w:r>
        <w:rPr>
          <w:vertAlign w:val="subscript"/>
        </w:rPr>
        <w:t>k</w:t>
      </w:r>
      <w:r>
        <w:rPr>
          <w:rFonts w:hint="eastAsia" w:cs="宋体"/>
        </w:rPr>
        <w:t>——各楼层厨房墙面、顶面和地面的总面积。</w:t>
      </w:r>
    </w:p>
    <w:p w14:paraId="7C6BF438">
      <w:pPr>
        <w:pStyle w:val="27"/>
      </w:pPr>
      <w:r>
        <w:rPr>
          <w:b/>
        </w:rPr>
        <w:t>4.4.5</w:t>
      </w:r>
      <w:r>
        <w:tab/>
      </w:r>
      <w:r>
        <w:rPr>
          <w:rFonts w:hint="eastAsia"/>
        </w:rPr>
        <w:t>整体门窗的应用面积比例大于5</w:t>
      </w:r>
      <w:r>
        <w:t>0</w:t>
      </w:r>
      <w:r>
        <w:rPr>
          <w:rFonts w:hint="eastAsia"/>
        </w:rPr>
        <w:t>%，得1分。</w:t>
      </w:r>
    </w:p>
    <w:p w14:paraId="55211CD1">
      <w:pPr>
        <w:pStyle w:val="27"/>
      </w:pPr>
      <w:r>
        <w:rPr>
          <w:b/>
        </w:rPr>
        <w:t>4.4.6</w:t>
      </w:r>
      <w:r>
        <w:rPr>
          <w:b/>
        </w:rPr>
        <w:tab/>
      </w:r>
      <w:r>
        <w:rPr>
          <w:rFonts w:hint="eastAsia"/>
          <w:color w:val="000000" w:themeColor="text1"/>
          <w14:textFill>
            <w14:solidFill>
              <w14:schemeClr w14:val="tx1"/>
            </w14:solidFill>
          </w14:textFill>
        </w:rPr>
        <w:t>对于一般新建住宅和公共建筑，绿色建材应用比例需达到</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%；满足绿色建筑</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星、</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星、</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星的新建住宅和公共建筑，绿色建材应用比例需达到</w:t>
      </w:r>
      <w:r>
        <w:rPr>
          <w:color w:val="000000" w:themeColor="text1"/>
          <w14:textFill>
            <w14:solidFill>
              <w14:schemeClr w14:val="tx1"/>
            </w14:solidFill>
          </w14:textFill>
        </w:rPr>
        <w:t>30</w:t>
      </w:r>
      <w:r>
        <w:rPr>
          <w:rFonts w:hint="eastAsia"/>
          <w:color w:val="000000" w:themeColor="text1"/>
          <w14:textFill>
            <w14:solidFill>
              <w14:schemeClr w14:val="tx1"/>
            </w14:solidFill>
          </w14:textFill>
        </w:rPr>
        <w:t>%；试点示范工程中，绿色建材应用比例需达到</w:t>
      </w:r>
      <w:r>
        <w:rPr>
          <w:color w:val="000000" w:themeColor="text1"/>
          <w14:textFill>
            <w14:solidFill>
              <w14:schemeClr w14:val="tx1"/>
            </w14:solidFill>
          </w14:textFill>
        </w:rPr>
        <w:t>50</w:t>
      </w:r>
      <w:r>
        <w:rPr>
          <w:rFonts w:hint="eastAsia"/>
          <w:color w:val="000000" w:themeColor="text1"/>
          <w14:textFill>
            <w14:solidFill>
              <w14:schemeClr w14:val="tx1"/>
            </w14:solidFill>
          </w14:textFill>
        </w:rPr>
        <w:t>%；既有建筑改造工程中，绿色建材应用比例需达到</w:t>
      </w:r>
      <w:r>
        <w:rPr>
          <w:color w:val="000000" w:themeColor="text1"/>
          <w14:textFill>
            <w14:solidFill>
              <w14:schemeClr w14:val="tx1"/>
            </w14:solidFill>
          </w14:textFill>
        </w:rPr>
        <w:t>50</w:t>
      </w:r>
      <w:r>
        <w:rPr>
          <w:rFonts w:hint="eastAsia"/>
          <w:color w:val="000000" w:themeColor="text1"/>
          <w14:textFill>
            <w14:solidFill>
              <w14:schemeClr w14:val="tx1"/>
            </w14:solidFill>
          </w14:textFill>
        </w:rPr>
        <w:t>%。</w:t>
      </w:r>
    </w:p>
    <w:p w14:paraId="073BF409">
      <w:pPr>
        <w:pStyle w:val="51"/>
        <w:widowControl/>
        <w:spacing w:before="156" w:after="156"/>
        <w:ind w:firstLine="562"/>
      </w:pPr>
      <w:bookmarkStart w:id="63" w:name="_Toc110785797"/>
      <w:bookmarkStart w:id="64" w:name="_Toc174629903"/>
      <w:bookmarkStart w:id="65" w:name="_Toc174629881"/>
      <w:r>
        <w:t>4.</w:t>
      </w:r>
      <w:bookmarkEnd w:id="63"/>
      <w:r>
        <w:t xml:space="preserve">5 </w:t>
      </w:r>
      <w:r>
        <w:rPr>
          <w:rFonts w:hint="eastAsia" w:cs="宋体"/>
        </w:rPr>
        <w:t>精益化施工</w:t>
      </w:r>
      <w:bookmarkEnd w:id="64"/>
      <w:bookmarkEnd w:id="65"/>
    </w:p>
    <w:p w14:paraId="6CA766B2">
      <w:pPr>
        <w:pStyle w:val="27"/>
      </w:pPr>
      <w:r>
        <w:rPr>
          <w:b/>
          <w:bCs/>
        </w:rPr>
        <w:t>4.5.1</w:t>
      </w:r>
      <w:r>
        <w:tab/>
      </w:r>
      <w:r>
        <w:rPr>
          <w:rFonts w:hint="eastAsia"/>
        </w:rPr>
        <w:t>装配式建筑包括装配式混凝土建筑、装配式钢结构建筑、装配式木结构建筑及装配式混合结构建筑等。</w:t>
      </w:r>
    </w:p>
    <w:p w14:paraId="01B05584">
      <w:pPr>
        <w:pStyle w:val="27"/>
      </w:pPr>
      <w:r>
        <w:rPr>
          <w:rFonts w:hint="eastAsia"/>
          <w:b/>
          <w:bCs/>
        </w:rPr>
        <w:t>4</w:t>
      </w:r>
      <w:r>
        <w:rPr>
          <w:b/>
          <w:bCs/>
        </w:rPr>
        <w:t>.5.2</w:t>
      </w:r>
      <w:r>
        <w:tab/>
      </w:r>
      <w:r>
        <w:rPr>
          <w:rFonts w:hint="eastAsia"/>
        </w:rPr>
        <w:t>设计、制造、安装、运维技术采用以下类型的“鼓励技术、新方法、创新工艺、新材料”等，应用</w:t>
      </w:r>
      <w:r>
        <w:t>1</w:t>
      </w:r>
      <w:r>
        <w:rPr>
          <w:rFonts w:hint="eastAsia"/>
        </w:rPr>
        <w:t>项，可得</w:t>
      </w:r>
      <w:r>
        <w:t>1</w:t>
      </w:r>
      <w:r>
        <w:rPr>
          <w:rFonts w:hint="eastAsia"/>
        </w:rPr>
        <w:t>分，满分</w:t>
      </w:r>
      <w:r>
        <w:t>3</w:t>
      </w:r>
      <w:r>
        <w:rPr>
          <w:rFonts w:hint="eastAsia"/>
        </w:rPr>
        <w:t>分。</w:t>
      </w:r>
    </w:p>
    <w:p w14:paraId="64CD5ED3">
      <w:pPr>
        <w:pStyle w:val="33"/>
        <w:ind w:firstLine="480"/>
      </w:pPr>
      <w:r>
        <w:t xml:space="preserve">1) </w:t>
      </w:r>
      <w:r>
        <w:rPr>
          <w:rFonts w:hint="eastAsia"/>
        </w:rPr>
        <w:t>项目五方责任主体及预制部品部件供应厂家中，包括</w:t>
      </w:r>
      <w:r>
        <w:t>2</w:t>
      </w:r>
      <w:r>
        <w:rPr>
          <w:rFonts w:hint="eastAsia"/>
        </w:rPr>
        <w:t>家及以上国家、广东省或各地级市装配式建筑示范基地；</w:t>
      </w:r>
    </w:p>
    <w:p w14:paraId="35BBB57F">
      <w:pPr>
        <w:pStyle w:val="33"/>
        <w:ind w:firstLine="480"/>
      </w:pPr>
      <w:r>
        <w:t xml:space="preserve">2) </w:t>
      </w:r>
      <w:r>
        <w:rPr>
          <w:rFonts w:hint="eastAsia"/>
        </w:rPr>
        <w:t>预制混凝土构件采用再生混凝土材料；</w:t>
      </w:r>
    </w:p>
    <w:p w14:paraId="7D2EA8BE">
      <w:pPr>
        <w:pStyle w:val="33"/>
        <w:ind w:firstLine="480"/>
      </w:pPr>
      <w:bookmarkStart w:id="66" w:name="_Hlk159333457"/>
      <w:r>
        <w:rPr>
          <w:rFonts w:hint="eastAsia"/>
        </w:rPr>
        <w:t>注：在预制混凝土楼板或预制混凝土墙板构件中，再生混凝土用量不少于预制体积的</w:t>
      </w:r>
      <w:r>
        <w:t>20%</w:t>
      </w:r>
      <w:r>
        <w:rPr>
          <w:rFonts w:hint="eastAsia"/>
        </w:rPr>
        <w:t>。设计图、装配式设计文件、实施方案中明确标注使用再生混凝土材料的构件、部位。</w:t>
      </w:r>
    </w:p>
    <w:bookmarkEnd w:id="66"/>
    <w:p w14:paraId="7471C4C1">
      <w:pPr>
        <w:pStyle w:val="33"/>
        <w:ind w:firstLine="480"/>
      </w:pPr>
      <w:r>
        <w:t>3)</w:t>
      </w:r>
      <w:r>
        <w:rPr>
          <w:rFonts w:hint="eastAsia"/>
        </w:rPr>
        <w:t>采用高强钢筋</w:t>
      </w:r>
    </w:p>
    <w:p w14:paraId="4F84F2E4">
      <w:pPr>
        <w:pStyle w:val="33"/>
        <w:ind w:firstLine="480"/>
      </w:pPr>
      <w:r>
        <w:rPr>
          <w:rFonts w:hint="eastAsia"/>
        </w:rPr>
        <w:t>注：数量比例不少于</w:t>
      </w:r>
      <w:r>
        <w:t>5</w:t>
      </w:r>
      <w:r>
        <w:rPr>
          <w:rFonts w:hint="eastAsia"/>
        </w:rPr>
        <w:t>0%的预制梁或预制楼板构件应用高强钢筋，或者在数量比例不少于</w:t>
      </w:r>
      <w:r>
        <w:t>8</w:t>
      </w:r>
      <w:r>
        <w:rPr>
          <w:rFonts w:hint="eastAsia"/>
        </w:rPr>
        <w:t>0%的梁柱节点中采用高强钢筋。</w:t>
      </w:r>
    </w:p>
    <w:p w14:paraId="1982D477">
      <w:pPr>
        <w:pStyle w:val="33"/>
        <w:ind w:firstLine="480"/>
      </w:pPr>
      <w:r>
        <w:t>4)</w:t>
      </w:r>
      <w:r>
        <w:rPr>
          <w:rFonts w:hint="eastAsia"/>
        </w:rPr>
        <w:t>采用高性能混凝土</w:t>
      </w:r>
    </w:p>
    <w:p w14:paraId="75201D90">
      <w:pPr>
        <w:pStyle w:val="33"/>
        <w:ind w:firstLine="420"/>
        <w:rPr>
          <w:sz w:val="21"/>
          <w:szCs w:val="21"/>
        </w:rPr>
      </w:pPr>
      <w:r>
        <w:rPr>
          <w:rFonts w:hint="eastAsia"/>
          <w:sz w:val="21"/>
          <w:szCs w:val="21"/>
        </w:rPr>
        <w:t>注：在预制混凝土楼板或预制混凝土墙板构件中，高性能混凝土用量不少于预制体积的</w:t>
      </w:r>
      <w:r>
        <w:rPr>
          <w:sz w:val="21"/>
          <w:szCs w:val="21"/>
        </w:rPr>
        <w:t>20%</w:t>
      </w:r>
      <w:r>
        <w:rPr>
          <w:rFonts w:hint="eastAsia"/>
          <w:sz w:val="21"/>
          <w:szCs w:val="21"/>
        </w:rPr>
        <w:t>。设计图、装配式设计文件、实施方案中明确标注使用高性能混凝土材料的构件、部位。</w:t>
      </w:r>
    </w:p>
    <w:p w14:paraId="020C788A">
      <w:pPr>
        <w:pStyle w:val="33"/>
        <w:ind w:firstLine="480"/>
      </w:pPr>
      <w:r>
        <w:t xml:space="preserve">5) </w:t>
      </w:r>
      <w:r>
        <w:rPr>
          <w:rFonts w:hint="eastAsia"/>
        </w:rPr>
        <w:t>主体结构采用减隔震技术；</w:t>
      </w:r>
    </w:p>
    <w:p w14:paraId="3378EED2">
      <w:pPr>
        <w:pStyle w:val="33"/>
        <w:ind w:firstLine="480"/>
      </w:pPr>
      <w:r>
        <w:t xml:space="preserve">6) </w:t>
      </w:r>
      <w:r>
        <w:rPr>
          <w:rFonts w:hint="eastAsia"/>
        </w:rPr>
        <w:t>预制构件采用预应力技术、预制构件连接采用预应力技术；</w:t>
      </w:r>
    </w:p>
    <w:p w14:paraId="416EB9F8">
      <w:pPr>
        <w:pStyle w:val="33"/>
        <w:ind w:firstLine="480"/>
      </w:pPr>
      <w:r>
        <w:rPr>
          <w:rFonts w:hint="eastAsia"/>
        </w:rPr>
        <w:t>注：数量比例不少于</w:t>
      </w:r>
      <w:r>
        <w:t>10%</w:t>
      </w:r>
      <w:r>
        <w:rPr>
          <w:rFonts w:hint="eastAsia"/>
        </w:rPr>
        <w:t>的预制梁或预制楼板构件应用预应力技术，或者在数量比例不少于</w:t>
      </w:r>
      <w:r>
        <w:t>50%</w:t>
      </w:r>
      <w:r>
        <w:rPr>
          <w:rFonts w:hint="eastAsia"/>
        </w:rPr>
        <w:t>的梁柱节点中采用预应力技术。</w:t>
      </w:r>
    </w:p>
    <w:p w14:paraId="4FE13B1B">
      <w:pPr>
        <w:pStyle w:val="33"/>
        <w:ind w:firstLine="480"/>
      </w:pPr>
      <w:r>
        <w:t xml:space="preserve">7) </w:t>
      </w:r>
      <w:r>
        <w:rPr>
          <w:rFonts w:hint="eastAsia"/>
        </w:rPr>
        <w:t>应用与新型建筑工业化相关的专利技术；</w:t>
      </w:r>
    </w:p>
    <w:p w14:paraId="0EA556C0">
      <w:pPr>
        <w:pStyle w:val="33"/>
        <w:ind w:firstLine="420"/>
        <w:rPr>
          <w:sz w:val="21"/>
          <w:szCs w:val="21"/>
        </w:rPr>
      </w:pPr>
      <w:r>
        <w:rPr>
          <w:rFonts w:hint="eastAsia"/>
          <w:sz w:val="21"/>
          <w:szCs w:val="21"/>
        </w:rPr>
        <w:t>注：发明专利获授权后的</w:t>
      </w:r>
      <w:r>
        <w:rPr>
          <w:sz w:val="21"/>
          <w:szCs w:val="21"/>
        </w:rPr>
        <w:t>10</w:t>
      </w:r>
      <w:r>
        <w:rPr>
          <w:rFonts w:hint="eastAsia"/>
          <w:sz w:val="21"/>
          <w:szCs w:val="21"/>
        </w:rPr>
        <w:t>年以内，实用新型专利、外观设计专利和软件著作权获授权后的</w:t>
      </w:r>
      <w:r>
        <w:rPr>
          <w:sz w:val="21"/>
          <w:szCs w:val="21"/>
        </w:rPr>
        <w:t>3</w:t>
      </w:r>
      <w:r>
        <w:rPr>
          <w:rFonts w:hint="eastAsia"/>
          <w:sz w:val="21"/>
          <w:szCs w:val="21"/>
        </w:rPr>
        <w:t>年以内。</w:t>
      </w:r>
    </w:p>
    <w:p w14:paraId="77FDB25A">
      <w:pPr>
        <w:pStyle w:val="33"/>
        <w:ind w:firstLine="480"/>
      </w:pPr>
      <w:r>
        <w:t xml:space="preserve">8) </w:t>
      </w:r>
      <w:r>
        <w:rPr>
          <w:rFonts w:hint="eastAsia"/>
        </w:rPr>
        <w:t>应用列入政府推广、经建设主管部门或行业协会组织的专家审查认可目录的装配式领域新技术或产品；</w:t>
      </w:r>
    </w:p>
    <w:p w14:paraId="7969C90B">
      <w:pPr>
        <w:pStyle w:val="33"/>
        <w:ind w:firstLine="480"/>
      </w:pPr>
      <w:r>
        <w:t xml:space="preserve">9) </w:t>
      </w:r>
      <w:r>
        <w:rPr>
          <w:rFonts w:hint="eastAsia"/>
        </w:rPr>
        <w:t>其它未纳入国家标准、行业标准、地方标准、团体标准，但经建设主管部门或主编单位组织的专家审查认可通过的“鼓励技术、新方法、创新工艺、新材料、绿色建材”等。</w:t>
      </w:r>
    </w:p>
    <w:p w14:paraId="68900963">
      <w:pPr>
        <w:pStyle w:val="27"/>
      </w:pPr>
      <w:r>
        <w:rPr>
          <w:rFonts w:hint="eastAsia"/>
          <w:b/>
          <w:bCs/>
        </w:rPr>
        <w:t>4</w:t>
      </w:r>
      <w:r>
        <w:rPr>
          <w:b/>
          <w:bCs/>
        </w:rPr>
        <w:t>.5.3</w:t>
      </w:r>
      <w:r>
        <w:tab/>
      </w:r>
      <w:r>
        <w:rPr>
          <w:rFonts w:hint="eastAsia"/>
        </w:rPr>
        <w:t>装配式装修宜满足《建筑室内装配式装修技术规程》DBJ/T15-246的有关规定。并至少符合以下3项要求：</w:t>
      </w:r>
    </w:p>
    <w:p w14:paraId="78C4F939">
      <w:pPr>
        <w:pStyle w:val="33"/>
        <w:ind w:firstLine="480"/>
      </w:pPr>
      <w:r>
        <w:rPr>
          <w:rFonts w:hint="eastAsia"/>
        </w:rPr>
        <w:t>1、室内装配式装修设计应满足设计任务书和建筑设计的要求，分为方案设计、施工图设计、深化设计等阶段。集成系统的选型及产品关键指标的确定应从方案设计阶段开始，并应在施工图设计阶段完成。深化设计文件应满足生产加工、运输存储和现场安装的要求。</w:t>
      </w:r>
    </w:p>
    <w:p w14:paraId="3799ECE1">
      <w:pPr>
        <w:pStyle w:val="33"/>
        <w:ind w:firstLine="480"/>
      </w:pPr>
      <w:r>
        <w:rPr>
          <w:rFonts w:hint="eastAsia"/>
        </w:rPr>
        <w:t>2、室内装配式装修的部品生产，应通过工业化制造方式，将装修需要的主材、辅料和零配件进行集成加工，所用材料应优先采用绿色建材。</w:t>
      </w:r>
    </w:p>
    <w:p w14:paraId="3D94B2B1">
      <w:pPr>
        <w:pStyle w:val="33"/>
        <w:spacing w:after="156" w:afterLines="50"/>
        <w:ind w:firstLine="480"/>
      </w:pPr>
      <w:r>
        <w:rPr>
          <w:rFonts w:hint="eastAsia"/>
        </w:rPr>
        <w:t>3、室内装配式装修设计应满足部品检修更换以及设备管线使用维护的要求，宜满足建筑全生命周期内使用功能可变性需求。</w:t>
      </w:r>
    </w:p>
    <w:p w14:paraId="220DA8F4">
      <w:pPr>
        <w:pStyle w:val="27"/>
        <w:widowControl/>
        <w:rPr>
          <w:rFonts w:cs="宋体"/>
        </w:rPr>
      </w:pPr>
      <w:r>
        <w:rPr>
          <w:b/>
        </w:rPr>
        <w:t>4.5.4</w:t>
      </w:r>
      <w:r>
        <w:tab/>
      </w:r>
      <w:r>
        <w:rPr>
          <w:rFonts w:hint="eastAsia" w:cs="宋体"/>
        </w:rPr>
        <w:t>标准化工艺、工法、施工组织方式的评分项应满足下列规定：</w:t>
      </w:r>
    </w:p>
    <w:p w14:paraId="3F131638">
      <w:pPr>
        <w:pStyle w:val="27"/>
        <w:widowControl/>
        <w:ind w:firstLine="480" w:firstLineChars="200"/>
        <w:rPr>
          <w:rFonts w:hint="eastAsia" w:hAnsi="宋体"/>
        </w:rPr>
      </w:pPr>
      <w:r>
        <w:rPr>
          <w:rFonts w:hint="eastAsia" w:hAnsi="宋体"/>
        </w:rPr>
        <w:t>1、项目有完善的组织管理架构，具备完整的装配化施工组织方案，内容包括构件和部品安装工程进度、场地、材料、人员、机械的组织以及相应的质量、环境、安全管理措施，得</w:t>
      </w:r>
      <w:r>
        <w:rPr>
          <w:rFonts w:hAnsi="宋体"/>
        </w:rPr>
        <w:t>2</w:t>
      </w:r>
      <w:r>
        <w:rPr>
          <w:rFonts w:hint="eastAsia" w:hAnsi="宋体"/>
        </w:rPr>
        <w:t>分；</w:t>
      </w:r>
    </w:p>
    <w:p w14:paraId="5A4828ED">
      <w:pPr>
        <w:pStyle w:val="27"/>
        <w:widowControl/>
        <w:ind w:firstLine="480" w:firstLineChars="200"/>
        <w:rPr>
          <w:rFonts w:hint="eastAsia" w:hAnsi="宋体"/>
        </w:rPr>
      </w:pPr>
      <w:r>
        <w:rPr>
          <w:rFonts w:hint="eastAsia" w:hAnsi="宋体"/>
        </w:rPr>
        <w:t>2、项目具备构件和部品安装专项技术方案，内容包括吊装安装、灌浆、坐浆、支撑等专项技术方案，得1分；</w:t>
      </w:r>
    </w:p>
    <w:p w14:paraId="1D56E9FC">
      <w:pPr>
        <w:pStyle w:val="27"/>
        <w:widowControl/>
        <w:ind w:firstLine="480" w:firstLineChars="200"/>
        <w:rPr>
          <w:rFonts w:hint="eastAsia" w:hAnsi="宋体"/>
        </w:rPr>
      </w:pPr>
      <w:r>
        <w:rPr>
          <w:rFonts w:hint="eastAsia" w:hAnsi="宋体"/>
        </w:rPr>
        <w:t>3、外墙减少外脚手架施工，室内采用工具式、定型化安全支撑设施得1分；后浇混凝土部位采用工具式、定型化模板或高精模板及支撑系统，可重复使用30次以上，得1分；</w:t>
      </w:r>
    </w:p>
    <w:p w14:paraId="2A5B32E1">
      <w:pPr>
        <w:pStyle w:val="27"/>
        <w:widowControl/>
        <w:ind w:firstLine="480" w:firstLineChars="200"/>
        <w:rPr>
          <w:rFonts w:hint="eastAsia" w:hAnsi="宋体"/>
        </w:rPr>
      </w:pPr>
      <w:r>
        <w:rPr>
          <w:rFonts w:hint="eastAsia" w:hAnsi="宋体"/>
        </w:rPr>
        <w:t>4、各构件与部品之间、部品与主体结构之间采用装配化施工工艺，得1分；</w:t>
      </w:r>
    </w:p>
    <w:p w14:paraId="07BB9C69">
      <w:pPr>
        <w:pStyle w:val="27"/>
        <w:widowControl/>
        <w:ind w:firstLine="480" w:firstLineChars="200"/>
        <w:rPr>
          <w:rFonts w:hint="eastAsia" w:hAnsi="宋体"/>
        </w:rPr>
      </w:pPr>
      <w:r>
        <w:rPr>
          <w:rFonts w:hint="eastAsia" w:hAnsi="宋体"/>
        </w:rPr>
        <w:t>5、采用成套自动化钢筋加工设备，具有合理的工艺流程和固定的加工场地，集中将钢筋加工成为工程所需的各种成型钢筋。包括：钢筋焊接网片、钢筋笼、钢筋桁架等，得1分；</w:t>
      </w:r>
    </w:p>
    <w:p w14:paraId="436C243D">
      <w:pPr>
        <w:pStyle w:val="27"/>
        <w:widowControl/>
        <w:ind w:firstLine="480" w:firstLineChars="200"/>
        <w:rPr>
          <w:rFonts w:hint="eastAsia" w:hAnsi="宋体"/>
        </w:rPr>
      </w:pPr>
      <w:r>
        <w:rPr>
          <w:rFonts w:hint="eastAsia" w:hAnsi="宋体"/>
        </w:rPr>
        <w:t>6、采用机械整体爬升模板设备与技术，具有专项的施工组织方案，满足现浇混凝土结构施工的质量、安全、效率和效益的要求，得1分；</w:t>
      </w:r>
    </w:p>
    <w:p w14:paraId="26B70590">
      <w:pPr>
        <w:pStyle w:val="27"/>
        <w:widowControl/>
        <w:ind w:firstLine="480" w:firstLineChars="200"/>
        <w:rPr>
          <w:rFonts w:hint="eastAsia" w:hAnsi="宋体"/>
        </w:rPr>
      </w:pPr>
      <w:r>
        <w:rPr>
          <w:rFonts w:hint="eastAsia" w:hAnsi="宋体"/>
        </w:rPr>
        <w:t>7、预制楼板安装工具式支撑系统施工技术，具有专项的施工组织方案，支撑系统的配件和支护配套齐全，由专业队伍施工操作，得1分；</w:t>
      </w:r>
    </w:p>
    <w:p w14:paraId="6476B239">
      <w:pPr>
        <w:pStyle w:val="27"/>
        <w:widowControl/>
        <w:spacing w:after="156" w:afterLines="50"/>
        <w:ind w:firstLine="480" w:firstLineChars="200"/>
        <w:rPr>
          <w:rFonts w:hint="eastAsia" w:hAnsi="宋体"/>
        </w:rPr>
      </w:pPr>
      <w:r>
        <w:rPr>
          <w:rFonts w:hint="eastAsia" w:hAnsi="宋体"/>
        </w:rPr>
        <w:t>8、采用集成附着式升降脚手架技术，具有防倾覆、防坠落装置和自动化升降控制。具有专项施工方案、工艺流程和安全保障措施，得1分。</w:t>
      </w:r>
    </w:p>
    <w:p w14:paraId="28BA1500">
      <w:pPr>
        <w:pStyle w:val="27"/>
        <w:widowControl/>
        <w:spacing w:after="156" w:afterLines="50"/>
        <w:rPr>
          <w:rFonts w:cs="宋体"/>
        </w:rPr>
      </w:pPr>
      <w:r>
        <w:rPr>
          <w:b/>
        </w:rPr>
        <w:t>4.5.</w:t>
      </w:r>
      <w:r>
        <w:rPr>
          <w:rFonts w:hint="eastAsia"/>
          <w:b/>
        </w:rPr>
        <w:t>5</w:t>
      </w:r>
      <w:r>
        <w:tab/>
      </w:r>
      <w:r>
        <w:rPr>
          <w:rFonts w:hint="eastAsia" w:cs="宋体"/>
        </w:rPr>
        <w:t>绿色施工按照国家标准《建筑工程绿色施工评价标准》GB/T50640或广东省《建筑工程绿色施工评价标准》DBJ/J 15-97规定开展绿色施工评价，等级为合格、优良的，在新型建筑工业化项目评价时该评价项分别得</w:t>
      </w:r>
      <w:r>
        <w:rPr>
          <w:rFonts w:cs="宋体"/>
        </w:rPr>
        <w:t>1.5</w:t>
      </w:r>
      <w:r>
        <w:rPr>
          <w:rFonts w:hint="eastAsia" w:cs="宋体"/>
        </w:rPr>
        <w:t>分、</w:t>
      </w:r>
      <w:r>
        <w:rPr>
          <w:rFonts w:cs="宋体"/>
        </w:rPr>
        <w:t>3</w:t>
      </w:r>
      <w:r>
        <w:rPr>
          <w:rFonts w:hint="eastAsia" w:cs="宋体"/>
        </w:rPr>
        <w:t>分。</w:t>
      </w:r>
    </w:p>
    <w:p w14:paraId="522B7598">
      <w:pPr>
        <w:pStyle w:val="27"/>
        <w:widowControl/>
        <w:spacing w:before="156" w:beforeLines="50"/>
        <w:rPr>
          <w:color w:val="000000" w:themeColor="text1"/>
          <w14:textFill>
            <w14:solidFill>
              <w14:schemeClr w14:val="tx1"/>
            </w14:solidFill>
          </w14:textFill>
        </w:rPr>
      </w:pPr>
      <w:r>
        <w:rPr>
          <w:b/>
        </w:rPr>
        <w:t>4.5.</w:t>
      </w:r>
      <w:r>
        <w:rPr>
          <w:rFonts w:hint="eastAsia"/>
          <w:b/>
        </w:rPr>
        <w:t>6</w:t>
      </w:r>
      <w:r>
        <w:tab/>
      </w:r>
      <w:r>
        <w:rPr>
          <w:rFonts w:hint="eastAsia"/>
          <w:color w:val="000000" w:themeColor="text1"/>
          <w14:textFill>
            <w14:solidFill>
              <w14:schemeClr w14:val="tx1"/>
            </w14:solidFill>
          </w14:textFill>
        </w:rPr>
        <w:t>项目建造的主体结构及内外装修工期与定额合同约定的工期净天数相比，建造工期缩短比例在</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%之间（含1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%），得</w:t>
      </w:r>
      <w:r>
        <w:rPr>
          <w:color w:val="000000" w:themeColor="text1"/>
          <w14:textFill>
            <w14:solidFill>
              <w14:schemeClr w14:val="tx1"/>
            </w14:solidFill>
          </w14:textFill>
        </w:rPr>
        <w:t>0~2.5</w:t>
      </w:r>
      <w:r>
        <w:rPr>
          <w:rFonts w:hint="eastAsia"/>
          <w:color w:val="000000" w:themeColor="text1"/>
          <w14:textFill>
            <w14:solidFill>
              <w14:schemeClr w14:val="tx1"/>
            </w14:solidFill>
          </w14:textFill>
        </w:rPr>
        <w:t>分，中间数值按线形插值，工期缩短</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及以上得</w:t>
      </w:r>
      <w:r>
        <w:rPr>
          <w:color w:val="000000" w:themeColor="text1"/>
          <w14:textFill>
            <w14:solidFill>
              <w14:schemeClr w14:val="tx1"/>
            </w14:solidFill>
          </w14:textFill>
        </w:rPr>
        <w:t>2.5</w:t>
      </w:r>
      <w:r>
        <w:rPr>
          <w:rFonts w:hint="eastAsia"/>
          <w:color w:val="000000" w:themeColor="text1"/>
          <w14:textFill>
            <w14:solidFill>
              <w14:schemeClr w14:val="tx1"/>
            </w14:solidFill>
          </w14:textFill>
        </w:rPr>
        <w:t>分。</w:t>
      </w:r>
    </w:p>
    <w:p w14:paraId="40B1756E">
      <w:pPr>
        <w:pStyle w:val="27"/>
        <w:widowControl/>
      </w:pPr>
      <w:r>
        <w:rPr>
          <w:b/>
        </w:rPr>
        <w:t>4.5.</w:t>
      </w:r>
      <w:r>
        <w:rPr>
          <w:rFonts w:hint="eastAsia"/>
          <w:b/>
        </w:rPr>
        <w:t>7</w:t>
      </w:r>
      <w:r>
        <w:tab/>
      </w:r>
      <w:r>
        <w:rPr>
          <w:rFonts w:hint="eastAsia"/>
        </w:rPr>
        <w:t>施工现场人工用量与定额合同约定的劳动计划人工用量相比，用工减少比例</w:t>
      </w:r>
      <w:r>
        <w:rPr>
          <w:rFonts w:hint="eastAsia"/>
          <w:color w:val="000000" w:themeColor="text1"/>
          <w14:textFill>
            <w14:solidFill>
              <w14:schemeClr w14:val="tx1"/>
            </w14:solidFill>
          </w14:textFill>
        </w:rPr>
        <w:t>在</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30</w:t>
      </w:r>
      <w:r>
        <w:rPr>
          <w:rFonts w:hint="eastAsia"/>
          <w:color w:val="000000" w:themeColor="text1"/>
          <w14:textFill>
            <w14:solidFill>
              <w14:schemeClr w14:val="tx1"/>
            </w14:solidFill>
          </w14:textFill>
        </w:rPr>
        <w:t>%之间（含</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w:t>
      </w:r>
      <w:r>
        <w:rPr>
          <w:rFonts w:hint="eastAsia"/>
        </w:rPr>
        <w:t>，得</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2.5</w:t>
      </w:r>
      <w:r>
        <w:rPr>
          <w:rFonts w:hint="eastAsia"/>
          <w:color w:val="000000" w:themeColor="text1"/>
          <w14:textFill>
            <w14:solidFill>
              <w14:schemeClr w14:val="tx1"/>
            </w14:solidFill>
          </w14:textFill>
        </w:rPr>
        <w:t>分，中间数值按线形插值，</w:t>
      </w:r>
      <w:r>
        <w:rPr>
          <w:rFonts w:hint="eastAsia"/>
        </w:rPr>
        <w:t>用工减少30%及以上，得2</w:t>
      </w:r>
      <w:r>
        <w:t>.5分</w:t>
      </w:r>
      <w:r>
        <w:rPr>
          <w:rFonts w:hint="eastAsia"/>
        </w:rPr>
        <w:t>。</w:t>
      </w:r>
    </w:p>
    <w:p w14:paraId="4391343D">
      <w:pPr>
        <w:pStyle w:val="27"/>
        <w:widowControl/>
        <w:rPr>
          <w:rFonts w:hint="eastAsia" w:hAnsi="宋体"/>
        </w:rPr>
      </w:pPr>
    </w:p>
    <w:p w14:paraId="0C4CDBF5">
      <w:pPr>
        <w:pStyle w:val="51"/>
        <w:widowControl/>
        <w:spacing w:before="156" w:after="156"/>
        <w:ind w:firstLine="562"/>
      </w:pPr>
      <w:bookmarkStart w:id="67" w:name="_Toc110785798"/>
      <w:bookmarkStart w:id="68" w:name="_Toc174629882"/>
      <w:bookmarkStart w:id="69" w:name="_Toc174629904"/>
      <w:r>
        <w:t>4.</w:t>
      </w:r>
      <w:bookmarkEnd w:id="67"/>
      <w:r>
        <w:t xml:space="preserve">6 </w:t>
      </w:r>
      <w:r>
        <w:rPr>
          <w:rFonts w:hint="eastAsia" w:cs="宋体"/>
        </w:rPr>
        <w:t>信息化技术应用</w:t>
      </w:r>
      <w:bookmarkEnd w:id="68"/>
      <w:bookmarkEnd w:id="69"/>
    </w:p>
    <w:p w14:paraId="13EDF9EA">
      <w:pPr>
        <w:pStyle w:val="27"/>
        <w:rPr>
          <w:rFonts w:hint="eastAsia" w:asciiTheme="minorEastAsia" w:hAnsiTheme="minorEastAsia" w:eastAsiaTheme="minorEastAsia"/>
          <w:bCs/>
        </w:rPr>
      </w:pPr>
      <w:r>
        <w:rPr>
          <w:b/>
          <w:bCs/>
        </w:rPr>
        <w:t>4.6.1</w:t>
      </w:r>
      <w:r>
        <w:rPr>
          <w:b/>
          <w:bCs/>
        </w:rPr>
        <w:tab/>
      </w:r>
      <w:r>
        <w:rPr>
          <w:rFonts w:hint="eastAsia" w:asciiTheme="minorEastAsia" w:hAnsiTheme="minorEastAsia" w:eastAsiaTheme="minorEastAsia"/>
          <w:bCs/>
        </w:rPr>
        <w:t>设计全过程应</w:t>
      </w:r>
      <w:r>
        <w:rPr>
          <w:rFonts w:hint="eastAsia" w:eastAsiaTheme="minorEastAsia"/>
          <w:bCs/>
        </w:rPr>
        <w:t>用</w:t>
      </w:r>
      <w:r>
        <w:rPr>
          <w:rFonts w:eastAsiaTheme="minorEastAsia"/>
          <w:bCs/>
        </w:rPr>
        <w:t>BIM</w:t>
      </w:r>
      <w:r>
        <w:rPr>
          <w:rFonts w:hint="eastAsia" w:asciiTheme="minorEastAsia" w:hAnsiTheme="minorEastAsia" w:eastAsiaTheme="minorEastAsia"/>
          <w:bCs/>
        </w:rPr>
        <w:t>技术共得</w:t>
      </w:r>
      <w:r>
        <w:rPr>
          <w:rFonts w:asciiTheme="minorEastAsia" w:hAnsiTheme="minorEastAsia" w:eastAsiaTheme="minorEastAsia"/>
          <w:bCs/>
        </w:rPr>
        <w:t>12</w:t>
      </w:r>
      <w:r>
        <w:rPr>
          <w:rFonts w:hint="eastAsia" w:asciiTheme="minorEastAsia" w:hAnsiTheme="minorEastAsia" w:eastAsiaTheme="minorEastAsia"/>
          <w:bCs/>
        </w:rPr>
        <w:t>分，评分项满足下表规定：</w:t>
      </w:r>
    </w:p>
    <w:p w14:paraId="2B993477">
      <w:pPr>
        <w:pStyle w:val="27"/>
        <w:jc w:val="center"/>
        <w:rPr>
          <w:rFonts w:hint="eastAsia" w:asciiTheme="minorEastAsia" w:hAnsiTheme="minorEastAsia" w:eastAsiaTheme="minorEastAsia"/>
          <w:bCs/>
          <w:szCs w:val="24"/>
        </w:rPr>
      </w:pPr>
      <w:r>
        <w:rPr>
          <w:rFonts w:hint="eastAsia" w:asciiTheme="minorEastAsia" w:hAnsiTheme="minorEastAsia" w:eastAsiaTheme="minorEastAsia"/>
          <w:bCs/>
          <w:szCs w:val="24"/>
        </w:rPr>
        <w:t>表</w:t>
      </w:r>
      <w:r>
        <w:rPr>
          <w:rFonts w:asciiTheme="minorEastAsia" w:hAnsiTheme="minorEastAsia" w:eastAsiaTheme="minorEastAsia"/>
          <w:bCs/>
          <w:szCs w:val="24"/>
        </w:rPr>
        <w:t>4.</w:t>
      </w:r>
      <w:r>
        <w:rPr>
          <w:rFonts w:hint="eastAsia" w:asciiTheme="minorEastAsia" w:hAnsiTheme="minorEastAsia" w:eastAsiaTheme="minorEastAsia"/>
          <w:bCs/>
          <w:szCs w:val="24"/>
        </w:rPr>
        <w:t>6</w:t>
      </w:r>
      <w:r>
        <w:rPr>
          <w:rFonts w:asciiTheme="minorEastAsia" w:hAnsiTheme="minorEastAsia" w:eastAsiaTheme="minorEastAsia"/>
          <w:bCs/>
          <w:szCs w:val="24"/>
        </w:rPr>
        <w:t xml:space="preserve">.1 </w:t>
      </w:r>
      <w:r>
        <w:rPr>
          <w:rFonts w:hint="eastAsia" w:asciiTheme="minorEastAsia" w:hAnsiTheme="minorEastAsia" w:eastAsiaTheme="minorEastAsia"/>
          <w:bCs/>
          <w:szCs w:val="24"/>
        </w:rPr>
        <w:t>设计全过程评分项与评分规则</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4252"/>
        <w:gridCol w:w="1176"/>
        <w:gridCol w:w="1294"/>
      </w:tblGrid>
      <w:tr w14:paraId="5BF1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2F7E8463">
            <w:pPr>
              <w:pStyle w:val="27"/>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评价指标</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23A98490">
            <w:pPr>
              <w:pStyle w:val="27"/>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评分项内容及要求</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394F3D70">
            <w:pPr>
              <w:pStyle w:val="27"/>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评价分值</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14:paraId="2FF4C336">
            <w:pPr>
              <w:pStyle w:val="27"/>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评价方法</w:t>
            </w:r>
          </w:p>
        </w:tc>
      </w:tr>
      <w:tr w14:paraId="51F5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70068A8E">
            <w:pPr>
              <w:pStyle w:val="27"/>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初步设计（</w:t>
            </w:r>
            <w:r>
              <w:rPr>
                <w:rFonts w:asciiTheme="minorEastAsia" w:hAnsiTheme="minorEastAsia" w:eastAsiaTheme="minorEastAsia"/>
                <w:bCs/>
                <w:sz w:val="21"/>
                <w:szCs w:val="21"/>
              </w:rPr>
              <w:t>2</w:t>
            </w:r>
            <w:r>
              <w:rPr>
                <w:rFonts w:hint="eastAsia" w:asciiTheme="minorEastAsia" w:hAnsiTheme="minorEastAsia" w:eastAsiaTheme="minorEastAsia"/>
                <w:bCs/>
                <w:sz w:val="21"/>
                <w:szCs w:val="21"/>
              </w:rPr>
              <w:t>分）</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45FE68D0">
            <w:pPr>
              <w:pStyle w:val="27"/>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应用BIM信息技术进行设计，包括建筑、结构模型。</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4C07DDE3">
            <w:pPr>
              <w:pStyle w:val="27"/>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2</w:t>
            </w:r>
          </w:p>
        </w:tc>
        <w:tc>
          <w:tcPr>
            <w:tcW w:w="1294" w:type="dxa"/>
            <w:vMerge w:val="restart"/>
            <w:tcBorders>
              <w:top w:val="single" w:color="auto" w:sz="4" w:space="0"/>
              <w:left w:val="single" w:color="auto" w:sz="4" w:space="0"/>
              <w:right w:val="single" w:color="auto" w:sz="4" w:space="0"/>
            </w:tcBorders>
            <w:shd w:val="clear" w:color="auto" w:fill="auto"/>
            <w:vAlign w:val="center"/>
          </w:tcPr>
          <w:p w14:paraId="64D81DA3">
            <w:pPr>
              <w:pStyle w:val="27"/>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查阅资料</w:t>
            </w:r>
          </w:p>
        </w:tc>
      </w:tr>
      <w:tr w14:paraId="333C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637C1B01">
            <w:pPr>
              <w:pStyle w:val="27"/>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方案设计</w:t>
            </w:r>
            <w:r>
              <w:rPr>
                <w:rFonts w:asciiTheme="minorEastAsia" w:hAnsiTheme="minorEastAsia" w:eastAsiaTheme="minorEastAsia"/>
                <w:bCs/>
                <w:sz w:val="21"/>
                <w:szCs w:val="21"/>
              </w:rPr>
              <w:t xml:space="preserve"> </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w:t>
            </w:r>
            <w:r>
              <w:rPr>
                <w:rFonts w:hint="eastAsia" w:asciiTheme="minorEastAsia" w:hAnsiTheme="minorEastAsia" w:eastAsiaTheme="minorEastAsia"/>
                <w:bCs/>
                <w:sz w:val="21"/>
                <w:szCs w:val="21"/>
              </w:rPr>
              <w:t>分）</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2B24E6BB">
            <w:pPr>
              <w:pStyle w:val="27"/>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应用BIM信息技术进行设计，即模型深度为L</w:t>
            </w:r>
            <w:r>
              <w:rPr>
                <w:rFonts w:asciiTheme="minorEastAsia" w:hAnsiTheme="minorEastAsia" w:eastAsiaTheme="minorEastAsia"/>
                <w:bCs/>
                <w:sz w:val="21"/>
                <w:szCs w:val="21"/>
              </w:rPr>
              <w:t>OD200</w:t>
            </w:r>
            <w:r>
              <w:rPr>
                <w:rFonts w:hint="eastAsia" w:asciiTheme="minorEastAsia" w:hAnsiTheme="minorEastAsia" w:eastAsiaTheme="minorEastAsia"/>
                <w:bCs/>
                <w:sz w:val="21"/>
                <w:szCs w:val="21"/>
              </w:rPr>
              <w:t>，包括项目总体分析、性能分析、方案优化、产品标准化定型并将设计信息传递给后续环节。</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41B466F4">
            <w:pPr>
              <w:pStyle w:val="27"/>
              <w:rPr>
                <w:rFonts w:hint="eastAsia" w:asciiTheme="minorEastAsia" w:hAnsiTheme="minorEastAsia" w:eastAsiaTheme="minorEastAsia"/>
                <w:bCs/>
                <w:sz w:val="21"/>
                <w:szCs w:val="21"/>
              </w:rPr>
            </w:pPr>
            <w:r>
              <w:rPr>
                <w:rFonts w:asciiTheme="minorEastAsia" w:hAnsiTheme="minorEastAsia" w:eastAsiaTheme="minorEastAsia"/>
                <w:bCs/>
                <w:sz w:val="21"/>
                <w:szCs w:val="21"/>
              </w:rPr>
              <w:t>2</w:t>
            </w:r>
          </w:p>
        </w:tc>
        <w:tc>
          <w:tcPr>
            <w:tcW w:w="1294" w:type="dxa"/>
            <w:vMerge w:val="continue"/>
            <w:tcBorders>
              <w:left w:val="single" w:color="auto" w:sz="4" w:space="0"/>
              <w:right w:val="single" w:color="auto" w:sz="4" w:space="0"/>
            </w:tcBorders>
            <w:shd w:val="clear" w:color="auto" w:fill="auto"/>
            <w:vAlign w:val="center"/>
          </w:tcPr>
          <w:p w14:paraId="40DE825F">
            <w:pPr>
              <w:pStyle w:val="27"/>
              <w:rPr>
                <w:rFonts w:hint="eastAsia" w:asciiTheme="minorEastAsia" w:hAnsiTheme="minorEastAsia" w:eastAsiaTheme="minorEastAsia"/>
                <w:bCs/>
                <w:sz w:val="21"/>
                <w:szCs w:val="21"/>
              </w:rPr>
            </w:pPr>
          </w:p>
        </w:tc>
      </w:tr>
      <w:tr w14:paraId="560A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2A878E04">
            <w:pPr>
              <w:pStyle w:val="27"/>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施工图设计</w:t>
            </w:r>
            <w:r>
              <w:rPr>
                <w:rFonts w:asciiTheme="minorEastAsia" w:hAnsiTheme="minorEastAsia" w:eastAsiaTheme="minorEastAsia"/>
                <w:bCs/>
                <w:sz w:val="21"/>
                <w:szCs w:val="21"/>
              </w:rPr>
              <w:t xml:space="preserve"> </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4</w:t>
            </w:r>
            <w:r>
              <w:rPr>
                <w:rFonts w:hint="eastAsia" w:asciiTheme="minorEastAsia" w:hAnsiTheme="minorEastAsia" w:eastAsiaTheme="minorEastAsia"/>
                <w:bCs/>
                <w:sz w:val="21"/>
                <w:szCs w:val="21"/>
              </w:rPr>
              <w:t>分）</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2D6008C5">
            <w:pPr>
              <w:pStyle w:val="27"/>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应用BIM信息技术进行设计，即模型深度为L</w:t>
            </w:r>
            <w:r>
              <w:rPr>
                <w:rFonts w:asciiTheme="minorEastAsia" w:hAnsiTheme="minorEastAsia" w:eastAsiaTheme="minorEastAsia"/>
                <w:bCs/>
                <w:sz w:val="21"/>
                <w:szCs w:val="21"/>
              </w:rPr>
              <w:t>OD300</w:t>
            </w:r>
            <w:r>
              <w:rPr>
                <w:rFonts w:hint="eastAsia" w:asciiTheme="minorEastAsia" w:hAnsiTheme="minorEastAsia" w:eastAsiaTheme="minorEastAsia"/>
                <w:bCs/>
                <w:sz w:val="21"/>
                <w:szCs w:val="21"/>
              </w:rPr>
              <w:t>，包括专业协同、管线综合、信息模型制作、施工图表达。</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583D34D2">
            <w:pPr>
              <w:pStyle w:val="27"/>
              <w:rPr>
                <w:rFonts w:hint="eastAsia" w:asciiTheme="minorEastAsia" w:hAnsiTheme="minorEastAsia" w:eastAsiaTheme="minorEastAsia"/>
                <w:bCs/>
                <w:sz w:val="21"/>
                <w:szCs w:val="21"/>
              </w:rPr>
            </w:pPr>
            <w:r>
              <w:rPr>
                <w:rFonts w:asciiTheme="minorEastAsia" w:hAnsiTheme="minorEastAsia" w:eastAsiaTheme="minorEastAsia"/>
                <w:bCs/>
                <w:sz w:val="21"/>
                <w:szCs w:val="21"/>
              </w:rPr>
              <w:t>4</w:t>
            </w:r>
          </w:p>
        </w:tc>
        <w:tc>
          <w:tcPr>
            <w:tcW w:w="1294" w:type="dxa"/>
            <w:vMerge w:val="continue"/>
            <w:tcBorders>
              <w:left w:val="single" w:color="auto" w:sz="4" w:space="0"/>
              <w:right w:val="single" w:color="auto" w:sz="4" w:space="0"/>
            </w:tcBorders>
            <w:shd w:val="clear" w:color="auto" w:fill="auto"/>
            <w:vAlign w:val="center"/>
          </w:tcPr>
          <w:p w14:paraId="3F205287">
            <w:pPr>
              <w:pStyle w:val="27"/>
              <w:widowControl/>
              <w:rPr>
                <w:rFonts w:hint="eastAsia" w:asciiTheme="minorEastAsia" w:hAnsiTheme="minorEastAsia" w:eastAsiaTheme="minorEastAsia"/>
                <w:bCs/>
                <w:sz w:val="21"/>
                <w:szCs w:val="21"/>
              </w:rPr>
            </w:pPr>
          </w:p>
        </w:tc>
      </w:tr>
      <w:tr w14:paraId="1317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77F32E58">
            <w:pPr>
              <w:pStyle w:val="27"/>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构件图设计（</w:t>
            </w:r>
            <w:r>
              <w:rPr>
                <w:rFonts w:asciiTheme="minorEastAsia" w:hAnsiTheme="minorEastAsia" w:eastAsiaTheme="minorEastAsia"/>
                <w:bCs/>
                <w:sz w:val="21"/>
                <w:szCs w:val="21"/>
              </w:rPr>
              <w:t>4</w:t>
            </w:r>
            <w:r>
              <w:rPr>
                <w:rFonts w:hint="eastAsia" w:asciiTheme="minorEastAsia" w:hAnsiTheme="minorEastAsia" w:eastAsiaTheme="minorEastAsia"/>
                <w:bCs/>
                <w:sz w:val="21"/>
                <w:szCs w:val="21"/>
              </w:rPr>
              <w:t>分）</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4745CF18">
            <w:pPr>
              <w:pStyle w:val="27"/>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应用信息技术进行构件深化设计，即模型深度为L</w:t>
            </w:r>
            <w:r>
              <w:rPr>
                <w:rFonts w:asciiTheme="minorEastAsia" w:hAnsiTheme="minorEastAsia" w:eastAsiaTheme="minorEastAsia"/>
                <w:bCs/>
                <w:sz w:val="21"/>
                <w:szCs w:val="21"/>
              </w:rPr>
              <w:t>OD300</w:t>
            </w:r>
            <w:r>
              <w:rPr>
                <w:rFonts w:hint="eastAsia" w:asciiTheme="minorEastAsia" w:hAnsiTheme="minorEastAsia" w:eastAsiaTheme="minorEastAsia"/>
                <w:bCs/>
                <w:sz w:val="21"/>
                <w:szCs w:val="21"/>
              </w:rPr>
              <w:t>，包括连接点设计、钢筋碰触检查、预留预埋设计、构件图表达、管线集成、材料材质、关键性能指标。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5C269F90">
            <w:pPr>
              <w:pStyle w:val="27"/>
              <w:rPr>
                <w:rFonts w:hint="eastAsia" w:asciiTheme="minorEastAsia" w:hAnsiTheme="minorEastAsia" w:eastAsiaTheme="minorEastAsia"/>
                <w:bCs/>
                <w:sz w:val="21"/>
                <w:szCs w:val="21"/>
              </w:rPr>
            </w:pPr>
            <w:r>
              <w:rPr>
                <w:rFonts w:asciiTheme="minorEastAsia" w:hAnsiTheme="minorEastAsia" w:eastAsiaTheme="minorEastAsia"/>
                <w:bCs/>
                <w:sz w:val="21"/>
                <w:szCs w:val="21"/>
              </w:rPr>
              <w:t>4</w:t>
            </w:r>
          </w:p>
        </w:tc>
        <w:tc>
          <w:tcPr>
            <w:tcW w:w="1294" w:type="dxa"/>
            <w:vMerge w:val="continue"/>
            <w:tcBorders>
              <w:left w:val="single" w:color="auto" w:sz="4" w:space="0"/>
              <w:bottom w:val="single" w:color="auto" w:sz="4" w:space="0"/>
              <w:right w:val="single" w:color="auto" w:sz="4" w:space="0"/>
            </w:tcBorders>
            <w:shd w:val="clear" w:color="auto" w:fill="auto"/>
            <w:vAlign w:val="center"/>
          </w:tcPr>
          <w:p w14:paraId="50C43AF7">
            <w:pPr>
              <w:pStyle w:val="27"/>
              <w:widowControl/>
              <w:rPr>
                <w:rFonts w:hint="eastAsia" w:asciiTheme="minorEastAsia" w:hAnsiTheme="minorEastAsia" w:eastAsiaTheme="minorEastAsia"/>
                <w:bCs/>
                <w:sz w:val="21"/>
                <w:szCs w:val="21"/>
              </w:rPr>
            </w:pPr>
          </w:p>
        </w:tc>
      </w:tr>
    </w:tbl>
    <w:p w14:paraId="7766E17E">
      <w:pPr>
        <w:widowControl/>
        <w:ind w:firstLine="562"/>
        <w:jc w:val="left"/>
        <w:rPr>
          <w:rFonts w:ascii="Times New Roman" w:hAnsi="Times New Roman" w:eastAsia="宋体" w:cs="Times New Roman"/>
          <w:b/>
          <w:sz w:val="28"/>
          <w:szCs w:val="28"/>
        </w:rPr>
      </w:pPr>
    </w:p>
    <w:p w14:paraId="4212C227">
      <w:pPr>
        <w:widowControl/>
        <w:ind w:firstLine="562"/>
        <w:jc w:val="left"/>
        <w:rPr>
          <w:rFonts w:ascii="Times New Roman" w:hAnsi="Times New Roman" w:eastAsia="宋体" w:cs="Times New Roman"/>
          <w:sz w:val="28"/>
          <w:szCs w:val="28"/>
        </w:rPr>
      </w:pPr>
      <w:r>
        <w:rPr>
          <w:rFonts w:ascii="Times New Roman" w:hAnsi="Times New Roman" w:eastAsia="宋体" w:cs="Times New Roman"/>
          <w:b/>
          <w:sz w:val="28"/>
          <w:szCs w:val="28"/>
        </w:rPr>
        <w:t>4.6.2</w:t>
      </w:r>
      <w:r>
        <w:rPr>
          <w:rFonts w:ascii="Times New Roman" w:hAnsi="Times New Roman" w:eastAsia="宋体" w:cs="Times New Roman"/>
          <w:b/>
          <w:sz w:val="28"/>
          <w:szCs w:val="28"/>
        </w:rPr>
        <w:tab/>
      </w:r>
      <w:r>
        <w:rPr>
          <w:rFonts w:ascii="Times New Roman" w:hAnsi="Times New Roman" w:eastAsia="宋体" w:cs="Times New Roman"/>
          <w:sz w:val="28"/>
          <w:szCs w:val="28"/>
        </w:rPr>
        <w:t>生产</w:t>
      </w:r>
      <w:r>
        <w:rPr>
          <w:rFonts w:hint="eastAsia" w:ascii="Times New Roman" w:hAnsi="Times New Roman" w:eastAsia="宋体" w:cs="Times New Roman"/>
          <w:sz w:val="28"/>
          <w:szCs w:val="28"/>
        </w:rPr>
        <w:t>、</w:t>
      </w:r>
      <w:r>
        <w:rPr>
          <w:rFonts w:ascii="Times New Roman" w:hAnsi="Times New Roman" w:eastAsia="宋体" w:cs="Times New Roman"/>
          <w:sz w:val="28"/>
          <w:szCs w:val="28"/>
        </w:rPr>
        <w:t>施工阶段</w:t>
      </w:r>
      <w:r>
        <w:rPr>
          <w:rFonts w:hint="eastAsia" w:ascii="Times New Roman" w:hAnsi="Times New Roman" w:eastAsia="宋体" w:cs="Times New Roman"/>
          <w:sz w:val="28"/>
          <w:szCs w:val="28"/>
        </w:rPr>
        <w:t>应用信息模型技术得</w:t>
      </w:r>
      <w:r>
        <w:rPr>
          <w:rFonts w:ascii="Times New Roman" w:hAnsi="Times New Roman" w:eastAsia="宋体" w:cs="Times New Roman"/>
          <w:sz w:val="28"/>
          <w:szCs w:val="28"/>
        </w:rPr>
        <w:t>1</w:t>
      </w:r>
      <w:r>
        <w:rPr>
          <w:rFonts w:hint="eastAsia" w:ascii="Times New Roman" w:hAnsi="Times New Roman" w:eastAsia="宋体" w:cs="Times New Roman"/>
          <w:sz w:val="28"/>
          <w:szCs w:val="28"/>
        </w:rPr>
        <w:t>2分，评分项满足下表规定</w:t>
      </w:r>
      <w:r>
        <w:rPr>
          <w:rFonts w:hint="eastAsia" w:asciiTheme="minorEastAsia" w:hAnsiTheme="minorEastAsia"/>
          <w:bCs/>
          <w:sz w:val="28"/>
          <w:szCs w:val="28"/>
        </w:rPr>
        <w:t>：</w:t>
      </w:r>
    </w:p>
    <w:p w14:paraId="726EA787">
      <w:pPr>
        <w:widowControl/>
        <w:ind w:firstLine="480"/>
        <w:jc w:val="center"/>
        <w:rPr>
          <w:rFonts w:ascii="Times New Roman" w:hAnsi="Times New Roman" w:eastAsia="宋体" w:cs="Times New Roman"/>
          <w:sz w:val="28"/>
          <w:szCs w:val="28"/>
        </w:rPr>
      </w:pPr>
      <w:r>
        <w:rPr>
          <w:rFonts w:hint="eastAsia" w:cs="Times New Roman" w:asciiTheme="minorEastAsia" w:hAnsiTheme="minorEastAsia"/>
          <w:sz w:val="24"/>
        </w:rPr>
        <w:t>表4</w:t>
      </w:r>
      <w:r>
        <w:rPr>
          <w:rFonts w:cs="Times New Roman" w:asciiTheme="minorEastAsia" w:hAnsiTheme="minorEastAsia"/>
          <w:sz w:val="24"/>
        </w:rPr>
        <w:t>.</w:t>
      </w:r>
      <w:r>
        <w:rPr>
          <w:rFonts w:hint="eastAsia" w:cs="Times New Roman" w:asciiTheme="minorEastAsia" w:hAnsiTheme="minorEastAsia"/>
          <w:sz w:val="24"/>
        </w:rPr>
        <w:t>6</w:t>
      </w:r>
      <w:r>
        <w:rPr>
          <w:rFonts w:cs="Times New Roman" w:asciiTheme="minorEastAsia" w:hAnsiTheme="minorEastAsia"/>
          <w:sz w:val="24"/>
        </w:rPr>
        <w:t>.2</w:t>
      </w:r>
      <w:r>
        <w:rPr>
          <w:rFonts w:hint="eastAsia" w:cs="Times New Roman" w:asciiTheme="minorEastAsia" w:hAnsiTheme="minorEastAsia"/>
          <w:sz w:val="24"/>
        </w:rPr>
        <w:t>生产、施工应用信息模型</w:t>
      </w:r>
      <w:r>
        <w:rPr>
          <w:rFonts w:hint="eastAsia" w:cs="Times New Roman" w:asciiTheme="minorEastAsia" w:hAnsiTheme="minorEastAsia"/>
          <w:bCs/>
          <w:sz w:val="24"/>
        </w:rPr>
        <w:t>评分项与评分规则</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2064"/>
        <w:gridCol w:w="1254"/>
        <w:gridCol w:w="1660"/>
      </w:tblGrid>
      <w:tr w14:paraId="634C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gridSpan w:val="2"/>
          </w:tcPr>
          <w:p w14:paraId="1CEB646F">
            <w:pPr>
              <w:widowControl/>
              <w:rPr>
                <w:rFonts w:ascii="Times New Roman" w:hAnsi="Times New Roman" w:eastAsia="宋体" w:cs="Times New Roman"/>
                <w:szCs w:val="21"/>
              </w:rPr>
            </w:pPr>
            <w:r>
              <w:rPr>
                <w:rFonts w:hint="eastAsia" w:ascii="Times New Roman" w:hAnsi="Times New Roman" w:eastAsia="宋体" w:cs="Times New Roman"/>
                <w:szCs w:val="21"/>
              </w:rPr>
              <w:t>评价指标</w:t>
            </w:r>
          </w:p>
        </w:tc>
        <w:tc>
          <w:tcPr>
            <w:tcW w:w="2064" w:type="dxa"/>
          </w:tcPr>
          <w:p w14:paraId="0D78C3BB">
            <w:pPr>
              <w:widowControl/>
              <w:rPr>
                <w:rFonts w:ascii="Times New Roman" w:hAnsi="Times New Roman" w:eastAsia="宋体" w:cs="Times New Roman"/>
                <w:szCs w:val="21"/>
              </w:rPr>
            </w:pPr>
            <w:r>
              <w:rPr>
                <w:rFonts w:hint="eastAsia" w:ascii="Times New Roman" w:hAnsi="Times New Roman" w:eastAsia="宋体" w:cs="Times New Roman"/>
                <w:szCs w:val="21"/>
              </w:rPr>
              <w:t>评价项内容及要求</w:t>
            </w:r>
          </w:p>
        </w:tc>
        <w:tc>
          <w:tcPr>
            <w:tcW w:w="1254" w:type="dxa"/>
          </w:tcPr>
          <w:p w14:paraId="6CF98265">
            <w:pPr>
              <w:widowControl/>
              <w:rPr>
                <w:rFonts w:ascii="Times New Roman" w:hAnsi="Times New Roman" w:eastAsia="宋体" w:cs="Times New Roman"/>
                <w:szCs w:val="21"/>
              </w:rPr>
            </w:pPr>
            <w:r>
              <w:rPr>
                <w:rFonts w:hint="eastAsia" w:ascii="Times New Roman" w:hAnsi="Times New Roman" w:eastAsia="宋体" w:cs="Times New Roman"/>
                <w:szCs w:val="21"/>
              </w:rPr>
              <w:t>评价分值</w:t>
            </w:r>
          </w:p>
        </w:tc>
        <w:tc>
          <w:tcPr>
            <w:tcW w:w="1660" w:type="dxa"/>
          </w:tcPr>
          <w:p w14:paraId="3B0C5600">
            <w:pPr>
              <w:widowControl/>
              <w:rPr>
                <w:rFonts w:ascii="Times New Roman" w:hAnsi="Times New Roman" w:eastAsia="宋体" w:cs="Times New Roman"/>
                <w:szCs w:val="21"/>
              </w:rPr>
            </w:pPr>
            <w:r>
              <w:rPr>
                <w:rFonts w:hint="eastAsia" w:ascii="Times New Roman" w:hAnsi="Times New Roman" w:eastAsia="宋体" w:cs="Times New Roman"/>
                <w:szCs w:val="21"/>
              </w:rPr>
              <w:t>评价方法</w:t>
            </w:r>
          </w:p>
        </w:tc>
      </w:tr>
      <w:tr w14:paraId="26DD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restart"/>
          </w:tcPr>
          <w:p w14:paraId="4F0EBBC4">
            <w:pPr>
              <w:widowControl/>
              <w:rPr>
                <w:rFonts w:ascii="Times New Roman" w:hAnsi="Times New Roman" w:eastAsia="宋体" w:cs="Times New Roman"/>
                <w:szCs w:val="21"/>
              </w:rPr>
            </w:pPr>
          </w:p>
          <w:p w14:paraId="4537A5DF">
            <w:pPr>
              <w:widowControl/>
              <w:rPr>
                <w:rFonts w:ascii="Times New Roman" w:hAnsi="Times New Roman" w:eastAsia="宋体" w:cs="Times New Roman"/>
                <w:szCs w:val="21"/>
              </w:rPr>
            </w:pPr>
          </w:p>
          <w:p w14:paraId="73328AD1">
            <w:pPr>
              <w:widowControl/>
              <w:rPr>
                <w:rFonts w:ascii="Times New Roman" w:hAnsi="Times New Roman" w:eastAsia="宋体" w:cs="Times New Roman"/>
                <w:szCs w:val="21"/>
              </w:rPr>
            </w:pPr>
          </w:p>
          <w:p w14:paraId="3C7C95DC">
            <w:pPr>
              <w:widowControl/>
              <w:rPr>
                <w:rFonts w:ascii="Times New Roman" w:hAnsi="Times New Roman" w:eastAsia="宋体" w:cs="Times New Roman"/>
                <w:szCs w:val="21"/>
              </w:rPr>
            </w:pPr>
          </w:p>
          <w:p w14:paraId="018EE66E">
            <w:pPr>
              <w:widowControl/>
              <w:rPr>
                <w:rFonts w:ascii="Times New Roman" w:hAnsi="Times New Roman" w:eastAsia="宋体" w:cs="Times New Roman"/>
                <w:szCs w:val="21"/>
              </w:rPr>
            </w:pPr>
          </w:p>
          <w:p w14:paraId="6DF19C0D">
            <w:pPr>
              <w:widowControl/>
              <w:rPr>
                <w:rFonts w:ascii="Times New Roman" w:hAnsi="Times New Roman" w:eastAsia="宋体" w:cs="Times New Roman"/>
                <w:szCs w:val="21"/>
              </w:rPr>
            </w:pPr>
          </w:p>
          <w:p w14:paraId="79AE5F9A">
            <w:pPr>
              <w:widowControl/>
              <w:rPr>
                <w:rFonts w:ascii="Times New Roman" w:hAnsi="Times New Roman" w:eastAsia="宋体" w:cs="Times New Roman"/>
                <w:szCs w:val="21"/>
              </w:rPr>
            </w:pPr>
            <w:r>
              <w:rPr>
                <w:rFonts w:hint="eastAsia" w:ascii="Times New Roman" w:hAnsi="Times New Roman" w:eastAsia="宋体" w:cs="Times New Roman"/>
                <w:szCs w:val="21"/>
              </w:rPr>
              <w:t>生产阶段</w:t>
            </w:r>
          </w:p>
        </w:tc>
        <w:tc>
          <w:tcPr>
            <w:tcW w:w="1659" w:type="dxa"/>
          </w:tcPr>
          <w:p w14:paraId="31968B4F">
            <w:pPr>
              <w:widowControl/>
              <w:rPr>
                <w:rFonts w:ascii="Times New Roman" w:hAnsi="Times New Roman" w:eastAsia="宋体" w:cs="Times New Roman"/>
                <w:szCs w:val="21"/>
              </w:rPr>
            </w:pPr>
            <w:r>
              <w:rPr>
                <w:rFonts w:hint="eastAsia" w:ascii="Times New Roman" w:hAnsi="Times New Roman" w:eastAsia="宋体" w:cs="Times New Roman"/>
                <w:szCs w:val="21"/>
              </w:rPr>
              <w:t>工厂生产信息化管理系统</w:t>
            </w:r>
          </w:p>
        </w:tc>
        <w:tc>
          <w:tcPr>
            <w:tcW w:w="2064" w:type="dxa"/>
          </w:tcPr>
          <w:p w14:paraId="776B32FB">
            <w:pPr>
              <w:widowControl/>
              <w:rPr>
                <w:rFonts w:ascii="Times New Roman" w:hAnsi="Times New Roman" w:eastAsia="宋体" w:cs="Times New Roman"/>
                <w:szCs w:val="21"/>
              </w:rPr>
            </w:pPr>
            <w:r>
              <w:rPr>
                <w:rFonts w:hint="eastAsia" w:ascii="Times New Roman" w:hAnsi="Times New Roman" w:eastAsia="宋体" w:cs="Times New Roman"/>
                <w:szCs w:val="21"/>
              </w:rPr>
              <w:t>采用了工厂生产信息化管理系统，包括计划安排、人财物管理、构件生产流程管理、构件质量控制</w:t>
            </w:r>
          </w:p>
        </w:tc>
        <w:tc>
          <w:tcPr>
            <w:tcW w:w="1254" w:type="dxa"/>
          </w:tcPr>
          <w:p w14:paraId="668FCCDB">
            <w:pPr>
              <w:widowControl/>
              <w:rPr>
                <w:rFonts w:ascii="Times New Roman" w:hAnsi="Times New Roman" w:eastAsia="宋体" w:cs="Times New Roman"/>
                <w:szCs w:val="21"/>
              </w:rPr>
            </w:pPr>
            <w:r>
              <w:rPr>
                <w:rFonts w:hint="eastAsia" w:ascii="Times New Roman" w:hAnsi="Times New Roman" w:eastAsia="宋体" w:cs="Times New Roman"/>
                <w:szCs w:val="21"/>
              </w:rPr>
              <w:t>3</w:t>
            </w:r>
          </w:p>
        </w:tc>
        <w:tc>
          <w:tcPr>
            <w:tcW w:w="1660" w:type="dxa"/>
            <w:vMerge w:val="restart"/>
          </w:tcPr>
          <w:p w14:paraId="52099D30">
            <w:pPr>
              <w:widowControl/>
              <w:rPr>
                <w:rFonts w:ascii="Times New Roman" w:hAnsi="Times New Roman" w:eastAsia="宋体" w:cs="Times New Roman"/>
                <w:szCs w:val="21"/>
              </w:rPr>
            </w:pPr>
          </w:p>
          <w:p w14:paraId="57D1F360">
            <w:pPr>
              <w:widowControl/>
              <w:rPr>
                <w:rFonts w:ascii="Times New Roman" w:hAnsi="Times New Roman" w:eastAsia="宋体" w:cs="Times New Roman"/>
                <w:szCs w:val="21"/>
              </w:rPr>
            </w:pPr>
          </w:p>
          <w:p w14:paraId="5DDED14A">
            <w:pPr>
              <w:widowControl/>
              <w:rPr>
                <w:rFonts w:ascii="Times New Roman" w:hAnsi="Times New Roman" w:eastAsia="宋体" w:cs="Times New Roman"/>
                <w:szCs w:val="21"/>
              </w:rPr>
            </w:pPr>
          </w:p>
          <w:p w14:paraId="3E6B2A5A">
            <w:pPr>
              <w:widowControl/>
              <w:rPr>
                <w:rFonts w:ascii="Times New Roman" w:hAnsi="Times New Roman" w:eastAsia="宋体" w:cs="Times New Roman"/>
                <w:szCs w:val="21"/>
              </w:rPr>
            </w:pPr>
          </w:p>
          <w:p w14:paraId="3D803DD5">
            <w:pPr>
              <w:widowControl/>
              <w:rPr>
                <w:rFonts w:ascii="Times New Roman" w:hAnsi="Times New Roman" w:eastAsia="宋体" w:cs="Times New Roman"/>
                <w:szCs w:val="21"/>
              </w:rPr>
            </w:pPr>
          </w:p>
          <w:p w14:paraId="42269A4B">
            <w:pPr>
              <w:widowControl/>
              <w:rPr>
                <w:rFonts w:ascii="Times New Roman" w:hAnsi="Times New Roman" w:eastAsia="宋体" w:cs="Times New Roman"/>
                <w:szCs w:val="21"/>
              </w:rPr>
            </w:pPr>
          </w:p>
          <w:p w14:paraId="661C7DBB">
            <w:pPr>
              <w:widowControl/>
              <w:rPr>
                <w:rFonts w:ascii="Times New Roman" w:hAnsi="Times New Roman" w:eastAsia="宋体" w:cs="Times New Roman"/>
                <w:szCs w:val="21"/>
              </w:rPr>
            </w:pPr>
          </w:p>
          <w:p w14:paraId="5B5AAC9C">
            <w:pPr>
              <w:widowControl/>
              <w:rPr>
                <w:rFonts w:ascii="Times New Roman" w:hAnsi="Times New Roman" w:eastAsia="宋体" w:cs="Times New Roman"/>
                <w:szCs w:val="21"/>
              </w:rPr>
            </w:pPr>
          </w:p>
          <w:p w14:paraId="470F0CAA">
            <w:pPr>
              <w:widowControl/>
              <w:rPr>
                <w:rFonts w:ascii="Times New Roman" w:hAnsi="Times New Roman" w:eastAsia="宋体" w:cs="Times New Roman"/>
                <w:szCs w:val="21"/>
              </w:rPr>
            </w:pPr>
          </w:p>
          <w:p w14:paraId="0EEEF3DD">
            <w:pPr>
              <w:widowControl/>
              <w:rPr>
                <w:rFonts w:ascii="Times New Roman" w:hAnsi="Times New Roman" w:eastAsia="宋体" w:cs="Times New Roman"/>
                <w:szCs w:val="21"/>
              </w:rPr>
            </w:pPr>
          </w:p>
          <w:p w14:paraId="35B2C932">
            <w:pPr>
              <w:widowControl/>
              <w:rPr>
                <w:rFonts w:ascii="Times New Roman" w:hAnsi="Times New Roman" w:eastAsia="宋体" w:cs="Times New Roman"/>
                <w:szCs w:val="21"/>
              </w:rPr>
            </w:pPr>
            <w:r>
              <w:rPr>
                <w:rFonts w:hint="eastAsia" w:ascii="Times New Roman" w:hAnsi="Times New Roman" w:eastAsia="宋体" w:cs="Times New Roman"/>
                <w:szCs w:val="21"/>
              </w:rPr>
              <w:t>查阅资料</w:t>
            </w:r>
          </w:p>
        </w:tc>
      </w:tr>
      <w:tr w14:paraId="6DE1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tcPr>
          <w:p w14:paraId="161D5757">
            <w:pPr>
              <w:widowControl/>
              <w:rPr>
                <w:rFonts w:ascii="Times New Roman" w:hAnsi="Times New Roman" w:eastAsia="宋体" w:cs="Times New Roman"/>
                <w:szCs w:val="21"/>
              </w:rPr>
            </w:pPr>
          </w:p>
        </w:tc>
        <w:tc>
          <w:tcPr>
            <w:tcW w:w="1659" w:type="dxa"/>
          </w:tcPr>
          <w:p w14:paraId="7EAC5575">
            <w:pPr>
              <w:widowControl/>
              <w:rPr>
                <w:rFonts w:ascii="Times New Roman" w:hAnsi="Times New Roman" w:eastAsia="宋体" w:cs="Times New Roman"/>
                <w:szCs w:val="21"/>
              </w:rPr>
            </w:pPr>
            <w:r>
              <w:rPr>
                <w:rFonts w:hint="eastAsia" w:ascii="Times New Roman" w:hAnsi="Times New Roman" w:eastAsia="宋体" w:cs="Times New Roman"/>
                <w:szCs w:val="21"/>
              </w:rPr>
              <w:t>构件生产信息数据库</w:t>
            </w:r>
          </w:p>
        </w:tc>
        <w:tc>
          <w:tcPr>
            <w:tcW w:w="2064" w:type="dxa"/>
          </w:tcPr>
          <w:p w14:paraId="09156229">
            <w:pPr>
              <w:widowControl/>
              <w:rPr>
                <w:rFonts w:ascii="Times New Roman" w:hAnsi="Times New Roman" w:eastAsia="宋体" w:cs="Times New Roman"/>
                <w:szCs w:val="21"/>
              </w:rPr>
            </w:pPr>
            <w:r>
              <w:rPr>
                <w:rFonts w:hint="eastAsia" w:ascii="Times New Roman" w:hAnsi="Times New Roman" w:eastAsia="宋体" w:cs="Times New Roman"/>
                <w:szCs w:val="21"/>
              </w:rPr>
              <w:t>建立了构件生产信息数据库，每个构件有唯一身份标识，用于记录构件生产关键信息，追溯、管理构件生产质量、进度</w:t>
            </w:r>
          </w:p>
          <w:p w14:paraId="345753D4">
            <w:pPr>
              <w:jc w:val="center"/>
              <w:rPr>
                <w:rFonts w:ascii="Times New Roman" w:hAnsi="Times New Roman" w:eastAsia="宋体" w:cs="Times New Roman"/>
                <w:szCs w:val="21"/>
              </w:rPr>
            </w:pPr>
          </w:p>
        </w:tc>
        <w:tc>
          <w:tcPr>
            <w:tcW w:w="1254" w:type="dxa"/>
          </w:tcPr>
          <w:p w14:paraId="40C34F37">
            <w:pPr>
              <w:widowControl/>
              <w:rPr>
                <w:rFonts w:ascii="Times New Roman" w:hAnsi="Times New Roman" w:eastAsia="宋体" w:cs="Times New Roman"/>
                <w:szCs w:val="21"/>
              </w:rPr>
            </w:pPr>
          </w:p>
          <w:p w14:paraId="1537BC44">
            <w:pPr>
              <w:rPr>
                <w:rFonts w:ascii="Times New Roman" w:hAnsi="Times New Roman" w:eastAsia="宋体" w:cs="Times New Roman"/>
                <w:szCs w:val="21"/>
              </w:rPr>
            </w:pPr>
            <w:r>
              <w:rPr>
                <w:rFonts w:hint="eastAsia" w:ascii="Times New Roman" w:hAnsi="Times New Roman" w:eastAsia="宋体" w:cs="Times New Roman"/>
                <w:szCs w:val="21"/>
              </w:rPr>
              <w:t>3</w:t>
            </w:r>
          </w:p>
        </w:tc>
        <w:tc>
          <w:tcPr>
            <w:tcW w:w="1660" w:type="dxa"/>
            <w:vMerge w:val="continue"/>
          </w:tcPr>
          <w:p w14:paraId="163E44C9">
            <w:pPr>
              <w:widowControl/>
              <w:rPr>
                <w:rFonts w:ascii="Times New Roman" w:hAnsi="Times New Roman" w:eastAsia="宋体" w:cs="Times New Roman"/>
                <w:szCs w:val="21"/>
              </w:rPr>
            </w:pPr>
          </w:p>
        </w:tc>
      </w:tr>
      <w:tr w14:paraId="74BF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restart"/>
          </w:tcPr>
          <w:p w14:paraId="19C14A18">
            <w:pPr>
              <w:widowControl/>
              <w:rPr>
                <w:rFonts w:ascii="Times New Roman" w:hAnsi="Times New Roman" w:eastAsia="宋体" w:cs="Times New Roman"/>
                <w:szCs w:val="21"/>
              </w:rPr>
            </w:pPr>
          </w:p>
          <w:p w14:paraId="660803CE">
            <w:pPr>
              <w:widowControl/>
              <w:rPr>
                <w:rFonts w:ascii="Times New Roman" w:hAnsi="Times New Roman" w:eastAsia="宋体" w:cs="Times New Roman"/>
                <w:szCs w:val="21"/>
              </w:rPr>
            </w:pPr>
          </w:p>
          <w:p w14:paraId="44A1378B">
            <w:pPr>
              <w:widowControl/>
              <w:rPr>
                <w:rFonts w:ascii="Times New Roman" w:hAnsi="Times New Roman" w:eastAsia="宋体" w:cs="Times New Roman"/>
                <w:szCs w:val="21"/>
              </w:rPr>
            </w:pPr>
          </w:p>
          <w:p w14:paraId="5AB647E8">
            <w:pPr>
              <w:widowControl/>
              <w:rPr>
                <w:rFonts w:ascii="Times New Roman" w:hAnsi="Times New Roman" w:eastAsia="宋体" w:cs="Times New Roman"/>
                <w:szCs w:val="21"/>
              </w:rPr>
            </w:pPr>
          </w:p>
          <w:p w14:paraId="37B690E5">
            <w:pPr>
              <w:widowControl/>
              <w:rPr>
                <w:rFonts w:ascii="Times New Roman" w:hAnsi="Times New Roman" w:eastAsia="宋体" w:cs="Times New Roman"/>
                <w:szCs w:val="21"/>
              </w:rPr>
            </w:pPr>
          </w:p>
          <w:p w14:paraId="043016ED">
            <w:pPr>
              <w:widowControl/>
              <w:rPr>
                <w:rFonts w:ascii="Times New Roman" w:hAnsi="Times New Roman" w:eastAsia="宋体" w:cs="Times New Roman"/>
                <w:szCs w:val="21"/>
              </w:rPr>
            </w:pPr>
            <w:r>
              <w:rPr>
                <w:rFonts w:hint="eastAsia" w:ascii="Times New Roman" w:hAnsi="Times New Roman" w:eastAsia="宋体" w:cs="Times New Roman"/>
                <w:szCs w:val="21"/>
              </w:rPr>
              <w:t>施工阶段</w:t>
            </w:r>
          </w:p>
        </w:tc>
        <w:tc>
          <w:tcPr>
            <w:tcW w:w="1659" w:type="dxa"/>
          </w:tcPr>
          <w:p w14:paraId="43EC4442">
            <w:pPr>
              <w:widowControl/>
              <w:rPr>
                <w:rFonts w:ascii="Times New Roman" w:hAnsi="Times New Roman" w:eastAsia="宋体" w:cs="Times New Roman"/>
                <w:szCs w:val="21"/>
              </w:rPr>
            </w:pPr>
            <w:r>
              <w:rPr>
                <w:rFonts w:hint="eastAsia" w:ascii="Times New Roman" w:hAnsi="Times New Roman" w:eastAsia="宋体" w:cs="Times New Roman"/>
                <w:szCs w:val="21"/>
              </w:rPr>
              <w:t>施工过程信息模型</w:t>
            </w:r>
          </w:p>
        </w:tc>
        <w:tc>
          <w:tcPr>
            <w:tcW w:w="2064" w:type="dxa"/>
          </w:tcPr>
          <w:p w14:paraId="5A0380BA">
            <w:pPr>
              <w:widowControl/>
              <w:rPr>
                <w:rFonts w:ascii="Times New Roman" w:hAnsi="Times New Roman" w:eastAsia="宋体" w:cs="Times New Roman"/>
                <w:szCs w:val="21"/>
              </w:rPr>
            </w:pPr>
            <w:r>
              <w:rPr>
                <w:rFonts w:hint="eastAsia" w:ascii="Times New Roman" w:hAnsi="Times New Roman" w:eastAsia="宋体" w:cs="Times New Roman"/>
                <w:szCs w:val="21"/>
              </w:rPr>
              <w:t>建立施工过程信息模型，将深化设计模型与施工进度、成本管理、材料采购、室内装修、质量管控等信息关联整合、协同工作</w:t>
            </w:r>
          </w:p>
        </w:tc>
        <w:tc>
          <w:tcPr>
            <w:tcW w:w="1254" w:type="dxa"/>
          </w:tcPr>
          <w:p w14:paraId="536E36DC">
            <w:pPr>
              <w:widowControl/>
              <w:rPr>
                <w:rFonts w:ascii="Times New Roman" w:hAnsi="Times New Roman" w:eastAsia="宋体" w:cs="Times New Roman"/>
                <w:szCs w:val="21"/>
              </w:rPr>
            </w:pPr>
            <w:r>
              <w:rPr>
                <w:rFonts w:hint="eastAsia" w:ascii="Times New Roman" w:hAnsi="Times New Roman" w:eastAsia="宋体" w:cs="Times New Roman"/>
                <w:szCs w:val="21"/>
              </w:rPr>
              <w:t>3</w:t>
            </w:r>
          </w:p>
        </w:tc>
        <w:tc>
          <w:tcPr>
            <w:tcW w:w="1660" w:type="dxa"/>
            <w:vMerge w:val="continue"/>
          </w:tcPr>
          <w:p w14:paraId="463B8737">
            <w:pPr>
              <w:widowControl/>
              <w:rPr>
                <w:rFonts w:ascii="Times New Roman" w:hAnsi="Times New Roman" w:eastAsia="宋体" w:cs="Times New Roman"/>
                <w:szCs w:val="21"/>
              </w:rPr>
            </w:pPr>
          </w:p>
        </w:tc>
      </w:tr>
      <w:tr w14:paraId="40C6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tcPr>
          <w:p w14:paraId="6196BBC1">
            <w:pPr>
              <w:widowControl/>
              <w:rPr>
                <w:rFonts w:ascii="Times New Roman" w:hAnsi="Times New Roman" w:eastAsia="宋体" w:cs="Times New Roman"/>
                <w:szCs w:val="21"/>
              </w:rPr>
            </w:pPr>
          </w:p>
        </w:tc>
        <w:tc>
          <w:tcPr>
            <w:tcW w:w="1659" w:type="dxa"/>
          </w:tcPr>
          <w:p w14:paraId="6EADD206">
            <w:pPr>
              <w:widowControl/>
              <w:rPr>
                <w:rFonts w:ascii="Times New Roman" w:hAnsi="Times New Roman" w:eastAsia="宋体" w:cs="Times New Roman"/>
                <w:szCs w:val="21"/>
              </w:rPr>
            </w:pPr>
            <w:r>
              <w:rPr>
                <w:rFonts w:hint="eastAsia" w:ascii="Times New Roman" w:hAnsi="Times New Roman" w:eastAsia="宋体" w:cs="Times New Roman"/>
                <w:szCs w:val="21"/>
              </w:rPr>
              <w:t>竣工验收</w:t>
            </w:r>
          </w:p>
        </w:tc>
        <w:tc>
          <w:tcPr>
            <w:tcW w:w="2064" w:type="dxa"/>
          </w:tcPr>
          <w:p w14:paraId="1D5F1423">
            <w:pPr>
              <w:widowControl/>
              <w:rPr>
                <w:rFonts w:ascii="Times New Roman" w:hAnsi="Times New Roman" w:eastAsia="宋体" w:cs="Times New Roman"/>
                <w:szCs w:val="21"/>
              </w:rPr>
            </w:pPr>
            <w:r>
              <w:rPr>
                <w:rFonts w:hint="eastAsia" w:ascii="Times New Roman" w:hAnsi="Times New Roman" w:eastAsia="宋体" w:cs="Times New Roman"/>
                <w:szCs w:val="21"/>
              </w:rPr>
              <w:t>建立竣工验收信息模型，项目竣工信息资料完整、可追溯</w:t>
            </w:r>
          </w:p>
        </w:tc>
        <w:tc>
          <w:tcPr>
            <w:tcW w:w="1254" w:type="dxa"/>
          </w:tcPr>
          <w:p w14:paraId="6394422D">
            <w:pPr>
              <w:widowControl/>
              <w:rPr>
                <w:rFonts w:ascii="Times New Roman" w:hAnsi="Times New Roman" w:eastAsia="宋体" w:cs="Times New Roman"/>
                <w:szCs w:val="21"/>
              </w:rPr>
            </w:pPr>
            <w:r>
              <w:rPr>
                <w:rFonts w:hint="eastAsia" w:ascii="Times New Roman" w:hAnsi="Times New Roman" w:eastAsia="宋体" w:cs="Times New Roman"/>
                <w:szCs w:val="21"/>
              </w:rPr>
              <w:t>3</w:t>
            </w:r>
          </w:p>
        </w:tc>
        <w:tc>
          <w:tcPr>
            <w:tcW w:w="1660" w:type="dxa"/>
            <w:vMerge w:val="continue"/>
          </w:tcPr>
          <w:p w14:paraId="49BBB2C8">
            <w:pPr>
              <w:widowControl/>
              <w:rPr>
                <w:rFonts w:ascii="Times New Roman" w:hAnsi="Times New Roman" w:eastAsia="宋体" w:cs="Times New Roman"/>
                <w:szCs w:val="21"/>
              </w:rPr>
            </w:pPr>
          </w:p>
        </w:tc>
      </w:tr>
    </w:tbl>
    <w:p w14:paraId="52C32BC9">
      <w:pPr>
        <w:widowControl/>
        <w:rPr>
          <w:rFonts w:ascii="Times New Roman" w:hAnsi="Times New Roman" w:eastAsia="宋体" w:cs="Times New Roman"/>
          <w:sz w:val="28"/>
          <w:szCs w:val="28"/>
        </w:rPr>
      </w:pPr>
    </w:p>
    <w:p w14:paraId="637D22A2">
      <w:pPr>
        <w:pStyle w:val="27"/>
        <w:widowControl/>
      </w:pPr>
      <w:r>
        <w:rPr>
          <w:b/>
        </w:rPr>
        <w:t>4.6.3</w:t>
      </w:r>
      <w:r>
        <w:rPr>
          <w:b/>
        </w:rPr>
        <w:tab/>
      </w:r>
      <w:r>
        <w:rPr>
          <w:rFonts w:hint="eastAsia" w:cs="宋体"/>
        </w:rPr>
        <w:t>新型建筑工业化项目在竣工验收时，提供的</w:t>
      </w:r>
      <w:r>
        <w:t>BIM</w:t>
      </w:r>
      <w:r>
        <w:rPr>
          <w:rFonts w:hint="eastAsia" w:cs="宋体"/>
        </w:rPr>
        <w:t>资料可满足使用方在运营、维护阶段的主要需求，该评价项得</w:t>
      </w:r>
      <w:r>
        <w:t>2</w:t>
      </w:r>
      <w:r>
        <w:rPr>
          <w:rFonts w:hint="eastAsia" w:cs="宋体"/>
        </w:rPr>
        <w:t>分。</w:t>
      </w:r>
    </w:p>
    <w:p w14:paraId="38DB8577">
      <w:pPr>
        <w:pStyle w:val="51"/>
        <w:widowControl/>
        <w:spacing w:before="156" w:after="156"/>
        <w:ind w:firstLine="562"/>
        <w:rPr>
          <w:szCs w:val="28"/>
        </w:rPr>
      </w:pPr>
      <w:bookmarkStart w:id="70" w:name="_Toc110785799"/>
      <w:bookmarkStart w:id="71" w:name="_Toc174629883"/>
      <w:bookmarkStart w:id="72" w:name="_Toc174629905"/>
      <w:r>
        <w:t>4.</w:t>
      </w:r>
      <w:bookmarkEnd w:id="70"/>
      <w:r>
        <w:t xml:space="preserve">7 </w:t>
      </w:r>
      <w:r>
        <w:rPr>
          <w:rFonts w:hint="eastAsia" w:cs="宋体"/>
          <w:bCs w:val="0"/>
          <w:kern w:val="2"/>
          <w:szCs w:val="28"/>
        </w:rPr>
        <w:t>组织管理模式</w:t>
      </w:r>
      <w:bookmarkEnd w:id="71"/>
      <w:bookmarkEnd w:id="72"/>
    </w:p>
    <w:p w14:paraId="589C03BD">
      <w:pPr>
        <w:pStyle w:val="27"/>
        <w:rPr>
          <w:lang w:bidi="ar"/>
        </w:rPr>
      </w:pPr>
      <w:r>
        <w:rPr>
          <w:b/>
          <w:lang w:bidi="ar"/>
        </w:rPr>
        <w:t>4.7.1</w:t>
      </w:r>
      <w:r>
        <w:rPr>
          <w:b/>
          <w:lang w:bidi="ar"/>
        </w:rPr>
        <w:tab/>
      </w:r>
      <w:r>
        <w:rPr>
          <w:rFonts w:hint="eastAsia"/>
          <w:lang w:bidi="ar"/>
        </w:rPr>
        <w:t>项目采用工程总承包建设模式，得</w:t>
      </w:r>
      <w:r>
        <w:rPr>
          <w:lang w:bidi="ar"/>
        </w:rPr>
        <w:t>1.5</w:t>
      </w:r>
      <w:r>
        <w:rPr>
          <w:rFonts w:hint="eastAsia"/>
          <w:lang w:bidi="ar"/>
        </w:rPr>
        <w:t>分。</w:t>
      </w:r>
    </w:p>
    <w:p w14:paraId="05C4BC4B">
      <w:pPr>
        <w:pStyle w:val="27"/>
        <w:rPr>
          <w:lang w:bidi="ar"/>
        </w:rPr>
      </w:pPr>
      <w:r>
        <w:rPr>
          <w:b/>
          <w:lang w:bidi="ar"/>
        </w:rPr>
        <w:t>4.7.2</w:t>
      </w:r>
      <w:r>
        <w:rPr>
          <w:b/>
          <w:lang w:bidi="ar"/>
        </w:rPr>
        <w:tab/>
      </w:r>
      <w:r>
        <w:rPr>
          <w:rFonts w:hint="eastAsia"/>
          <w:lang w:bidi="ar"/>
        </w:rPr>
        <w:t>项目采用全过程工程咨询服务模式，得</w:t>
      </w:r>
      <w:r>
        <w:rPr>
          <w:lang w:bidi="ar"/>
        </w:rPr>
        <w:t>1.5</w:t>
      </w:r>
      <w:r>
        <w:rPr>
          <w:rFonts w:hint="eastAsia"/>
          <w:lang w:bidi="ar"/>
        </w:rPr>
        <w:t>分。</w:t>
      </w:r>
    </w:p>
    <w:p w14:paraId="173D02A7">
      <w:pPr>
        <w:pStyle w:val="27"/>
        <w:rPr>
          <w:lang w:bidi="ar"/>
        </w:rPr>
      </w:pPr>
      <w:r>
        <w:rPr>
          <w:b/>
          <w:lang w:bidi="ar"/>
        </w:rPr>
        <w:t>4.7.3</w:t>
      </w:r>
      <w:r>
        <w:rPr>
          <w:b/>
          <w:lang w:bidi="ar"/>
        </w:rPr>
        <w:tab/>
      </w:r>
      <w:r>
        <w:rPr>
          <w:rFonts w:hint="eastAsia"/>
          <w:lang w:bidi="ar"/>
        </w:rPr>
        <w:t>构件生产厂建立了构件质量监督机制</w:t>
      </w:r>
      <w:bookmarkStart w:id="73" w:name="_Hlk122870860"/>
      <w:r>
        <w:rPr>
          <w:rFonts w:hint="eastAsia"/>
          <w:lang w:bidi="ar"/>
        </w:rPr>
        <w:t>，得</w:t>
      </w:r>
      <w:r>
        <w:rPr>
          <w:lang w:bidi="ar"/>
        </w:rPr>
        <w:t>1</w:t>
      </w:r>
      <w:r>
        <w:rPr>
          <w:rFonts w:hint="eastAsia"/>
          <w:lang w:bidi="ar"/>
        </w:rPr>
        <w:t>分。</w:t>
      </w:r>
      <w:bookmarkEnd w:id="73"/>
    </w:p>
    <w:p w14:paraId="76AD80F6">
      <w:pPr>
        <w:pStyle w:val="27"/>
        <w:rPr>
          <w:lang w:bidi="ar"/>
        </w:rPr>
      </w:pPr>
      <w:r>
        <w:rPr>
          <w:b/>
          <w:lang w:bidi="ar"/>
        </w:rPr>
        <w:t>4.7.4</w:t>
      </w:r>
      <w:r>
        <w:rPr>
          <w:lang w:bidi="ar"/>
        </w:rPr>
        <w:tab/>
      </w:r>
      <w:r>
        <w:rPr>
          <w:rFonts w:hint="eastAsia"/>
          <w:lang w:bidi="ar"/>
        </w:rPr>
        <w:t>项目采用建筑师负责制，得</w:t>
      </w:r>
      <w:r>
        <w:rPr>
          <w:lang w:bidi="ar"/>
        </w:rPr>
        <w:t>1</w:t>
      </w:r>
      <w:r>
        <w:rPr>
          <w:rFonts w:hint="eastAsia"/>
          <w:lang w:bidi="ar"/>
        </w:rPr>
        <w:t>分。</w:t>
      </w:r>
    </w:p>
    <w:p w14:paraId="0C8A1146">
      <w:pPr>
        <w:pStyle w:val="51"/>
        <w:widowControl/>
        <w:spacing w:before="156" w:after="156"/>
        <w:ind w:firstLine="562"/>
      </w:pPr>
      <w:bookmarkStart w:id="74" w:name="_Toc110785800"/>
      <w:bookmarkStart w:id="75" w:name="_Toc174629906"/>
      <w:bookmarkStart w:id="76" w:name="_Toc174629884"/>
      <w:r>
        <w:t>4.</w:t>
      </w:r>
      <w:bookmarkEnd w:id="74"/>
      <w:r>
        <w:t xml:space="preserve">8 </w:t>
      </w:r>
      <w:r>
        <w:rPr>
          <w:rFonts w:hint="eastAsia"/>
        </w:rPr>
        <w:t>碳计算与绿色建筑</w:t>
      </w:r>
      <w:bookmarkEnd w:id="75"/>
      <w:bookmarkEnd w:id="76"/>
    </w:p>
    <w:p w14:paraId="78B6260D">
      <w:pPr>
        <w:pStyle w:val="27"/>
        <w:rPr>
          <w:lang w:bidi="ar"/>
        </w:rPr>
      </w:pPr>
      <w:r>
        <w:rPr>
          <w:b/>
          <w:lang w:bidi="ar"/>
        </w:rPr>
        <w:t>4.8.1</w:t>
      </w:r>
      <w:r>
        <w:rPr>
          <w:b/>
          <w:lang w:bidi="ar"/>
        </w:rPr>
        <w:tab/>
      </w:r>
      <w:r>
        <w:rPr>
          <w:rFonts w:hint="eastAsia"/>
          <w:lang w:bidi="ar"/>
        </w:rPr>
        <w:t>项目按照广东省《建筑碳排放计算导则(试行)》进行碳计算，得2分。</w:t>
      </w:r>
    </w:p>
    <w:p w14:paraId="0F8BDF7E">
      <w:pPr>
        <w:pStyle w:val="27"/>
        <w:rPr>
          <w:lang w:bidi="ar"/>
        </w:rPr>
      </w:pPr>
      <w:r>
        <w:rPr>
          <w:b/>
          <w:lang w:bidi="ar"/>
        </w:rPr>
        <w:t>4.8.2</w:t>
      </w:r>
      <w:r>
        <w:rPr>
          <w:b/>
          <w:lang w:bidi="ar"/>
        </w:rPr>
        <w:tab/>
      </w:r>
      <w:r>
        <w:rPr>
          <w:rFonts w:hint="eastAsia"/>
          <w:color w:val="000000" w:themeColor="text1"/>
          <w:lang w:bidi="ar"/>
          <w14:textFill>
            <w14:solidFill>
              <w14:schemeClr w14:val="tx1"/>
            </w14:solidFill>
          </w14:textFill>
        </w:rPr>
        <w:t>项目按照《绿色建筑评价标准》</w:t>
      </w:r>
      <w:r>
        <w:rPr>
          <w:color w:val="000000" w:themeColor="text1"/>
          <w:lang w:bidi="ar"/>
          <w14:textFill>
            <w14:solidFill>
              <w14:schemeClr w14:val="tx1"/>
            </w14:solidFill>
          </w14:textFill>
        </w:rPr>
        <w:t>GB/T 50378</w:t>
      </w:r>
      <w:r>
        <w:rPr>
          <w:rFonts w:hint="eastAsia"/>
          <w:color w:val="000000" w:themeColor="text1"/>
          <w:lang w:bidi="ar"/>
          <w14:textFill>
            <w14:solidFill>
              <w14:schemeClr w14:val="tx1"/>
            </w14:solidFill>
          </w14:textFill>
        </w:rPr>
        <w:t>、《广东省绿色建筑评价标准》</w:t>
      </w:r>
      <w:r>
        <w:rPr>
          <w:color w:val="000000" w:themeColor="text1"/>
          <w:lang w:bidi="ar"/>
          <w14:textFill>
            <w14:solidFill>
              <w14:schemeClr w14:val="tx1"/>
            </w14:solidFill>
          </w14:textFill>
        </w:rPr>
        <w:t>DBJ/T 15-83</w:t>
      </w:r>
      <w:r>
        <w:rPr>
          <w:rFonts w:hint="eastAsia"/>
          <w:color w:val="000000" w:themeColor="text1"/>
          <w:lang w:bidi="ar"/>
          <w14:textFill>
            <w14:solidFill>
              <w14:schemeClr w14:val="tx1"/>
            </w14:solidFill>
          </w14:textFill>
        </w:rPr>
        <w:t>进行评价，项目满足一星级绿色建筑得</w:t>
      </w:r>
      <w:r>
        <w:rPr>
          <w:color w:val="000000" w:themeColor="text1"/>
          <w:lang w:bidi="ar"/>
          <w14:textFill>
            <w14:solidFill>
              <w14:schemeClr w14:val="tx1"/>
            </w14:solidFill>
          </w14:textFill>
        </w:rPr>
        <w:t>1</w:t>
      </w:r>
      <w:r>
        <w:rPr>
          <w:rFonts w:hint="eastAsia"/>
          <w:color w:val="000000" w:themeColor="text1"/>
          <w:lang w:bidi="ar"/>
          <w14:textFill>
            <w14:solidFill>
              <w14:schemeClr w14:val="tx1"/>
            </w14:solidFill>
          </w14:textFill>
        </w:rPr>
        <w:t>分、二星级绿色建筑得</w:t>
      </w:r>
      <w:r>
        <w:rPr>
          <w:color w:val="000000" w:themeColor="text1"/>
          <w:lang w:bidi="ar"/>
          <w14:textFill>
            <w14:solidFill>
              <w14:schemeClr w14:val="tx1"/>
            </w14:solidFill>
          </w14:textFill>
        </w:rPr>
        <w:t>1.5</w:t>
      </w:r>
      <w:r>
        <w:rPr>
          <w:rFonts w:hint="eastAsia"/>
          <w:color w:val="000000" w:themeColor="text1"/>
          <w:lang w:bidi="ar"/>
          <w14:textFill>
            <w14:solidFill>
              <w14:schemeClr w14:val="tx1"/>
            </w14:solidFill>
          </w14:textFill>
        </w:rPr>
        <w:t>分、三星级绿色建筑得</w:t>
      </w:r>
      <w:r>
        <w:rPr>
          <w:color w:val="000000" w:themeColor="text1"/>
          <w:lang w:bidi="ar"/>
          <w14:textFill>
            <w14:solidFill>
              <w14:schemeClr w14:val="tx1"/>
            </w14:solidFill>
          </w14:textFill>
        </w:rPr>
        <w:t>3</w:t>
      </w:r>
      <w:r>
        <w:rPr>
          <w:rFonts w:hint="eastAsia"/>
          <w:color w:val="000000" w:themeColor="text1"/>
          <w:lang w:bidi="ar"/>
          <w14:textFill>
            <w14:solidFill>
              <w14:schemeClr w14:val="tx1"/>
            </w14:solidFill>
          </w14:textFill>
        </w:rPr>
        <w:t>分。</w:t>
      </w:r>
    </w:p>
    <w:p w14:paraId="1E87D2BF">
      <w:pPr>
        <w:spacing w:line="360" w:lineRule="auto"/>
        <w:ind w:firstLine="420"/>
        <w:rPr>
          <w:szCs w:val="28"/>
        </w:rPr>
      </w:pPr>
    </w:p>
    <w:p w14:paraId="45A16D97">
      <w:pPr>
        <w:pStyle w:val="2"/>
        <w:widowControl/>
        <w:spacing w:after="312"/>
        <w:ind w:firstLine="422"/>
      </w:pPr>
      <w:r>
        <w:rPr>
          <w:rFonts w:asciiTheme="minorHAnsi" w:hAnsiTheme="minorHAnsi" w:eastAsiaTheme="minorEastAsia" w:cstheme="minorBidi"/>
          <w:sz w:val="21"/>
          <w:szCs w:val="24"/>
        </w:rPr>
        <w:br w:type="page"/>
      </w:r>
      <w:bookmarkStart w:id="77" w:name="_Toc174629885"/>
      <w:bookmarkStart w:id="78" w:name="_Toc174629907"/>
      <w:r>
        <w:t>5</w:t>
      </w:r>
      <w:r>
        <w:tab/>
      </w:r>
      <w:r>
        <w:rPr>
          <w:rFonts w:hint="eastAsia" w:cs="宋体"/>
        </w:rPr>
        <w:t>评价等级划分</w:t>
      </w:r>
      <w:bookmarkEnd w:id="77"/>
      <w:bookmarkEnd w:id="78"/>
    </w:p>
    <w:p w14:paraId="5CF60B9A">
      <w:pPr>
        <w:pStyle w:val="27"/>
        <w:widowControl/>
      </w:pPr>
      <w:r>
        <w:rPr>
          <w:b/>
        </w:rPr>
        <w:t>5.0.1</w:t>
      </w:r>
      <w:r>
        <w:tab/>
      </w:r>
      <w:r>
        <w:rPr>
          <w:rFonts w:hint="eastAsia" w:cs="宋体"/>
        </w:rPr>
        <w:t>当评价项目满足本评价指南第</w:t>
      </w:r>
      <w:r>
        <w:t>3.0.3</w:t>
      </w:r>
      <w:r>
        <w:rPr>
          <w:rFonts w:hint="eastAsia" w:cs="宋体"/>
        </w:rPr>
        <w:t>条全部要求，可进行新型建筑工业化项目等级评价，新型建筑工业化项目评价等级划分为基本级、</w:t>
      </w:r>
      <w:r>
        <w:t>A</w:t>
      </w:r>
      <w:r>
        <w:rPr>
          <w:rFonts w:hint="eastAsia" w:cs="宋体"/>
        </w:rPr>
        <w:t>级、</w:t>
      </w:r>
      <w:r>
        <w:t>AA</w:t>
      </w:r>
      <w:r>
        <w:rPr>
          <w:rFonts w:hint="eastAsia" w:cs="宋体"/>
        </w:rPr>
        <w:t>级、</w:t>
      </w:r>
      <w:r>
        <w:t>AAA</w:t>
      </w:r>
      <w:r>
        <w:rPr>
          <w:rFonts w:hint="eastAsia" w:cs="宋体"/>
        </w:rPr>
        <w:t>级并应符合下列规定</w:t>
      </w:r>
    </w:p>
    <w:p w14:paraId="6627F34D">
      <w:pPr>
        <w:pStyle w:val="33"/>
        <w:widowControl/>
        <w:ind w:firstLine="480"/>
      </w:pPr>
      <w:r>
        <w:t>1</w:t>
      </w:r>
      <w:r>
        <w:rPr>
          <w:rFonts w:hint="eastAsia"/>
        </w:rPr>
        <w:t>项目建筑工业化率</w:t>
      </w:r>
      <w:r>
        <w:rPr>
          <w:rFonts w:hint="eastAsia" w:cs="宋体"/>
        </w:rPr>
        <w:t>为</w:t>
      </w:r>
      <w:r>
        <w:t>50%~59%</w:t>
      </w:r>
      <w:r>
        <w:rPr>
          <w:rFonts w:hint="eastAsia" w:cs="宋体"/>
        </w:rPr>
        <w:t>，评价为</w:t>
      </w:r>
      <w:r>
        <w:rPr>
          <w:rFonts w:hint="eastAsia"/>
        </w:rPr>
        <w:t>基本</w:t>
      </w:r>
      <w:r>
        <w:rPr>
          <w:rFonts w:hint="eastAsia" w:cs="宋体"/>
        </w:rPr>
        <w:t>级新型建筑工业化项目。</w:t>
      </w:r>
    </w:p>
    <w:p w14:paraId="25ADC171">
      <w:pPr>
        <w:pStyle w:val="33"/>
        <w:widowControl/>
        <w:ind w:firstLine="480"/>
      </w:pPr>
      <w:r>
        <w:t xml:space="preserve">2 </w:t>
      </w:r>
      <w:r>
        <w:rPr>
          <w:rFonts w:hint="eastAsia"/>
        </w:rPr>
        <w:t>项目建筑工业化率</w:t>
      </w:r>
      <w:r>
        <w:rPr>
          <w:rFonts w:hint="eastAsia" w:cs="宋体"/>
        </w:rPr>
        <w:t>为</w:t>
      </w:r>
      <w:r>
        <w:t>60%~75%</w:t>
      </w:r>
      <w:r>
        <w:rPr>
          <w:rFonts w:hint="eastAsia" w:cs="宋体"/>
        </w:rPr>
        <w:t>，评价为</w:t>
      </w:r>
      <w:r>
        <w:t>A</w:t>
      </w:r>
      <w:r>
        <w:rPr>
          <w:rFonts w:hint="eastAsia" w:cs="宋体"/>
        </w:rPr>
        <w:t>级新型建筑工业化项目。</w:t>
      </w:r>
    </w:p>
    <w:p w14:paraId="15E2D82E">
      <w:pPr>
        <w:pStyle w:val="33"/>
        <w:widowControl/>
        <w:ind w:firstLine="480"/>
      </w:pPr>
      <w:r>
        <w:t xml:space="preserve">3 </w:t>
      </w:r>
      <w:r>
        <w:rPr>
          <w:rFonts w:hint="eastAsia"/>
        </w:rPr>
        <w:t>项目建筑工业化率</w:t>
      </w:r>
      <w:r>
        <w:rPr>
          <w:rFonts w:hint="eastAsia" w:cs="宋体"/>
        </w:rPr>
        <w:t>为</w:t>
      </w:r>
      <w:r>
        <w:t>76%~90%</w:t>
      </w:r>
      <w:r>
        <w:rPr>
          <w:rFonts w:hint="eastAsia" w:cs="宋体"/>
        </w:rPr>
        <w:t>，评价为</w:t>
      </w:r>
      <w:r>
        <w:t>AA</w:t>
      </w:r>
      <w:r>
        <w:rPr>
          <w:rFonts w:hint="eastAsia" w:cs="宋体"/>
        </w:rPr>
        <w:t>级新型建筑工业化项目。</w:t>
      </w:r>
    </w:p>
    <w:p w14:paraId="3A8C252B">
      <w:pPr>
        <w:pStyle w:val="33"/>
        <w:widowControl/>
        <w:ind w:firstLine="480"/>
        <w:rPr>
          <w:rFonts w:cs="宋体"/>
        </w:rPr>
      </w:pPr>
      <w:r>
        <w:t xml:space="preserve">4 </w:t>
      </w:r>
      <w:r>
        <w:rPr>
          <w:rFonts w:hint="eastAsia"/>
        </w:rPr>
        <w:t>项目建筑工业化率</w:t>
      </w:r>
      <w:r>
        <w:rPr>
          <w:rFonts w:hint="eastAsia" w:cs="宋体"/>
        </w:rPr>
        <w:t>为</w:t>
      </w:r>
      <w:r>
        <w:t>91%</w:t>
      </w:r>
      <w:r>
        <w:rPr>
          <w:rFonts w:hint="eastAsia" w:cs="宋体"/>
        </w:rPr>
        <w:t>及以上，评价为</w:t>
      </w:r>
      <w:r>
        <w:t>AAA</w:t>
      </w:r>
      <w:r>
        <w:rPr>
          <w:rFonts w:hint="eastAsia" w:cs="宋体"/>
        </w:rPr>
        <w:t>级新型建筑工业化项目。</w:t>
      </w:r>
    </w:p>
    <w:p w14:paraId="2D7AAEE6">
      <w:pPr>
        <w:ind w:firstLine="420"/>
      </w:pPr>
    </w:p>
    <w:p w14:paraId="3FDE11DF">
      <w:pPr>
        <w:pStyle w:val="33"/>
        <w:widowControl/>
        <w:ind w:firstLine="480"/>
      </w:pPr>
    </w:p>
    <w:p w14:paraId="51EFC285">
      <w:pPr>
        <w:spacing w:line="360" w:lineRule="auto"/>
        <w:ind w:firstLine="480"/>
        <w:rPr>
          <w:rFonts w:ascii="Times New Roman" w:hAnsi="Times New Roman" w:eastAsia="宋体" w:cs="Times New Roman"/>
          <w:i/>
          <w:sz w:val="24"/>
          <w:szCs w:val="28"/>
          <w:lang w:bidi="ar"/>
        </w:rPr>
        <w:sectPr>
          <w:pgSz w:w="11906" w:h="16838"/>
          <w:pgMar w:top="1440" w:right="1800" w:bottom="1440" w:left="1800" w:header="851" w:footer="992" w:gutter="0"/>
          <w:cols w:space="425" w:num="1"/>
          <w:docGrid w:type="lines" w:linePitch="312" w:charSpace="0"/>
        </w:sectPr>
      </w:pPr>
    </w:p>
    <w:p w14:paraId="1FC8CC33">
      <w:pPr>
        <w:pStyle w:val="2"/>
        <w:widowControl/>
        <w:spacing w:after="312"/>
        <w:ind w:firstLine="723"/>
      </w:pPr>
      <w:bookmarkStart w:id="79" w:name="_Toc174629886"/>
      <w:bookmarkStart w:id="80" w:name="_Toc174629908"/>
      <w:bookmarkStart w:id="81" w:name="_Toc110785803"/>
      <w:r>
        <w:rPr>
          <w:rFonts w:hint="eastAsia" w:cs="宋体"/>
        </w:rPr>
        <w:t>本评价指南用词说明</w:t>
      </w:r>
      <w:bookmarkEnd w:id="79"/>
      <w:bookmarkEnd w:id="80"/>
      <w:bookmarkEnd w:id="81"/>
    </w:p>
    <w:p w14:paraId="754E7101">
      <w:pPr>
        <w:pStyle w:val="27"/>
        <w:widowControl/>
      </w:pPr>
      <w:r>
        <w:rPr>
          <w:b/>
        </w:rPr>
        <w:t>1</w:t>
      </w:r>
      <w:r>
        <w:tab/>
      </w:r>
      <w:r>
        <w:rPr>
          <w:rFonts w:hint="eastAsia" w:cs="宋体"/>
        </w:rPr>
        <w:t>为了便于在执行本评价指南条文时区别对待，对要求严格程度不同的用词说明如下：</w:t>
      </w:r>
    </w:p>
    <w:p w14:paraId="5D522135">
      <w:pPr>
        <w:pStyle w:val="33"/>
        <w:widowControl/>
        <w:ind w:left="980" w:firstLine="0" w:firstLineChars="0"/>
      </w:pPr>
      <w:r>
        <w:t>1</w:t>
      </w:r>
      <w:r>
        <w:rPr>
          <w:rFonts w:hint="eastAsia" w:cs="宋体"/>
        </w:rPr>
        <w:t>）表示很严格，非这样做不可的：</w:t>
      </w:r>
    </w:p>
    <w:p w14:paraId="32D0D32F">
      <w:pPr>
        <w:pStyle w:val="33"/>
        <w:widowControl/>
        <w:ind w:left="1411" w:firstLine="0" w:firstLineChars="0"/>
      </w:pPr>
      <w:r>
        <w:rPr>
          <w:rFonts w:hint="eastAsia" w:cs="宋体"/>
        </w:rPr>
        <w:t>正面词采用“必须”，反面词采用“严禁”；</w:t>
      </w:r>
    </w:p>
    <w:p w14:paraId="10427F41">
      <w:pPr>
        <w:pStyle w:val="33"/>
        <w:widowControl/>
        <w:ind w:left="980" w:firstLine="0" w:firstLineChars="0"/>
      </w:pPr>
      <w:r>
        <w:t>2</w:t>
      </w:r>
      <w:r>
        <w:rPr>
          <w:rFonts w:hint="eastAsia" w:cs="宋体"/>
        </w:rPr>
        <w:t>）表示严格，正常情况下均应这样做的：</w:t>
      </w:r>
    </w:p>
    <w:p w14:paraId="62189789">
      <w:pPr>
        <w:pStyle w:val="33"/>
        <w:widowControl/>
        <w:ind w:left="1411" w:firstLine="0" w:firstLineChars="0"/>
      </w:pPr>
      <w:r>
        <w:rPr>
          <w:rFonts w:hint="eastAsia" w:cs="宋体"/>
        </w:rPr>
        <w:t>正面词采用“应”，反面词采用“不应”或“不得”；</w:t>
      </w:r>
    </w:p>
    <w:p w14:paraId="647A4214">
      <w:pPr>
        <w:pStyle w:val="33"/>
        <w:widowControl/>
        <w:ind w:left="980" w:firstLine="0" w:firstLineChars="0"/>
      </w:pPr>
      <w:r>
        <w:t>3</w:t>
      </w:r>
      <w:r>
        <w:rPr>
          <w:rFonts w:hint="eastAsia" w:cs="宋体"/>
        </w:rPr>
        <w:t>）表示允许稍有选择，在条件许可时首先应这样做的：</w:t>
      </w:r>
    </w:p>
    <w:p w14:paraId="4145D4E7">
      <w:pPr>
        <w:pStyle w:val="33"/>
        <w:widowControl/>
        <w:ind w:left="1411" w:firstLine="0" w:firstLineChars="0"/>
      </w:pPr>
      <w:r>
        <w:rPr>
          <w:rFonts w:hint="eastAsia" w:cs="宋体"/>
        </w:rPr>
        <w:t>正面词采用“宜”，反面词采用“不宜”；</w:t>
      </w:r>
    </w:p>
    <w:p w14:paraId="2F058161">
      <w:pPr>
        <w:pStyle w:val="33"/>
        <w:widowControl/>
        <w:ind w:left="980" w:firstLine="0" w:firstLineChars="0"/>
      </w:pPr>
      <w:r>
        <w:t>4</w:t>
      </w:r>
      <w:r>
        <w:rPr>
          <w:rFonts w:hint="eastAsia" w:cs="宋体"/>
        </w:rPr>
        <w:t>）表示有选择，在一定条件下可以这样做的，采用“可”。</w:t>
      </w:r>
    </w:p>
    <w:p w14:paraId="01412974">
      <w:pPr>
        <w:pStyle w:val="27"/>
        <w:widowControl/>
        <w:rPr>
          <w:rFonts w:cs="宋体"/>
        </w:rPr>
      </w:pPr>
      <w:r>
        <w:rPr>
          <w:b/>
        </w:rPr>
        <w:t>2</w:t>
      </w:r>
      <w:r>
        <w:rPr>
          <w:b/>
        </w:rPr>
        <w:tab/>
      </w:r>
      <w:r>
        <w:rPr>
          <w:rFonts w:hint="eastAsia" w:cs="宋体"/>
        </w:rPr>
        <w:t>条文中指明应按其他有关标准执行的写法为：“应符合</w:t>
      </w:r>
      <w:r>
        <w:t>·····</w:t>
      </w:r>
      <w:r>
        <w:rPr>
          <w:rFonts w:hint="eastAsia" w:cs="宋体"/>
        </w:rPr>
        <w:t>的规定”或“应按</w:t>
      </w:r>
      <w:r>
        <w:t>······</w:t>
      </w:r>
      <w:r>
        <w:rPr>
          <w:rFonts w:hint="eastAsia" w:cs="宋体"/>
        </w:rPr>
        <w:t>执行”。</w:t>
      </w:r>
    </w:p>
    <w:p w14:paraId="00678F7A">
      <w:pPr>
        <w:pStyle w:val="27"/>
        <w:widowControl/>
      </w:pPr>
    </w:p>
    <w:p w14:paraId="1C81C7AC">
      <w:pPr>
        <w:spacing w:line="360" w:lineRule="auto"/>
        <w:ind w:firstLine="560"/>
        <w:rPr>
          <w:rFonts w:ascii="Times New Roman" w:hAnsi="Times New Roman" w:eastAsia="宋体" w:cs="Times New Roman"/>
          <w:sz w:val="28"/>
          <w:szCs w:val="28"/>
          <w:lang w:bidi="ar"/>
        </w:rPr>
        <w:sectPr>
          <w:pgSz w:w="11906" w:h="16838"/>
          <w:pgMar w:top="1440" w:right="1800" w:bottom="1440" w:left="1800" w:header="851" w:footer="992" w:gutter="0"/>
          <w:cols w:space="425" w:num="1"/>
          <w:docGrid w:type="lines" w:linePitch="312" w:charSpace="0"/>
        </w:sectPr>
      </w:pPr>
    </w:p>
    <w:p w14:paraId="1A39B59A">
      <w:pPr>
        <w:pStyle w:val="2"/>
        <w:widowControl/>
        <w:spacing w:after="312"/>
        <w:ind w:firstLine="723"/>
      </w:pPr>
      <w:bookmarkStart w:id="82" w:name="_Toc174629909"/>
      <w:bookmarkStart w:id="83" w:name="_Toc110785804"/>
      <w:bookmarkStart w:id="84" w:name="_Toc174629887"/>
      <w:r>
        <w:rPr>
          <w:rFonts w:hint="eastAsia" w:cs="宋体"/>
        </w:rPr>
        <w:t>引用标准名录</w:t>
      </w:r>
      <w:bookmarkEnd w:id="82"/>
      <w:bookmarkEnd w:id="83"/>
      <w:bookmarkEnd w:id="84"/>
    </w:p>
    <w:p w14:paraId="21C46488">
      <w:pPr>
        <w:pStyle w:val="27"/>
        <w:widowControl/>
      </w:pPr>
      <w:r>
        <w:rPr>
          <w:rFonts w:hint="eastAsia"/>
        </w:rPr>
        <w:t>1</w:t>
      </w:r>
      <w:r>
        <w:tab/>
      </w:r>
      <w:r>
        <w:rPr>
          <w:rFonts w:hint="eastAsia"/>
        </w:rPr>
        <w:t>《装配式混凝土建筑技术标准》</w:t>
      </w:r>
      <w:r>
        <w:t>GB/T51231</w:t>
      </w:r>
    </w:p>
    <w:p w14:paraId="207E2F71">
      <w:pPr>
        <w:pStyle w:val="27"/>
      </w:pPr>
      <w:r>
        <w:rPr>
          <w:rFonts w:hint="eastAsia"/>
        </w:rPr>
        <w:t>2</w:t>
      </w:r>
      <w:r>
        <w:tab/>
      </w:r>
      <w:r>
        <w:rPr>
          <w:rFonts w:hint="eastAsia"/>
        </w:rPr>
        <w:t>《绿色建筑评价标准》</w:t>
      </w:r>
      <w:r>
        <w:t>GB/T 50378</w:t>
      </w:r>
    </w:p>
    <w:p w14:paraId="4BC6B0EC">
      <w:pPr>
        <w:pStyle w:val="27"/>
        <w:widowControl/>
        <w:tabs>
          <w:tab w:val="left" w:pos="375"/>
        </w:tabs>
      </w:pPr>
      <w:r>
        <w:rPr>
          <w:rFonts w:hint="eastAsia"/>
        </w:rPr>
        <w:t>3</w:t>
      </w:r>
      <w:r>
        <w:tab/>
      </w:r>
      <w:r>
        <w:rPr>
          <w:rFonts w:hint="eastAsia"/>
        </w:rPr>
        <w:t>《建筑信息模型应用统一标准》</w:t>
      </w:r>
      <w:r>
        <w:t>GB/T51212</w:t>
      </w:r>
    </w:p>
    <w:p w14:paraId="5BFB07A3">
      <w:pPr>
        <w:pStyle w:val="27"/>
        <w:widowControl/>
        <w:tabs>
          <w:tab w:val="left" w:pos="375"/>
        </w:tabs>
      </w:pPr>
      <w:r>
        <w:rPr>
          <w:rFonts w:hint="eastAsia"/>
        </w:rPr>
        <w:t>4</w:t>
      </w:r>
      <w:r>
        <w:tab/>
      </w:r>
      <w:r>
        <w:rPr>
          <w:rFonts w:hint="eastAsia"/>
        </w:rPr>
        <w:t>《智能建筑设计标准》</w:t>
      </w:r>
      <w:r>
        <w:t>GB50314</w:t>
      </w:r>
    </w:p>
    <w:p w14:paraId="4FC5B420">
      <w:pPr>
        <w:pStyle w:val="27"/>
        <w:widowControl/>
        <w:tabs>
          <w:tab w:val="left" w:pos="375"/>
        </w:tabs>
      </w:pPr>
      <w:r>
        <w:rPr>
          <w:rFonts w:hint="eastAsia"/>
        </w:rPr>
        <w:t>5</w:t>
      </w:r>
      <w:r>
        <w:tab/>
      </w:r>
      <w:r>
        <w:rPr>
          <w:rFonts w:hint="eastAsia"/>
        </w:rPr>
        <w:t>《建筑工程绿色施工评价标准》</w:t>
      </w:r>
      <w:r>
        <w:t>GB/T50640</w:t>
      </w:r>
    </w:p>
    <w:p w14:paraId="62CDCB6F">
      <w:pPr>
        <w:pStyle w:val="27"/>
      </w:pPr>
      <w:r>
        <w:rPr>
          <w:rFonts w:hint="eastAsia"/>
        </w:rPr>
        <w:t>6</w:t>
      </w:r>
      <w:r>
        <w:tab/>
      </w:r>
      <w:r>
        <w:t>《建筑设计防火规范》GB 50016</w:t>
      </w:r>
    </w:p>
    <w:p w14:paraId="02C5FCED">
      <w:pPr>
        <w:pStyle w:val="27"/>
      </w:pPr>
      <w:r>
        <w:rPr>
          <w:rFonts w:hint="eastAsia"/>
        </w:rPr>
        <w:t>7</w:t>
      </w:r>
      <w:r>
        <w:tab/>
      </w:r>
      <w:r>
        <w:rPr>
          <w:rFonts w:hint="eastAsia"/>
        </w:rPr>
        <w:t>广东省标准《装配式建筑评价标准》D</w:t>
      </w:r>
      <w:r>
        <w:t>BJ/T15-163</w:t>
      </w:r>
    </w:p>
    <w:p w14:paraId="109983D8">
      <w:pPr>
        <w:pStyle w:val="27"/>
      </w:pPr>
      <w:r>
        <w:rPr>
          <w:rFonts w:hint="eastAsia"/>
        </w:rPr>
        <w:t>8</w:t>
      </w:r>
      <w:r>
        <w:tab/>
      </w:r>
      <w:r>
        <w:rPr>
          <w:rFonts w:hint="eastAsia"/>
        </w:rPr>
        <w:t>《高层建筑钢</w:t>
      </w:r>
      <w:r>
        <w:t>-</w:t>
      </w:r>
      <w:r>
        <w:rPr>
          <w:rFonts w:hint="eastAsia"/>
        </w:rPr>
        <w:t>混凝土混合结构技术规程》</w:t>
      </w:r>
      <w:r>
        <w:t>DBJ/T15-128</w:t>
      </w:r>
    </w:p>
    <w:p w14:paraId="6C63C245">
      <w:pPr>
        <w:pStyle w:val="27"/>
      </w:pPr>
      <w:r>
        <w:rPr>
          <w:rFonts w:hint="eastAsia"/>
        </w:rPr>
        <w:t>9</w:t>
      </w:r>
      <w:r>
        <w:tab/>
      </w:r>
      <w:r>
        <w:rPr>
          <w:rFonts w:hint="eastAsia"/>
        </w:rPr>
        <w:t>《装配式混凝土建筑结构技术规程》</w:t>
      </w:r>
      <w:r>
        <w:t>DBJ 15-107</w:t>
      </w:r>
    </w:p>
    <w:p w14:paraId="4A20B1E0">
      <w:pPr>
        <w:pStyle w:val="27"/>
      </w:pPr>
      <w:r>
        <w:rPr>
          <w:rFonts w:hint="eastAsia"/>
        </w:rPr>
        <w:t>10</w:t>
      </w:r>
      <w:r>
        <w:tab/>
      </w:r>
      <w:r>
        <w:rPr>
          <w:rFonts w:hint="eastAsia"/>
        </w:rPr>
        <w:t>《绿色建筑评价标准》</w:t>
      </w:r>
      <w:r>
        <w:t>DBJ/T 15-83</w:t>
      </w:r>
    </w:p>
    <w:p w14:paraId="6354ABED">
      <w:pPr>
        <w:pStyle w:val="27"/>
      </w:pPr>
      <w:r>
        <w:rPr>
          <w:rFonts w:hint="eastAsia"/>
        </w:rPr>
        <w:t>11</w:t>
      </w:r>
      <w:r>
        <w:tab/>
      </w:r>
      <w:r>
        <w:rPr>
          <w:rFonts w:hint="eastAsia"/>
        </w:rPr>
        <w:t>《广东省建筑信息模型应用统一标准》</w:t>
      </w:r>
      <w:r>
        <w:t>DBJ</w:t>
      </w:r>
      <w:r>
        <w:rPr>
          <w:rFonts w:hint="eastAsia"/>
        </w:rPr>
        <w:t>∕</w:t>
      </w:r>
      <w:r>
        <w:t>T 15-142</w:t>
      </w:r>
    </w:p>
    <w:p w14:paraId="42547CDD">
      <w:pPr>
        <w:pStyle w:val="27"/>
      </w:pPr>
      <w:r>
        <w:rPr>
          <w:rFonts w:hint="eastAsia"/>
        </w:rPr>
        <w:t>12</w:t>
      </w:r>
      <w:r>
        <w:tab/>
      </w:r>
      <w:r>
        <w:rPr>
          <w:rFonts w:hint="eastAsia"/>
        </w:rPr>
        <w:t>《建筑工程绿色施工评价标准》</w:t>
      </w:r>
      <w:r>
        <w:t>DBJ/J 15-97</w:t>
      </w:r>
    </w:p>
    <w:p w14:paraId="3E9C6348">
      <w:pPr>
        <w:pStyle w:val="27"/>
      </w:pPr>
      <w:r>
        <w:rPr>
          <w:rFonts w:hint="eastAsia"/>
        </w:rPr>
        <w:t>13</w:t>
      </w:r>
      <w:r>
        <w:tab/>
      </w:r>
      <w:r>
        <w:t>《钢结构设计规程》DBJ 15-102</w:t>
      </w:r>
    </w:p>
    <w:p w14:paraId="03DB65CE">
      <w:pPr>
        <w:pStyle w:val="27"/>
        <w:widowControl/>
        <w:tabs>
          <w:tab w:val="left" w:pos="615"/>
        </w:tabs>
      </w:pPr>
      <w:r>
        <w:rPr>
          <w:rFonts w:hint="eastAsia"/>
        </w:rPr>
        <w:t>14</w:t>
      </w:r>
      <w:r>
        <w:tab/>
      </w:r>
      <w:r>
        <w:rPr>
          <w:rFonts w:hint="eastAsia"/>
        </w:rPr>
        <w:t>《新型建筑工业化项目评价标准》T</w:t>
      </w:r>
      <w:r>
        <w:t>/ASC 15</w:t>
      </w:r>
    </w:p>
    <w:p w14:paraId="2B6DE741">
      <w:pPr>
        <w:widowControl/>
        <w:jc w:val="left"/>
        <w:rPr>
          <w:rFonts w:ascii="仿宋_GB2312" w:hAnsi="Calibri" w:eastAsia="仿宋_GB2312" w:cs="Times New Roman"/>
          <w:b/>
          <w:bCs/>
          <w:color w:val="000000"/>
          <w:sz w:val="28"/>
          <w:szCs w:val="28"/>
          <w:lang w:bidi="ar"/>
        </w:rPr>
      </w:pPr>
      <w:r>
        <w:rPr>
          <w:rFonts w:ascii="仿宋_GB2312" w:eastAsia="仿宋_GB2312"/>
          <w:b/>
          <w:bCs/>
          <w:sz w:val="28"/>
          <w:szCs w:val="28"/>
          <w:lang w:bidi="ar"/>
        </w:rPr>
        <w:br w:type="page"/>
      </w:r>
    </w:p>
    <w:p w14:paraId="62D0E03D">
      <w:pPr>
        <w:ind w:firstLine="482" w:firstLineChars="100"/>
        <w:jc w:val="center"/>
        <w:rPr>
          <w:rFonts w:hint="eastAsia" w:ascii="宋体" w:hAnsi="宋体" w:eastAsia="宋体" w:cs="宋体"/>
          <w:b/>
          <w:sz w:val="48"/>
          <w:szCs w:val="48"/>
          <w:lang w:bidi="ar"/>
        </w:rPr>
      </w:pPr>
    </w:p>
    <w:p w14:paraId="20EFF9BE">
      <w:pPr>
        <w:ind w:firstLine="482" w:firstLineChars="100"/>
        <w:jc w:val="center"/>
        <w:rPr>
          <w:rFonts w:hint="eastAsia" w:ascii="宋体" w:hAnsi="宋体" w:eastAsia="宋体" w:cs="宋体"/>
          <w:b/>
          <w:sz w:val="48"/>
          <w:szCs w:val="48"/>
          <w:lang w:bidi="ar"/>
        </w:rPr>
      </w:pPr>
    </w:p>
    <w:p w14:paraId="67ED255B">
      <w:pPr>
        <w:ind w:firstLine="482" w:firstLineChars="100"/>
        <w:jc w:val="center"/>
        <w:rPr>
          <w:rFonts w:hint="eastAsia" w:ascii="宋体" w:hAnsi="宋体" w:eastAsia="宋体" w:cs="宋体"/>
          <w:b/>
          <w:sz w:val="48"/>
          <w:szCs w:val="48"/>
          <w:lang w:bidi="ar"/>
        </w:rPr>
      </w:pPr>
    </w:p>
    <w:p w14:paraId="409CF228">
      <w:pPr>
        <w:ind w:firstLine="482" w:firstLineChars="100"/>
        <w:jc w:val="center"/>
        <w:rPr>
          <w:rFonts w:hint="eastAsia" w:ascii="宋体" w:hAnsi="宋体" w:eastAsia="宋体" w:cs="宋体"/>
          <w:b/>
          <w:sz w:val="48"/>
          <w:szCs w:val="48"/>
        </w:rPr>
      </w:pPr>
      <w:r>
        <w:rPr>
          <w:rFonts w:hint="eastAsia" w:ascii="宋体" w:hAnsi="宋体" w:eastAsia="宋体" w:cs="宋体"/>
          <w:b/>
          <w:sz w:val="48"/>
          <w:szCs w:val="48"/>
          <w:lang w:bidi="ar"/>
        </w:rPr>
        <w:t>广东省新型建筑工业化项目评价指南</w:t>
      </w:r>
    </w:p>
    <w:p w14:paraId="765D0BD0">
      <w:pPr>
        <w:pStyle w:val="54"/>
        <w:widowControl/>
        <w:ind w:firstLine="562"/>
        <w:jc w:val="center"/>
        <w:rPr>
          <w:rFonts w:hint="default" w:ascii="仿宋_GB2312" w:eastAsia="仿宋_GB2312"/>
          <w:b/>
          <w:bCs/>
          <w:kern w:val="2"/>
          <w:sz w:val="32"/>
          <w:szCs w:val="32"/>
          <w:lang w:bidi="ar"/>
        </w:rPr>
      </w:pPr>
      <w:r>
        <w:rPr>
          <w:rFonts w:ascii="仿宋_GB2312" w:eastAsia="仿宋_GB2312"/>
          <w:b/>
          <w:bCs/>
          <w:kern w:val="2"/>
          <w:sz w:val="32"/>
          <w:szCs w:val="32"/>
          <w:lang w:bidi="ar"/>
        </w:rPr>
        <w:t>条文说明</w:t>
      </w:r>
    </w:p>
    <w:p w14:paraId="6DA5A631">
      <w:pPr>
        <w:widowControl/>
        <w:jc w:val="left"/>
        <w:rPr>
          <w:lang w:bidi="ar"/>
        </w:rPr>
      </w:pPr>
      <w:r>
        <w:rPr>
          <w:lang w:bidi="ar"/>
        </w:rPr>
        <w:br w:type="page"/>
      </w:r>
    </w:p>
    <w:p w14:paraId="6C3B88CD">
      <w:pPr>
        <w:jc w:val="center"/>
        <w:rPr>
          <w:rFonts w:hint="eastAsia" w:ascii="黑体" w:hAnsi="黑体" w:eastAsia="黑体"/>
          <w:b/>
          <w:bCs/>
          <w:sz w:val="32"/>
          <w:szCs w:val="32"/>
          <w:lang w:bidi="ar"/>
        </w:rPr>
      </w:pPr>
      <w:r>
        <w:rPr>
          <w:rFonts w:hint="eastAsia" w:ascii="黑体" w:hAnsi="黑体" w:eastAsia="黑体"/>
          <w:b/>
          <w:bCs/>
          <w:sz w:val="32"/>
          <w:szCs w:val="32"/>
          <w:lang w:bidi="ar"/>
        </w:rPr>
        <w:t>目  次</w:t>
      </w:r>
    </w:p>
    <w:sdt>
      <w:sdtPr>
        <w:rPr>
          <w:rFonts w:asciiTheme="minorHAnsi" w:hAnsiTheme="minorHAnsi" w:eastAsiaTheme="minorEastAsia" w:cstheme="minorBidi"/>
          <w:color w:val="auto"/>
          <w:kern w:val="2"/>
          <w:sz w:val="21"/>
          <w:szCs w:val="24"/>
          <w:lang w:val="zh-CN"/>
        </w:rPr>
        <w:id w:val="-374312276"/>
        <w:docPartObj>
          <w:docPartGallery w:val="Table of Contents"/>
          <w:docPartUnique/>
        </w:docPartObj>
      </w:sdtPr>
      <w:sdtEndPr>
        <w:rPr>
          <w:rFonts w:ascii="宋体" w:hAnsi="宋体" w:eastAsia="宋体" w:cstheme="minorBidi"/>
          <w:b/>
          <w:bCs/>
          <w:color w:val="auto"/>
          <w:kern w:val="2"/>
          <w:sz w:val="28"/>
          <w:szCs w:val="28"/>
          <w:lang w:val="zh-CN"/>
        </w:rPr>
      </w:sdtEndPr>
      <w:sdtContent>
        <w:p w14:paraId="45E1F6D5">
          <w:pPr>
            <w:pStyle w:val="67"/>
            <w:ind w:firstLine="420"/>
          </w:pPr>
        </w:p>
        <w:p w14:paraId="74AD1354">
          <w:pPr>
            <w:pStyle w:val="11"/>
            <w:tabs>
              <w:tab w:val="left" w:pos="420"/>
              <w:tab w:val="right" w:leader="dot" w:pos="8630"/>
            </w:tabs>
            <w:spacing w:line="360" w:lineRule="auto"/>
            <w:rPr>
              <w:rFonts w:hint="eastAsia" w:ascii="宋体" w:hAnsi="宋体" w:cstheme="minorBidi"/>
              <w:sz w:val="28"/>
              <w:szCs w:val="28"/>
              <w14:ligatures w14:val="standardContextual"/>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p>
        <w:p w14:paraId="2ECB62D2">
          <w:pPr>
            <w:pStyle w:val="11"/>
            <w:tabs>
              <w:tab w:val="left" w:pos="420"/>
              <w:tab w:val="right" w:leader="dot" w:pos="8630"/>
            </w:tabs>
            <w:spacing w:line="360" w:lineRule="auto"/>
            <w:rPr>
              <w:rFonts w:hint="eastAsia" w:ascii="宋体" w:hAnsi="宋体" w:cstheme="minorBidi"/>
              <w:sz w:val="28"/>
              <w:szCs w:val="28"/>
              <w14:ligatures w14:val="standardContextual"/>
            </w:rPr>
          </w:pPr>
          <w:r>
            <w:fldChar w:fldCharType="begin"/>
          </w:r>
          <w:r>
            <w:instrText xml:space="preserve"> HYPERLINK \l "_Toc174629888" </w:instrText>
          </w:r>
          <w:r>
            <w:fldChar w:fldCharType="separate"/>
          </w:r>
          <w:r>
            <w:rPr>
              <w:rStyle w:val="20"/>
              <w:rFonts w:hint="eastAsia" w:ascii="宋体" w:hAnsi="宋体"/>
              <w:sz w:val="28"/>
              <w:szCs w:val="28"/>
            </w:rPr>
            <w:t>1</w:t>
          </w:r>
          <w:r>
            <w:rPr>
              <w:rFonts w:hint="eastAsia" w:ascii="宋体" w:hAnsi="宋体" w:cstheme="minorBidi"/>
              <w:sz w:val="28"/>
              <w:szCs w:val="28"/>
              <w14:ligatures w14:val="standardContextual"/>
            </w:rPr>
            <w:tab/>
          </w:r>
          <w:r>
            <w:rPr>
              <w:rStyle w:val="20"/>
              <w:rFonts w:hint="eastAsia" w:ascii="宋体" w:hAnsi="宋体" w:cs="宋体"/>
              <w:sz w:val="28"/>
              <w:szCs w:val="28"/>
            </w:rPr>
            <w:t>总</w:t>
          </w:r>
          <w:r>
            <w:rPr>
              <w:rStyle w:val="20"/>
              <w:rFonts w:hint="eastAsia" w:ascii="宋体" w:hAnsi="宋体"/>
              <w:sz w:val="28"/>
              <w:szCs w:val="28"/>
            </w:rPr>
            <w:t xml:space="preserve">  </w:t>
          </w:r>
          <w:r>
            <w:rPr>
              <w:rStyle w:val="20"/>
              <w:rFonts w:hint="eastAsia" w:ascii="宋体" w:hAnsi="宋体" w:cs="宋体"/>
              <w:sz w:val="28"/>
              <w:szCs w:val="28"/>
            </w:rPr>
            <w:t>则</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w:instrText>
          </w:r>
          <w:r>
            <w:rPr>
              <w:rFonts w:ascii="宋体" w:hAnsi="宋体"/>
              <w:sz w:val="28"/>
              <w:szCs w:val="28"/>
            </w:rPr>
            <w:instrText xml:space="preserve">PAGEREF _Toc174629888 \h</w:instrText>
          </w:r>
          <w:r>
            <w:rPr>
              <w:rFonts w:hint="eastAsia" w:ascii="宋体" w:hAnsi="宋体"/>
              <w:sz w:val="28"/>
              <w:szCs w:val="28"/>
            </w:rPr>
            <w:instrText xml:space="preserve"> </w:instrText>
          </w:r>
          <w:r>
            <w:rPr>
              <w:rFonts w:hint="eastAsia" w:ascii="宋体" w:hAnsi="宋体"/>
              <w:sz w:val="28"/>
              <w:szCs w:val="28"/>
            </w:rPr>
            <w:fldChar w:fldCharType="separate"/>
          </w:r>
          <w:r>
            <w:rPr>
              <w:rFonts w:hint="eastAsia" w:ascii="宋体" w:hAnsi="宋体"/>
              <w:sz w:val="28"/>
              <w:szCs w:val="28"/>
            </w:rPr>
            <w:t>26</w:t>
          </w:r>
          <w:r>
            <w:rPr>
              <w:rFonts w:hint="eastAsia" w:ascii="宋体" w:hAnsi="宋体"/>
              <w:sz w:val="28"/>
              <w:szCs w:val="28"/>
            </w:rPr>
            <w:fldChar w:fldCharType="end"/>
          </w:r>
          <w:r>
            <w:rPr>
              <w:rFonts w:hint="eastAsia" w:ascii="宋体" w:hAnsi="宋体"/>
              <w:sz w:val="28"/>
              <w:szCs w:val="28"/>
            </w:rPr>
            <w:fldChar w:fldCharType="end"/>
          </w:r>
        </w:p>
        <w:p w14:paraId="4B9ADBF1">
          <w:pPr>
            <w:pStyle w:val="11"/>
            <w:tabs>
              <w:tab w:val="left" w:pos="420"/>
              <w:tab w:val="right" w:leader="dot" w:pos="8630"/>
            </w:tabs>
            <w:spacing w:line="360" w:lineRule="auto"/>
            <w:rPr>
              <w:rFonts w:hint="eastAsia" w:ascii="宋体" w:hAnsi="宋体" w:cstheme="minorBidi"/>
              <w:sz w:val="28"/>
              <w:szCs w:val="28"/>
              <w14:ligatures w14:val="standardContextual"/>
            </w:rPr>
          </w:pPr>
          <w:r>
            <w:fldChar w:fldCharType="begin"/>
          </w:r>
          <w:r>
            <w:instrText xml:space="preserve"> HYPERLINK \l "_Toc174629889" </w:instrText>
          </w:r>
          <w:r>
            <w:fldChar w:fldCharType="separate"/>
          </w:r>
          <w:r>
            <w:rPr>
              <w:rStyle w:val="20"/>
              <w:rFonts w:hint="eastAsia" w:ascii="宋体" w:hAnsi="宋体"/>
              <w:sz w:val="28"/>
              <w:szCs w:val="28"/>
            </w:rPr>
            <w:t>3</w:t>
          </w:r>
          <w:r>
            <w:rPr>
              <w:rFonts w:hint="eastAsia" w:ascii="宋体" w:hAnsi="宋体" w:cstheme="minorBidi"/>
              <w:sz w:val="28"/>
              <w:szCs w:val="28"/>
              <w14:ligatures w14:val="standardContextual"/>
            </w:rPr>
            <w:tab/>
          </w:r>
          <w:r>
            <w:rPr>
              <w:rStyle w:val="20"/>
              <w:rFonts w:hint="eastAsia" w:ascii="宋体" w:hAnsi="宋体" w:cs="宋体"/>
              <w:sz w:val="28"/>
              <w:szCs w:val="28"/>
            </w:rPr>
            <w:t>基</w:t>
          </w:r>
          <w:r>
            <w:rPr>
              <w:rStyle w:val="20"/>
              <w:rFonts w:hint="eastAsia" w:ascii="宋体" w:hAnsi="宋体"/>
              <w:sz w:val="28"/>
              <w:szCs w:val="28"/>
            </w:rPr>
            <w:t xml:space="preserve"> </w:t>
          </w:r>
          <w:r>
            <w:rPr>
              <w:rStyle w:val="20"/>
              <w:rFonts w:hint="eastAsia" w:ascii="宋体" w:hAnsi="宋体" w:cs="宋体"/>
              <w:sz w:val="28"/>
              <w:szCs w:val="28"/>
            </w:rPr>
            <w:t>本</w:t>
          </w:r>
          <w:r>
            <w:rPr>
              <w:rStyle w:val="20"/>
              <w:rFonts w:hint="eastAsia" w:ascii="宋体" w:hAnsi="宋体"/>
              <w:sz w:val="28"/>
              <w:szCs w:val="28"/>
            </w:rPr>
            <w:t xml:space="preserve"> </w:t>
          </w:r>
          <w:r>
            <w:rPr>
              <w:rStyle w:val="20"/>
              <w:rFonts w:hint="eastAsia" w:ascii="宋体" w:hAnsi="宋体" w:cs="宋体"/>
              <w:sz w:val="28"/>
              <w:szCs w:val="28"/>
            </w:rPr>
            <w:t>规</w:t>
          </w:r>
          <w:r>
            <w:rPr>
              <w:rStyle w:val="20"/>
              <w:rFonts w:hint="eastAsia" w:ascii="宋体" w:hAnsi="宋体"/>
              <w:sz w:val="28"/>
              <w:szCs w:val="28"/>
            </w:rPr>
            <w:t xml:space="preserve"> </w:t>
          </w:r>
          <w:r>
            <w:rPr>
              <w:rStyle w:val="20"/>
              <w:rFonts w:hint="eastAsia" w:ascii="宋体" w:hAnsi="宋体" w:cs="宋体"/>
              <w:sz w:val="28"/>
              <w:szCs w:val="28"/>
            </w:rPr>
            <w:t>定</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w:instrText>
          </w:r>
          <w:r>
            <w:rPr>
              <w:rFonts w:ascii="宋体" w:hAnsi="宋体"/>
              <w:sz w:val="28"/>
              <w:szCs w:val="28"/>
            </w:rPr>
            <w:instrText xml:space="preserve">PAGEREF _Toc174629889 \h</w:instrText>
          </w:r>
          <w:r>
            <w:rPr>
              <w:rFonts w:hint="eastAsia" w:ascii="宋体" w:hAnsi="宋体"/>
              <w:sz w:val="28"/>
              <w:szCs w:val="28"/>
            </w:rPr>
            <w:instrText xml:space="preserve"> </w:instrText>
          </w:r>
          <w:r>
            <w:rPr>
              <w:rFonts w:hint="eastAsia" w:ascii="宋体" w:hAnsi="宋体"/>
              <w:sz w:val="28"/>
              <w:szCs w:val="28"/>
            </w:rPr>
            <w:fldChar w:fldCharType="separate"/>
          </w:r>
          <w:r>
            <w:rPr>
              <w:rFonts w:hint="eastAsia" w:ascii="宋体" w:hAnsi="宋体"/>
              <w:sz w:val="28"/>
              <w:szCs w:val="28"/>
            </w:rPr>
            <w:t>27</w:t>
          </w:r>
          <w:r>
            <w:rPr>
              <w:rFonts w:hint="eastAsia" w:ascii="宋体" w:hAnsi="宋体"/>
              <w:sz w:val="28"/>
              <w:szCs w:val="28"/>
            </w:rPr>
            <w:fldChar w:fldCharType="end"/>
          </w:r>
          <w:r>
            <w:rPr>
              <w:rFonts w:hint="eastAsia" w:ascii="宋体" w:hAnsi="宋体"/>
              <w:sz w:val="28"/>
              <w:szCs w:val="28"/>
            </w:rPr>
            <w:fldChar w:fldCharType="end"/>
          </w:r>
        </w:p>
        <w:p w14:paraId="0EF49B99">
          <w:pPr>
            <w:pStyle w:val="11"/>
            <w:tabs>
              <w:tab w:val="left" w:pos="420"/>
              <w:tab w:val="right" w:leader="dot" w:pos="8630"/>
            </w:tabs>
            <w:spacing w:line="360" w:lineRule="auto"/>
            <w:rPr>
              <w:rFonts w:hint="eastAsia" w:ascii="宋体" w:hAnsi="宋体" w:cstheme="minorBidi"/>
              <w:sz w:val="28"/>
              <w:szCs w:val="28"/>
              <w14:ligatures w14:val="standardContextual"/>
            </w:rPr>
          </w:pPr>
          <w:r>
            <w:fldChar w:fldCharType="begin"/>
          </w:r>
          <w:r>
            <w:instrText xml:space="preserve"> HYPERLINK \l "_Toc174629890" </w:instrText>
          </w:r>
          <w:r>
            <w:fldChar w:fldCharType="separate"/>
          </w:r>
          <w:r>
            <w:rPr>
              <w:rStyle w:val="20"/>
              <w:rFonts w:hint="eastAsia" w:ascii="宋体" w:hAnsi="宋体"/>
              <w:sz w:val="28"/>
              <w:szCs w:val="28"/>
            </w:rPr>
            <w:t>4</w:t>
          </w:r>
          <w:r>
            <w:rPr>
              <w:rFonts w:hint="eastAsia" w:ascii="宋体" w:hAnsi="宋体" w:cstheme="minorBidi"/>
              <w:sz w:val="28"/>
              <w:szCs w:val="28"/>
              <w14:ligatures w14:val="standardContextual"/>
            </w:rPr>
            <w:tab/>
          </w:r>
          <w:r>
            <w:rPr>
              <w:rStyle w:val="20"/>
              <w:rFonts w:hint="eastAsia" w:ascii="宋体" w:hAnsi="宋体"/>
              <w:sz w:val="28"/>
              <w:szCs w:val="28"/>
            </w:rPr>
            <w:t>项目建筑工业化率</w:t>
          </w:r>
          <w:r>
            <w:rPr>
              <w:rStyle w:val="20"/>
              <w:rFonts w:hint="eastAsia" w:ascii="宋体" w:hAnsi="宋体" w:cs="宋体"/>
              <w:sz w:val="28"/>
              <w:szCs w:val="28"/>
            </w:rPr>
            <w:t>计算</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w:instrText>
          </w:r>
          <w:r>
            <w:rPr>
              <w:rFonts w:ascii="宋体" w:hAnsi="宋体"/>
              <w:sz w:val="28"/>
              <w:szCs w:val="28"/>
            </w:rPr>
            <w:instrText xml:space="preserve">PAGEREF _Toc174629890 \h</w:instrText>
          </w:r>
          <w:r>
            <w:rPr>
              <w:rFonts w:hint="eastAsia" w:ascii="宋体" w:hAnsi="宋体"/>
              <w:sz w:val="28"/>
              <w:szCs w:val="28"/>
            </w:rPr>
            <w:instrText xml:space="preserve"> </w:instrText>
          </w:r>
          <w:r>
            <w:rPr>
              <w:rFonts w:hint="eastAsia" w:ascii="宋体" w:hAnsi="宋体"/>
              <w:sz w:val="28"/>
              <w:szCs w:val="28"/>
            </w:rPr>
            <w:fldChar w:fldCharType="separate"/>
          </w:r>
          <w:r>
            <w:rPr>
              <w:rFonts w:hint="eastAsia" w:ascii="宋体" w:hAnsi="宋体"/>
              <w:sz w:val="28"/>
              <w:szCs w:val="28"/>
            </w:rPr>
            <w:t>28</w:t>
          </w:r>
          <w:r>
            <w:rPr>
              <w:rFonts w:hint="eastAsia" w:ascii="宋体" w:hAnsi="宋体"/>
              <w:sz w:val="28"/>
              <w:szCs w:val="28"/>
            </w:rPr>
            <w:fldChar w:fldCharType="end"/>
          </w:r>
          <w:r>
            <w:rPr>
              <w:rFonts w:hint="eastAsia" w:ascii="宋体" w:hAnsi="宋体"/>
              <w:sz w:val="28"/>
              <w:szCs w:val="28"/>
            </w:rPr>
            <w:fldChar w:fldCharType="end"/>
          </w:r>
        </w:p>
        <w:p w14:paraId="5901F766">
          <w:pPr>
            <w:pStyle w:val="12"/>
            <w:tabs>
              <w:tab w:val="right" w:leader="dot" w:pos="8630"/>
            </w:tabs>
            <w:spacing w:line="360" w:lineRule="auto"/>
            <w:rPr>
              <w:rFonts w:hint="eastAsia" w:ascii="宋体" w:hAnsi="宋体" w:cstheme="minorBidi"/>
              <w:sz w:val="28"/>
              <w:szCs w:val="28"/>
              <w14:ligatures w14:val="standardContextual"/>
            </w:rPr>
          </w:pPr>
          <w:r>
            <w:fldChar w:fldCharType="begin"/>
          </w:r>
          <w:r>
            <w:instrText xml:space="preserve"> HYPERLINK \l "_Toc174629891" </w:instrText>
          </w:r>
          <w:r>
            <w:fldChar w:fldCharType="separate"/>
          </w:r>
          <w:r>
            <w:rPr>
              <w:rStyle w:val="20"/>
              <w:rFonts w:hint="eastAsia" w:ascii="宋体" w:hAnsi="宋体"/>
              <w:sz w:val="28"/>
              <w:szCs w:val="28"/>
            </w:rPr>
            <w:t xml:space="preserve">4.1 </w:t>
          </w:r>
          <w:r>
            <w:rPr>
              <w:rStyle w:val="20"/>
              <w:rFonts w:hint="eastAsia" w:ascii="宋体" w:hAnsi="宋体" w:cs="宋体"/>
              <w:sz w:val="28"/>
              <w:szCs w:val="28"/>
            </w:rPr>
            <w:t>计算公式与评分表</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w:instrText>
          </w:r>
          <w:r>
            <w:rPr>
              <w:rFonts w:ascii="宋体" w:hAnsi="宋体"/>
              <w:sz w:val="28"/>
              <w:szCs w:val="28"/>
            </w:rPr>
            <w:instrText xml:space="preserve">PAGEREF _Toc174629891 \h</w:instrText>
          </w:r>
          <w:r>
            <w:rPr>
              <w:rFonts w:hint="eastAsia" w:ascii="宋体" w:hAnsi="宋体"/>
              <w:sz w:val="28"/>
              <w:szCs w:val="28"/>
            </w:rPr>
            <w:instrText xml:space="preserve"> </w:instrText>
          </w:r>
          <w:r>
            <w:rPr>
              <w:rFonts w:hint="eastAsia" w:ascii="宋体" w:hAnsi="宋体"/>
              <w:sz w:val="28"/>
              <w:szCs w:val="28"/>
            </w:rPr>
            <w:fldChar w:fldCharType="separate"/>
          </w:r>
          <w:r>
            <w:rPr>
              <w:rFonts w:hint="eastAsia" w:ascii="宋体" w:hAnsi="宋体"/>
              <w:sz w:val="28"/>
              <w:szCs w:val="28"/>
            </w:rPr>
            <w:t>28</w:t>
          </w:r>
          <w:r>
            <w:rPr>
              <w:rFonts w:hint="eastAsia" w:ascii="宋体" w:hAnsi="宋体"/>
              <w:sz w:val="28"/>
              <w:szCs w:val="28"/>
            </w:rPr>
            <w:fldChar w:fldCharType="end"/>
          </w:r>
          <w:r>
            <w:rPr>
              <w:rFonts w:hint="eastAsia" w:ascii="宋体" w:hAnsi="宋体"/>
              <w:sz w:val="28"/>
              <w:szCs w:val="28"/>
            </w:rPr>
            <w:fldChar w:fldCharType="end"/>
          </w:r>
        </w:p>
        <w:p w14:paraId="3B7CF473">
          <w:pPr>
            <w:pStyle w:val="12"/>
            <w:tabs>
              <w:tab w:val="right" w:leader="dot" w:pos="8630"/>
            </w:tabs>
            <w:spacing w:line="360" w:lineRule="auto"/>
            <w:rPr>
              <w:rFonts w:hint="eastAsia" w:ascii="宋体" w:hAnsi="宋体" w:cstheme="minorBidi"/>
              <w:sz w:val="28"/>
              <w:szCs w:val="28"/>
              <w14:ligatures w14:val="standardContextual"/>
            </w:rPr>
          </w:pPr>
          <w:r>
            <w:fldChar w:fldCharType="begin"/>
          </w:r>
          <w:r>
            <w:instrText xml:space="preserve"> HYPERLINK \l "_Toc174629892" </w:instrText>
          </w:r>
          <w:r>
            <w:fldChar w:fldCharType="separate"/>
          </w:r>
          <w:r>
            <w:rPr>
              <w:rStyle w:val="20"/>
              <w:rFonts w:hint="eastAsia" w:ascii="宋体" w:hAnsi="宋体"/>
              <w:sz w:val="28"/>
              <w:szCs w:val="28"/>
            </w:rPr>
            <w:t>4.2 结构、围护、全装修</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w:instrText>
          </w:r>
          <w:r>
            <w:rPr>
              <w:rFonts w:ascii="宋体" w:hAnsi="宋体"/>
              <w:sz w:val="28"/>
              <w:szCs w:val="28"/>
            </w:rPr>
            <w:instrText xml:space="preserve">PAGEREF _Toc174629892 \h</w:instrText>
          </w:r>
          <w:r>
            <w:rPr>
              <w:rFonts w:hint="eastAsia" w:ascii="宋体" w:hAnsi="宋体"/>
              <w:sz w:val="28"/>
              <w:szCs w:val="28"/>
            </w:rPr>
            <w:instrText xml:space="preserve"> </w:instrText>
          </w:r>
          <w:r>
            <w:rPr>
              <w:rFonts w:hint="eastAsia" w:ascii="宋体" w:hAnsi="宋体"/>
              <w:sz w:val="28"/>
              <w:szCs w:val="28"/>
            </w:rPr>
            <w:fldChar w:fldCharType="separate"/>
          </w:r>
          <w:r>
            <w:rPr>
              <w:rFonts w:hint="eastAsia" w:ascii="宋体" w:hAnsi="宋体"/>
              <w:sz w:val="28"/>
              <w:szCs w:val="28"/>
            </w:rPr>
            <w:t>28</w:t>
          </w:r>
          <w:r>
            <w:rPr>
              <w:rFonts w:hint="eastAsia" w:ascii="宋体" w:hAnsi="宋体"/>
              <w:sz w:val="28"/>
              <w:szCs w:val="28"/>
            </w:rPr>
            <w:fldChar w:fldCharType="end"/>
          </w:r>
          <w:r>
            <w:rPr>
              <w:rFonts w:hint="eastAsia" w:ascii="宋体" w:hAnsi="宋体"/>
              <w:sz w:val="28"/>
              <w:szCs w:val="28"/>
            </w:rPr>
            <w:fldChar w:fldCharType="end"/>
          </w:r>
        </w:p>
        <w:p w14:paraId="43BAA4F0">
          <w:pPr>
            <w:pStyle w:val="12"/>
            <w:tabs>
              <w:tab w:val="right" w:leader="dot" w:pos="8630"/>
            </w:tabs>
            <w:spacing w:line="360" w:lineRule="auto"/>
            <w:rPr>
              <w:rFonts w:hint="eastAsia" w:ascii="宋体" w:hAnsi="宋体" w:cstheme="minorBidi"/>
              <w:sz w:val="28"/>
              <w:szCs w:val="28"/>
              <w14:ligatures w14:val="standardContextual"/>
            </w:rPr>
          </w:pPr>
          <w:r>
            <w:fldChar w:fldCharType="begin"/>
          </w:r>
          <w:r>
            <w:instrText xml:space="preserve"> HYPERLINK \l "_Toc174629893" </w:instrText>
          </w:r>
          <w:r>
            <w:fldChar w:fldCharType="separate"/>
          </w:r>
          <w:r>
            <w:rPr>
              <w:rStyle w:val="20"/>
              <w:rFonts w:hint="eastAsia" w:ascii="宋体" w:hAnsi="宋体"/>
              <w:sz w:val="28"/>
              <w:szCs w:val="28"/>
            </w:rPr>
            <w:t xml:space="preserve">4.5 </w:t>
          </w:r>
          <w:r>
            <w:rPr>
              <w:rStyle w:val="20"/>
              <w:rFonts w:hint="eastAsia" w:ascii="宋体" w:hAnsi="宋体" w:cs="宋体"/>
              <w:sz w:val="28"/>
              <w:szCs w:val="28"/>
            </w:rPr>
            <w:t>精益化施工</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w:instrText>
          </w:r>
          <w:r>
            <w:rPr>
              <w:rFonts w:ascii="宋体" w:hAnsi="宋体"/>
              <w:sz w:val="28"/>
              <w:szCs w:val="28"/>
            </w:rPr>
            <w:instrText xml:space="preserve">PAGEREF _Toc174629893 \h</w:instrText>
          </w:r>
          <w:r>
            <w:rPr>
              <w:rFonts w:hint="eastAsia" w:ascii="宋体" w:hAnsi="宋体"/>
              <w:sz w:val="28"/>
              <w:szCs w:val="28"/>
            </w:rPr>
            <w:instrText xml:space="preserve"> </w:instrText>
          </w:r>
          <w:r>
            <w:rPr>
              <w:rFonts w:hint="eastAsia" w:ascii="宋体" w:hAnsi="宋体"/>
              <w:sz w:val="28"/>
              <w:szCs w:val="28"/>
            </w:rPr>
            <w:fldChar w:fldCharType="separate"/>
          </w:r>
          <w:r>
            <w:rPr>
              <w:rFonts w:hint="eastAsia" w:ascii="宋体" w:hAnsi="宋体"/>
              <w:sz w:val="28"/>
              <w:szCs w:val="28"/>
            </w:rPr>
            <w:t>31</w:t>
          </w:r>
          <w:r>
            <w:rPr>
              <w:rFonts w:hint="eastAsia" w:ascii="宋体" w:hAnsi="宋体"/>
              <w:sz w:val="28"/>
              <w:szCs w:val="28"/>
            </w:rPr>
            <w:fldChar w:fldCharType="end"/>
          </w:r>
          <w:r>
            <w:rPr>
              <w:rFonts w:hint="eastAsia" w:ascii="宋体" w:hAnsi="宋体"/>
              <w:sz w:val="28"/>
              <w:szCs w:val="28"/>
            </w:rPr>
            <w:fldChar w:fldCharType="end"/>
          </w:r>
        </w:p>
        <w:p w14:paraId="6A5657C3">
          <w:pPr>
            <w:pStyle w:val="12"/>
            <w:tabs>
              <w:tab w:val="right" w:leader="dot" w:pos="8630"/>
            </w:tabs>
            <w:spacing w:line="360" w:lineRule="auto"/>
            <w:rPr>
              <w:rFonts w:hint="eastAsia" w:ascii="宋体" w:hAnsi="宋体" w:cstheme="minorBidi"/>
              <w:sz w:val="28"/>
              <w:szCs w:val="28"/>
              <w14:ligatures w14:val="standardContextual"/>
            </w:rPr>
          </w:pPr>
          <w:r>
            <w:fldChar w:fldCharType="begin"/>
          </w:r>
          <w:r>
            <w:instrText xml:space="preserve"> HYPERLINK \l "_Toc174629894" </w:instrText>
          </w:r>
          <w:r>
            <w:fldChar w:fldCharType="separate"/>
          </w:r>
          <w:r>
            <w:rPr>
              <w:rStyle w:val="20"/>
              <w:rFonts w:hint="eastAsia" w:ascii="宋体" w:hAnsi="宋体"/>
              <w:sz w:val="28"/>
              <w:szCs w:val="28"/>
            </w:rPr>
            <w:t xml:space="preserve">4.7 </w:t>
          </w:r>
          <w:r>
            <w:rPr>
              <w:rStyle w:val="20"/>
              <w:rFonts w:hint="eastAsia" w:ascii="宋体" w:hAnsi="宋体" w:cs="宋体"/>
              <w:sz w:val="28"/>
              <w:szCs w:val="28"/>
            </w:rPr>
            <w:t>组织管理模式</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w:instrText>
          </w:r>
          <w:r>
            <w:rPr>
              <w:rFonts w:ascii="宋体" w:hAnsi="宋体"/>
              <w:sz w:val="28"/>
              <w:szCs w:val="28"/>
            </w:rPr>
            <w:instrText xml:space="preserve">PAGEREF _Toc174629894 \h</w:instrText>
          </w:r>
          <w:r>
            <w:rPr>
              <w:rFonts w:hint="eastAsia" w:ascii="宋体" w:hAnsi="宋体"/>
              <w:sz w:val="28"/>
              <w:szCs w:val="28"/>
            </w:rPr>
            <w:instrText xml:space="preserve"> </w:instrText>
          </w:r>
          <w:r>
            <w:rPr>
              <w:rFonts w:hint="eastAsia" w:ascii="宋体" w:hAnsi="宋体"/>
              <w:sz w:val="28"/>
              <w:szCs w:val="28"/>
            </w:rPr>
            <w:fldChar w:fldCharType="separate"/>
          </w:r>
          <w:r>
            <w:rPr>
              <w:rFonts w:hint="eastAsia" w:ascii="宋体" w:hAnsi="宋体"/>
              <w:sz w:val="28"/>
              <w:szCs w:val="28"/>
            </w:rPr>
            <w:t>32</w:t>
          </w:r>
          <w:r>
            <w:rPr>
              <w:rFonts w:hint="eastAsia" w:ascii="宋体" w:hAnsi="宋体"/>
              <w:sz w:val="28"/>
              <w:szCs w:val="28"/>
            </w:rPr>
            <w:fldChar w:fldCharType="end"/>
          </w:r>
          <w:r>
            <w:rPr>
              <w:rFonts w:hint="eastAsia" w:ascii="宋体" w:hAnsi="宋体"/>
              <w:sz w:val="28"/>
              <w:szCs w:val="28"/>
            </w:rPr>
            <w:fldChar w:fldCharType="end"/>
          </w:r>
        </w:p>
        <w:p w14:paraId="5E72F73B">
          <w:pPr>
            <w:spacing w:line="360" w:lineRule="auto"/>
            <w:rPr>
              <w:rFonts w:hint="eastAsia" w:ascii="宋体" w:hAnsi="宋体" w:eastAsia="宋体"/>
              <w:sz w:val="28"/>
              <w:szCs w:val="28"/>
            </w:rPr>
          </w:pPr>
          <w:r>
            <w:rPr>
              <w:rFonts w:ascii="宋体" w:hAnsi="宋体" w:eastAsia="宋体"/>
              <w:b/>
              <w:bCs/>
              <w:sz w:val="28"/>
              <w:szCs w:val="28"/>
              <w:lang w:val="zh-CN"/>
            </w:rPr>
            <w:fldChar w:fldCharType="end"/>
          </w:r>
        </w:p>
      </w:sdtContent>
    </w:sdt>
    <w:p w14:paraId="747DBCEA">
      <w:pPr>
        <w:jc w:val="center"/>
        <w:rPr>
          <w:rFonts w:hint="eastAsia" w:ascii="黑体" w:hAnsi="黑体" w:eastAsia="黑体"/>
          <w:b/>
          <w:bCs/>
          <w:sz w:val="32"/>
          <w:szCs w:val="32"/>
          <w:lang w:bidi="ar"/>
        </w:rPr>
      </w:pPr>
    </w:p>
    <w:p w14:paraId="1D188717">
      <w:pPr>
        <w:widowControl/>
        <w:jc w:val="left"/>
        <w:rPr>
          <w:rFonts w:hint="eastAsia" w:ascii="黑体" w:hAnsi="黑体" w:eastAsia="黑体"/>
          <w:b/>
          <w:bCs/>
          <w:sz w:val="32"/>
          <w:szCs w:val="32"/>
          <w:lang w:bidi="ar"/>
        </w:rPr>
      </w:pPr>
      <w:r>
        <w:rPr>
          <w:rFonts w:hint="eastAsia" w:ascii="黑体" w:hAnsi="黑体" w:eastAsia="黑体"/>
          <w:b/>
          <w:bCs/>
          <w:sz w:val="32"/>
          <w:szCs w:val="32"/>
          <w:lang w:bidi="ar"/>
        </w:rPr>
        <w:br w:type="page"/>
      </w:r>
    </w:p>
    <w:p w14:paraId="36C6BD36">
      <w:pPr>
        <w:pStyle w:val="2"/>
        <w:widowControl/>
        <w:spacing w:after="312"/>
      </w:pPr>
      <w:bookmarkStart w:id="85" w:name="_Toc174629910"/>
      <w:bookmarkStart w:id="86" w:name="_Toc174629888"/>
      <w:bookmarkStart w:id="87" w:name="_Toc174629818"/>
      <w:bookmarkStart w:id="88" w:name="_Toc113285301"/>
      <w:bookmarkStart w:id="89" w:name="_Toc110785790"/>
      <w:r>
        <w:t>1</w:t>
      </w:r>
      <w:r>
        <w:tab/>
      </w:r>
      <w:r>
        <w:rPr>
          <w:rFonts w:hint="eastAsia" w:cs="宋体"/>
        </w:rPr>
        <w:t>总</w:t>
      </w:r>
      <w:r>
        <w:t xml:space="preserve">  </w:t>
      </w:r>
      <w:r>
        <w:rPr>
          <w:rFonts w:hint="eastAsia" w:cs="宋体"/>
        </w:rPr>
        <w:t>则</w:t>
      </w:r>
      <w:bookmarkEnd w:id="85"/>
      <w:bookmarkEnd w:id="86"/>
      <w:bookmarkEnd w:id="87"/>
      <w:bookmarkEnd w:id="88"/>
      <w:bookmarkEnd w:id="89"/>
    </w:p>
    <w:p w14:paraId="62C2B010">
      <w:pPr>
        <w:pStyle w:val="48"/>
        <w:spacing w:after="156"/>
        <w:ind w:firstLine="482"/>
      </w:pPr>
      <w:r>
        <w:rPr>
          <w:b/>
          <w:bCs/>
        </w:rPr>
        <w:t>1.0.1</w:t>
      </w:r>
      <w:r>
        <w:tab/>
      </w:r>
      <w:r>
        <w:rPr>
          <w:rFonts w:hint="eastAsia"/>
        </w:rPr>
        <w:t>为落实《住房和城乡建设部等部门关于加快新型建筑工业化发展的若干意见》（〔202</w:t>
      </w:r>
      <w:r>
        <w:rPr>
          <w:rFonts w:hint="eastAsia"/>
          <w:lang w:val="en-US" w:eastAsia="zh-CN"/>
        </w:rPr>
        <w:t>0</w:t>
      </w:r>
      <w:r>
        <w:rPr>
          <w:rFonts w:hint="eastAsia"/>
        </w:rPr>
        <w:t xml:space="preserve">〕8号文件），促进以装配式建筑为驱动力的新型建筑工业化项目持续健康发展。 </w:t>
      </w:r>
    </w:p>
    <w:p w14:paraId="1B911A81">
      <w:pPr>
        <w:pStyle w:val="48"/>
        <w:spacing w:after="156"/>
        <w:ind w:firstLine="480"/>
      </w:pPr>
      <w:r>
        <w:rPr>
          <w:rFonts w:hint="eastAsia"/>
        </w:rPr>
        <w:t>国家标准《装配式建筑评价标准》GB/T51129、广东省《装配式建筑评价标准》DBJ/T15主要是针对装配式建筑装配率的计算和等级的评价方法。为了更好地推动我省新型建筑工业化，厘清装配式建筑项目与新型建筑工业化项目的相同与差异之处，建立一套适合我省新型建筑工业化项目的评价体系，制订并实施统一的评价标准，规范新型建筑工业化项目评价，提高建设工程质量、效率和效益，对于引导促进我省新型建筑工业化发展具有十分重要的意义。</w:t>
      </w:r>
    </w:p>
    <w:p w14:paraId="31204D0A">
      <w:pPr>
        <w:pStyle w:val="48"/>
        <w:spacing w:after="156"/>
        <w:ind w:firstLine="482"/>
      </w:pPr>
      <w:r>
        <w:rPr>
          <w:b/>
          <w:bCs/>
        </w:rPr>
        <w:t>1.0.</w:t>
      </w:r>
      <w:r>
        <w:rPr>
          <w:rFonts w:hint="eastAsia"/>
          <w:b/>
          <w:bCs/>
        </w:rPr>
        <w:t>2</w:t>
      </w:r>
      <w:r>
        <w:tab/>
      </w:r>
      <w:r>
        <w:rPr>
          <w:rFonts w:hint="eastAsia"/>
        </w:rPr>
        <w:t>本评价指南适用于采用采用新一代信息技术驱动、系统化集成设计、精益化生产施工方式的建设的各类民用建筑的评价。同时，对于一般单层和多层工业建筑，当符合本评价指南的评价原则时，可参照执行。</w:t>
      </w:r>
    </w:p>
    <w:p w14:paraId="0ACF606C">
      <w:pPr>
        <w:widowControl/>
        <w:jc w:val="left"/>
        <w:rPr>
          <w:rFonts w:ascii="Times New Roman" w:hAnsi="Times New Roman" w:cs="Times New Roman"/>
          <w:sz w:val="24"/>
          <w:szCs w:val="28"/>
        </w:rPr>
      </w:pPr>
      <w:r>
        <w:br w:type="page"/>
      </w:r>
    </w:p>
    <w:p w14:paraId="1E82127A">
      <w:pPr>
        <w:pStyle w:val="2"/>
        <w:widowControl/>
        <w:spacing w:after="312"/>
      </w:pPr>
      <w:bookmarkStart w:id="90" w:name="_Toc113285303"/>
      <w:bookmarkStart w:id="91" w:name="_Toc174629819"/>
      <w:bookmarkStart w:id="92" w:name="_Toc174629889"/>
      <w:bookmarkStart w:id="93" w:name="_Toc174629911"/>
      <w:r>
        <w:t>3</w:t>
      </w:r>
      <w:r>
        <w:tab/>
      </w:r>
      <w:r>
        <w:rPr>
          <w:rFonts w:hint="eastAsia" w:cs="宋体"/>
        </w:rPr>
        <w:t>基</w:t>
      </w:r>
      <w:r>
        <w:t xml:space="preserve"> </w:t>
      </w:r>
      <w:r>
        <w:rPr>
          <w:rFonts w:hint="eastAsia" w:cs="宋体"/>
        </w:rPr>
        <w:t>本</w:t>
      </w:r>
      <w:r>
        <w:t xml:space="preserve"> </w:t>
      </w:r>
      <w:r>
        <w:rPr>
          <w:rFonts w:hint="eastAsia" w:cs="宋体"/>
        </w:rPr>
        <w:t>规</w:t>
      </w:r>
      <w:r>
        <w:t xml:space="preserve"> </w:t>
      </w:r>
      <w:r>
        <w:rPr>
          <w:rFonts w:hint="eastAsia" w:cs="宋体"/>
        </w:rPr>
        <w:t>定</w:t>
      </w:r>
      <w:bookmarkEnd w:id="90"/>
      <w:bookmarkEnd w:id="91"/>
      <w:bookmarkEnd w:id="92"/>
      <w:bookmarkEnd w:id="93"/>
    </w:p>
    <w:p w14:paraId="4980D2DB">
      <w:pPr>
        <w:pStyle w:val="48"/>
        <w:spacing w:after="156"/>
        <w:ind w:firstLine="0" w:firstLineChars="0"/>
        <w:rPr>
          <w:rFonts w:eastAsia="宋体"/>
          <w:sz w:val="28"/>
        </w:rPr>
      </w:pPr>
      <w:r>
        <w:rPr>
          <w:rFonts w:eastAsia="宋体"/>
          <w:b/>
          <w:sz w:val="28"/>
        </w:rPr>
        <w:t>3.0.1</w:t>
      </w:r>
      <w:r>
        <w:rPr>
          <w:rFonts w:eastAsia="宋体"/>
          <w:sz w:val="28"/>
        </w:rPr>
        <w:tab/>
      </w:r>
      <w:r>
        <w:rPr>
          <w:rStyle w:val="63"/>
          <w:rFonts w:hint="eastAsia"/>
        </w:rPr>
        <w:t>当主楼满足本评价指南3</w:t>
      </w:r>
      <w:r>
        <w:rPr>
          <w:rStyle w:val="63"/>
        </w:rPr>
        <w:t>.</w:t>
      </w:r>
      <w:r>
        <w:rPr>
          <w:rStyle w:val="63"/>
          <w:rFonts w:hint="eastAsia"/>
        </w:rPr>
        <w:t>0</w:t>
      </w:r>
      <w:r>
        <w:rPr>
          <w:rStyle w:val="63"/>
        </w:rPr>
        <w:t>.</w:t>
      </w:r>
      <w:r>
        <w:rPr>
          <w:rStyle w:val="63"/>
          <w:rFonts w:hint="eastAsia"/>
        </w:rPr>
        <w:t>3条时，该单体建筑可评价为新型建筑工业化项目。裙楼定义参照《建筑设计防火规范》GB50016 (主楼层数、高度、面积等尺寸不应小于裙楼)。以单体建筑作为项目的工业化率计算和新型建筑工业化项目等级评价的单元，主要基于单体建筑可构成整个建筑活动的工作单元和产品，能全面、系统地反映新型建筑工业化项目的特点，具有较好的可操作性。</w:t>
      </w:r>
    </w:p>
    <w:p w14:paraId="010DE205">
      <w:pPr>
        <w:pStyle w:val="48"/>
        <w:spacing w:after="156"/>
        <w:ind w:firstLine="0" w:firstLineChars="0"/>
      </w:pPr>
      <w:r>
        <w:rPr>
          <w:b/>
        </w:rPr>
        <w:t>3.0.</w:t>
      </w:r>
      <w:r>
        <w:rPr>
          <w:rFonts w:hint="eastAsia"/>
          <w:b/>
        </w:rPr>
        <w:t>2</w:t>
      </w:r>
      <w:r>
        <w:tab/>
      </w:r>
      <w:r>
        <w:rPr>
          <w:rFonts w:hint="eastAsia"/>
        </w:rPr>
        <w:t>为保证新型建筑工业化项目评价质量和效果，切实发挥评价工作的指导作用，新型建筑工业化项目评价分为项目预评价和项目评价。项目宜在初步设计完成后，施工图设计前进行项目预评价；当无初步设计时，应在施工图设计完成时进行项目预评价。如果项目预评价结果不满足新型建筑工业化项目评价的相关要求，项目可结合项目预评价过程中发现的不足，通过调整或优化设计方案使其满足要求。项目评价应在竣工验收时，按照竣工资料和相关证明文件进行项目评价。项目评价是新型建筑工业化项目评价的最终结果，评价内容包括计算项目建筑工业化率和确定评价等级。</w:t>
      </w:r>
    </w:p>
    <w:p w14:paraId="38778E23">
      <w:pPr>
        <w:pStyle w:val="48"/>
        <w:spacing w:after="156"/>
        <w:ind w:firstLine="0" w:firstLineChars="0"/>
      </w:pPr>
      <w:r>
        <w:rPr>
          <w:b/>
          <w:bCs/>
        </w:rPr>
        <w:t>3.0.3</w:t>
      </w:r>
      <w:r>
        <w:tab/>
      </w:r>
      <w:r>
        <w:rPr>
          <w:rFonts w:hint="eastAsia"/>
        </w:rPr>
        <w:t>新型建筑工业化项目根据本评价指南第5章的规定，可以评价为基本级、A级、AA级、AAA级新型建筑工业化项目。</w:t>
      </w:r>
    </w:p>
    <w:p w14:paraId="07E8BFAD">
      <w:pPr>
        <w:widowControl/>
        <w:jc w:val="left"/>
        <w:rPr>
          <w:rFonts w:ascii="Times New Roman" w:hAnsi="Times New Roman" w:cs="Times New Roman"/>
          <w:sz w:val="24"/>
          <w:szCs w:val="28"/>
        </w:rPr>
      </w:pPr>
      <w:r>
        <w:br w:type="page"/>
      </w:r>
    </w:p>
    <w:p w14:paraId="1B8020F9">
      <w:pPr>
        <w:pStyle w:val="2"/>
        <w:widowControl/>
        <w:spacing w:after="312"/>
      </w:pPr>
      <w:bookmarkStart w:id="94" w:name="_Toc174629890"/>
      <w:bookmarkStart w:id="95" w:name="_Toc174629820"/>
      <w:bookmarkStart w:id="96" w:name="_Toc113285304"/>
      <w:bookmarkStart w:id="97" w:name="_Toc174629912"/>
      <w:r>
        <w:t>4</w:t>
      </w:r>
      <w:r>
        <w:tab/>
      </w:r>
      <w:r>
        <w:rPr>
          <w:rFonts w:hint="eastAsia"/>
        </w:rPr>
        <w:t>项目建筑工业化率</w:t>
      </w:r>
      <w:r>
        <w:rPr>
          <w:rFonts w:hint="eastAsia" w:cs="宋体"/>
        </w:rPr>
        <w:t>计算</w:t>
      </w:r>
      <w:bookmarkEnd w:id="94"/>
      <w:bookmarkEnd w:id="95"/>
      <w:bookmarkEnd w:id="96"/>
      <w:bookmarkEnd w:id="97"/>
    </w:p>
    <w:p w14:paraId="18A5197F">
      <w:pPr>
        <w:pStyle w:val="51"/>
        <w:widowControl/>
        <w:spacing w:before="156" w:after="156"/>
      </w:pPr>
      <w:bookmarkStart w:id="98" w:name="_Toc113285305"/>
      <w:bookmarkStart w:id="99" w:name="_Toc174629891"/>
      <w:bookmarkStart w:id="100" w:name="_Toc174629913"/>
      <w:bookmarkStart w:id="101" w:name="_Toc174629821"/>
      <w:r>
        <w:t xml:space="preserve">4.1 </w:t>
      </w:r>
      <w:r>
        <w:rPr>
          <w:rFonts w:hint="eastAsia" w:cs="宋体"/>
        </w:rPr>
        <w:t>计算公式与评分表</w:t>
      </w:r>
      <w:bookmarkEnd w:id="98"/>
      <w:bookmarkEnd w:id="99"/>
      <w:bookmarkEnd w:id="100"/>
      <w:bookmarkEnd w:id="101"/>
    </w:p>
    <w:p w14:paraId="7D52E8E5">
      <w:pPr>
        <w:pStyle w:val="48"/>
        <w:spacing w:after="156"/>
        <w:ind w:firstLine="0" w:firstLineChars="0"/>
      </w:pPr>
      <w:r>
        <w:rPr>
          <w:b/>
          <w:bCs/>
        </w:rPr>
        <w:t>4.1.2</w:t>
      </w:r>
      <w:r>
        <w:tab/>
      </w:r>
      <w:r>
        <w:rPr>
          <w:rFonts w:hint="eastAsia"/>
        </w:rPr>
        <w:t>项目建筑工业化率应按照本条的规定进行计算，计算结果应按照四舍五入法取整数。在项目评价过程中，如果实际计算的评价比例小于比例范围中的最小值，则评价分值取0分；如果实际计算的评价比例大于比例范围中的最大值，则评价分值取比例范围中最大值对应的评价分值。</w:t>
      </w:r>
    </w:p>
    <w:p w14:paraId="64465D3D">
      <w:pPr>
        <w:pStyle w:val="51"/>
        <w:widowControl/>
        <w:spacing w:before="156" w:after="156"/>
      </w:pPr>
      <w:bookmarkStart w:id="102" w:name="_Toc174629914"/>
      <w:bookmarkStart w:id="103" w:name="_Toc174629892"/>
      <w:bookmarkStart w:id="104" w:name="_Toc174629822"/>
      <w:r>
        <w:t xml:space="preserve">4.2 </w:t>
      </w:r>
      <w:r>
        <w:rPr>
          <w:rFonts w:hint="eastAsia"/>
        </w:rPr>
        <w:t>结构、围护、全装修</w:t>
      </w:r>
      <w:bookmarkEnd w:id="102"/>
      <w:bookmarkEnd w:id="103"/>
      <w:bookmarkEnd w:id="104"/>
    </w:p>
    <w:p w14:paraId="21B3F940">
      <w:pPr>
        <w:pStyle w:val="48"/>
        <w:spacing w:after="156"/>
        <w:ind w:firstLine="0" w:firstLineChars="0"/>
      </w:pPr>
      <w:r>
        <w:rPr>
          <w:b/>
          <w:bCs/>
        </w:rPr>
        <w:t>4.</w:t>
      </w:r>
      <w:r>
        <w:rPr>
          <w:rFonts w:hint="eastAsia"/>
          <w:b/>
          <w:bCs/>
        </w:rPr>
        <w:t>2</w:t>
      </w:r>
      <w:r>
        <w:rPr>
          <w:b/>
          <w:bCs/>
        </w:rPr>
        <w:t>.</w:t>
      </w:r>
      <w:r>
        <w:rPr>
          <w:rFonts w:hint="eastAsia"/>
          <w:b/>
          <w:bCs/>
        </w:rPr>
        <w:t>1</w:t>
      </w:r>
      <w:r>
        <w:tab/>
      </w:r>
      <w:r>
        <w:rPr>
          <w:rFonts w:hint="eastAsia"/>
        </w:rPr>
        <w:t>装配整体式框架-现浇混凝土剪力墙或核心筒结构可采用本标准进行评价，V1a的取值应包括所有预制框架柱体积和满足本标准第4.2.2条规定的可计入计算的后浇混凝土体积；V的取值应包括框架柱、剪力墙或核心筒全部混凝土体积。对于带转换层的建筑，结构转换率大于10%的转换层，该楼层可不计入Q1的评价范围（结构转换率=本层转换竖向构件的投影面积/本层竖向构件的总面积）；对于竖向构件采用受力钢筋与免拆模板形成一体的中空预制构件，并在现场安装和浇筑混凝土时，按照竖向构件的外轮廓计算预制构件的体积并乘以0.8的修正系数。</w:t>
      </w:r>
    </w:p>
    <w:p w14:paraId="30A9E10A">
      <w:pPr>
        <w:pStyle w:val="48"/>
        <w:spacing w:after="0" w:afterLines="0"/>
        <w:ind w:firstLine="0" w:firstLineChars="0"/>
      </w:pPr>
      <w:r>
        <w:rPr>
          <w:b/>
          <w:bCs/>
        </w:rPr>
        <w:t>4.</w:t>
      </w:r>
      <w:r>
        <w:rPr>
          <w:rFonts w:hint="eastAsia"/>
          <w:b/>
          <w:bCs/>
        </w:rPr>
        <w:t>2</w:t>
      </w:r>
      <w:r>
        <w:rPr>
          <w:b/>
          <w:bCs/>
        </w:rPr>
        <w:t>.</w:t>
      </w:r>
      <w:r>
        <w:rPr>
          <w:rFonts w:hint="eastAsia"/>
          <w:b/>
          <w:bCs/>
        </w:rPr>
        <w:t>2</w:t>
      </w:r>
      <w:r>
        <w:tab/>
      </w:r>
      <w:r>
        <w:rPr>
          <w:rFonts w:hint="eastAsia"/>
        </w:rPr>
        <w:t>以下预制构件的现浇连接部分可以计入预制混凝土体积：</w:t>
      </w:r>
      <w:r>
        <w:t xml:space="preserve"> </w:t>
      </w:r>
    </w:p>
    <w:p w14:paraId="002B0ADD">
      <w:pPr>
        <w:pStyle w:val="48"/>
        <w:spacing w:after="0" w:afterLines="0"/>
        <w:ind w:firstLine="480"/>
      </w:pPr>
      <w:r>
        <w:t>1</w:t>
      </w:r>
      <w:r>
        <w:rPr>
          <w:rFonts w:hint="eastAsia"/>
        </w:rPr>
        <w:t>.当预制剪力墙板竖向现浇段宽度大于</w:t>
      </w:r>
      <w:r>
        <w:t>600mm</w:t>
      </w:r>
      <w:r>
        <w:rPr>
          <w:rFonts w:hint="eastAsia"/>
        </w:rPr>
        <w:t>时，不大于</w:t>
      </w:r>
      <w:r>
        <w:t>600mm</w:t>
      </w:r>
      <w:r>
        <w:rPr>
          <w:rFonts w:hint="eastAsia"/>
        </w:rPr>
        <w:t>的部分可以计入预制混凝体积，超出</w:t>
      </w:r>
      <w:r>
        <w:t>600mm</w:t>
      </w:r>
      <w:r>
        <w:rPr>
          <w:rFonts w:hint="eastAsia"/>
        </w:rPr>
        <w:t>部分不能计入预制混凝土体积。</w:t>
      </w:r>
    </w:p>
    <w:p w14:paraId="0E4C65AE">
      <w:pPr>
        <w:pStyle w:val="48"/>
        <w:spacing w:after="0" w:afterLines="0"/>
        <w:ind w:firstLine="480"/>
      </w:pPr>
      <w:r>
        <w:t>2</w:t>
      </w:r>
      <w:r>
        <w:rPr>
          <w:rFonts w:hint="eastAsia"/>
        </w:rPr>
        <w:t>.当预制剪力墙板水平后浇带高度大于</w:t>
      </w:r>
      <w:r>
        <w:t>300mm</w:t>
      </w:r>
      <w:r>
        <w:rPr>
          <w:rFonts w:hint="eastAsia"/>
        </w:rPr>
        <w:t>时，不大于</w:t>
      </w:r>
      <w:r>
        <w:t>300mm</w:t>
      </w:r>
      <w:r>
        <w:rPr>
          <w:rFonts w:hint="eastAsia"/>
        </w:rPr>
        <w:t>的部分可以计入预制混凝土体积，超出</w:t>
      </w:r>
      <w:r>
        <w:t>300mm</w:t>
      </w:r>
      <w:r>
        <w:rPr>
          <w:rFonts w:hint="eastAsia"/>
        </w:rPr>
        <w:t>的部分不能计入预制混凝土体积。</w:t>
      </w:r>
    </w:p>
    <w:p w14:paraId="23E569D4">
      <w:pPr>
        <w:pStyle w:val="48"/>
        <w:spacing w:after="0" w:afterLines="0"/>
        <w:ind w:firstLine="480"/>
      </w:pPr>
      <w:r>
        <w:t>3</w:t>
      </w:r>
      <w:r>
        <w:rPr>
          <w:rFonts w:hint="eastAsia"/>
        </w:rPr>
        <w:t>.预制剪力墙的水平后浇带与楼板厚度重叠的部分可计入预制混凝土体积，超出重叠部分的高度不大于</w:t>
      </w:r>
      <w:r>
        <w:t>300mm</w:t>
      </w:r>
      <w:r>
        <w:rPr>
          <w:rFonts w:hint="eastAsia"/>
        </w:rPr>
        <w:t>的水平后浇带可以计入预制混凝土体积。</w:t>
      </w:r>
    </w:p>
    <w:p w14:paraId="633BEFF7">
      <w:pPr>
        <w:pStyle w:val="48"/>
        <w:spacing w:after="156"/>
        <w:ind w:firstLine="480"/>
      </w:pPr>
      <w:r>
        <w:t>4</w:t>
      </w:r>
      <w:r>
        <w:rPr>
          <w:rFonts w:hint="eastAsia"/>
        </w:rPr>
        <w:t>.梁柱节点区混凝土可计入预制混凝土体积。不含梁柱节点区高度的后浇混凝土高度不大于柱截面较小尺寸的部分可以计入预制混凝土体积，预制混凝土体积可由两者叠加组成。</w:t>
      </w:r>
    </w:p>
    <w:p w14:paraId="331683A8">
      <w:pPr>
        <w:pStyle w:val="48"/>
        <w:spacing w:after="0" w:afterLines="0"/>
        <w:ind w:firstLine="0" w:firstLineChars="0"/>
      </w:pPr>
      <w:r>
        <w:rPr>
          <w:b/>
          <w:bCs/>
        </w:rPr>
        <w:t>4.</w:t>
      </w:r>
      <w:r>
        <w:rPr>
          <w:rFonts w:hint="eastAsia"/>
          <w:b/>
          <w:bCs/>
        </w:rPr>
        <w:t>2</w:t>
      </w:r>
      <w:r>
        <w:rPr>
          <w:b/>
          <w:bCs/>
        </w:rPr>
        <w:t>.</w:t>
      </w:r>
      <w:r>
        <w:rPr>
          <w:rFonts w:hint="eastAsia"/>
          <w:b/>
          <w:bCs/>
        </w:rPr>
        <w:t>3</w:t>
      </w:r>
      <w:r>
        <w:tab/>
      </w:r>
      <w:r>
        <w:rPr>
          <w:rFonts w:hint="eastAsia"/>
        </w:rPr>
        <w:t>为</w:t>
      </w:r>
      <w:r>
        <w:t>本条针对</w:t>
      </w:r>
      <w:r>
        <w:rPr>
          <w:rFonts w:hint="eastAsia"/>
        </w:rPr>
        <w:t>装配式钢结构建筑和装配式钢-混凝土混合结构建筑</w:t>
      </w:r>
      <w:r>
        <w:t>竖向构件的评价分值进行了相关规定。根据广东省标准《钢结构设计规程》DBJ 15-102、《高层建筑钢-混凝土混合结构技术规程》DBJ/T15-128，相关竖向构件主要包括如下：</w:t>
      </w:r>
    </w:p>
    <w:p w14:paraId="01C5817A">
      <w:pPr>
        <w:pStyle w:val="48"/>
        <w:spacing w:after="0" w:afterLines="0"/>
        <w:ind w:firstLine="480"/>
      </w:pPr>
      <w:r>
        <w:rPr>
          <w:rFonts w:hint="eastAsia"/>
        </w:rPr>
        <w:t>钢构件：钢柱、钢支撑、屈曲约束支撑、钢板剪力墙、钢板组合剪力墙等钢构件。</w:t>
      </w:r>
    </w:p>
    <w:p w14:paraId="1104D6B4">
      <w:pPr>
        <w:pStyle w:val="48"/>
        <w:spacing w:after="0" w:afterLines="0"/>
        <w:ind w:firstLine="480"/>
      </w:pPr>
      <w:r>
        <w:rPr>
          <w:rFonts w:hint="eastAsia"/>
        </w:rPr>
        <w:t>外包钢</w:t>
      </w:r>
      <w:r>
        <w:t>-混凝土组合柱：圆形钢管混凝土柱、矩形钢管混凝土柱和异形钢管混凝土柱。</w:t>
      </w:r>
    </w:p>
    <w:p w14:paraId="01AD5F69">
      <w:pPr>
        <w:pStyle w:val="48"/>
        <w:spacing w:after="156"/>
        <w:ind w:firstLine="480"/>
      </w:pPr>
      <w:r>
        <w:rPr>
          <w:rFonts w:hint="eastAsia"/>
        </w:rPr>
        <w:t>外包钢</w:t>
      </w:r>
      <w:r>
        <w:t>-</w:t>
      </w:r>
      <w:r>
        <w:rPr>
          <w:rFonts w:hint="eastAsia"/>
        </w:rPr>
        <w:t>混凝土剪力墙：外包钢板混凝土剪力墙、排钢管钢板混凝土剪力墙或钢板组合剪力墙。</w:t>
      </w:r>
    </w:p>
    <w:p w14:paraId="34D475E3">
      <w:pPr>
        <w:pStyle w:val="48"/>
        <w:spacing w:after="0" w:afterLines="0"/>
        <w:ind w:firstLine="0" w:firstLineChars="0"/>
      </w:pPr>
      <w:r>
        <w:rPr>
          <w:b/>
          <w:bCs/>
        </w:rPr>
        <w:t>4.</w:t>
      </w:r>
      <w:r>
        <w:rPr>
          <w:rFonts w:hint="eastAsia"/>
          <w:b/>
          <w:bCs/>
        </w:rPr>
        <w:t>2</w:t>
      </w:r>
      <w:r>
        <w:rPr>
          <w:b/>
          <w:bCs/>
        </w:rPr>
        <w:t>.</w:t>
      </w:r>
      <w:r>
        <w:rPr>
          <w:rFonts w:hint="eastAsia"/>
          <w:b/>
          <w:bCs/>
        </w:rPr>
        <w:t>4</w:t>
      </w:r>
      <w:r>
        <w:tab/>
      </w:r>
      <w:r>
        <w:t>A中的楼板（含屋面板）的水平投影面积可取楼层外边线投影围合的面积扣除围合范围内的洞口面积、阳台的面积、混凝土墙和柱的水平投影面积以及梁的水平投影面积后剩余的面积。梁的水平投影面积不包括梁与柱重叠、梁与钢筋混凝</w:t>
      </w:r>
      <w:r>
        <w:rPr>
          <w:rFonts w:hint="eastAsia"/>
        </w:rPr>
        <w:t>土剪力墙重叠的面积。</w:t>
      </w:r>
    </w:p>
    <w:p w14:paraId="55BB5C9B">
      <w:pPr>
        <w:pStyle w:val="48"/>
        <w:spacing w:after="0" w:afterLines="0"/>
        <w:ind w:firstLine="480"/>
      </w:pPr>
      <w:r>
        <w:rPr>
          <w:rFonts w:hint="eastAsia"/>
        </w:rPr>
        <w:t>根据《装配式混凝土建筑技术标准》</w:t>
      </w:r>
      <w:r>
        <w:t>GB/T51231-2016中第5.5.2条规定，高层装配整体式混凝土结构中平面受力复杂的楼层宜采用现浇楼盖。因此，当高层建筑的公共通道和前室采用现浇楼盖时，可扣除相应的面积，但不应超过50m2，楼梯间不在扣除的范围内。</w:t>
      </w:r>
    </w:p>
    <w:p w14:paraId="0FDC89AB">
      <w:pPr>
        <w:pStyle w:val="48"/>
        <w:spacing w:after="0" w:afterLines="0"/>
        <w:ind w:firstLine="480"/>
      </w:pPr>
      <w:r>
        <w:rPr>
          <w:rFonts w:hint="eastAsia"/>
        </w:rPr>
        <w:t>凡是计入建筑面积的空间，均属于预制部品部件的应用比例的计算范围。</w:t>
      </w:r>
    </w:p>
    <w:p w14:paraId="1A9A130E">
      <w:pPr>
        <w:pStyle w:val="48"/>
        <w:spacing w:after="0" w:afterLines="0"/>
        <w:ind w:firstLine="480"/>
      </w:pPr>
      <w:r>
        <w:rPr>
          <w:rFonts w:hint="eastAsia"/>
        </w:rPr>
        <w:t>对于大跨度公共建筑屋盖为钢结构，下部结构为混凝土结构时，水平构件应用比例应按下列公式计算：</w:t>
      </w:r>
    </w:p>
    <w:p w14:paraId="23D9C0D3">
      <w:pPr>
        <w:pStyle w:val="48"/>
        <w:spacing w:after="0" w:afterLines="0"/>
        <w:ind w:firstLine="480"/>
      </w:pPr>
      <m:oMathPara>
        <m:oMath>
          <m:sSub>
            <m:sSubPr>
              <m:ctrlPr>
                <w:rPr>
                  <w:rFonts w:ascii="Cambria Math" w:hAnsi="Cambria Math"/>
                </w:rPr>
              </m:ctrlPr>
            </m:sSubPr>
            <m:e>
              <m:r>
                <m:rPr/>
                <w:rPr>
                  <w:rFonts w:ascii="Cambria Math" w:hAnsi="Cambria Math"/>
                </w:rPr>
                <m:t>q</m:t>
              </m:r>
              <m:ctrlPr>
                <w:rPr>
                  <w:rFonts w:ascii="Cambria Math" w:hAnsi="Cambria Math"/>
                </w:rPr>
              </m:ctrlPr>
            </m:e>
            <m:sub>
              <m:r>
                <m:rPr>
                  <m:sty m:val="p"/>
                </m:rPr>
                <w:rPr>
                  <w:rFonts w:ascii="Cambria Math" w:hAnsi="Cambria Math"/>
                </w:rPr>
                <m:t>1</m:t>
              </m:r>
              <m:r>
                <m:rPr/>
                <w:rPr>
                  <w:rFonts w:ascii="Cambria Math" w:hAnsi="Cambria Math"/>
                </w:rPr>
                <m:t>b</m:t>
              </m:r>
              <m:ctrlPr>
                <w:rPr>
                  <w:rFonts w:ascii="Cambria Math" w:hAnsi="Cambria Math"/>
                </w:rPr>
              </m:ctrlPr>
            </m:sub>
          </m:sSub>
          <m:r>
            <m:rPr>
              <m:sty m:val="p"/>
            </m:rPr>
            <w:rPr>
              <w:rFonts w:ascii="Cambria Math" w:hAnsi="Cambria Math"/>
            </w:rPr>
            <m:t>=</m:t>
          </m:r>
          <m:r>
            <m:rPr>
              <m:sty m:val="p"/>
            </m:rPr>
            <w:rPr>
              <w:rFonts w:hint="eastAsia"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A</m:t>
                  </m:r>
                  <m:ctrlPr>
                    <w:rPr>
                      <w:rFonts w:ascii="Cambria Math" w:hAnsi="Cambria Math"/>
                    </w:rPr>
                  </m:ctrlPr>
                </m:e>
                <m:sub>
                  <m:r>
                    <m:rPr>
                      <m:sty m:val="p"/>
                    </m:rPr>
                    <w:rPr>
                      <w:rFonts w:ascii="Cambria Math" w:hAnsi="Cambria Math"/>
                    </w:rPr>
                    <m:t>1</m:t>
                  </m:r>
                  <m:r>
                    <m:rPr/>
                    <w:rPr>
                      <w:rFonts w:ascii="Cambria Math" w:hAnsi="Cambria Math"/>
                    </w:rPr>
                    <m:t>b</m:t>
                  </m:r>
                  <m:ctrlPr>
                    <w:rPr>
                      <w:rFonts w:ascii="Cambria Math" w:hAnsi="Cambria Math"/>
                    </w:rPr>
                  </m:ctrlPr>
                </m:sub>
              </m:sSub>
              <m:ctrlPr>
                <w:rPr>
                  <w:rFonts w:ascii="Cambria Math" w:hAnsi="Cambria Math"/>
                </w:rPr>
              </m:ctrlPr>
            </m:num>
            <m:den>
              <m:r>
                <m:rPr/>
                <w:rPr>
                  <w:rFonts w:ascii="Cambria Math" w:hAnsi="Cambria Math"/>
                </w:rPr>
                <m:t>A</m:t>
              </m:r>
              <m:ctrlPr>
                <w:rPr>
                  <w:rFonts w:ascii="Cambria Math" w:hAnsi="Cambria Math"/>
                </w:rPr>
              </m:ctrlPr>
            </m:den>
          </m:f>
          <m:r>
            <m:rPr>
              <m:sty m:val="p"/>
            </m:rPr>
            <w:rPr>
              <w:rFonts w:ascii="Cambria Math" w:hAnsi="Cambria Math"/>
            </w:rPr>
            <m:t>+50</m:t>
          </m:r>
          <m:r>
            <m:rPr>
              <m:sty m:val="p"/>
            </m:rPr>
            <w:rPr>
              <w:rFonts w:hint="eastAsia" w:ascii="Cambria Math" w:hAnsi="Cambria Math"/>
            </w:rPr>
            <m:t>）</m:t>
          </m:r>
          <m:r>
            <m:rPr>
              <m:sty m:val="p"/>
            </m:rPr>
            <w:rPr>
              <w:rFonts w:ascii="Cambria Math" w:hAnsi="Cambria Math"/>
            </w:rPr>
            <m:t>×100%</m:t>
          </m:r>
        </m:oMath>
      </m:oMathPara>
    </w:p>
    <w:p w14:paraId="73C73617">
      <w:pPr>
        <w:pStyle w:val="48"/>
        <w:spacing w:after="0" w:afterLines="0"/>
        <w:ind w:firstLine="480"/>
      </w:pPr>
      <w:r>
        <w:rPr>
          <w:rFonts w:hint="eastAsia"/>
        </w:rPr>
        <w:t>式中：</w:t>
      </w:r>
      <w:r>
        <w:t>q1b</w:t>
      </w:r>
      <w:r>
        <w:rPr>
          <w:rFonts w:hint="eastAsia"/>
        </w:rPr>
        <w:t>——钢屋架、梁、板、楼梯、阳台、空调板等构件中预制部品部件的应用比例；</w:t>
      </w:r>
    </w:p>
    <w:p w14:paraId="3C730F96">
      <w:pPr>
        <w:pStyle w:val="48"/>
        <w:spacing w:after="0" w:afterLines="0"/>
        <w:ind w:firstLine="1132" w:firstLineChars="472"/>
      </w:pPr>
      <w:r>
        <w:t>A1b</w:t>
      </w:r>
      <w:r>
        <w:rPr>
          <w:rFonts w:hint="eastAsia"/>
        </w:rPr>
        <w:t>——各楼层中混凝土预制装配梁（包括采用受力钢筋与免拆模板形成一体的中空梁预制件）、板（含屋面板）、楼梯、阳台、空调板（悬挑板）等水平构件的水平投影面积之和；</w:t>
      </w:r>
    </w:p>
    <w:p w14:paraId="2529B174">
      <w:pPr>
        <w:pStyle w:val="48"/>
        <w:spacing w:after="0" w:afterLines="0"/>
        <w:ind w:firstLine="1132" w:firstLineChars="472"/>
      </w:pPr>
      <w:r>
        <w:t>A</w:t>
      </w:r>
      <w:r>
        <w:rPr>
          <w:rFonts w:hint="eastAsia"/>
        </w:rPr>
        <w:t>——所有楼层的混凝土梁、楼板（含屋面板）、楼梯、阳台和空调板等构件的水平投影面积之和。</w:t>
      </w:r>
    </w:p>
    <w:p w14:paraId="4B897F50">
      <w:pPr>
        <w:pStyle w:val="48"/>
        <w:spacing w:after="156"/>
        <w:ind w:firstLine="480"/>
      </w:pPr>
      <w:r>
        <w:rPr>
          <w:rFonts w:hint="eastAsia"/>
        </w:rPr>
        <w:t>对于大跨度屋盖结构采用钢结构（上部结构）的文化、体育、交通、会展类建筑，比如大型火车站房、航站楼、体育场馆、会展中心及音乐厅等，大跨度钢结构屋盖以下结构（下部结构）因复杂的建筑功能要求具有较多斜看台、楼板大开洞或不规则平面。遵循装配式建筑“应做尽做”的原则，若屋盖的水平投影面积不少于建筑水平投影面积的</w:t>
      </w:r>
      <w:r>
        <w:t>70%</w:t>
      </w:r>
      <w:r>
        <w:rPr>
          <w:rFonts w:hint="eastAsia"/>
        </w:rPr>
        <w:t>，水平构件预制部品部件应用比例可按上部结构应用比例与下部结构应用比例之和计算，上部结构应用比例按</w:t>
      </w:r>
      <w:r>
        <w:t>50%</w:t>
      </w:r>
      <w:r>
        <w:rPr>
          <w:rFonts w:hint="eastAsia"/>
        </w:rPr>
        <w:t>计算，下部结构按各楼层中预制梁、板及楼梯等构件的水平投影面积之和与下部结构各楼层建筑平面总面积的比例计算。</w:t>
      </w:r>
    </w:p>
    <w:p w14:paraId="2158CCE9">
      <w:pPr>
        <w:pStyle w:val="48"/>
        <w:spacing w:after="0" w:afterLines="0"/>
        <w:ind w:firstLine="0" w:firstLineChars="0"/>
      </w:pPr>
      <w:r>
        <w:rPr>
          <w:b/>
          <w:bCs/>
        </w:rPr>
        <w:t>4.2.5</w:t>
      </w:r>
      <w:r>
        <w:tab/>
      </w:r>
      <w:r>
        <w:rPr>
          <w:rFonts w:hint="eastAsia"/>
        </w:rPr>
        <w:t>本条规定了可认定为装配式楼板、屋面板的主要情况，其中第</w:t>
      </w:r>
      <w:r>
        <w:t>1</w:t>
      </w:r>
      <w:r>
        <w:rPr>
          <w:rFonts w:hint="eastAsia"/>
        </w:rPr>
        <w:t>、</w:t>
      </w:r>
      <w:r>
        <w:t>2</w:t>
      </w:r>
      <w:r>
        <w:rPr>
          <w:rFonts w:hint="eastAsia"/>
        </w:rPr>
        <w:t>款的规定主要是便于简化计算。对压型钢板、钢筋桁架楼承板、可拆卸底模的钢筋桁架楼承板、免拆卸底模的钢筋桁架楼承板按下列规定执行：</w:t>
      </w:r>
    </w:p>
    <w:p w14:paraId="66B9D518">
      <w:pPr>
        <w:pStyle w:val="48"/>
        <w:spacing w:after="0" w:afterLines="0"/>
        <w:ind w:firstLine="480"/>
      </w:pPr>
      <w:r>
        <w:t>1.</w:t>
      </w:r>
      <w:r>
        <w:rPr>
          <w:rFonts w:hint="eastAsia"/>
        </w:rPr>
        <w:t>当免拆卸底模的金属楼承板仅在钢结构建筑（与钢梁相结合）中使用时，才属于</w:t>
      </w:r>
      <w:r>
        <w:t>4.2.5</w:t>
      </w:r>
      <w:r>
        <w:rPr>
          <w:rFonts w:hint="eastAsia"/>
        </w:rPr>
        <w:t>条中预制部品部件的范围，其水平投影面积可以计入</w:t>
      </w:r>
      <w:r>
        <w:t>A1b</w:t>
      </w:r>
      <w:r>
        <w:rPr>
          <w:rFonts w:hint="eastAsia"/>
        </w:rPr>
        <w:t>中。</w:t>
      </w:r>
    </w:p>
    <w:p w14:paraId="0230DA61">
      <w:pPr>
        <w:pStyle w:val="48"/>
        <w:spacing w:after="0" w:afterLines="0"/>
        <w:ind w:firstLine="480"/>
      </w:pPr>
      <w:r>
        <w:t>2.</w:t>
      </w:r>
      <w:r>
        <w:rPr>
          <w:rFonts w:hint="eastAsia"/>
        </w:rPr>
        <w:t>可拆卸底模的钢筋桁架楼承板不属于</w:t>
      </w:r>
      <w:r>
        <w:t>4.2.5</w:t>
      </w:r>
      <w:r>
        <w:rPr>
          <w:rFonts w:hint="eastAsia"/>
        </w:rPr>
        <w:t>条中预制部品部件的范围，其水平投影面积不能计入</w:t>
      </w:r>
      <w:r>
        <w:t>A1b</w:t>
      </w:r>
      <w:r>
        <w:rPr>
          <w:rFonts w:hint="eastAsia"/>
        </w:rPr>
        <w:t>中。</w:t>
      </w:r>
    </w:p>
    <w:p w14:paraId="27367ADB">
      <w:pPr>
        <w:pStyle w:val="48"/>
        <w:spacing w:after="0" w:afterLines="0"/>
        <w:ind w:firstLine="480"/>
      </w:pPr>
      <w:r>
        <w:t>3.</w:t>
      </w:r>
      <w:r>
        <w:rPr>
          <w:rFonts w:hint="eastAsia"/>
        </w:rPr>
        <w:t>当采用免拆水泥基底板免支撑的钢筋桁架楼承板，作为结构构件的组成部分时，则符合《装配式建筑评价标准》（</w:t>
      </w:r>
      <w:r>
        <w:t>GB/T 51129-2017</w:t>
      </w:r>
      <w:r>
        <w:rPr>
          <w:rFonts w:hint="eastAsia"/>
        </w:rPr>
        <w:t>）第</w:t>
      </w:r>
      <w:r>
        <w:t>4.0.4</w:t>
      </w:r>
      <w:r>
        <w:rPr>
          <w:rFonts w:hint="eastAsia"/>
        </w:rPr>
        <w:t>条，广东省《装配式建筑评价标准》（</w:t>
      </w:r>
      <w:r>
        <w:t>DBJ/T15-163-2019</w:t>
      </w:r>
      <w:r>
        <w:rPr>
          <w:rFonts w:hint="eastAsia"/>
        </w:rPr>
        <w:t>）第</w:t>
      </w:r>
      <w:r>
        <w:t>4.2.5</w:t>
      </w:r>
      <w:r>
        <w:rPr>
          <w:rFonts w:hint="eastAsia"/>
        </w:rPr>
        <w:t>条的规定，可计入</w:t>
      </w:r>
      <w:r>
        <w:t>A1b</w:t>
      </w:r>
      <w:r>
        <w:rPr>
          <w:rFonts w:hint="eastAsia"/>
        </w:rPr>
        <w:t>面积；如果仅是施工用模板，则不符合第</w:t>
      </w:r>
      <w:r>
        <w:t>4.0.4</w:t>
      </w:r>
      <w:r>
        <w:rPr>
          <w:rFonts w:hint="eastAsia"/>
        </w:rPr>
        <w:t>条及省标</w:t>
      </w:r>
      <w:r>
        <w:t>4.2.5</w:t>
      </w:r>
      <w:r>
        <w:rPr>
          <w:rFonts w:hint="eastAsia"/>
        </w:rPr>
        <w:t>条的规定，不得计入</w:t>
      </w:r>
      <w:r>
        <w:t>A1b</w:t>
      </w:r>
      <w:r>
        <w:rPr>
          <w:rFonts w:hint="eastAsia"/>
        </w:rPr>
        <w:t>面积。</w:t>
      </w:r>
    </w:p>
    <w:p w14:paraId="4D6361E9">
      <w:pPr>
        <w:pStyle w:val="48"/>
        <w:spacing w:after="156"/>
        <w:ind w:firstLine="0" w:firstLineChars="0"/>
      </w:pPr>
      <w:r>
        <w:rPr>
          <w:b/>
          <w:bCs/>
        </w:rPr>
        <w:t>4.2.</w:t>
      </w:r>
      <w:r>
        <w:rPr>
          <w:rFonts w:hint="eastAsia"/>
          <w:b/>
          <w:bCs/>
        </w:rPr>
        <w:t>6</w:t>
      </w:r>
      <w:r>
        <w:tab/>
      </w:r>
      <w:r>
        <w:rPr>
          <w:rFonts w:hint="eastAsia"/>
        </w:rPr>
        <w:t>新型建筑围护墙体的应用对提高建筑质量和品质、建造模式的改变等都具有重要意义，积极引导和逐步推广新型建筑围护墙体也是装配式建筑的重点工作。非砌筑是新型建筑围护墙体的共同特征之一，非砌筑类型墙体包括各种中大型板材、幕墙、木骨架或轻钢骨架复合墙体等，应满足工厂生产、现场集成安装、以“干法”施工为主的要求。当建筑围护墙体均为预制墙体和采用高精度模板浇筑的混凝土墙时，按照广东省《装配式建筑评价标准》（DBJ/T15-163-2019）表</w:t>
      </w:r>
      <w:r>
        <w:t>4.1.2</w:t>
      </w:r>
      <w:r>
        <w:rPr>
          <w:rFonts w:hint="eastAsia"/>
        </w:rPr>
        <w:t>中</w:t>
      </w:r>
      <w:r>
        <w:t>Q2a</w:t>
      </w:r>
      <w:r>
        <w:rPr>
          <w:rFonts w:hint="eastAsia"/>
        </w:rPr>
        <w:t>得</w:t>
      </w:r>
      <w:r>
        <w:t>5</w:t>
      </w:r>
      <w:r>
        <w:rPr>
          <w:rFonts w:hint="eastAsia"/>
        </w:rPr>
        <w:t>分。门窗洞口上部或下部范围如果存在砌筑部分，则门窗洞口按照砌筑计入，如无砌筑则按照非砌筑计入。</w:t>
      </w:r>
    </w:p>
    <w:p w14:paraId="0FBD4845">
      <w:pPr>
        <w:pStyle w:val="27"/>
        <w:spacing w:after="156" w:afterLines="50"/>
        <w:rPr>
          <w:shd w:val="clear" w:color="auto" w:fill="FFFFFF"/>
        </w:rPr>
      </w:pPr>
      <w:r>
        <w:rPr>
          <w:b/>
          <w:bCs/>
        </w:rPr>
        <w:t>4.2.</w:t>
      </w:r>
      <w:r>
        <w:rPr>
          <w:rFonts w:hint="eastAsia"/>
          <w:b/>
          <w:bCs/>
        </w:rPr>
        <w:t>7</w:t>
      </w:r>
      <w:r>
        <w:tab/>
      </w:r>
      <w:r>
        <w:rPr>
          <w:rFonts w:hint="eastAsia"/>
          <w:shd w:val="clear" w:color="auto" w:fill="FFFFFF"/>
        </w:rPr>
        <w:t>内隔墙不包含剪力墙等承重竖向构件。门窗洞口上部或下部范围如果存在砌筑部分，则门窗洞口按照砌筑计入，如无砌筑则按照非砌筑计入。</w:t>
      </w:r>
    </w:p>
    <w:p w14:paraId="70A0EB52">
      <w:pPr>
        <w:pStyle w:val="48"/>
        <w:spacing w:after="0" w:afterLines="0"/>
        <w:ind w:firstLine="0" w:firstLineChars="0"/>
      </w:pPr>
      <w:r>
        <w:rPr>
          <w:rFonts w:hint="eastAsia"/>
          <w:b/>
          <w:bCs/>
        </w:rPr>
        <w:t>4.2.8</w:t>
      </w:r>
      <w:r>
        <w:tab/>
      </w:r>
      <w:r>
        <w:rPr>
          <w:rFonts w:hint="eastAsia"/>
        </w:rPr>
        <w:t>回迁房的全装修范围可只包括建筑的公共区域。</w:t>
      </w:r>
    </w:p>
    <w:p w14:paraId="6870A53E">
      <w:pPr>
        <w:pStyle w:val="48"/>
        <w:spacing w:after="0" w:afterLines="0"/>
        <w:ind w:firstLine="480"/>
      </w:pPr>
      <w:r>
        <w:rPr>
          <w:rFonts w:hint="eastAsia"/>
        </w:rPr>
        <w:t>对于已确定使用功能的厂房，所有使用空间都应完成顶面、墙面、地面的装饰面层和设备管线的安装。</w:t>
      </w:r>
    </w:p>
    <w:p w14:paraId="4480307D">
      <w:pPr>
        <w:pStyle w:val="48"/>
        <w:spacing w:after="0" w:afterLines="0"/>
        <w:ind w:firstLine="480"/>
      </w:pPr>
      <w:r>
        <w:rPr>
          <w:rFonts w:hint="eastAsia"/>
        </w:rPr>
        <w:t>对于未确定功能的厂房，应完成公共区域的顶面、墙面、地面的装饰面层和设备管线的安装，公共区域指门厅、电梯厅、卫生间等。</w:t>
      </w:r>
    </w:p>
    <w:p w14:paraId="04D0F3A5">
      <w:pPr>
        <w:pStyle w:val="48"/>
        <w:spacing w:after="0" w:afterLines="0"/>
        <w:ind w:firstLine="480"/>
      </w:pPr>
      <w:r>
        <w:rPr>
          <w:rFonts w:hint="eastAsia"/>
        </w:rPr>
        <w:t>全装修标准参考：</w:t>
      </w:r>
    </w:p>
    <w:p w14:paraId="5F1FB850">
      <w:pPr>
        <w:pStyle w:val="48"/>
        <w:spacing w:after="0" w:afterLines="0"/>
        <w:ind w:firstLine="480"/>
      </w:pPr>
      <w:r>
        <w:t>1</w:t>
      </w:r>
      <w:r>
        <w:rPr>
          <w:rFonts w:hint="eastAsia"/>
        </w:rPr>
        <w:t>）公共区域墙面完成干挂、粉刷、铺贴等饰面，地面完成干铺、铺贴、打磨等，天花板完成吊顶、粉刷等；</w:t>
      </w:r>
    </w:p>
    <w:p w14:paraId="5EEEB7D1">
      <w:pPr>
        <w:pStyle w:val="48"/>
        <w:spacing w:after="0" w:afterLines="0"/>
        <w:ind w:firstLine="480"/>
      </w:pPr>
      <w:r>
        <w:t>2</w:t>
      </w:r>
      <w:r>
        <w:rPr>
          <w:rFonts w:hint="eastAsia"/>
        </w:rPr>
        <w:t>）厨房墙面、地面完成铺贴等饰面，天花板完成吊顶、粉刷等，开关、插座、灯、房门等安装到位，厨房设备如橱柜、水洗槽、操作台安装到位，给排水点位、燃气点位预留到位；</w:t>
      </w:r>
    </w:p>
    <w:p w14:paraId="070EB634">
      <w:pPr>
        <w:pStyle w:val="48"/>
        <w:spacing w:after="0" w:afterLines="0"/>
        <w:ind w:firstLine="480"/>
      </w:pPr>
      <w:r>
        <w:t>3</w:t>
      </w:r>
      <w:r>
        <w:rPr>
          <w:rFonts w:hint="eastAsia"/>
        </w:rPr>
        <w:t>）卫生间墙面、地面完成铺贴等饰面，天花板完成吊顶、粉刷，地漏、开关、插座、灯、房门安装到位，燃气、给排水点位预留到位；</w:t>
      </w:r>
    </w:p>
    <w:p w14:paraId="5A70A43C">
      <w:pPr>
        <w:pStyle w:val="48"/>
        <w:spacing w:after="0" w:afterLines="0"/>
        <w:ind w:firstLine="480"/>
      </w:pPr>
      <w:r>
        <w:t>4</w:t>
      </w:r>
      <w:r>
        <w:rPr>
          <w:rFonts w:hint="eastAsia"/>
        </w:rPr>
        <w:t>）阳台墙面、地面完成铺贴等饰面，天花板完成吊顶、粉刷，地漏、开关、灯、插座安装到位，给排水点位预留到位；</w:t>
      </w:r>
    </w:p>
    <w:p w14:paraId="2E59663E">
      <w:pPr>
        <w:pStyle w:val="48"/>
        <w:spacing w:after="0" w:afterLines="0"/>
        <w:ind w:firstLine="480"/>
      </w:pPr>
      <w:r>
        <w:t>5</w:t>
      </w:r>
      <w:r>
        <w:rPr>
          <w:rFonts w:hint="eastAsia"/>
        </w:rPr>
        <w:t>）其他功能房间墙面完成粉刷、铺贴等饰面，地面完成干铺、铺贴、打磨，天花板完成吊顶、粉刷等，房门、开关、插座等安装完成，空调孔洞预留到位。</w:t>
      </w:r>
    </w:p>
    <w:p w14:paraId="22BBA64D">
      <w:pPr>
        <w:pStyle w:val="48"/>
        <w:spacing w:after="0" w:afterLines="0"/>
        <w:ind w:firstLine="480"/>
      </w:pPr>
    </w:p>
    <w:p w14:paraId="5DD7F33F">
      <w:pPr>
        <w:pStyle w:val="51"/>
        <w:widowControl/>
        <w:spacing w:before="156" w:after="156"/>
      </w:pPr>
      <w:bookmarkStart w:id="105" w:name="_Toc113285306"/>
      <w:bookmarkStart w:id="106" w:name="_Toc174629915"/>
      <w:bookmarkStart w:id="107" w:name="_Toc174629893"/>
      <w:bookmarkStart w:id="108" w:name="_Toc174629823"/>
      <w:r>
        <w:t>4.</w:t>
      </w:r>
      <w:r>
        <w:rPr>
          <w:rFonts w:hint="eastAsia"/>
        </w:rPr>
        <w:t>5</w:t>
      </w:r>
      <w:r>
        <w:t xml:space="preserve"> </w:t>
      </w:r>
      <w:bookmarkEnd w:id="105"/>
      <w:r>
        <w:rPr>
          <w:rFonts w:hint="eastAsia" w:cs="宋体"/>
        </w:rPr>
        <w:t>精益化施工</w:t>
      </w:r>
      <w:bookmarkEnd w:id="106"/>
      <w:bookmarkEnd w:id="107"/>
      <w:bookmarkEnd w:id="108"/>
    </w:p>
    <w:p w14:paraId="67680400">
      <w:pPr>
        <w:pStyle w:val="48"/>
        <w:spacing w:after="156"/>
        <w:ind w:firstLine="0" w:firstLineChars="0"/>
      </w:pPr>
      <w:r>
        <w:rPr>
          <w:b/>
          <w:bCs/>
        </w:rPr>
        <w:t>4.5.</w:t>
      </w:r>
      <w:r>
        <w:rPr>
          <w:rFonts w:hint="eastAsia"/>
          <w:b/>
          <w:bCs/>
        </w:rPr>
        <w:t>6</w:t>
      </w:r>
      <w:r>
        <w:rPr>
          <w:b/>
          <w:bCs/>
        </w:rPr>
        <w:tab/>
      </w:r>
      <w:r>
        <w:rPr>
          <w:rFonts w:hint="eastAsia"/>
        </w:rPr>
        <w:t>当定额合同工期中无主体结构或内外装修工期项，按项目的总体工期进行计算。</w:t>
      </w:r>
    </w:p>
    <w:p w14:paraId="52027AA2">
      <w:pPr>
        <w:pStyle w:val="51"/>
        <w:widowControl/>
        <w:spacing w:before="156" w:after="156"/>
        <w:rPr>
          <w:szCs w:val="28"/>
        </w:rPr>
      </w:pPr>
      <w:bookmarkStart w:id="109" w:name="_Toc174629894"/>
      <w:bookmarkStart w:id="110" w:name="_Toc174629916"/>
      <w:bookmarkStart w:id="111" w:name="_Toc174629824"/>
      <w:bookmarkStart w:id="112" w:name="_Toc113285310"/>
      <w:r>
        <w:t xml:space="preserve">4.7 </w:t>
      </w:r>
      <w:r>
        <w:rPr>
          <w:rFonts w:hint="eastAsia" w:cs="宋体"/>
          <w:bCs w:val="0"/>
          <w:kern w:val="2"/>
          <w:szCs w:val="28"/>
        </w:rPr>
        <w:t>组织管理模式</w:t>
      </w:r>
      <w:bookmarkEnd w:id="109"/>
      <w:bookmarkEnd w:id="110"/>
      <w:bookmarkEnd w:id="111"/>
      <w:bookmarkEnd w:id="112"/>
    </w:p>
    <w:p w14:paraId="1CB40DD7">
      <w:pPr>
        <w:pStyle w:val="48"/>
        <w:spacing w:after="156"/>
        <w:ind w:firstLine="0" w:firstLineChars="0"/>
      </w:pPr>
      <w:r>
        <w:rPr>
          <w:b/>
          <w:bCs/>
        </w:rPr>
        <w:t>4.</w:t>
      </w:r>
      <w:r>
        <w:rPr>
          <w:rFonts w:hint="eastAsia"/>
          <w:b/>
          <w:bCs/>
        </w:rPr>
        <w:t>7.4</w:t>
      </w:r>
      <w:r>
        <w:rPr>
          <w:b/>
          <w:bCs/>
        </w:rPr>
        <w:tab/>
      </w:r>
      <w:r>
        <w:rPr>
          <w:rFonts w:hint="eastAsia"/>
        </w:rPr>
        <w:t>根据《关于在民用建筑工程中推进建筑师负责制的指导意见》（征求意见稿），建筑师负责制是以担任民用建筑工程项目设计主持人或设计总负责人的注册建筑师为核心的设计团队，依托所在的设计企业为实施主体，依据合同约定，对民用建筑工程全过程或部分阶段提供全寿命周期设计咨询管理服务，最终将符合建设单位要求的建筑产品和服务交付给建设单位的一种工作模式。</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723623"/>
      <w:docPartObj>
        <w:docPartGallery w:val="autotext"/>
      </w:docPartObj>
    </w:sdtPr>
    <w:sdtContent>
      <w:p w14:paraId="2A833CFF">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14:paraId="3C92EC5C">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BD208"/>
    <w:multiLevelType w:val="multilevel"/>
    <w:tmpl w:val="E30BD208"/>
    <w:lvl w:ilvl="0" w:tentative="0">
      <w:start w:val="1"/>
      <w:numFmt w:val="decimal"/>
      <w:lvlText w:val="2.0.%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hZDU5Nzc0MWRjZjgzYTk5MjI0N2JhZjg4OWRhMWIifQ=="/>
  </w:docVars>
  <w:rsids>
    <w:rsidRoot w:val="17DE2297"/>
    <w:rsid w:val="00024FA7"/>
    <w:rsid w:val="00030B09"/>
    <w:rsid w:val="00030B70"/>
    <w:rsid w:val="00034033"/>
    <w:rsid w:val="000357DA"/>
    <w:rsid w:val="00037366"/>
    <w:rsid w:val="00053C2D"/>
    <w:rsid w:val="00061DB4"/>
    <w:rsid w:val="00064CE7"/>
    <w:rsid w:val="00070723"/>
    <w:rsid w:val="00081F1A"/>
    <w:rsid w:val="00081FA3"/>
    <w:rsid w:val="0009291C"/>
    <w:rsid w:val="0009775F"/>
    <w:rsid w:val="000A7F0D"/>
    <w:rsid w:val="000B3729"/>
    <w:rsid w:val="000C0E06"/>
    <w:rsid w:val="000D5136"/>
    <w:rsid w:val="000D566E"/>
    <w:rsid w:val="000E3C32"/>
    <w:rsid w:val="00102938"/>
    <w:rsid w:val="001131CC"/>
    <w:rsid w:val="0011366A"/>
    <w:rsid w:val="00115E5E"/>
    <w:rsid w:val="001241E2"/>
    <w:rsid w:val="00130070"/>
    <w:rsid w:val="0014496E"/>
    <w:rsid w:val="00144E1F"/>
    <w:rsid w:val="00151340"/>
    <w:rsid w:val="00164DC8"/>
    <w:rsid w:val="001670E2"/>
    <w:rsid w:val="001701C1"/>
    <w:rsid w:val="00172E87"/>
    <w:rsid w:val="001745F0"/>
    <w:rsid w:val="001837E9"/>
    <w:rsid w:val="00184757"/>
    <w:rsid w:val="0018604F"/>
    <w:rsid w:val="00186DA7"/>
    <w:rsid w:val="00191015"/>
    <w:rsid w:val="00191B5D"/>
    <w:rsid w:val="001A10AB"/>
    <w:rsid w:val="001A6AC9"/>
    <w:rsid w:val="001A7F64"/>
    <w:rsid w:val="001B7718"/>
    <w:rsid w:val="001C1FDF"/>
    <w:rsid w:val="001C6279"/>
    <w:rsid w:val="001D1FB0"/>
    <w:rsid w:val="001E1ECF"/>
    <w:rsid w:val="001E2ED3"/>
    <w:rsid w:val="001E2F0F"/>
    <w:rsid w:val="001E309C"/>
    <w:rsid w:val="001E77CA"/>
    <w:rsid w:val="001F26E4"/>
    <w:rsid w:val="001F33CD"/>
    <w:rsid w:val="001F63F8"/>
    <w:rsid w:val="00206C92"/>
    <w:rsid w:val="00210CBA"/>
    <w:rsid w:val="00212789"/>
    <w:rsid w:val="002151AB"/>
    <w:rsid w:val="00217062"/>
    <w:rsid w:val="00220E14"/>
    <w:rsid w:val="002228CE"/>
    <w:rsid w:val="00231BC6"/>
    <w:rsid w:val="00247700"/>
    <w:rsid w:val="00253E49"/>
    <w:rsid w:val="0025588A"/>
    <w:rsid w:val="00261CCC"/>
    <w:rsid w:val="00277414"/>
    <w:rsid w:val="002820AB"/>
    <w:rsid w:val="00283FD4"/>
    <w:rsid w:val="002867B4"/>
    <w:rsid w:val="00287D0C"/>
    <w:rsid w:val="002921DE"/>
    <w:rsid w:val="00297B8B"/>
    <w:rsid w:val="002A54D2"/>
    <w:rsid w:val="002A5AAE"/>
    <w:rsid w:val="002B0FB5"/>
    <w:rsid w:val="002B12AB"/>
    <w:rsid w:val="002B152D"/>
    <w:rsid w:val="002B4621"/>
    <w:rsid w:val="002B48FA"/>
    <w:rsid w:val="002D0B8E"/>
    <w:rsid w:val="002E1CC2"/>
    <w:rsid w:val="002F2281"/>
    <w:rsid w:val="00301DED"/>
    <w:rsid w:val="0030347D"/>
    <w:rsid w:val="003248DC"/>
    <w:rsid w:val="00331861"/>
    <w:rsid w:val="003364E2"/>
    <w:rsid w:val="00340C14"/>
    <w:rsid w:val="0035085D"/>
    <w:rsid w:val="00355CAF"/>
    <w:rsid w:val="0035680E"/>
    <w:rsid w:val="00364CD0"/>
    <w:rsid w:val="003706F3"/>
    <w:rsid w:val="0037281E"/>
    <w:rsid w:val="00375B8D"/>
    <w:rsid w:val="00375E20"/>
    <w:rsid w:val="00376395"/>
    <w:rsid w:val="003936F6"/>
    <w:rsid w:val="00393C0C"/>
    <w:rsid w:val="00396FA9"/>
    <w:rsid w:val="003A3EA9"/>
    <w:rsid w:val="003B13EE"/>
    <w:rsid w:val="003B3C04"/>
    <w:rsid w:val="003B6545"/>
    <w:rsid w:val="003C1872"/>
    <w:rsid w:val="003C534A"/>
    <w:rsid w:val="003C72E8"/>
    <w:rsid w:val="003F4DAE"/>
    <w:rsid w:val="003F5080"/>
    <w:rsid w:val="003F731A"/>
    <w:rsid w:val="0040280F"/>
    <w:rsid w:val="004032FE"/>
    <w:rsid w:val="004160BE"/>
    <w:rsid w:val="00416BB1"/>
    <w:rsid w:val="00417BEB"/>
    <w:rsid w:val="00421BF3"/>
    <w:rsid w:val="00433D3A"/>
    <w:rsid w:val="00451F9B"/>
    <w:rsid w:val="00452F43"/>
    <w:rsid w:val="00461629"/>
    <w:rsid w:val="004661FC"/>
    <w:rsid w:val="00476A26"/>
    <w:rsid w:val="00477790"/>
    <w:rsid w:val="004778AE"/>
    <w:rsid w:val="004862AF"/>
    <w:rsid w:val="004912AB"/>
    <w:rsid w:val="00492082"/>
    <w:rsid w:val="00494158"/>
    <w:rsid w:val="00495667"/>
    <w:rsid w:val="004961C9"/>
    <w:rsid w:val="00497A5E"/>
    <w:rsid w:val="004A14C5"/>
    <w:rsid w:val="004B18D8"/>
    <w:rsid w:val="004B48FB"/>
    <w:rsid w:val="004C0D7A"/>
    <w:rsid w:val="004C3FA6"/>
    <w:rsid w:val="004D0715"/>
    <w:rsid w:val="004D1C11"/>
    <w:rsid w:val="004D2ABF"/>
    <w:rsid w:val="004D42AD"/>
    <w:rsid w:val="004E5751"/>
    <w:rsid w:val="004F1C30"/>
    <w:rsid w:val="004F2784"/>
    <w:rsid w:val="004F61F2"/>
    <w:rsid w:val="00506045"/>
    <w:rsid w:val="005067E8"/>
    <w:rsid w:val="005079DB"/>
    <w:rsid w:val="0051214A"/>
    <w:rsid w:val="005254CD"/>
    <w:rsid w:val="00533F58"/>
    <w:rsid w:val="00534B67"/>
    <w:rsid w:val="00547938"/>
    <w:rsid w:val="005600D9"/>
    <w:rsid w:val="00570AA6"/>
    <w:rsid w:val="00573EEC"/>
    <w:rsid w:val="00582493"/>
    <w:rsid w:val="005861EB"/>
    <w:rsid w:val="00590956"/>
    <w:rsid w:val="00590F4F"/>
    <w:rsid w:val="0059508B"/>
    <w:rsid w:val="005964FB"/>
    <w:rsid w:val="005A0805"/>
    <w:rsid w:val="005A1541"/>
    <w:rsid w:val="005A24F2"/>
    <w:rsid w:val="005B7041"/>
    <w:rsid w:val="005C5406"/>
    <w:rsid w:val="005C5A95"/>
    <w:rsid w:val="005D139B"/>
    <w:rsid w:val="005D1915"/>
    <w:rsid w:val="005D2488"/>
    <w:rsid w:val="005E4D15"/>
    <w:rsid w:val="005F3E31"/>
    <w:rsid w:val="005F47B7"/>
    <w:rsid w:val="005F7EF0"/>
    <w:rsid w:val="006123E8"/>
    <w:rsid w:val="0061742B"/>
    <w:rsid w:val="006320DD"/>
    <w:rsid w:val="00641769"/>
    <w:rsid w:val="00641FE7"/>
    <w:rsid w:val="006447F6"/>
    <w:rsid w:val="006547D3"/>
    <w:rsid w:val="00655C61"/>
    <w:rsid w:val="00656D94"/>
    <w:rsid w:val="006618A7"/>
    <w:rsid w:val="0066229F"/>
    <w:rsid w:val="0066311C"/>
    <w:rsid w:val="0066770A"/>
    <w:rsid w:val="00672D04"/>
    <w:rsid w:val="00682AE8"/>
    <w:rsid w:val="00683330"/>
    <w:rsid w:val="00686C9D"/>
    <w:rsid w:val="006921A8"/>
    <w:rsid w:val="006A5524"/>
    <w:rsid w:val="006B1A2E"/>
    <w:rsid w:val="006D043B"/>
    <w:rsid w:val="006D4690"/>
    <w:rsid w:val="006D52EC"/>
    <w:rsid w:val="006E1365"/>
    <w:rsid w:val="006E4E07"/>
    <w:rsid w:val="006E7474"/>
    <w:rsid w:val="007060A6"/>
    <w:rsid w:val="007131AE"/>
    <w:rsid w:val="007136C5"/>
    <w:rsid w:val="007167A9"/>
    <w:rsid w:val="00726207"/>
    <w:rsid w:val="007346B1"/>
    <w:rsid w:val="00747DC2"/>
    <w:rsid w:val="00752DD1"/>
    <w:rsid w:val="00753E4F"/>
    <w:rsid w:val="0075602A"/>
    <w:rsid w:val="00776822"/>
    <w:rsid w:val="00785B20"/>
    <w:rsid w:val="00786BB2"/>
    <w:rsid w:val="00786E16"/>
    <w:rsid w:val="00790D6F"/>
    <w:rsid w:val="00791822"/>
    <w:rsid w:val="007A009D"/>
    <w:rsid w:val="007A0639"/>
    <w:rsid w:val="007B4F56"/>
    <w:rsid w:val="007B6687"/>
    <w:rsid w:val="007C1C92"/>
    <w:rsid w:val="007C3B3B"/>
    <w:rsid w:val="007D7580"/>
    <w:rsid w:val="007E1AAA"/>
    <w:rsid w:val="007E53FB"/>
    <w:rsid w:val="007E773B"/>
    <w:rsid w:val="007F53DC"/>
    <w:rsid w:val="00802066"/>
    <w:rsid w:val="0080338F"/>
    <w:rsid w:val="008058D2"/>
    <w:rsid w:val="008316F4"/>
    <w:rsid w:val="00851DDB"/>
    <w:rsid w:val="00853008"/>
    <w:rsid w:val="0086135E"/>
    <w:rsid w:val="00874030"/>
    <w:rsid w:val="00892237"/>
    <w:rsid w:val="008A3868"/>
    <w:rsid w:val="008A5C7F"/>
    <w:rsid w:val="008B0394"/>
    <w:rsid w:val="008B2780"/>
    <w:rsid w:val="008B58D7"/>
    <w:rsid w:val="008B58E4"/>
    <w:rsid w:val="008B62F8"/>
    <w:rsid w:val="008C002F"/>
    <w:rsid w:val="008C7044"/>
    <w:rsid w:val="008D0A4D"/>
    <w:rsid w:val="008D2815"/>
    <w:rsid w:val="008D3CCB"/>
    <w:rsid w:val="008D628C"/>
    <w:rsid w:val="008E0989"/>
    <w:rsid w:val="008E0B2D"/>
    <w:rsid w:val="008E152C"/>
    <w:rsid w:val="008E210C"/>
    <w:rsid w:val="008E574D"/>
    <w:rsid w:val="008E6607"/>
    <w:rsid w:val="009024DE"/>
    <w:rsid w:val="00906C89"/>
    <w:rsid w:val="0091658A"/>
    <w:rsid w:val="00924EC6"/>
    <w:rsid w:val="009277C7"/>
    <w:rsid w:val="009277CE"/>
    <w:rsid w:val="0093364E"/>
    <w:rsid w:val="00937A5E"/>
    <w:rsid w:val="00940DA6"/>
    <w:rsid w:val="00950BDF"/>
    <w:rsid w:val="00961A56"/>
    <w:rsid w:val="00962592"/>
    <w:rsid w:val="00970F2B"/>
    <w:rsid w:val="009730C8"/>
    <w:rsid w:val="0097688C"/>
    <w:rsid w:val="00985353"/>
    <w:rsid w:val="009864AF"/>
    <w:rsid w:val="00986787"/>
    <w:rsid w:val="00987F2D"/>
    <w:rsid w:val="00991EE8"/>
    <w:rsid w:val="009932F7"/>
    <w:rsid w:val="00995A0A"/>
    <w:rsid w:val="00996B9B"/>
    <w:rsid w:val="009B35A7"/>
    <w:rsid w:val="009B4308"/>
    <w:rsid w:val="009B517F"/>
    <w:rsid w:val="009B6599"/>
    <w:rsid w:val="009B78FA"/>
    <w:rsid w:val="009C22AF"/>
    <w:rsid w:val="009D20A1"/>
    <w:rsid w:val="009D3E58"/>
    <w:rsid w:val="009D5E87"/>
    <w:rsid w:val="009E2494"/>
    <w:rsid w:val="009F05A7"/>
    <w:rsid w:val="009F4773"/>
    <w:rsid w:val="00A04206"/>
    <w:rsid w:val="00A078CB"/>
    <w:rsid w:val="00A30433"/>
    <w:rsid w:val="00A30752"/>
    <w:rsid w:val="00A32FAA"/>
    <w:rsid w:val="00A36192"/>
    <w:rsid w:val="00A439EE"/>
    <w:rsid w:val="00A67D52"/>
    <w:rsid w:val="00A72E12"/>
    <w:rsid w:val="00A81F6E"/>
    <w:rsid w:val="00A8704D"/>
    <w:rsid w:val="00A90DF2"/>
    <w:rsid w:val="00A94A65"/>
    <w:rsid w:val="00AA1497"/>
    <w:rsid w:val="00AA3C6B"/>
    <w:rsid w:val="00AA3C8A"/>
    <w:rsid w:val="00AC2DAD"/>
    <w:rsid w:val="00AE0205"/>
    <w:rsid w:val="00AE0DE8"/>
    <w:rsid w:val="00AE2E71"/>
    <w:rsid w:val="00B114EE"/>
    <w:rsid w:val="00B21F2C"/>
    <w:rsid w:val="00B44CC6"/>
    <w:rsid w:val="00B500C7"/>
    <w:rsid w:val="00B54FD0"/>
    <w:rsid w:val="00B55AF6"/>
    <w:rsid w:val="00B61057"/>
    <w:rsid w:val="00B6221A"/>
    <w:rsid w:val="00B62966"/>
    <w:rsid w:val="00B664B1"/>
    <w:rsid w:val="00B72AF2"/>
    <w:rsid w:val="00B7434A"/>
    <w:rsid w:val="00B76007"/>
    <w:rsid w:val="00B836B6"/>
    <w:rsid w:val="00B95287"/>
    <w:rsid w:val="00B968A2"/>
    <w:rsid w:val="00B972BC"/>
    <w:rsid w:val="00BA094A"/>
    <w:rsid w:val="00BA2961"/>
    <w:rsid w:val="00BA2E6B"/>
    <w:rsid w:val="00BB1E87"/>
    <w:rsid w:val="00BB24B4"/>
    <w:rsid w:val="00BB56FF"/>
    <w:rsid w:val="00BC4A5F"/>
    <w:rsid w:val="00BC5CCD"/>
    <w:rsid w:val="00BD15C9"/>
    <w:rsid w:val="00BD35B7"/>
    <w:rsid w:val="00BE18C3"/>
    <w:rsid w:val="00BF7601"/>
    <w:rsid w:val="00BF7D0C"/>
    <w:rsid w:val="00C01AF2"/>
    <w:rsid w:val="00C01D46"/>
    <w:rsid w:val="00C0329B"/>
    <w:rsid w:val="00C27851"/>
    <w:rsid w:val="00C3237D"/>
    <w:rsid w:val="00C3445C"/>
    <w:rsid w:val="00C3634B"/>
    <w:rsid w:val="00C5411B"/>
    <w:rsid w:val="00C63E22"/>
    <w:rsid w:val="00C738F5"/>
    <w:rsid w:val="00C76208"/>
    <w:rsid w:val="00C82A00"/>
    <w:rsid w:val="00C831AC"/>
    <w:rsid w:val="00C83A79"/>
    <w:rsid w:val="00C84D08"/>
    <w:rsid w:val="00CA10B9"/>
    <w:rsid w:val="00CA3702"/>
    <w:rsid w:val="00CA6E03"/>
    <w:rsid w:val="00CC07FE"/>
    <w:rsid w:val="00CC2A44"/>
    <w:rsid w:val="00CC6380"/>
    <w:rsid w:val="00CD038B"/>
    <w:rsid w:val="00CD44A1"/>
    <w:rsid w:val="00CE27A0"/>
    <w:rsid w:val="00CE38BF"/>
    <w:rsid w:val="00CF50EE"/>
    <w:rsid w:val="00D006C7"/>
    <w:rsid w:val="00D01922"/>
    <w:rsid w:val="00D252A1"/>
    <w:rsid w:val="00D26F2B"/>
    <w:rsid w:val="00D37FEA"/>
    <w:rsid w:val="00D41C7D"/>
    <w:rsid w:val="00D51A78"/>
    <w:rsid w:val="00D55935"/>
    <w:rsid w:val="00D82F91"/>
    <w:rsid w:val="00D855DC"/>
    <w:rsid w:val="00D86899"/>
    <w:rsid w:val="00D95A2E"/>
    <w:rsid w:val="00DA18E1"/>
    <w:rsid w:val="00DA1A72"/>
    <w:rsid w:val="00DB0196"/>
    <w:rsid w:val="00DB2742"/>
    <w:rsid w:val="00DB2783"/>
    <w:rsid w:val="00DC1723"/>
    <w:rsid w:val="00DC5B4C"/>
    <w:rsid w:val="00DC6AAE"/>
    <w:rsid w:val="00DE361D"/>
    <w:rsid w:val="00DE3874"/>
    <w:rsid w:val="00DF100A"/>
    <w:rsid w:val="00DF5578"/>
    <w:rsid w:val="00E040EB"/>
    <w:rsid w:val="00E11632"/>
    <w:rsid w:val="00E24C82"/>
    <w:rsid w:val="00E254DD"/>
    <w:rsid w:val="00E45EE6"/>
    <w:rsid w:val="00E531B6"/>
    <w:rsid w:val="00E539DB"/>
    <w:rsid w:val="00E6353C"/>
    <w:rsid w:val="00E6706D"/>
    <w:rsid w:val="00E71E3E"/>
    <w:rsid w:val="00E74EAD"/>
    <w:rsid w:val="00E84492"/>
    <w:rsid w:val="00E8737E"/>
    <w:rsid w:val="00E934D8"/>
    <w:rsid w:val="00E94401"/>
    <w:rsid w:val="00EA0E76"/>
    <w:rsid w:val="00EA6689"/>
    <w:rsid w:val="00EB78C2"/>
    <w:rsid w:val="00ED2899"/>
    <w:rsid w:val="00ED55E3"/>
    <w:rsid w:val="00ED5E9B"/>
    <w:rsid w:val="00ED6E80"/>
    <w:rsid w:val="00EE47A5"/>
    <w:rsid w:val="00EF062D"/>
    <w:rsid w:val="00EF1C7C"/>
    <w:rsid w:val="00EF3EE9"/>
    <w:rsid w:val="00EF62B6"/>
    <w:rsid w:val="00F04ED2"/>
    <w:rsid w:val="00F07EE5"/>
    <w:rsid w:val="00F10BB1"/>
    <w:rsid w:val="00F27096"/>
    <w:rsid w:val="00F3461C"/>
    <w:rsid w:val="00F465C3"/>
    <w:rsid w:val="00F468F3"/>
    <w:rsid w:val="00F47548"/>
    <w:rsid w:val="00F51E2A"/>
    <w:rsid w:val="00F543D5"/>
    <w:rsid w:val="00F5531C"/>
    <w:rsid w:val="00F63984"/>
    <w:rsid w:val="00F64577"/>
    <w:rsid w:val="00F7331A"/>
    <w:rsid w:val="00F7399A"/>
    <w:rsid w:val="00F7407D"/>
    <w:rsid w:val="00F762FF"/>
    <w:rsid w:val="00F903D8"/>
    <w:rsid w:val="00F95D22"/>
    <w:rsid w:val="00F96603"/>
    <w:rsid w:val="00F97772"/>
    <w:rsid w:val="00F97C0F"/>
    <w:rsid w:val="00FA046D"/>
    <w:rsid w:val="00FA1712"/>
    <w:rsid w:val="00FA2FBF"/>
    <w:rsid w:val="00FA3A2B"/>
    <w:rsid w:val="00FA485F"/>
    <w:rsid w:val="00FA5C24"/>
    <w:rsid w:val="00FA6E44"/>
    <w:rsid w:val="00FB3176"/>
    <w:rsid w:val="00FB7EE0"/>
    <w:rsid w:val="00FC1600"/>
    <w:rsid w:val="00FC50E6"/>
    <w:rsid w:val="00FC70B2"/>
    <w:rsid w:val="00FD28F5"/>
    <w:rsid w:val="00FD31A0"/>
    <w:rsid w:val="00FD72CB"/>
    <w:rsid w:val="00FE1ADA"/>
    <w:rsid w:val="00FF3A72"/>
    <w:rsid w:val="00FF6E13"/>
    <w:rsid w:val="01C94F17"/>
    <w:rsid w:val="025F30C6"/>
    <w:rsid w:val="083E5290"/>
    <w:rsid w:val="0BFF7C89"/>
    <w:rsid w:val="10C02B10"/>
    <w:rsid w:val="119012B2"/>
    <w:rsid w:val="12020150"/>
    <w:rsid w:val="12EA653E"/>
    <w:rsid w:val="17DE2297"/>
    <w:rsid w:val="1EE00284"/>
    <w:rsid w:val="236A2BAF"/>
    <w:rsid w:val="33B02992"/>
    <w:rsid w:val="3CCE61F6"/>
    <w:rsid w:val="4CFB48EC"/>
    <w:rsid w:val="52E15F9A"/>
    <w:rsid w:val="5F121FCF"/>
    <w:rsid w:val="66581AF4"/>
    <w:rsid w:val="74C5102D"/>
    <w:rsid w:val="762457C0"/>
    <w:rsid w:val="7A09793C"/>
    <w:rsid w:val="7FFA7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1"/>
    <w:qFormat/>
    <w:uiPriority w:val="0"/>
    <w:pPr>
      <w:keepNext/>
      <w:keepLines/>
      <w:spacing w:after="100" w:afterLines="100" w:line="360" w:lineRule="auto"/>
      <w:jc w:val="center"/>
      <w:outlineLvl w:val="0"/>
    </w:pPr>
    <w:rPr>
      <w:rFonts w:ascii="Times New Roman" w:hAnsi="Times New Roman" w:eastAsia="宋体" w:cs="Times New Roman"/>
      <w:b/>
      <w:bCs/>
      <w:kern w:val="44"/>
      <w:sz w:val="36"/>
      <w:szCs w:val="44"/>
    </w:rPr>
  </w:style>
  <w:style w:type="paragraph" w:styleId="3">
    <w:name w:val="heading 2"/>
    <w:basedOn w:val="1"/>
    <w:next w:val="1"/>
    <w:link w:val="6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5"/>
    <w:qFormat/>
    <w:uiPriority w:val="0"/>
    <w:pPr>
      <w:jc w:val="left"/>
    </w:pPr>
  </w:style>
  <w:style w:type="paragraph" w:styleId="5">
    <w:name w:val="Body Text"/>
    <w:basedOn w:val="1"/>
    <w:link w:val="58"/>
    <w:qFormat/>
    <w:uiPriority w:val="0"/>
    <w:pPr>
      <w:spacing w:after="120"/>
    </w:pPr>
  </w:style>
  <w:style w:type="paragraph" w:styleId="6">
    <w:name w:val="Body Text Indent"/>
    <w:basedOn w:val="1"/>
    <w:link w:val="56"/>
    <w:qFormat/>
    <w:uiPriority w:val="0"/>
    <w:pPr>
      <w:spacing w:after="120"/>
      <w:ind w:left="420" w:leftChars="200"/>
    </w:pPr>
  </w:style>
  <w:style w:type="paragraph" w:styleId="7">
    <w:name w:val="Date"/>
    <w:basedOn w:val="1"/>
    <w:next w:val="1"/>
    <w:link w:val="42"/>
    <w:qFormat/>
    <w:uiPriority w:val="0"/>
    <w:pPr>
      <w:ind w:left="100" w:leftChars="2500"/>
    </w:pPr>
  </w:style>
  <w:style w:type="paragraph" w:styleId="8">
    <w:name w:val="Balloon Text"/>
    <w:basedOn w:val="1"/>
    <w:link w:val="43"/>
    <w:qFormat/>
    <w:uiPriority w:val="0"/>
    <w:rPr>
      <w:sz w:val="18"/>
    </w:rPr>
  </w:style>
  <w:style w:type="paragraph" w:styleId="9">
    <w:name w:val="footer"/>
    <w:basedOn w:val="1"/>
    <w:link w:val="31"/>
    <w:qFormat/>
    <w:uiPriority w:val="99"/>
    <w:pPr>
      <w:tabs>
        <w:tab w:val="center" w:pos="4153"/>
        <w:tab w:val="right" w:pos="8306"/>
      </w:tabs>
      <w:snapToGrid w:val="0"/>
      <w:jc w:val="left"/>
    </w:pPr>
    <w:rPr>
      <w:sz w:val="18"/>
    </w:rPr>
  </w:style>
  <w:style w:type="paragraph" w:styleId="10">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rPr>
      <w:rFonts w:ascii="Times New Roman" w:hAnsi="Times New Roman" w:eastAsia="宋体" w:cs="Times New Roman"/>
    </w:rPr>
  </w:style>
  <w:style w:type="paragraph" w:styleId="12">
    <w:name w:val="toc 2"/>
    <w:basedOn w:val="1"/>
    <w:next w:val="1"/>
    <w:qFormat/>
    <w:uiPriority w:val="39"/>
    <w:pPr>
      <w:ind w:left="420" w:leftChars="200"/>
    </w:pPr>
    <w:rPr>
      <w:rFonts w:ascii="Times New Roman" w:hAnsi="Times New Roman" w:eastAsia="宋体" w:cs="Times New Roman"/>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annotation subject"/>
    <w:basedOn w:val="4"/>
    <w:next w:val="4"/>
    <w:link w:val="39"/>
    <w:qFormat/>
    <w:uiPriority w:val="0"/>
    <w:rPr>
      <w:b/>
    </w:rPr>
  </w:style>
  <w:style w:type="paragraph" w:styleId="15">
    <w:name w:val="Body Text First Indent 2"/>
    <w:basedOn w:val="5"/>
    <w:qFormat/>
    <w:uiPriority w:val="0"/>
    <w:pPr>
      <w:ind w:firstLine="420" w:firstLineChars="200"/>
    </w:pPr>
    <w:rPr>
      <w:rFonts w:ascii="Times New Roman" w:hAnsi="Times New Roman" w:eastAsia="仿宋" w:cs="Times New Roman"/>
      <w:sz w:val="32"/>
    </w:rPr>
  </w:style>
  <w:style w:type="table" w:styleId="17">
    <w:name w:val="Table Grid"/>
    <w:basedOn w:val="16"/>
    <w:qFormat/>
    <w:uiPriority w:val="0"/>
    <w:rPr>
      <w:rFonts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FollowedHyperlink"/>
    <w:basedOn w:val="18"/>
    <w:qFormat/>
    <w:uiPriority w:val="0"/>
    <w:rPr>
      <w:color w:val="954F72"/>
      <w:u w:val="single"/>
    </w:rPr>
  </w:style>
  <w:style w:type="character" w:styleId="20">
    <w:name w:val="Hyperlink"/>
    <w:basedOn w:val="18"/>
    <w:qFormat/>
    <w:uiPriority w:val="99"/>
    <w:rPr>
      <w:color w:val="666666"/>
      <w:sz w:val="19"/>
      <w:szCs w:val="19"/>
      <w:u w:val="none"/>
    </w:rPr>
  </w:style>
  <w:style w:type="character" w:styleId="21">
    <w:name w:val="annotation reference"/>
    <w:basedOn w:val="18"/>
    <w:qFormat/>
    <w:uiPriority w:val="0"/>
    <w:rPr>
      <w:sz w:val="21"/>
      <w:szCs w:val="21"/>
    </w:rPr>
  </w:style>
  <w:style w:type="paragraph" w:customStyle="1" w:styleId="22">
    <w:name w:val="msolistparagraph"/>
    <w:basedOn w:val="1"/>
    <w:qFormat/>
    <w:uiPriority w:val="0"/>
    <w:pPr>
      <w:ind w:firstLine="420" w:firstLineChars="200"/>
    </w:pPr>
    <w:rPr>
      <w:rFonts w:ascii="Calibri" w:hAnsi="Calibri" w:eastAsia="宋体" w:cs="Times New Roman"/>
    </w:rPr>
  </w:style>
  <w:style w:type="paragraph" w:customStyle="1" w:styleId="23">
    <w:name w:val="英文目录"/>
    <w:basedOn w:val="24"/>
    <w:link w:val="44"/>
    <w:qFormat/>
    <w:uiPriority w:val="0"/>
    <w:pPr>
      <w:tabs>
        <w:tab w:val="left" w:pos="426"/>
        <w:tab w:val="right" w:leader="middleDot" w:pos="8222"/>
      </w:tabs>
      <w:spacing w:line="240" w:lineRule="auto"/>
      <w:ind w:firstLine="0" w:firstLineChars="0"/>
    </w:pPr>
  </w:style>
  <w:style w:type="paragraph" w:customStyle="1" w:styleId="24">
    <w:name w:val="前言"/>
    <w:basedOn w:val="1"/>
    <w:link w:val="38"/>
    <w:qFormat/>
    <w:uiPriority w:val="0"/>
    <w:pPr>
      <w:spacing w:line="360" w:lineRule="auto"/>
      <w:ind w:firstLine="200" w:firstLineChars="200"/>
    </w:pPr>
    <w:rPr>
      <w:rFonts w:ascii="Times New Roman" w:hAnsi="Times New Roman" w:eastAsia="宋体" w:cs="Times New Roman"/>
      <w:sz w:val="28"/>
      <w:szCs w:val="28"/>
    </w:rPr>
  </w:style>
  <w:style w:type="paragraph" w:customStyle="1" w:styleId="25">
    <w:name w:val="公式"/>
    <w:basedOn w:val="1"/>
    <w:link w:val="28"/>
    <w:qFormat/>
    <w:uiPriority w:val="0"/>
    <w:pPr>
      <w:tabs>
        <w:tab w:val="center" w:pos="4540"/>
        <w:tab w:val="right" w:pos="9080"/>
      </w:tabs>
      <w:spacing w:line="360" w:lineRule="auto"/>
    </w:pPr>
    <w:rPr>
      <w:rFonts w:ascii="Times New Roman" w:hAnsi="Times New Roman" w:eastAsia="宋体" w:cs="Times New Roman"/>
      <w:sz w:val="28"/>
    </w:rPr>
  </w:style>
  <w:style w:type="paragraph" w:customStyle="1" w:styleId="26">
    <w:name w:val="式中"/>
    <w:basedOn w:val="27"/>
    <w:link w:val="29"/>
    <w:qFormat/>
    <w:uiPriority w:val="0"/>
    <w:pPr>
      <w:ind w:left="1840" w:leftChars="399" w:hanging="1002" w:hangingChars="358"/>
    </w:pPr>
  </w:style>
  <w:style w:type="paragraph" w:customStyle="1" w:styleId="27">
    <w:name w:val="正文1"/>
    <w:basedOn w:val="24"/>
    <w:link w:val="30"/>
    <w:qFormat/>
    <w:uiPriority w:val="0"/>
    <w:pPr>
      <w:ind w:firstLine="0" w:firstLineChars="0"/>
    </w:pPr>
    <w:rPr>
      <w:sz w:val="24"/>
    </w:rPr>
  </w:style>
  <w:style w:type="character" w:customStyle="1" w:styleId="28">
    <w:name w:val="公式 字符"/>
    <w:basedOn w:val="18"/>
    <w:link w:val="25"/>
    <w:qFormat/>
    <w:uiPriority w:val="0"/>
    <w:rPr>
      <w:kern w:val="2"/>
      <w:sz w:val="28"/>
      <w:szCs w:val="24"/>
    </w:rPr>
  </w:style>
  <w:style w:type="character" w:customStyle="1" w:styleId="29">
    <w:name w:val="式中 字符"/>
    <w:basedOn w:val="30"/>
    <w:link w:val="26"/>
    <w:qFormat/>
    <w:uiPriority w:val="0"/>
    <w:rPr>
      <w:rFonts w:ascii="Times New Roman" w:hAnsi="Times New Roman" w:cs="Times New Roman"/>
      <w:kern w:val="2"/>
      <w:sz w:val="28"/>
      <w:szCs w:val="28"/>
    </w:rPr>
  </w:style>
  <w:style w:type="character" w:customStyle="1" w:styleId="30">
    <w:name w:val="正文1 Char"/>
    <w:basedOn w:val="18"/>
    <w:link w:val="27"/>
    <w:qFormat/>
    <w:uiPriority w:val="0"/>
    <w:rPr>
      <w:rFonts w:ascii="Times New Roman" w:hAnsi="Times New Roman" w:cs="Times New Roman"/>
      <w:kern w:val="2"/>
      <w:sz w:val="24"/>
      <w:szCs w:val="28"/>
    </w:rPr>
  </w:style>
  <w:style w:type="character" w:customStyle="1" w:styleId="31">
    <w:name w:val="页脚 字符"/>
    <w:basedOn w:val="18"/>
    <w:link w:val="9"/>
    <w:qFormat/>
    <w:uiPriority w:val="99"/>
    <w:rPr>
      <w:kern w:val="2"/>
      <w:sz w:val="18"/>
      <w:szCs w:val="18"/>
    </w:rPr>
  </w:style>
  <w:style w:type="character" w:customStyle="1" w:styleId="32">
    <w:name w:val="正文2 Char"/>
    <w:basedOn w:val="30"/>
    <w:link w:val="33"/>
    <w:qFormat/>
    <w:uiPriority w:val="0"/>
    <w:rPr>
      <w:rFonts w:ascii="Times New Roman" w:hAnsi="Times New Roman" w:cs="Times New Roman"/>
      <w:kern w:val="2"/>
      <w:sz w:val="24"/>
      <w:szCs w:val="28"/>
    </w:rPr>
  </w:style>
  <w:style w:type="paragraph" w:customStyle="1" w:styleId="33">
    <w:name w:val="正文2"/>
    <w:basedOn w:val="1"/>
    <w:link w:val="32"/>
    <w:qFormat/>
    <w:uiPriority w:val="0"/>
    <w:pPr>
      <w:spacing w:line="360" w:lineRule="auto"/>
      <w:ind w:firstLine="200" w:firstLineChars="200"/>
    </w:pPr>
    <w:rPr>
      <w:rFonts w:ascii="Times New Roman" w:hAnsi="Times New Roman" w:eastAsia="宋体" w:cs="Times New Roman"/>
      <w:sz w:val="24"/>
      <w:szCs w:val="28"/>
    </w:rPr>
  </w:style>
  <w:style w:type="character" w:customStyle="1" w:styleId="34">
    <w:name w:val="页眉 字符"/>
    <w:basedOn w:val="18"/>
    <w:link w:val="10"/>
    <w:qFormat/>
    <w:uiPriority w:val="0"/>
    <w:rPr>
      <w:kern w:val="2"/>
      <w:sz w:val="18"/>
      <w:szCs w:val="18"/>
    </w:rPr>
  </w:style>
  <w:style w:type="character" w:customStyle="1" w:styleId="35">
    <w:name w:val="批注文字 字符"/>
    <w:basedOn w:val="18"/>
    <w:link w:val="4"/>
    <w:qFormat/>
    <w:uiPriority w:val="0"/>
    <w:rPr>
      <w:kern w:val="2"/>
      <w:sz w:val="21"/>
      <w:szCs w:val="24"/>
    </w:rPr>
  </w:style>
  <w:style w:type="paragraph" w:customStyle="1" w:styleId="36">
    <w:name w:val="式中1"/>
    <w:basedOn w:val="26"/>
    <w:link w:val="40"/>
    <w:qFormat/>
    <w:uiPriority w:val="0"/>
    <w:pPr>
      <w:ind w:left="1848" w:leftChars="0" w:hanging="1848" w:hangingChars="660"/>
    </w:pPr>
  </w:style>
  <w:style w:type="character" w:customStyle="1" w:styleId="37">
    <w:name w:val="MTDisplayEquation 字符"/>
    <w:basedOn w:val="30"/>
    <w:qFormat/>
    <w:uiPriority w:val="0"/>
    <w:rPr>
      <w:rFonts w:ascii="Times New Roman" w:hAnsi="Times New Roman" w:cs="Times New Roman"/>
      <w:kern w:val="2"/>
      <w:sz w:val="28"/>
      <w:szCs w:val="28"/>
    </w:rPr>
  </w:style>
  <w:style w:type="character" w:customStyle="1" w:styleId="38">
    <w:name w:val="前言 字符"/>
    <w:basedOn w:val="18"/>
    <w:link w:val="24"/>
    <w:qFormat/>
    <w:uiPriority w:val="0"/>
    <w:rPr>
      <w:kern w:val="2"/>
      <w:sz w:val="28"/>
      <w:szCs w:val="28"/>
    </w:rPr>
  </w:style>
  <w:style w:type="character" w:customStyle="1" w:styleId="39">
    <w:name w:val="批注主题 字符"/>
    <w:basedOn w:val="35"/>
    <w:link w:val="14"/>
    <w:qFormat/>
    <w:uiPriority w:val="0"/>
    <w:rPr>
      <w:b/>
      <w:bCs/>
      <w:kern w:val="2"/>
      <w:sz w:val="21"/>
      <w:szCs w:val="24"/>
    </w:rPr>
  </w:style>
  <w:style w:type="character" w:customStyle="1" w:styleId="40">
    <w:name w:val="式中1 Char"/>
    <w:basedOn w:val="29"/>
    <w:link w:val="36"/>
    <w:qFormat/>
    <w:uiPriority w:val="0"/>
    <w:rPr>
      <w:rFonts w:ascii="Times New Roman" w:hAnsi="Times New Roman" w:cs="Times New Roman"/>
      <w:kern w:val="2"/>
      <w:sz w:val="28"/>
      <w:szCs w:val="28"/>
    </w:rPr>
  </w:style>
  <w:style w:type="character" w:customStyle="1" w:styleId="41">
    <w:name w:val="标题 1 字符"/>
    <w:basedOn w:val="18"/>
    <w:link w:val="2"/>
    <w:uiPriority w:val="0"/>
    <w:rPr>
      <w:b/>
      <w:bCs/>
      <w:kern w:val="44"/>
      <w:sz w:val="36"/>
      <w:szCs w:val="44"/>
    </w:rPr>
  </w:style>
  <w:style w:type="character" w:customStyle="1" w:styleId="42">
    <w:name w:val="日期 字符"/>
    <w:basedOn w:val="18"/>
    <w:link w:val="7"/>
    <w:uiPriority w:val="0"/>
    <w:rPr>
      <w:kern w:val="2"/>
      <w:sz w:val="21"/>
      <w:szCs w:val="24"/>
    </w:rPr>
  </w:style>
  <w:style w:type="character" w:customStyle="1" w:styleId="43">
    <w:name w:val="批注框文本 字符"/>
    <w:basedOn w:val="18"/>
    <w:link w:val="8"/>
    <w:uiPriority w:val="0"/>
    <w:rPr>
      <w:kern w:val="2"/>
      <w:sz w:val="18"/>
      <w:szCs w:val="18"/>
    </w:rPr>
  </w:style>
  <w:style w:type="character" w:customStyle="1" w:styleId="44">
    <w:name w:val="英文目录 字符"/>
    <w:basedOn w:val="38"/>
    <w:link w:val="23"/>
    <w:qFormat/>
    <w:uiPriority w:val="0"/>
    <w:rPr>
      <w:kern w:val="2"/>
      <w:sz w:val="28"/>
      <w:szCs w:val="28"/>
    </w:rPr>
  </w:style>
  <w:style w:type="character" w:customStyle="1" w:styleId="45">
    <w:name w:val="表格 字符"/>
    <w:basedOn w:val="18"/>
    <w:qFormat/>
    <w:uiPriority w:val="0"/>
    <w:rPr>
      <w:kern w:val="2"/>
      <w:sz w:val="21"/>
      <w:szCs w:val="24"/>
    </w:rPr>
  </w:style>
  <w:style w:type="character" w:customStyle="1" w:styleId="46">
    <w:name w:val="条文说明2 Char"/>
    <w:basedOn w:val="18"/>
    <w:link w:val="47"/>
    <w:qFormat/>
    <w:uiPriority w:val="0"/>
    <w:rPr>
      <w:rFonts w:hint="eastAsia" w:ascii="楷体" w:hAnsi="楷体" w:eastAsia="楷体" w:cs="楷体"/>
      <w:iCs/>
      <w:kern w:val="2"/>
      <w:sz w:val="24"/>
      <w:szCs w:val="24"/>
    </w:rPr>
  </w:style>
  <w:style w:type="paragraph" w:customStyle="1" w:styleId="47">
    <w:name w:val="条文说明2"/>
    <w:basedOn w:val="48"/>
    <w:link w:val="46"/>
    <w:qFormat/>
    <w:uiPriority w:val="0"/>
    <w:pPr>
      <w:widowControl w:val="0"/>
      <w:jc w:val="both"/>
    </w:pPr>
    <w:rPr>
      <w:rFonts w:hint="eastAsia" w:ascii="楷体" w:hAnsi="楷体" w:eastAsia="楷体" w:cs="楷体"/>
      <w:iCs/>
      <w:szCs w:val="24"/>
      <w:shd w:val="clear" w:color="auto" w:fill="FFFFFF"/>
    </w:rPr>
  </w:style>
  <w:style w:type="paragraph" w:customStyle="1" w:styleId="48">
    <w:name w:val="条文说明"/>
    <w:basedOn w:val="1"/>
    <w:link w:val="63"/>
    <w:qFormat/>
    <w:uiPriority w:val="0"/>
    <w:pPr>
      <w:widowControl/>
      <w:spacing w:after="50" w:afterLines="50" w:line="360" w:lineRule="auto"/>
      <w:ind w:firstLine="200" w:firstLineChars="200"/>
      <w:jc w:val="left"/>
    </w:pPr>
    <w:rPr>
      <w:rFonts w:ascii="Times New Roman" w:hAnsi="Times New Roman" w:cs="Times New Roman"/>
      <w:sz w:val="24"/>
      <w:szCs w:val="28"/>
    </w:rPr>
  </w:style>
  <w:style w:type="character" w:customStyle="1" w:styleId="49">
    <w:name w:val="条文说明 Char"/>
    <w:basedOn w:val="18"/>
    <w:qFormat/>
    <w:uiPriority w:val="0"/>
    <w:rPr>
      <w:i/>
      <w:kern w:val="2"/>
      <w:sz w:val="24"/>
      <w:szCs w:val="28"/>
      <w:u w:val="single"/>
    </w:rPr>
  </w:style>
  <w:style w:type="character" w:customStyle="1" w:styleId="50">
    <w:name w:val="标题2 字符"/>
    <w:basedOn w:val="18"/>
    <w:link w:val="51"/>
    <w:qFormat/>
    <w:uiPriority w:val="0"/>
    <w:rPr>
      <w:b/>
      <w:bCs/>
      <w:kern w:val="44"/>
      <w:sz w:val="28"/>
      <w:szCs w:val="44"/>
    </w:rPr>
  </w:style>
  <w:style w:type="paragraph" w:customStyle="1" w:styleId="51">
    <w:name w:val="标题2"/>
    <w:basedOn w:val="2"/>
    <w:link w:val="50"/>
    <w:uiPriority w:val="0"/>
    <w:pPr>
      <w:spacing w:before="50" w:beforeLines="50" w:after="50" w:afterLines="50"/>
      <w:outlineLvl w:val="1"/>
    </w:pPr>
    <w:rPr>
      <w:sz w:val="28"/>
    </w:rPr>
  </w:style>
  <w:style w:type="character" w:customStyle="1" w:styleId="52">
    <w:name w:val="待讨论内容 字符"/>
    <w:basedOn w:val="18"/>
    <w:uiPriority w:val="0"/>
    <w:rPr>
      <w:i/>
      <w:kern w:val="2"/>
      <w:sz w:val="21"/>
      <w:szCs w:val="24"/>
    </w:rPr>
  </w:style>
  <w:style w:type="character" w:customStyle="1" w:styleId="53">
    <w:name w:val="fontstyle01"/>
    <w:basedOn w:val="18"/>
    <w:qFormat/>
    <w:uiPriority w:val="0"/>
    <w:rPr>
      <w:rFonts w:hint="eastAsia" w:ascii="宋体" w:hAnsi="宋体" w:eastAsia="宋体" w:cs="宋体"/>
      <w:color w:val="000000"/>
      <w:sz w:val="22"/>
      <w:szCs w:val="22"/>
    </w:rPr>
  </w:style>
  <w:style w:type="paragraph" w:customStyle="1" w:styleId="54">
    <w:name w:val="Default"/>
    <w:basedOn w:val="1"/>
    <w:next w:val="1"/>
    <w:uiPriority w:val="0"/>
    <w:pPr>
      <w:autoSpaceDE w:val="0"/>
      <w:autoSpaceDN w:val="0"/>
      <w:adjustRightInd w:val="0"/>
      <w:spacing w:line="560" w:lineRule="exact"/>
    </w:pPr>
    <w:rPr>
      <w:rFonts w:hint="eastAsia" w:ascii="宋体" w:hAnsi="Calibri" w:eastAsia="宋体" w:cs="Times New Roman"/>
      <w:color w:val="000000"/>
      <w:kern w:val="0"/>
      <w:sz w:val="24"/>
    </w:rPr>
  </w:style>
  <w:style w:type="character" w:customStyle="1" w:styleId="55">
    <w:name w:val="正文文本首行缩进 2 字符"/>
    <w:basedOn w:val="56"/>
    <w:uiPriority w:val="0"/>
    <w:rPr>
      <w:rFonts w:hint="default" w:ascii="Times New Roman" w:hAnsi="Times New Roman" w:eastAsia="仿宋" w:cs="Times New Roman"/>
      <w:sz w:val="32"/>
      <w:szCs w:val="24"/>
    </w:rPr>
  </w:style>
  <w:style w:type="character" w:customStyle="1" w:styleId="56">
    <w:name w:val="正文文本缩进 字符"/>
    <w:basedOn w:val="18"/>
    <w:link w:val="6"/>
    <w:qFormat/>
    <w:uiPriority w:val="0"/>
    <w:rPr>
      <w:rFonts w:hint="default" w:ascii="Calibri" w:hAnsi="Calibri" w:eastAsia="宋体" w:cs="Times New Roman"/>
      <w:szCs w:val="24"/>
    </w:rPr>
  </w:style>
  <w:style w:type="paragraph" w:customStyle="1" w:styleId="57">
    <w:name w:val="1"/>
    <w:basedOn w:val="1"/>
    <w:qFormat/>
    <w:uiPriority w:val="0"/>
    <w:pPr>
      <w:widowControl/>
      <w:spacing w:beforeAutospacing="1" w:afterAutospacing="1"/>
      <w:jc w:val="left"/>
    </w:pPr>
    <w:rPr>
      <w:rFonts w:hint="eastAsia" w:ascii="宋体" w:hAnsi="宋体" w:eastAsia="宋体" w:cs="Times New Roman"/>
      <w:kern w:val="0"/>
      <w:sz w:val="24"/>
    </w:rPr>
  </w:style>
  <w:style w:type="character" w:customStyle="1" w:styleId="58">
    <w:name w:val="正文文本 字符"/>
    <w:basedOn w:val="18"/>
    <w:link w:val="5"/>
    <w:qFormat/>
    <w:uiPriority w:val="0"/>
    <w:rPr>
      <w:rFonts w:hint="default" w:ascii="Calibri" w:hAnsi="Calibri" w:eastAsia="宋体" w:cs="Times New Roman"/>
      <w:szCs w:val="24"/>
    </w:rPr>
  </w:style>
  <w:style w:type="character" w:customStyle="1" w:styleId="59">
    <w:name w:val="正文文本首行缩进 字符"/>
    <w:basedOn w:val="58"/>
    <w:qFormat/>
    <w:uiPriority w:val="0"/>
    <w:rPr>
      <w:rFonts w:hint="default" w:ascii="Calibri" w:hAnsi="Calibri" w:eastAsia="宋体" w:cs="Times New Roman"/>
      <w:szCs w:val="24"/>
    </w:rPr>
  </w:style>
  <w:style w:type="paragraph" w:customStyle="1" w:styleId="60">
    <w:name w:val="标准正文2"/>
    <w:basedOn w:val="1"/>
    <w:link w:val="61"/>
    <w:qFormat/>
    <w:uiPriority w:val="0"/>
    <w:pPr>
      <w:spacing w:after="50" w:afterLines="50" w:line="360" w:lineRule="auto"/>
      <w:ind w:firstLine="200" w:firstLineChars="200"/>
    </w:pPr>
    <w:rPr>
      <w:rFonts w:ascii="Times New Roman" w:hAnsi="Times New Roman" w:eastAsia="宋体" w:cs="Times New Roman"/>
      <w:bCs/>
      <w:sz w:val="24"/>
      <w:szCs w:val="28"/>
    </w:rPr>
  </w:style>
  <w:style w:type="character" w:customStyle="1" w:styleId="61">
    <w:name w:val="标准正文2 Char"/>
    <w:basedOn w:val="18"/>
    <w:link w:val="60"/>
    <w:qFormat/>
    <w:uiPriority w:val="0"/>
    <w:rPr>
      <w:rFonts w:ascii="Times New Roman" w:hAnsi="Times New Roman" w:cs="Times New Roman"/>
      <w:bCs/>
      <w:kern w:val="2"/>
      <w:sz w:val="24"/>
      <w:szCs w:val="28"/>
    </w:rPr>
  </w:style>
  <w:style w:type="paragraph" w:customStyle="1" w:styleId="62">
    <w:name w:val="标题1"/>
    <w:basedOn w:val="1"/>
    <w:link w:val="64"/>
    <w:qFormat/>
    <w:uiPriority w:val="0"/>
    <w:pPr>
      <w:keepNext/>
      <w:keepLines/>
      <w:spacing w:before="156" w:beforeLines="50" w:after="156" w:afterLines="50" w:line="360" w:lineRule="auto"/>
      <w:jc w:val="center"/>
      <w:outlineLvl w:val="0"/>
    </w:pPr>
    <w:rPr>
      <w:rFonts w:ascii="Times New Roman" w:hAnsi="Times New Roman" w:eastAsia="宋体" w:cs="Times New Roman"/>
      <w:b/>
      <w:bCs/>
      <w:color w:val="000000"/>
      <w:kern w:val="44"/>
      <w:sz w:val="36"/>
      <w:szCs w:val="44"/>
    </w:rPr>
  </w:style>
  <w:style w:type="character" w:customStyle="1" w:styleId="63">
    <w:name w:val="条文说明 Char1"/>
    <w:basedOn w:val="18"/>
    <w:link w:val="48"/>
    <w:uiPriority w:val="0"/>
    <w:rPr>
      <w:rFonts w:ascii="Times New Roman" w:hAnsi="Times New Roman" w:cs="Times New Roman" w:eastAsiaTheme="minorEastAsia"/>
      <w:kern w:val="2"/>
      <w:sz w:val="24"/>
      <w:szCs w:val="28"/>
    </w:rPr>
  </w:style>
  <w:style w:type="character" w:customStyle="1" w:styleId="64">
    <w:name w:val="标题1 Char"/>
    <w:basedOn w:val="18"/>
    <w:link w:val="62"/>
    <w:uiPriority w:val="0"/>
    <w:rPr>
      <w:rFonts w:ascii="Times New Roman" w:hAnsi="Times New Roman" w:cs="Times New Roman"/>
      <w:b/>
      <w:bCs/>
      <w:color w:val="000000"/>
      <w:kern w:val="44"/>
      <w:sz w:val="36"/>
      <w:szCs w:val="44"/>
    </w:rPr>
  </w:style>
  <w:style w:type="paragraph" w:customStyle="1" w:styleId="65">
    <w:name w:val="Revision"/>
    <w:hidden/>
    <w:semiHidden/>
    <w:uiPriority w:val="99"/>
    <w:rPr>
      <w:rFonts w:asciiTheme="minorHAnsi" w:hAnsiTheme="minorHAnsi" w:eastAsiaTheme="minorEastAsia" w:cstheme="minorBidi"/>
      <w:kern w:val="2"/>
      <w:sz w:val="21"/>
      <w:szCs w:val="24"/>
      <w:lang w:val="en-US" w:eastAsia="zh-CN" w:bidi="ar-SA"/>
    </w:rPr>
  </w:style>
  <w:style w:type="character" w:styleId="66">
    <w:name w:val="Placeholder Text"/>
    <w:basedOn w:val="18"/>
    <w:semiHidden/>
    <w:uiPriority w:val="99"/>
    <w:rPr>
      <w:color w:val="808080"/>
    </w:rPr>
  </w:style>
  <w:style w:type="paragraph" w:customStyle="1" w:styleId="67">
    <w:name w:val="TOC Heading"/>
    <w:basedOn w:val="2"/>
    <w:next w:val="1"/>
    <w:unhideWhenUsed/>
    <w:qFormat/>
    <w:uiPriority w:val="39"/>
    <w:pPr>
      <w:widowControl/>
      <w:spacing w:before="240" w:after="0" w:afterLines="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8">
    <w:name w:val="标题 2 字符"/>
    <w:basedOn w:val="18"/>
    <w:link w:val="3"/>
    <w:semiHidden/>
    <w:uiPriority w:val="0"/>
    <w:rPr>
      <w:rFonts w:asciiTheme="majorHAnsi" w:hAnsiTheme="majorHAnsi" w:eastAsiaTheme="majorEastAsia" w:cstheme="majorBidi"/>
      <w:b/>
      <w:bCs/>
      <w:kern w:val="2"/>
      <w:sz w:val="32"/>
      <w:szCs w:val="32"/>
    </w:rPr>
  </w:style>
  <w:style w:type="paragraph" w:customStyle="1" w:styleId="69">
    <w:name w:val="MTDisplayEquation"/>
    <w:basedOn w:val="1"/>
    <w:next w:val="1"/>
    <w:link w:val="70"/>
    <w:uiPriority w:val="0"/>
    <w:pPr>
      <w:tabs>
        <w:tab w:val="center" w:pos="4540"/>
        <w:tab w:val="right" w:pos="9080"/>
      </w:tabs>
      <w:jc w:val="center"/>
    </w:pPr>
    <w:rPr>
      <w:rFonts w:ascii="Times New Roman" w:hAnsi="Times New Roman" w:eastAsia="宋体" w:cs="Times New Roman"/>
      <w:color w:val="000000" w:themeColor="text1"/>
      <w:sz w:val="28"/>
      <w:szCs w:val="28"/>
      <w14:textFill>
        <w14:solidFill>
          <w14:schemeClr w14:val="tx1"/>
        </w14:solidFill>
      </w14:textFill>
    </w:rPr>
  </w:style>
  <w:style w:type="character" w:customStyle="1" w:styleId="70">
    <w:name w:val="MTDisplayEquation Char"/>
    <w:basedOn w:val="18"/>
    <w:link w:val="69"/>
    <w:uiPriority w:val="0"/>
    <w:rPr>
      <w:rFonts w:ascii="Times New Roman" w:hAnsi="Times New Roman" w:cs="Times New Roman"/>
      <w:color w:val="000000" w:themeColor="text1"/>
      <w:kern w:val="2"/>
      <w:sz w:val="28"/>
      <w:szCs w:val="28"/>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0B03EC-3C2A-4E06-9E2C-C475AF9E9AB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14395</Words>
  <Characters>16334</Characters>
  <Lines>140</Lines>
  <Paragraphs>39</Paragraphs>
  <TotalTime>5533</TotalTime>
  <ScaleCrop>false</ScaleCrop>
  <LinksUpToDate>false</LinksUpToDate>
  <CharactersWithSpaces>16848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2023-03-02T12:58:00Z</dcterms:created>
  <dc:creator>admini</dc:creator>
  <cp:lastModifiedBy>陌</cp:lastModifiedBy>
  <cp:lastPrinted>2024-08-21T06:31:00Z</cp:lastPrinted>
  <dcterms:modified xsi:type="dcterms:W3CDTF">2024-08-28T07:05:54Z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B46F033D79DD4CD7A50D1BF3C8426E77</vt:lpwstr>
  </property>
  <property fmtid="{D5CDD505-2E9C-101B-9397-08002B2CF9AE}" pid="4" name="MTEquationNumber2">
    <vt:lpwstr>(#S1.#E1)</vt:lpwstr>
  </property>
  <property fmtid="{D5CDD505-2E9C-101B-9397-08002B2CF9AE}" pid="5" name="MTWinEqns">
    <vt:bool>true</vt:bool>
  </property>
</Properties>
</file>