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07276">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广东省</w:t>
      </w:r>
      <w:bookmarkStart w:id="0" w:name="_GoBack"/>
      <w:bookmarkEnd w:id="0"/>
      <w:r>
        <w:rPr>
          <w:rFonts w:hint="eastAsia" w:ascii="小标宋" w:hAnsi="小标宋" w:eastAsia="小标宋" w:cs="Courier New"/>
          <w:kern w:val="0"/>
          <w:sz w:val="44"/>
          <w:szCs w:val="32"/>
          <w:lang w:val="en-US" w:eastAsia="zh-CN"/>
        </w:rPr>
        <w:t>推进县域“光伏+建筑”应用</w:t>
      </w:r>
    </w:p>
    <w:p w14:paraId="15049E28">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r>
        <w:rPr>
          <w:rFonts w:hint="eastAsia" w:ascii="小标宋" w:hAnsi="小标宋" w:eastAsia="小标宋" w:cs="Courier New"/>
          <w:kern w:val="0"/>
          <w:sz w:val="44"/>
          <w:szCs w:val="32"/>
          <w:lang w:val="en-US" w:eastAsia="zh-CN"/>
        </w:rPr>
        <w:t>试点工作方案</w:t>
      </w:r>
    </w:p>
    <w:p w14:paraId="5D2409D0">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小标宋" w:hAnsi="小标宋" w:eastAsia="小标宋" w:cs="Courier New"/>
          <w:kern w:val="0"/>
          <w:sz w:val="44"/>
          <w:szCs w:val="32"/>
          <w:lang w:val="en-US" w:eastAsia="zh-CN"/>
        </w:rPr>
      </w:pPr>
    </w:p>
    <w:p w14:paraId="2BB3B9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仿宋_GB2312" w:hAnsi="仿宋_GB2312" w:eastAsia="仿宋_GB2312" w:cs="仿宋_GB2312"/>
          <w:bCs/>
          <w:color w:val="auto"/>
          <w:kern w:val="0"/>
          <w:sz w:val="32"/>
          <w:szCs w:val="32"/>
          <w:highlight w:val="none"/>
          <w:lang w:val="en-US" w:eastAsia="zh-CN" w:bidi="hi-IN"/>
        </w:rPr>
      </w:pPr>
      <w:r>
        <w:rPr>
          <w:rFonts w:hint="eastAsia" w:ascii="仿宋_GB2312" w:hAnsi="仿宋_GB2312" w:eastAsia="仿宋_GB2312" w:cs="仿宋_GB2312"/>
          <w:bCs/>
          <w:color w:val="auto"/>
          <w:kern w:val="0"/>
          <w:sz w:val="32"/>
          <w:szCs w:val="32"/>
          <w:highlight w:val="none"/>
          <w:lang w:val="en-US" w:eastAsia="zh-CN" w:bidi="hi-IN"/>
        </w:rPr>
        <w:t>推广“光伏+建筑”应用是贯彻落实党中央、国务院关于碳达峰碳中和战略决策的重要举措，对于优化建筑用能结构，促进城乡绿色低碳发展具有重要意义。为大力推进我省县域“光伏+建筑”应用试点，制定本工作方案。</w:t>
      </w:r>
    </w:p>
    <w:p w14:paraId="5988A90E">
      <w:pPr>
        <w:keepNext w:val="0"/>
        <w:keepLines w:val="0"/>
        <w:pageBreakBefore w:val="0"/>
        <w:kinsoku/>
        <w:wordWrap/>
        <w:overflowPunct/>
        <w:topLinePunct w:val="0"/>
        <w:autoSpaceDE/>
        <w:autoSpaceDN/>
        <w:bidi w:val="0"/>
        <w:adjustRightInd/>
        <w:spacing w:line="600" w:lineRule="exact"/>
        <w:ind w:firstLine="640" w:firstLineChars="200"/>
        <w:jc w:val="left"/>
        <w:outlineLvl w:val="0"/>
        <w:rPr>
          <w:rFonts w:hint="eastAsia" w:ascii="Cambria" w:hAnsi="Cambria" w:eastAsia="黑体" w:cs="Times New Roman"/>
          <w:bCs/>
          <w:color w:val="auto"/>
          <w:kern w:val="44"/>
          <w:sz w:val="32"/>
          <w:szCs w:val="32"/>
          <w:highlight w:val="none"/>
          <w:lang w:val="en-US" w:eastAsia="zh-CN" w:bidi="ar-SA"/>
        </w:rPr>
      </w:pPr>
      <w:r>
        <w:rPr>
          <w:rFonts w:hint="eastAsia" w:ascii="Cambria" w:hAnsi="Cambria" w:eastAsia="黑体" w:cs="Times New Roman"/>
          <w:bCs/>
          <w:color w:val="auto"/>
          <w:kern w:val="44"/>
          <w:sz w:val="32"/>
          <w:szCs w:val="32"/>
          <w:highlight w:val="none"/>
          <w:lang w:val="en-US" w:eastAsia="zh-CN" w:bidi="ar-SA"/>
        </w:rPr>
        <w:t>一、总体要求</w:t>
      </w:r>
    </w:p>
    <w:p w14:paraId="7CDC9AF1">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bidi="hi-IN"/>
        </w:rPr>
      </w:pPr>
      <w:r>
        <w:rPr>
          <w:rFonts w:hint="eastAsia" w:ascii="仿宋_GB2312" w:hAnsi="仿宋_GB2312" w:eastAsia="仿宋_GB2312" w:cs="仿宋_GB2312"/>
          <w:color w:val="auto"/>
          <w:kern w:val="0"/>
          <w:sz w:val="32"/>
          <w:szCs w:val="32"/>
          <w:highlight w:val="none"/>
          <w:lang w:bidi="hi-IN"/>
        </w:rPr>
        <w:t>坚持以习近平新时代中国特色社会主义思想为指导，全面贯彻</w:t>
      </w:r>
      <w:r>
        <w:rPr>
          <w:rFonts w:hint="eastAsia" w:ascii="仿宋_GB2312" w:hAnsi="仿宋_GB2312" w:eastAsia="仿宋_GB2312" w:cs="仿宋_GB2312"/>
          <w:color w:val="auto"/>
          <w:kern w:val="0"/>
          <w:sz w:val="32"/>
          <w:szCs w:val="32"/>
          <w:highlight w:val="none"/>
          <w:lang w:eastAsia="zh-CN" w:bidi="hi-IN"/>
        </w:rPr>
        <w:t>落实</w:t>
      </w:r>
      <w:r>
        <w:rPr>
          <w:rFonts w:hint="eastAsia" w:ascii="仿宋_GB2312" w:hAnsi="仿宋_GB2312" w:eastAsia="仿宋_GB2312" w:cs="仿宋_GB2312"/>
          <w:color w:val="auto"/>
          <w:kern w:val="0"/>
          <w:sz w:val="32"/>
          <w:szCs w:val="32"/>
          <w:highlight w:val="none"/>
          <w:lang w:bidi="hi-IN"/>
        </w:rPr>
        <w:t>党的二十大</w:t>
      </w:r>
      <w:r>
        <w:rPr>
          <w:rFonts w:hint="eastAsia" w:ascii="仿宋_GB2312" w:hAnsi="仿宋_GB2312" w:eastAsia="仿宋_GB2312" w:cs="仿宋_GB2312"/>
          <w:color w:val="auto"/>
          <w:kern w:val="0"/>
          <w:sz w:val="32"/>
          <w:szCs w:val="32"/>
          <w:highlight w:val="none"/>
          <w:lang w:eastAsia="zh-CN" w:bidi="hi-IN"/>
        </w:rPr>
        <w:t>和二十届二中、三中全会</w:t>
      </w:r>
      <w:r>
        <w:rPr>
          <w:rFonts w:hint="eastAsia" w:ascii="仿宋_GB2312" w:hAnsi="仿宋_GB2312" w:eastAsia="仿宋_GB2312" w:cs="仿宋_GB2312"/>
          <w:color w:val="auto"/>
          <w:kern w:val="0"/>
          <w:sz w:val="32"/>
          <w:szCs w:val="32"/>
          <w:highlight w:val="none"/>
          <w:lang w:bidi="hi-IN"/>
        </w:rPr>
        <w:t>精神，</w:t>
      </w:r>
      <w:r>
        <w:rPr>
          <w:rFonts w:hint="eastAsia" w:ascii="仿宋_GB2312" w:hAnsi="仿宋_GB2312" w:eastAsia="仿宋_GB2312" w:cs="仿宋_GB2312"/>
          <w:color w:val="auto"/>
          <w:kern w:val="0"/>
          <w:sz w:val="32"/>
          <w:highlight w:val="none"/>
          <w:lang w:eastAsia="zh-CN" w:bidi="hi-IN"/>
        </w:rPr>
        <w:t>认真落实</w:t>
      </w:r>
      <w:r>
        <w:rPr>
          <w:rFonts w:hint="eastAsia" w:ascii="仿宋_GB2312" w:hAnsi="仿宋_GB2312" w:eastAsia="仿宋_GB2312" w:cs="仿宋_GB2312"/>
          <w:color w:val="auto"/>
          <w:kern w:val="0"/>
          <w:sz w:val="32"/>
          <w:highlight w:val="none"/>
          <w:lang w:bidi="hi-IN"/>
        </w:rPr>
        <w:t>省委“1310”具体部署</w:t>
      </w:r>
      <w:r>
        <w:rPr>
          <w:rFonts w:hint="eastAsia" w:ascii="仿宋_GB2312" w:hAnsi="仿宋_GB2312" w:eastAsia="仿宋_GB2312" w:cs="仿宋_GB2312"/>
          <w:color w:val="auto"/>
          <w:kern w:val="0"/>
          <w:sz w:val="32"/>
          <w:highlight w:val="none"/>
          <w:lang w:eastAsia="zh-CN" w:bidi="hi-IN"/>
        </w:rPr>
        <w:t>，</w:t>
      </w:r>
      <w:r>
        <w:rPr>
          <w:rFonts w:hint="eastAsia" w:ascii="仿宋_GB2312" w:hAnsi="仿宋_GB2312" w:eastAsia="仿宋_GB2312" w:cs="仿宋_GB2312"/>
          <w:color w:val="auto"/>
          <w:kern w:val="0"/>
          <w:sz w:val="32"/>
          <w:szCs w:val="32"/>
          <w:highlight w:val="none"/>
          <w:lang w:eastAsia="zh-CN" w:bidi="hi-IN"/>
        </w:rPr>
        <w:t>深入实施</w:t>
      </w:r>
      <w:r>
        <w:rPr>
          <w:rFonts w:hint="eastAsia" w:ascii="仿宋_GB2312" w:hAnsi="仿宋_GB2312" w:eastAsia="仿宋_GB2312" w:cs="仿宋_GB2312"/>
          <w:color w:val="auto"/>
          <w:kern w:val="0"/>
          <w:sz w:val="32"/>
          <w:szCs w:val="32"/>
          <w:highlight w:val="none"/>
          <w:lang w:bidi="hi-IN"/>
        </w:rPr>
        <w:t>“百千万工程”，</w:t>
      </w:r>
      <w:r>
        <w:rPr>
          <w:rFonts w:hint="eastAsia" w:ascii="仿宋_GB2312" w:hAnsi="仿宋_GB2312" w:eastAsia="仿宋_GB2312" w:cs="仿宋_GB2312"/>
          <w:color w:val="auto"/>
          <w:kern w:val="0"/>
          <w:sz w:val="32"/>
          <w:szCs w:val="32"/>
          <w:highlight w:val="none"/>
          <w:lang w:eastAsia="zh-CN" w:bidi="hi-IN"/>
        </w:rPr>
        <w:t>按照</w:t>
      </w:r>
      <w:r>
        <w:rPr>
          <w:rFonts w:hint="eastAsia" w:ascii="仿宋_GB2312" w:hAnsi="仿宋_GB2312" w:eastAsia="仿宋_GB2312" w:cs="仿宋_GB2312"/>
          <w:color w:val="auto"/>
          <w:kern w:val="0"/>
          <w:sz w:val="32"/>
          <w:highlight w:val="none"/>
          <w:lang w:bidi="hi-IN"/>
        </w:rPr>
        <w:t>《广东省人民政府办公厅关于印发广东省推进分布式光伏高质量发展行动方案的通知》（粤办函〔</w:t>
      </w:r>
      <w:r>
        <w:rPr>
          <w:rFonts w:ascii="仿宋_GB2312" w:hAnsi="仿宋_GB2312" w:eastAsia="仿宋_GB2312" w:cs="仿宋_GB2312"/>
          <w:color w:val="auto"/>
          <w:kern w:val="0"/>
          <w:sz w:val="32"/>
          <w:highlight w:val="none"/>
          <w:lang w:bidi="hi-IN"/>
        </w:rPr>
        <w:t>202</w:t>
      </w:r>
      <w:r>
        <w:rPr>
          <w:rFonts w:hint="eastAsia" w:ascii="仿宋_GB2312" w:hAnsi="仿宋_GB2312" w:eastAsia="仿宋_GB2312" w:cs="仿宋_GB2312"/>
          <w:color w:val="auto"/>
          <w:kern w:val="0"/>
          <w:sz w:val="32"/>
          <w:highlight w:val="none"/>
          <w:lang w:bidi="hi-IN"/>
        </w:rPr>
        <w:t>4</w:t>
      </w:r>
      <w:r>
        <w:rPr>
          <w:rFonts w:ascii="仿宋_GB2312" w:hAnsi="仿宋_GB2312" w:eastAsia="仿宋_GB2312" w:cs="仿宋_GB2312"/>
          <w:color w:val="auto"/>
          <w:kern w:val="0"/>
          <w:sz w:val="32"/>
          <w:highlight w:val="none"/>
          <w:lang w:bidi="hi-IN"/>
        </w:rPr>
        <w:t>〕</w:t>
      </w:r>
      <w:r>
        <w:rPr>
          <w:rFonts w:hint="eastAsia" w:ascii="仿宋_GB2312" w:hAnsi="仿宋_GB2312" w:eastAsia="仿宋_GB2312" w:cs="仿宋_GB2312"/>
          <w:color w:val="auto"/>
          <w:kern w:val="0"/>
          <w:sz w:val="32"/>
          <w:highlight w:val="none"/>
          <w:lang w:bidi="hi-IN"/>
        </w:rPr>
        <w:t>92号）有关要求，</w:t>
      </w:r>
      <w:r>
        <w:rPr>
          <w:rFonts w:hint="eastAsia" w:ascii="仿宋_GB2312" w:hAnsi="仿宋_GB2312" w:eastAsia="仿宋_GB2312" w:cs="仿宋_GB2312"/>
          <w:color w:val="auto"/>
          <w:kern w:val="0"/>
          <w:sz w:val="32"/>
          <w:szCs w:val="32"/>
          <w:highlight w:val="none"/>
          <w:lang w:bidi="hi-IN"/>
        </w:rPr>
        <w:t>坚持各方协同、合作共赢，统筹谋划、分类推进，规范管理、安全美观，通过“光伏+建筑”应用试点</w:t>
      </w:r>
      <w:r>
        <w:rPr>
          <w:rFonts w:hint="eastAsia" w:ascii="仿宋_GB2312" w:hAnsi="仿宋_GB2312" w:eastAsia="仿宋_GB2312" w:cs="仿宋_GB2312"/>
          <w:color w:val="auto"/>
          <w:kern w:val="0"/>
          <w:sz w:val="32"/>
          <w:szCs w:val="32"/>
          <w:highlight w:val="none"/>
          <w:lang w:eastAsia="zh-CN" w:bidi="hi-IN"/>
        </w:rPr>
        <w:t>推动</w:t>
      </w:r>
      <w:r>
        <w:rPr>
          <w:rFonts w:hint="eastAsia" w:ascii="仿宋_GB2312" w:hAnsi="仿宋_GB2312" w:eastAsia="仿宋_GB2312" w:cs="仿宋_GB2312"/>
          <w:color w:val="auto"/>
          <w:kern w:val="0"/>
          <w:sz w:val="32"/>
          <w:szCs w:val="32"/>
          <w:highlight w:val="none"/>
          <w:lang w:bidi="hi-IN"/>
        </w:rPr>
        <w:t>形成一批具有广东特色、助推城乡建筑风貌提升的可复制可推广典型案例，探索县域分布式光伏高质量发展新路径，加快</w:t>
      </w:r>
      <w:r>
        <w:rPr>
          <w:rFonts w:hint="eastAsia" w:ascii="仿宋_GB2312" w:hAnsi="仿宋_GB2312" w:eastAsia="仿宋_GB2312" w:cs="仿宋_GB2312"/>
          <w:color w:val="auto"/>
          <w:kern w:val="0"/>
          <w:sz w:val="32"/>
          <w:szCs w:val="32"/>
          <w:highlight w:val="none"/>
          <w:lang w:eastAsia="zh-CN" w:bidi="hi-IN"/>
        </w:rPr>
        <w:t>培育</w:t>
      </w:r>
      <w:r>
        <w:rPr>
          <w:rFonts w:hint="eastAsia" w:ascii="仿宋_GB2312" w:hAnsi="仿宋_GB2312" w:eastAsia="仿宋_GB2312" w:cs="仿宋_GB2312"/>
          <w:color w:val="auto"/>
          <w:kern w:val="0"/>
          <w:sz w:val="32"/>
          <w:szCs w:val="32"/>
          <w:highlight w:val="none"/>
          <w:lang w:bidi="hi-IN"/>
        </w:rPr>
        <w:t>和发展新质生产力，促进</w:t>
      </w:r>
      <w:r>
        <w:rPr>
          <w:rFonts w:hint="eastAsia" w:ascii="仿宋_GB2312" w:hAnsi="仿宋_GB2312" w:eastAsia="仿宋_GB2312" w:cs="仿宋_GB2312"/>
          <w:color w:val="auto"/>
          <w:kern w:val="0"/>
          <w:sz w:val="32"/>
          <w:szCs w:val="32"/>
          <w:highlight w:val="none"/>
          <w:lang w:eastAsia="zh-CN" w:bidi="hi-IN"/>
        </w:rPr>
        <w:t>城乡</w:t>
      </w:r>
      <w:r>
        <w:rPr>
          <w:rFonts w:hint="eastAsia" w:ascii="仿宋_GB2312" w:hAnsi="仿宋_GB2312" w:eastAsia="仿宋_GB2312" w:cs="仿宋_GB2312"/>
          <w:color w:val="auto"/>
          <w:kern w:val="0"/>
          <w:sz w:val="32"/>
          <w:szCs w:val="32"/>
          <w:highlight w:val="none"/>
          <w:lang w:bidi="hi-IN"/>
        </w:rPr>
        <w:t>绿色</w:t>
      </w:r>
      <w:r>
        <w:rPr>
          <w:rFonts w:hint="eastAsia" w:ascii="仿宋_GB2312" w:hAnsi="仿宋_GB2312" w:eastAsia="仿宋_GB2312" w:cs="仿宋_GB2312"/>
          <w:color w:val="auto"/>
          <w:kern w:val="0"/>
          <w:sz w:val="32"/>
          <w:szCs w:val="32"/>
          <w:highlight w:val="none"/>
          <w:lang w:eastAsia="zh-CN" w:bidi="hi-IN"/>
        </w:rPr>
        <w:t>低碳</w:t>
      </w:r>
      <w:r>
        <w:rPr>
          <w:rFonts w:hint="eastAsia" w:ascii="仿宋_GB2312" w:hAnsi="仿宋_GB2312" w:eastAsia="仿宋_GB2312" w:cs="仿宋_GB2312"/>
          <w:color w:val="auto"/>
          <w:kern w:val="0"/>
          <w:sz w:val="32"/>
          <w:szCs w:val="32"/>
          <w:highlight w:val="none"/>
          <w:lang w:bidi="hi-IN"/>
        </w:rPr>
        <w:t>发展。</w:t>
      </w:r>
    </w:p>
    <w:p w14:paraId="010E03F4">
      <w:pPr>
        <w:keepNext w:val="0"/>
        <w:keepLines w:val="0"/>
        <w:pageBreakBefore w:val="0"/>
        <w:kinsoku/>
        <w:wordWrap/>
        <w:overflowPunct/>
        <w:topLinePunct w:val="0"/>
        <w:autoSpaceDE/>
        <w:autoSpaceDN/>
        <w:bidi w:val="0"/>
        <w:adjustRightInd/>
        <w:spacing w:line="600" w:lineRule="exact"/>
        <w:ind w:firstLine="640" w:firstLineChars="200"/>
        <w:jc w:val="left"/>
        <w:outlineLvl w:val="0"/>
        <w:rPr>
          <w:rFonts w:hint="eastAsia" w:ascii="Cambria" w:hAnsi="Cambria" w:eastAsia="黑体" w:cs="Times New Roman"/>
          <w:bCs/>
          <w:color w:val="auto"/>
          <w:kern w:val="44"/>
          <w:sz w:val="32"/>
          <w:szCs w:val="32"/>
          <w:highlight w:val="none"/>
          <w:lang w:val="en-US" w:eastAsia="zh-CN" w:bidi="hi-IN"/>
        </w:rPr>
      </w:pPr>
      <w:r>
        <w:rPr>
          <w:rFonts w:hint="eastAsia" w:ascii="Cambria" w:hAnsi="Cambria" w:eastAsia="黑体" w:cs="Times New Roman"/>
          <w:bCs/>
          <w:color w:val="auto"/>
          <w:kern w:val="44"/>
          <w:sz w:val="32"/>
          <w:szCs w:val="32"/>
          <w:highlight w:val="none"/>
          <w:lang w:val="en-US" w:eastAsia="zh-CN" w:bidi="hi-IN"/>
        </w:rPr>
        <w:t>二、试点区域</w:t>
      </w:r>
    </w:p>
    <w:p w14:paraId="6FC1A765">
      <w:pPr>
        <w:pStyle w:val="5"/>
        <w:keepNext w:val="0"/>
        <w:keepLines w:val="0"/>
        <w:pageBreakBefore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rPr>
        <w:t>综合考虑光伏产业集聚、电网承载</w:t>
      </w:r>
      <w:r>
        <w:rPr>
          <w:rFonts w:hint="eastAsia" w:ascii="仿宋_GB2312" w:hAnsi="仿宋_GB2312" w:eastAsia="仿宋_GB2312" w:cs="仿宋_GB2312"/>
          <w:sz w:val="32"/>
          <w:szCs w:val="32"/>
          <w:highlight w:val="none"/>
          <w:lang w:eastAsia="zh-CN"/>
        </w:rPr>
        <w:t>能力</w:t>
      </w:r>
      <w:r>
        <w:rPr>
          <w:rFonts w:hint="eastAsia" w:ascii="仿宋_GB2312" w:hAnsi="仿宋_GB2312" w:eastAsia="仿宋_GB2312" w:cs="仿宋_GB2312"/>
          <w:sz w:val="32"/>
          <w:szCs w:val="32"/>
          <w:highlight w:val="none"/>
        </w:rPr>
        <w:t>等因素，遴选2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个县（市、区</w:t>
      </w:r>
      <w:r>
        <w:rPr>
          <w:rFonts w:hint="eastAsia" w:ascii="仿宋_GB2312" w:hAnsi="仿宋_GB2312" w:eastAsia="仿宋_GB2312" w:cs="仿宋_GB2312"/>
          <w:sz w:val="32"/>
          <w:szCs w:val="32"/>
          <w:highlight w:val="none"/>
          <w:lang w:eastAsia="zh-CN"/>
        </w:rPr>
        <w:t>，东莞为镇</w:t>
      </w:r>
      <w:r>
        <w:rPr>
          <w:rFonts w:hint="eastAsia" w:ascii="仿宋_GB2312" w:hAnsi="仿宋_GB2312" w:eastAsia="仿宋_GB2312" w:cs="仿宋_GB2312"/>
          <w:sz w:val="32"/>
          <w:szCs w:val="32"/>
          <w:highlight w:val="none"/>
        </w:rPr>
        <w:t>）作为我省首批</w:t>
      </w:r>
      <w:r>
        <w:rPr>
          <w:rFonts w:hint="eastAsia" w:ascii="仿宋_GB2312" w:hAnsi="仿宋_GB2312" w:eastAsia="仿宋_GB2312" w:cs="仿宋_GB2312"/>
          <w:sz w:val="32"/>
          <w:szCs w:val="32"/>
          <w:highlight w:val="none"/>
          <w:lang w:eastAsia="zh-CN"/>
        </w:rPr>
        <w:t>县域</w:t>
      </w:r>
      <w:r>
        <w:rPr>
          <w:rFonts w:hint="eastAsia" w:ascii="仿宋_GB2312" w:hAnsi="仿宋_GB2312" w:eastAsia="仿宋_GB2312" w:cs="仿宋_GB2312"/>
          <w:sz w:val="32"/>
          <w:szCs w:val="32"/>
          <w:highlight w:val="none"/>
        </w:rPr>
        <w:t>“光伏+建筑”应用试点区域。具体包括</w:t>
      </w:r>
      <w:r>
        <w:rPr>
          <w:rFonts w:hint="eastAsia" w:ascii="仿宋_GB2312" w:hAnsi="仿宋_GB2312" w:eastAsia="仿宋_GB2312" w:cs="仿宋_GB2312"/>
          <w:bCs/>
          <w:sz w:val="32"/>
          <w:szCs w:val="32"/>
          <w:highlight w:val="none"/>
        </w:rPr>
        <w:t>：广州花都区</w:t>
      </w:r>
      <w:r>
        <w:rPr>
          <w:rFonts w:hint="eastAsia" w:ascii="仿宋_GB2312" w:hAnsi="仿宋_GB2312" w:eastAsia="仿宋_GB2312" w:cs="仿宋_GB2312"/>
          <w:bCs/>
          <w:sz w:val="32"/>
          <w:szCs w:val="32"/>
          <w:highlight w:val="none"/>
          <w:lang w:eastAsia="zh-CN"/>
        </w:rPr>
        <w:t>和</w:t>
      </w:r>
      <w:r>
        <w:rPr>
          <w:rFonts w:hint="eastAsia" w:ascii="仿宋_GB2312" w:hAnsi="仿宋_GB2312" w:eastAsia="仿宋_GB2312" w:cs="仿宋_GB2312"/>
          <w:bCs/>
          <w:sz w:val="32"/>
          <w:szCs w:val="32"/>
          <w:highlight w:val="none"/>
        </w:rPr>
        <w:t>从化区、深圳坪山区</w:t>
      </w:r>
      <w:r>
        <w:rPr>
          <w:rFonts w:hint="eastAsia" w:ascii="仿宋_GB2312" w:hAnsi="仿宋_GB2312" w:eastAsia="仿宋_GB2312" w:cs="仿宋_GB2312"/>
          <w:bCs/>
          <w:sz w:val="32"/>
          <w:szCs w:val="32"/>
          <w:highlight w:val="none"/>
          <w:lang w:eastAsia="zh-CN"/>
        </w:rPr>
        <w:t>和</w:t>
      </w:r>
      <w:r>
        <w:rPr>
          <w:rFonts w:hint="eastAsia" w:ascii="仿宋_GB2312" w:hAnsi="仿宋_GB2312" w:eastAsia="仿宋_GB2312" w:cs="仿宋_GB2312"/>
          <w:bCs/>
          <w:sz w:val="32"/>
          <w:szCs w:val="32"/>
          <w:highlight w:val="none"/>
        </w:rPr>
        <w:t>深汕</w:t>
      </w:r>
      <w:r>
        <w:rPr>
          <w:rFonts w:hint="eastAsia" w:ascii="仿宋_GB2312" w:hAnsi="仿宋_GB2312" w:eastAsia="仿宋_GB2312" w:cs="仿宋_GB2312"/>
          <w:bCs/>
          <w:sz w:val="32"/>
          <w:szCs w:val="32"/>
          <w:highlight w:val="none"/>
          <w:lang w:eastAsia="zh-CN"/>
        </w:rPr>
        <w:t>特别</w:t>
      </w:r>
      <w:r>
        <w:rPr>
          <w:rFonts w:hint="eastAsia" w:ascii="仿宋_GB2312" w:hAnsi="仿宋_GB2312" w:eastAsia="仿宋_GB2312" w:cs="仿宋_GB2312"/>
          <w:bCs/>
          <w:sz w:val="32"/>
          <w:szCs w:val="32"/>
          <w:highlight w:val="none"/>
        </w:rPr>
        <w:t>合作区、珠海</w:t>
      </w:r>
      <w:r>
        <w:rPr>
          <w:rFonts w:hint="eastAsia" w:ascii="仿宋_GB2312" w:hAnsi="仿宋_GB2312" w:eastAsia="仿宋_GB2312" w:cs="仿宋_GB2312"/>
          <w:bCs/>
          <w:sz w:val="32"/>
          <w:szCs w:val="32"/>
          <w:highlight w:val="none"/>
          <w:lang w:eastAsia="zh-CN"/>
        </w:rPr>
        <w:t>金湾区和</w:t>
      </w:r>
      <w:r>
        <w:rPr>
          <w:rFonts w:hint="eastAsia" w:ascii="仿宋_GB2312" w:hAnsi="仿宋_GB2312" w:eastAsia="仿宋_GB2312" w:cs="仿宋_GB2312"/>
          <w:bCs/>
          <w:sz w:val="32"/>
          <w:szCs w:val="32"/>
          <w:highlight w:val="none"/>
        </w:rPr>
        <w:t>斗门区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汕头濠江区、佛山顺德区、韶关南雄市、河源东源县、梅州</w:t>
      </w:r>
      <w:r>
        <w:rPr>
          <w:rFonts w:hint="eastAsia" w:ascii="仿宋_GB2312" w:hAnsi="仿宋_GB2312" w:eastAsia="仿宋_GB2312" w:cs="仿宋_GB2312"/>
          <w:bCs/>
          <w:sz w:val="32"/>
          <w:szCs w:val="32"/>
          <w:highlight w:val="none"/>
          <w:lang w:eastAsia="zh-CN"/>
        </w:rPr>
        <w:t>丰顺</w:t>
      </w:r>
      <w:r>
        <w:rPr>
          <w:rFonts w:hint="eastAsia" w:ascii="仿宋_GB2312" w:hAnsi="仿宋_GB2312" w:eastAsia="仿宋_GB2312" w:cs="仿宋_GB2312"/>
          <w:bCs/>
          <w:sz w:val="32"/>
          <w:szCs w:val="32"/>
          <w:highlight w:val="none"/>
        </w:rPr>
        <w:t>县</w:t>
      </w:r>
      <w:r>
        <w:rPr>
          <w:rFonts w:hint="eastAsia" w:ascii="仿宋_GB2312" w:hAnsi="仿宋_GB2312" w:eastAsia="仿宋_GB2312" w:cs="仿宋_GB2312"/>
          <w:bCs/>
          <w:sz w:val="32"/>
          <w:szCs w:val="32"/>
          <w:highlight w:val="none"/>
          <w:lang w:eastAsia="zh-CN"/>
        </w:rPr>
        <w:t>和蕉岭县</w:t>
      </w:r>
      <w:r>
        <w:rPr>
          <w:rFonts w:hint="eastAsia" w:ascii="仿宋_GB2312" w:hAnsi="仿宋_GB2312" w:eastAsia="仿宋_GB2312" w:cs="仿宋_GB2312"/>
          <w:bCs/>
          <w:sz w:val="32"/>
          <w:szCs w:val="32"/>
          <w:highlight w:val="none"/>
        </w:rPr>
        <w:t>、惠州博罗县、汕尾陆河县、</w:t>
      </w:r>
      <w:r>
        <w:rPr>
          <w:rFonts w:hint="eastAsia" w:ascii="仿宋_GB2312" w:hAnsi="仿宋_GB2312" w:eastAsia="仿宋_GB2312" w:cs="仿宋_GB2312"/>
          <w:sz w:val="32"/>
          <w:szCs w:val="32"/>
          <w:highlight w:val="none"/>
        </w:rPr>
        <w:t>东莞道滘镇、</w:t>
      </w:r>
      <w:r>
        <w:rPr>
          <w:rFonts w:hint="eastAsia" w:ascii="仿宋_GB2312" w:hAnsi="仿宋_GB2312" w:eastAsia="仿宋_GB2312" w:cs="仿宋_GB2312"/>
          <w:bCs/>
          <w:sz w:val="32"/>
          <w:szCs w:val="32"/>
          <w:highlight w:val="none"/>
        </w:rPr>
        <w:t>中山火炬开发区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江门鹤山市、阳江阳西县、湛江雷州市、茂名高州市</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肇庆四会市、清远连州市、潮州饶平</w:t>
      </w:r>
      <w:r>
        <w:rPr>
          <w:rFonts w:hint="eastAsia" w:ascii="仿宋_GB2312" w:hAnsi="仿宋_GB2312" w:eastAsia="仿宋_GB2312" w:cs="仿宋_GB2312"/>
          <w:bCs/>
          <w:sz w:val="32"/>
          <w:szCs w:val="32"/>
          <w:highlight w:val="none"/>
          <w:lang w:eastAsia="zh-CN"/>
        </w:rPr>
        <w:t>县</w:t>
      </w:r>
      <w:r>
        <w:rPr>
          <w:rFonts w:hint="eastAsia" w:ascii="仿宋_GB2312" w:hAnsi="仿宋_GB2312" w:eastAsia="仿宋_GB2312" w:cs="仿宋_GB2312"/>
          <w:bCs/>
          <w:sz w:val="32"/>
          <w:szCs w:val="32"/>
          <w:highlight w:val="none"/>
        </w:rPr>
        <w:t>、揭阳惠来县、云浮新兴县。</w:t>
      </w:r>
    </w:p>
    <w:p w14:paraId="46255955">
      <w:pPr>
        <w:pStyle w:val="5"/>
        <w:keepNext w:val="0"/>
        <w:keepLines w:val="0"/>
        <w:pageBreakBefore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各试点区域</w:t>
      </w:r>
      <w:r>
        <w:rPr>
          <w:rFonts w:hint="eastAsia" w:ascii="仿宋_GB2312" w:hAnsi="仿宋_GB2312" w:eastAsia="仿宋_GB2312" w:cs="仿宋_GB2312"/>
          <w:bCs/>
          <w:sz w:val="32"/>
          <w:szCs w:val="32"/>
          <w:highlight w:val="none"/>
          <w:lang w:eastAsia="zh-CN"/>
        </w:rPr>
        <w:t>结合</w:t>
      </w:r>
      <w:r>
        <w:rPr>
          <w:rFonts w:hint="eastAsia" w:ascii="仿宋_GB2312" w:hAnsi="仿宋_GB2312" w:eastAsia="仿宋_GB2312" w:cs="仿宋_GB2312"/>
          <w:bCs/>
          <w:sz w:val="32"/>
          <w:szCs w:val="32"/>
          <w:highlight w:val="none"/>
        </w:rPr>
        <w:t>实际，选取</w:t>
      </w:r>
      <w:r>
        <w:rPr>
          <w:rFonts w:hint="eastAsia" w:ascii="仿宋_GB2312" w:hAnsi="仿宋_GB2312" w:eastAsia="仿宋_GB2312" w:cs="仿宋_GB2312"/>
          <w:bCs/>
          <w:sz w:val="32"/>
          <w:szCs w:val="32"/>
          <w:highlight w:val="none"/>
          <w:lang w:val="en-US" w:eastAsia="zh-CN"/>
        </w:rPr>
        <w:t>若干个乡</w:t>
      </w:r>
      <w:r>
        <w:rPr>
          <w:rFonts w:hint="eastAsia" w:ascii="仿宋_GB2312" w:hAnsi="仿宋_GB2312" w:eastAsia="仿宋_GB2312" w:cs="仿宋_GB2312"/>
          <w:bCs/>
          <w:sz w:val="32"/>
          <w:szCs w:val="32"/>
          <w:highlight w:val="none"/>
        </w:rPr>
        <w:t>镇（街道，东莞、中山选取社区）先行</w:t>
      </w:r>
      <w:r>
        <w:rPr>
          <w:rFonts w:hint="eastAsia" w:ascii="仿宋_GB2312" w:hAnsi="仿宋_GB2312" w:eastAsia="仿宋_GB2312" w:cs="仿宋_GB2312"/>
          <w:bCs/>
          <w:sz w:val="32"/>
          <w:szCs w:val="32"/>
          <w:highlight w:val="none"/>
          <w:lang w:eastAsia="zh-CN"/>
        </w:rPr>
        <w:t>开展</w:t>
      </w:r>
      <w:r>
        <w:rPr>
          <w:rFonts w:hint="eastAsia" w:ascii="仿宋_GB2312" w:hAnsi="仿宋_GB2312" w:eastAsia="仿宋_GB2312" w:cs="仿宋_GB2312"/>
          <w:bCs/>
          <w:sz w:val="32"/>
          <w:szCs w:val="32"/>
          <w:highlight w:val="none"/>
        </w:rPr>
        <w:t>全域试点</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鼓励有条件的</w:t>
      </w:r>
      <w:r>
        <w:rPr>
          <w:rFonts w:hint="eastAsia" w:ascii="仿宋_GB2312" w:hAnsi="仿宋_GB2312" w:eastAsia="仿宋_GB2312" w:cs="仿宋_GB2312"/>
          <w:bCs/>
          <w:sz w:val="32"/>
          <w:szCs w:val="32"/>
          <w:highlight w:val="none"/>
          <w:lang w:eastAsia="zh-CN"/>
        </w:rPr>
        <w:t>试点</w:t>
      </w:r>
      <w:r>
        <w:rPr>
          <w:rFonts w:hint="eastAsia" w:ascii="仿宋_GB2312" w:hAnsi="仿宋_GB2312" w:eastAsia="仿宋_GB2312" w:cs="仿宋_GB2312"/>
          <w:bCs/>
          <w:sz w:val="32"/>
          <w:szCs w:val="32"/>
          <w:highlight w:val="none"/>
        </w:rPr>
        <w:t>区域</w:t>
      </w:r>
      <w:r>
        <w:rPr>
          <w:rFonts w:hint="eastAsia" w:ascii="仿宋_GB2312" w:hAnsi="仿宋_GB2312" w:eastAsia="仿宋_GB2312" w:cs="仿宋_GB2312"/>
          <w:bCs/>
          <w:sz w:val="32"/>
          <w:szCs w:val="32"/>
          <w:highlight w:val="none"/>
          <w:lang w:eastAsia="zh-CN"/>
        </w:rPr>
        <w:t>开展</w:t>
      </w:r>
      <w:r>
        <w:rPr>
          <w:rFonts w:hint="eastAsia" w:ascii="仿宋_GB2312" w:hAnsi="仿宋_GB2312" w:eastAsia="仿宋_GB2312" w:cs="仿宋_GB2312"/>
          <w:bCs/>
          <w:sz w:val="32"/>
          <w:szCs w:val="32"/>
          <w:highlight w:val="none"/>
        </w:rPr>
        <w:t>整县（市、区</w:t>
      </w:r>
      <w:r>
        <w:rPr>
          <w:rFonts w:hint="eastAsia" w:ascii="仿宋_GB2312" w:hAnsi="仿宋_GB2312" w:eastAsia="仿宋_GB2312" w:cs="仿宋_GB2312"/>
          <w:bCs/>
          <w:sz w:val="32"/>
          <w:szCs w:val="32"/>
          <w:highlight w:val="none"/>
          <w:lang w:eastAsia="zh-CN"/>
        </w:rPr>
        <w:t>，东莞为</w:t>
      </w:r>
      <w:r>
        <w:rPr>
          <w:rFonts w:hint="eastAsia" w:ascii="仿宋_GB2312" w:hAnsi="仿宋_GB2312" w:eastAsia="仿宋_GB2312" w:cs="仿宋_GB2312"/>
          <w:bCs/>
          <w:sz w:val="32"/>
          <w:szCs w:val="32"/>
          <w:highlight w:val="none"/>
        </w:rPr>
        <w:t>镇）全域试点</w:t>
      </w:r>
      <w:r>
        <w:rPr>
          <w:rFonts w:hint="eastAsia" w:ascii="仿宋_GB2312" w:hAnsi="仿宋_GB2312" w:eastAsia="仿宋_GB2312" w:cs="仿宋_GB2312"/>
          <w:bCs/>
          <w:sz w:val="32"/>
          <w:szCs w:val="32"/>
          <w:highlight w:val="none"/>
          <w:lang w:eastAsia="zh-CN"/>
        </w:rPr>
        <w:t>。全域试点实施</w:t>
      </w:r>
      <w:r>
        <w:rPr>
          <w:rFonts w:hint="eastAsia" w:ascii="仿宋_GB2312" w:hAnsi="仿宋_GB2312" w:eastAsia="仿宋_GB2312" w:cs="仿宋_GB2312"/>
          <w:bCs/>
          <w:sz w:val="32"/>
          <w:szCs w:val="32"/>
          <w:highlight w:val="none"/>
        </w:rPr>
        <w:t>“统一规划、统一标准、统一调度、统一管理”</w:t>
      </w:r>
      <w:r>
        <w:rPr>
          <w:rFonts w:hint="eastAsia" w:ascii="仿宋_GB2312" w:hAnsi="仿宋_GB2312" w:eastAsia="仿宋_GB2312" w:cs="仿宋_GB2312"/>
          <w:bCs/>
          <w:sz w:val="32"/>
          <w:szCs w:val="32"/>
          <w:highlight w:val="none"/>
          <w:lang w:eastAsia="zh-CN"/>
        </w:rPr>
        <w:t>，推动建筑分布式光伏规模和</w:t>
      </w:r>
      <w:r>
        <w:rPr>
          <w:rFonts w:hint="eastAsia" w:ascii="仿宋_GB2312" w:hAnsi="仿宋_GB2312" w:eastAsia="仿宋_GB2312" w:cs="仿宋_GB2312"/>
          <w:bCs/>
          <w:color w:val="auto"/>
          <w:sz w:val="32"/>
          <w:szCs w:val="32"/>
          <w:highlight w:val="none"/>
        </w:rPr>
        <w:t>城乡建筑</w:t>
      </w:r>
      <w:r>
        <w:rPr>
          <w:rFonts w:hint="eastAsia" w:ascii="仿宋_GB2312" w:hAnsi="仿宋_GB2312" w:eastAsia="仿宋_GB2312" w:cs="仿宋_GB2312"/>
          <w:bCs/>
          <w:sz w:val="32"/>
          <w:szCs w:val="32"/>
          <w:highlight w:val="none"/>
          <w:lang w:eastAsia="zh-CN"/>
        </w:rPr>
        <w:t>风貌同步提升</w:t>
      </w:r>
      <w:r>
        <w:rPr>
          <w:rFonts w:hint="eastAsia" w:ascii="仿宋_GB2312" w:hAnsi="仿宋_GB2312" w:eastAsia="仿宋_GB2312" w:cs="仿宋_GB2312"/>
          <w:bCs/>
          <w:sz w:val="32"/>
          <w:szCs w:val="32"/>
          <w:highlight w:val="none"/>
        </w:rPr>
        <w:t>。</w:t>
      </w:r>
    </w:p>
    <w:p w14:paraId="1BD12337">
      <w:pPr>
        <w:keepNext w:val="0"/>
        <w:keepLines w:val="0"/>
        <w:pageBreakBefore w:val="0"/>
        <w:kinsoku/>
        <w:wordWrap/>
        <w:overflowPunct/>
        <w:topLinePunct w:val="0"/>
        <w:autoSpaceDE/>
        <w:autoSpaceDN/>
        <w:bidi w:val="0"/>
        <w:adjustRightInd/>
        <w:spacing w:line="600" w:lineRule="exact"/>
        <w:ind w:firstLine="640" w:firstLineChars="200"/>
        <w:jc w:val="left"/>
        <w:outlineLvl w:val="0"/>
        <w:rPr>
          <w:rFonts w:hint="eastAsia" w:ascii="Cambria" w:hAnsi="Cambria" w:eastAsia="黑体" w:cs="Times New Roman"/>
          <w:bCs/>
          <w:color w:val="auto"/>
          <w:kern w:val="44"/>
          <w:sz w:val="32"/>
          <w:szCs w:val="32"/>
          <w:highlight w:val="none"/>
          <w:lang w:val="en-US" w:eastAsia="zh-CN" w:bidi="hi-IN"/>
        </w:rPr>
      </w:pPr>
      <w:r>
        <w:rPr>
          <w:rFonts w:hint="eastAsia" w:ascii="Cambria" w:hAnsi="Cambria" w:eastAsia="黑体" w:cs="Times New Roman"/>
          <w:bCs/>
          <w:color w:val="auto"/>
          <w:kern w:val="44"/>
          <w:sz w:val="32"/>
          <w:szCs w:val="32"/>
          <w:highlight w:val="none"/>
          <w:lang w:val="en-US" w:eastAsia="zh-CN" w:bidi="hi-IN"/>
        </w:rPr>
        <w:t>三、工作目标</w:t>
      </w:r>
    </w:p>
    <w:p w14:paraId="6C9213E0">
      <w:pPr>
        <w:pStyle w:val="5"/>
        <w:keepNext w:val="0"/>
        <w:keepLines w:val="0"/>
        <w:pageBreakBefore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kern w:val="0"/>
          <w:sz w:val="32"/>
          <w:szCs w:val="24"/>
          <w:highlight w:val="none"/>
          <w:lang w:bidi="hi-IN"/>
        </w:rPr>
      </w:pPr>
      <w:r>
        <w:rPr>
          <w:rFonts w:hint="eastAsia" w:ascii="仿宋_GB2312" w:hAnsi="仿宋_GB2312" w:eastAsia="仿宋_GB2312" w:cs="仿宋_GB2312"/>
          <w:kern w:val="0"/>
          <w:sz w:val="32"/>
          <w:szCs w:val="24"/>
          <w:highlight w:val="none"/>
          <w:lang w:bidi="hi-IN"/>
        </w:rPr>
        <w:t>2024年底前，各试点区域完成全面摸底调查，在新建公共建筑、工业建筑、居住建筑以及符合条件的既有建筑</w:t>
      </w:r>
      <w:r>
        <w:rPr>
          <w:rFonts w:hint="eastAsia" w:ascii="仿宋_GB2312" w:hAnsi="仿宋_GB2312" w:eastAsia="仿宋_GB2312" w:cs="仿宋_GB2312"/>
          <w:kern w:val="0"/>
          <w:sz w:val="32"/>
          <w:szCs w:val="24"/>
          <w:highlight w:val="none"/>
          <w:lang w:eastAsia="zh-CN" w:bidi="hi-IN"/>
        </w:rPr>
        <w:t>、公共设施或者构筑物等</w:t>
      </w:r>
      <w:r>
        <w:rPr>
          <w:rFonts w:hint="eastAsia" w:ascii="仿宋_GB2312" w:hAnsi="仿宋_GB2312" w:eastAsia="仿宋_GB2312" w:cs="仿宋_GB2312"/>
          <w:kern w:val="0"/>
          <w:sz w:val="32"/>
          <w:szCs w:val="24"/>
          <w:highlight w:val="none"/>
          <w:lang w:bidi="hi-IN"/>
        </w:rPr>
        <w:t>，</w:t>
      </w:r>
      <w:r>
        <w:rPr>
          <w:rFonts w:hint="eastAsia" w:ascii="仿宋_GB2312" w:hAnsi="仿宋_GB2312" w:eastAsia="仿宋_GB2312" w:cs="仿宋_GB2312"/>
          <w:kern w:val="0"/>
          <w:sz w:val="32"/>
          <w:szCs w:val="24"/>
          <w:highlight w:val="none"/>
          <w:lang w:eastAsia="zh-CN" w:bidi="hi-IN"/>
        </w:rPr>
        <w:t>新增</w:t>
      </w:r>
      <w:r>
        <w:rPr>
          <w:rFonts w:hint="eastAsia" w:ascii="仿宋_GB2312" w:hAnsi="仿宋_GB2312" w:eastAsia="仿宋_GB2312" w:cs="仿宋_GB2312"/>
          <w:kern w:val="0"/>
          <w:sz w:val="32"/>
          <w:szCs w:val="24"/>
          <w:highlight w:val="none"/>
          <w:lang w:bidi="hi-IN"/>
        </w:rPr>
        <w:t>打造“光伏+建筑”示范</w:t>
      </w:r>
      <w:r>
        <w:rPr>
          <w:rFonts w:hint="eastAsia" w:ascii="仿宋_GB2312" w:hAnsi="仿宋_GB2312" w:eastAsia="仿宋_GB2312" w:cs="仿宋_GB2312"/>
          <w:kern w:val="0"/>
          <w:sz w:val="32"/>
          <w:szCs w:val="24"/>
          <w:highlight w:val="none"/>
          <w:lang w:eastAsia="zh-CN" w:bidi="hi-IN"/>
        </w:rPr>
        <w:t>项目</w:t>
      </w:r>
      <w:r>
        <w:rPr>
          <w:rFonts w:hint="eastAsia" w:ascii="仿宋_GB2312" w:hAnsi="仿宋_GB2312" w:eastAsia="仿宋_GB2312" w:cs="仿宋_GB2312"/>
          <w:kern w:val="0"/>
          <w:sz w:val="32"/>
          <w:szCs w:val="24"/>
          <w:highlight w:val="none"/>
          <w:lang w:bidi="hi-IN"/>
        </w:rPr>
        <w:t>2个以上</w:t>
      </w:r>
      <w:r>
        <w:rPr>
          <w:rFonts w:hint="eastAsia" w:ascii="仿宋_GB2312" w:hAnsi="仿宋_GB2312" w:eastAsia="仿宋_GB2312" w:cs="仿宋_GB2312"/>
          <w:kern w:val="0"/>
          <w:sz w:val="32"/>
          <w:szCs w:val="24"/>
          <w:highlight w:val="none"/>
          <w:lang w:eastAsia="zh-CN" w:bidi="hi-IN"/>
        </w:rPr>
        <w:t>，年度</w:t>
      </w:r>
      <w:r>
        <w:rPr>
          <w:rFonts w:hint="eastAsia" w:ascii="仿宋_GB2312" w:hAnsi="仿宋_GB2312" w:eastAsia="仿宋_GB2312" w:cs="仿宋_GB2312"/>
          <w:kern w:val="0"/>
          <w:sz w:val="32"/>
          <w:szCs w:val="24"/>
          <w:highlight w:val="none"/>
          <w:lang w:bidi="hi-IN"/>
        </w:rPr>
        <w:t>新增装机规模不少于5万千瓦。全省试点区域2024年度新增“光伏+建筑”项目</w:t>
      </w:r>
      <w:r>
        <w:rPr>
          <w:rFonts w:hint="eastAsia" w:ascii="仿宋_GB2312" w:hAnsi="仿宋_GB2312" w:eastAsia="仿宋_GB2312" w:cs="仿宋_GB2312"/>
          <w:kern w:val="0"/>
          <w:sz w:val="32"/>
          <w:szCs w:val="24"/>
          <w:highlight w:val="none"/>
          <w:lang w:eastAsia="zh-CN" w:bidi="hi-IN"/>
        </w:rPr>
        <w:t>总</w:t>
      </w:r>
      <w:r>
        <w:rPr>
          <w:rFonts w:hint="eastAsia" w:ascii="仿宋_GB2312" w:hAnsi="仿宋_GB2312" w:eastAsia="仿宋_GB2312" w:cs="仿宋_GB2312"/>
          <w:kern w:val="0"/>
          <w:sz w:val="32"/>
          <w:szCs w:val="24"/>
          <w:highlight w:val="none"/>
          <w:lang w:bidi="hi-IN"/>
        </w:rPr>
        <w:t>装机规模不少于12</w:t>
      </w:r>
      <w:r>
        <w:rPr>
          <w:rFonts w:hint="eastAsia" w:ascii="仿宋_GB2312" w:hAnsi="仿宋_GB2312" w:eastAsia="仿宋_GB2312" w:cs="仿宋_GB2312"/>
          <w:kern w:val="0"/>
          <w:sz w:val="32"/>
          <w:szCs w:val="24"/>
          <w:highlight w:val="none"/>
          <w:lang w:val="en-US" w:eastAsia="zh-CN" w:bidi="hi-IN"/>
        </w:rPr>
        <w:t>5</w:t>
      </w:r>
      <w:r>
        <w:rPr>
          <w:rFonts w:hint="eastAsia" w:ascii="仿宋_GB2312" w:hAnsi="仿宋_GB2312" w:eastAsia="仿宋_GB2312" w:cs="仿宋_GB2312"/>
          <w:kern w:val="0"/>
          <w:sz w:val="32"/>
          <w:szCs w:val="24"/>
          <w:highlight w:val="none"/>
          <w:lang w:bidi="hi-IN"/>
        </w:rPr>
        <w:t>万千瓦。</w:t>
      </w:r>
    </w:p>
    <w:p w14:paraId="70762508">
      <w:pPr>
        <w:pStyle w:val="5"/>
        <w:keepNext w:val="0"/>
        <w:keepLines w:val="0"/>
        <w:pageBreakBefore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kern w:val="0"/>
          <w:sz w:val="32"/>
          <w:szCs w:val="24"/>
          <w:highlight w:val="none"/>
          <w:lang w:bidi="hi-IN"/>
        </w:rPr>
      </w:pPr>
      <w:r>
        <w:rPr>
          <w:rFonts w:hint="eastAsia" w:ascii="仿宋_GB2312" w:hAnsi="仿宋_GB2312" w:eastAsia="仿宋_GB2312" w:cs="仿宋_GB2312"/>
          <w:kern w:val="0"/>
          <w:sz w:val="32"/>
          <w:szCs w:val="32"/>
          <w:highlight w:val="none"/>
          <w:lang w:bidi="hi-IN"/>
        </w:rPr>
        <w:t>2025年底前，</w:t>
      </w:r>
      <w:r>
        <w:rPr>
          <w:rFonts w:hint="eastAsia" w:ascii="仿宋_GB2312" w:hAnsi="仿宋_GB2312" w:eastAsia="仿宋_GB2312" w:cs="仿宋_GB2312"/>
          <w:kern w:val="0"/>
          <w:sz w:val="32"/>
          <w:szCs w:val="24"/>
          <w:highlight w:val="none"/>
          <w:lang w:bidi="hi-IN"/>
        </w:rPr>
        <w:t>各试点区域形成政府引导、市场运作、多方共赢的建设开发模式；新建</w:t>
      </w:r>
      <w:r>
        <w:rPr>
          <w:rFonts w:hint="eastAsia" w:ascii="仿宋_GB2312" w:hAnsi="仿宋_GB2312" w:eastAsia="仿宋_GB2312" w:cs="仿宋_GB2312"/>
          <w:kern w:val="0"/>
          <w:sz w:val="32"/>
          <w:szCs w:val="24"/>
          <w:highlight w:val="none"/>
          <w:lang w:eastAsia="zh-CN" w:bidi="hi-IN"/>
        </w:rPr>
        <w:t>各类</w:t>
      </w:r>
      <w:r>
        <w:rPr>
          <w:rFonts w:hint="eastAsia" w:ascii="仿宋_GB2312" w:hAnsi="仿宋_GB2312" w:eastAsia="仿宋_GB2312" w:cs="仿宋_GB2312"/>
          <w:kern w:val="0"/>
          <w:sz w:val="32"/>
          <w:szCs w:val="24"/>
          <w:highlight w:val="none"/>
          <w:lang w:bidi="hi-IN"/>
        </w:rPr>
        <w:t>园区实现</w:t>
      </w:r>
      <w:r>
        <w:rPr>
          <w:rFonts w:hint="eastAsia" w:ascii="仿宋_GB2312" w:hAnsi="仿宋_GB2312" w:eastAsia="仿宋_GB2312" w:cs="仿宋_GB2312"/>
          <w:kern w:val="0"/>
          <w:sz w:val="32"/>
          <w:szCs w:val="24"/>
          <w:highlight w:val="none"/>
          <w:lang w:eastAsia="zh-CN" w:bidi="hi-IN"/>
        </w:rPr>
        <w:t>分布式</w:t>
      </w:r>
      <w:r>
        <w:rPr>
          <w:rFonts w:hint="eastAsia" w:ascii="仿宋_GB2312" w:hAnsi="仿宋_GB2312" w:eastAsia="仿宋_GB2312" w:cs="仿宋_GB2312"/>
          <w:kern w:val="0"/>
          <w:sz w:val="32"/>
          <w:szCs w:val="24"/>
          <w:highlight w:val="none"/>
          <w:lang w:bidi="hi-IN"/>
        </w:rPr>
        <w:t>光伏全覆盖</w:t>
      </w:r>
      <w:r>
        <w:rPr>
          <w:rFonts w:hint="eastAsia" w:ascii="仿宋_GB2312" w:hAnsi="仿宋_GB2312" w:eastAsia="仿宋_GB2312" w:cs="仿宋_GB2312"/>
          <w:kern w:val="0"/>
          <w:sz w:val="32"/>
          <w:szCs w:val="24"/>
          <w:highlight w:val="none"/>
          <w:lang w:eastAsia="zh-CN" w:bidi="hi-IN"/>
        </w:rPr>
        <w:t>；</w:t>
      </w:r>
      <w:r>
        <w:rPr>
          <w:rFonts w:hint="eastAsia" w:ascii="仿宋_GB2312" w:hAnsi="仿宋_GB2312" w:eastAsia="仿宋_GB2312" w:cs="仿宋_GB2312"/>
          <w:kern w:val="0"/>
          <w:sz w:val="32"/>
          <w:szCs w:val="24"/>
          <w:highlight w:val="none"/>
          <w:lang w:bidi="hi-IN"/>
        </w:rPr>
        <w:t>公共机构、公共设施宜装尽装，新建公共</w:t>
      </w:r>
      <w:r>
        <w:rPr>
          <w:rFonts w:hint="eastAsia" w:ascii="仿宋_GB2312" w:hAnsi="仿宋_GB2312" w:eastAsia="仿宋_GB2312" w:cs="仿宋_GB2312"/>
          <w:kern w:val="0"/>
          <w:sz w:val="32"/>
          <w:szCs w:val="24"/>
          <w:highlight w:val="none"/>
          <w:lang w:eastAsia="zh-CN" w:bidi="hi-IN"/>
        </w:rPr>
        <w:t>机构屋顶</w:t>
      </w:r>
      <w:r>
        <w:rPr>
          <w:rFonts w:hint="eastAsia" w:ascii="仿宋_GB2312" w:hAnsi="仿宋_GB2312" w:eastAsia="仿宋_GB2312" w:cs="仿宋_GB2312"/>
          <w:kern w:val="0"/>
          <w:sz w:val="32"/>
          <w:szCs w:val="24"/>
          <w:highlight w:val="none"/>
          <w:lang w:bidi="hi-IN"/>
        </w:rPr>
        <w:t>光伏覆盖率不低于50%；</w:t>
      </w:r>
      <w:r>
        <w:rPr>
          <w:rFonts w:hint="eastAsia" w:ascii="仿宋_GB2312" w:hAnsi="仿宋_GB2312" w:eastAsia="仿宋_GB2312" w:cs="仿宋_GB2312"/>
          <w:color w:val="auto"/>
          <w:kern w:val="0"/>
          <w:sz w:val="32"/>
          <w:szCs w:val="24"/>
          <w:highlight w:val="none"/>
          <w:lang w:bidi="hi-IN"/>
        </w:rPr>
        <w:t>建成具有良好示范效果的农房不少于</w:t>
      </w:r>
      <w:r>
        <w:rPr>
          <w:rFonts w:hint="eastAsia" w:ascii="仿宋_GB2312" w:hAnsi="仿宋_GB2312" w:eastAsia="仿宋_GB2312" w:cs="仿宋_GB2312"/>
          <w:color w:val="auto"/>
          <w:kern w:val="0"/>
          <w:sz w:val="32"/>
          <w:szCs w:val="24"/>
          <w:highlight w:val="none"/>
          <w:lang w:eastAsia="zh-CN" w:bidi="hi-IN"/>
        </w:rPr>
        <w:t>1</w:t>
      </w:r>
      <w:r>
        <w:rPr>
          <w:rFonts w:hint="eastAsia" w:ascii="仿宋_GB2312" w:hAnsi="仿宋_GB2312" w:eastAsia="仿宋_GB2312" w:cs="仿宋_GB2312"/>
          <w:color w:val="auto"/>
          <w:kern w:val="0"/>
          <w:sz w:val="32"/>
          <w:szCs w:val="24"/>
          <w:highlight w:val="none"/>
          <w:lang w:val="en-US" w:eastAsia="zh-CN" w:bidi="hi-IN"/>
        </w:rPr>
        <w:t>0</w:t>
      </w:r>
      <w:r>
        <w:rPr>
          <w:rFonts w:hint="eastAsia" w:ascii="仿宋_GB2312" w:hAnsi="仿宋_GB2312" w:eastAsia="仿宋_GB2312" w:cs="仿宋_GB2312"/>
          <w:color w:val="auto"/>
          <w:kern w:val="0"/>
          <w:sz w:val="32"/>
          <w:szCs w:val="24"/>
          <w:highlight w:val="none"/>
          <w:lang w:bidi="hi-IN"/>
        </w:rPr>
        <w:t>00户</w:t>
      </w:r>
      <w:r>
        <w:rPr>
          <w:rFonts w:hint="eastAsia" w:ascii="仿宋_GB2312" w:hAnsi="仿宋_GB2312" w:eastAsia="仿宋_GB2312" w:cs="仿宋_GB2312"/>
          <w:kern w:val="0"/>
          <w:sz w:val="32"/>
          <w:szCs w:val="24"/>
          <w:highlight w:val="none"/>
          <w:lang w:bidi="hi-IN"/>
        </w:rPr>
        <w:t>（东莞</w:t>
      </w:r>
      <w:r>
        <w:rPr>
          <w:rFonts w:hint="eastAsia" w:ascii="仿宋_GB2312" w:hAnsi="仿宋_GB2312" w:eastAsia="仿宋_GB2312" w:cs="仿宋_GB2312"/>
          <w:kern w:val="0"/>
          <w:sz w:val="32"/>
          <w:szCs w:val="24"/>
          <w:highlight w:val="none"/>
          <w:lang w:eastAsia="zh-CN" w:bidi="hi-IN"/>
        </w:rPr>
        <w:t>、</w:t>
      </w:r>
      <w:r>
        <w:rPr>
          <w:rFonts w:hint="eastAsia" w:ascii="仿宋_GB2312" w:hAnsi="仿宋_GB2312" w:eastAsia="仿宋_GB2312" w:cs="仿宋_GB2312"/>
          <w:kern w:val="0"/>
          <w:sz w:val="32"/>
          <w:szCs w:val="24"/>
          <w:highlight w:val="none"/>
          <w:lang w:bidi="hi-IN"/>
        </w:rPr>
        <w:t>中山的试点</w:t>
      </w:r>
      <w:r>
        <w:rPr>
          <w:rFonts w:hint="eastAsia" w:ascii="仿宋_GB2312" w:hAnsi="仿宋_GB2312" w:eastAsia="仿宋_GB2312" w:cs="仿宋_GB2312"/>
          <w:kern w:val="0"/>
          <w:sz w:val="32"/>
          <w:szCs w:val="24"/>
          <w:highlight w:val="none"/>
          <w:lang w:eastAsia="zh-CN" w:bidi="hi-IN"/>
        </w:rPr>
        <w:t>区域</w:t>
      </w:r>
      <w:r>
        <w:rPr>
          <w:rFonts w:hint="eastAsia" w:ascii="仿宋_GB2312" w:hAnsi="仿宋_GB2312" w:eastAsia="仿宋_GB2312" w:cs="仿宋_GB2312"/>
          <w:kern w:val="0"/>
          <w:sz w:val="32"/>
          <w:szCs w:val="24"/>
          <w:highlight w:val="none"/>
          <w:lang w:bidi="hi-IN"/>
        </w:rPr>
        <w:t>任务量减半）</w:t>
      </w:r>
      <w:r>
        <w:rPr>
          <w:rFonts w:hint="eastAsia" w:ascii="仿宋_GB2312" w:hAnsi="仿宋_GB2312" w:eastAsia="仿宋_GB2312" w:cs="仿宋_GB2312"/>
          <w:kern w:val="0"/>
          <w:sz w:val="32"/>
          <w:szCs w:val="24"/>
          <w:highlight w:val="none"/>
          <w:lang w:eastAsia="zh-CN" w:bidi="hi-IN"/>
        </w:rPr>
        <w:t>，年度</w:t>
      </w:r>
      <w:r>
        <w:rPr>
          <w:rFonts w:hint="eastAsia" w:ascii="仿宋_GB2312" w:hAnsi="仿宋_GB2312" w:eastAsia="仿宋_GB2312" w:cs="仿宋_GB2312"/>
          <w:kern w:val="0"/>
          <w:sz w:val="32"/>
          <w:szCs w:val="24"/>
          <w:highlight w:val="none"/>
          <w:lang w:bidi="hi-IN"/>
        </w:rPr>
        <w:t>新增装机规模不少于</w:t>
      </w:r>
      <w:r>
        <w:rPr>
          <w:rFonts w:hint="eastAsia" w:ascii="仿宋_GB2312" w:hAnsi="仿宋_GB2312" w:eastAsia="仿宋_GB2312" w:cs="仿宋_GB2312"/>
          <w:kern w:val="0"/>
          <w:sz w:val="32"/>
          <w:szCs w:val="24"/>
          <w:highlight w:val="none"/>
          <w:lang w:val="en-US" w:eastAsia="zh-CN" w:bidi="hi-IN"/>
        </w:rPr>
        <w:t>7</w:t>
      </w:r>
      <w:r>
        <w:rPr>
          <w:rFonts w:hint="eastAsia" w:ascii="仿宋_GB2312" w:hAnsi="仿宋_GB2312" w:eastAsia="仿宋_GB2312" w:cs="仿宋_GB2312"/>
          <w:kern w:val="0"/>
          <w:sz w:val="32"/>
          <w:szCs w:val="24"/>
          <w:highlight w:val="none"/>
          <w:lang w:bidi="hi-IN"/>
        </w:rPr>
        <w:t>万千瓦。全省试点区域2025年</w:t>
      </w:r>
      <w:r>
        <w:rPr>
          <w:rFonts w:hint="eastAsia" w:ascii="仿宋_GB2312" w:hAnsi="仿宋_GB2312" w:eastAsia="仿宋_GB2312" w:cs="仿宋_GB2312"/>
          <w:kern w:val="0"/>
          <w:sz w:val="32"/>
          <w:szCs w:val="24"/>
          <w:highlight w:val="none"/>
          <w:lang w:eastAsia="zh-CN" w:bidi="hi-IN"/>
        </w:rPr>
        <w:t>累计</w:t>
      </w:r>
      <w:r>
        <w:rPr>
          <w:rFonts w:hint="eastAsia" w:ascii="仿宋_GB2312" w:hAnsi="仿宋_GB2312" w:eastAsia="仿宋_GB2312" w:cs="仿宋_GB2312"/>
          <w:kern w:val="0"/>
          <w:sz w:val="32"/>
          <w:szCs w:val="24"/>
          <w:highlight w:val="none"/>
          <w:lang w:bidi="hi-IN"/>
        </w:rPr>
        <w:t>新增“光伏+建筑”项目</w:t>
      </w:r>
      <w:r>
        <w:rPr>
          <w:rFonts w:hint="eastAsia" w:ascii="仿宋_GB2312" w:hAnsi="仿宋_GB2312" w:eastAsia="仿宋_GB2312" w:cs="仿宋_GB2312"/>
          <w:kern w:val="0"/>
          <w:sz w:val="32"/>
          <w:szCs w:val="24"/>
          <w:highlight w:val="none"/>
          <w:lang w:eastAsia="zh-CN" w:bidi="hi-IN"/>
        </w:rPr>
        <w:t>总</w:t>
      </w:r>
      <w:r>
        <w:rPr>
          <w:rFonts w:hint="eastAsia" w:ascii="仿宋_GB2312" w:hAnsi="仿宋_GB2312" w:eastAsia="仿宋_GB2312" w:cs="仿宋_GB2312"/>
          <w:kern w:val="0"/>
          <w:sz w:val="32"/>
          <w:szCs w:val="24"/>
          <w:highlight w:val="none"/>
          <w:lang w:bidi="hi-IN"/>
        </w:rPr>
        <w:t>装机规模不少于</w:t>
      </w:r>
      <w:r>
        <w:rPr>
          <w:rFonts w:hint="eastAsia" w:ascii="仿宋_GB2312" w:hAnsi="仿宋_GB2312" w:eastAsia="仿宋_GB2312" w:cs="仿宋_GB2312"/>
          <w:kern w:val="0"/>
          <w:sz w:val="32"/>
          <w:szCs w:val="24"/>
          <w:highlight w:val="none"/>
          <w:lang w:val="en-US" w:eastAsia="zh-CN" w:bidi="hi-IN"/>
        </w:rPr>
        <w:t>175</w:t>
      </w:r>
      <w:r>
        <w:rPr>
          <w:rFonts w:hint="eastAsia" w:ascii="仿宋_GB2312" w:hAnsi="仿宋_GB2312" w:eastAsia="仿宋_GB2312" w:cs="仿宋_GB2312"/>
          <w:kern w:val="0"/>
          <w:sz w:val="32"/>
          <w:szCs w:val="24"/>
          <w:highlight w:val="none"/>
          <w:lang w:bidi="hi-IN"/>
        </w:rPr>
        <w:t>万千瓦。</w:t>
      </w:r>
    </w:p>
    <w:p w14:paraId="5B9C1FB1">
      <w:pPr>
        <w:pStyle w:val="5"/>
        <w:keepNext w:val="0"/>
        <w:keepLines w:val="0"/>
        <w:pageBreakBefore w:val="0"/>
        <w:kinsoku/>
        <w:wordWrap/>
        <w:overflowPunct/>
        <w:topLinePunct w:val="0"/>
        <w:autoSpaceDE/>
        <w:autoSpaceDN/>
        <w:bidi w:val="0"/>
        <w:adjustRightInd/>
        <w:spacing w:line="600" w:lineRule="exact"/>
        <w:ind w:firstLine="640"/>
        <w:jc w:val="both"/>
        <w:rPr>
          <w:rFonts w:hint="eastAsia" w:ascii="仿宋_GB2312" w:hAnsi="仿宋_GB2312" w:eastAsia="仿宋_GB2312" w:cs="仿宋_GB2312"/>
          <w:kern w:val="0"/>
          <w:sz w:val="32"/>
          <w:szCs w:val="24"/>
          <w:highlight w:val="none"/>
          <w:lang w:bidi="hi-IN"/>
        </w:rPr>
      </w:pPr>
      <w:r>
        <w:rPr>
          <w:rFonts w:hint="eastAsia" w:ascii="仿宋_GB2312" w:hAnsi="仿宋_GB2312" w:eastAsia="仿宋_GB2312" w:cs="仿宋_GB2312"/>
          <w:kern w:val="0"/>
          <w:sz w:val="32"/>
          <w:szCs w:val="24"/>
          <w:highlight w:val="none"/>
          <w:lang w:bidi="hi-IN"/>
        </w:rPr>
        <w:t>2026年底</w:t>
      </w:r>
      <w:r>
        <w:rPr>
          <w:rFonts w:hint="eastAsia" w:ascii="仿宋_GB2312" w:hAnsi="仿宋_GB2312" w:eastAsia="仿宋_GB2312" w:cs="仿宋_GB2312"/>
          <w:kern w:val="0"/>
          <w:sz w:val="32"/>
          <w:szCs w:val="32"/>
          <w:highlight w:val="none"/>
          <w:lang w:bidi="hi-IN"/>
        </w:rPr>
        <w:t>前</w:t>
      </w:r>
      <w:r>
        <w:rPr>
          <w:rFonts w:hint="eastAsia" w:ascii="仿宋_GB2312" w:hAnsi="仿宋_GB2312" w:eastAsia="仿宋_GB2312" w:cs="仿宋_GB2312"/>
          <w:kern w:val="0"/>
          <w:sz w:val="32"/>
          <w:szCs w:val="24"/>
          <w:highlight w:val="none"/>
          <w:lang w:bidi="hi-IN"/>
        </w:rPr>
        <w:t>，各试点区域实现</w:t>
      </w:r>
      <w:r>
        <w:rPr>
          <w:rFonts w:hint="eastAsia" w:ascii="仿宋_GB2312" w:hAnsi="仿宋_GB2312" w:eastAsia="仿宋_GB2312" w:cs="仿宋_GB2312"/>
          <w:kern w:val="0"/>
          <w:sz w:val="32"/>
          <w:szCs w:val="24"/>
          <w:highlight w:val="none"/>
          <w:lang w:eastAsia="zh-CN" w:bidi="hi-IN"/>
        </w:rPr>
        <w:t>符合条件的</w:t>
      </w:r>
      <w:r>
        <w:rPr>
          <w:rFonts w:hint="eastAsia" w:ascii="仿宋_GB2312" w:hAnsi="仿宋_GB2312" w:eastAsia="仿宋_GB2312" w:cs="仿宋_GB2312"/>
          <w:kern w:val="0"/>
          <w:sz w:val="32"/>
          <w:szCs w:val="24"/>
          <w:highlight w:val="none"/>
          <w:lang w:bidi="hi-IN"/>
        </w:rPr>
        <w:t>建筑宜装尽装，“光伏+建筑”项目发电规模同步大幅提升，</w:t>
      </w:r>
      <w:r>
        <w:rPr>
          <w:rFonts w:hint="eastAsia" w:ascii="仿宋_GB2312" w:hAnsi="仿宋_GB2312" w:eastAsia="仿宋_GB2312" w:cs="仿宋_GB2312"/>
          <w:kern w:val="0"/>
          <w:sz w:val="32"/>
          <w:szCs w:val="24"/>
          <w:highlight w:val="none"/>
          <w:lang w:eastAsia="zh-CN" w:bidi="hi-IN"/>
        </w:rPr>
        <w:t>年度</w:t>
      </w:r>
      <w:r>
        <w:rPr>
          <w:rFonts w:hint="eastAsia" w:ascii="仿宋_GB2312" w:hAnsi="仿宋_GB2312" w:eastAsia="仿宋_GB2312" w:cs="仿宋_GB2312"/>
          <w:kern w:val="0"/>
          <w:sz w:val="32"/>
          <w:szCs w:val="24"/>
          <w:highlight w:val="none"/>
          <w:lang w:bidi="hi-IN"/>
        </w:rPr>
        <w:t>新增</w:t>
      </w:r>
      <w:r>
        <w:rPr>
          <w:rFonts w:hint="eastAsia" w:ascii="仿宋_GB2312" w:hAnsi="仿宋_GB2312" w:eastAsia="仿宋_GB2312" w:cs="仿宋_GB2312"/>
          <w:kern w:val="0"/>
          <w:sz w:val="32"/>
          <w:szCs w:val="24"/>
          <w:highlight w:val="none"/>
          <w:lang w:eastAsia="zh-CN" w:bidi="hi-IN"/>
        </w:rPr>
        <w:t>总</w:t>
      </w:r>
      <w:r>
        <w:rPr>
          <w:rFonts w:hint="eastAsia" w:ascii="仿宋_GB2312" w:hAnsi="仿宋_GB2312" w:eastAsia="仿宋_GB2312" w:cs="仿宋_GB2312"/>
          <w:kern w:val="0"/>
          <w:sz w:val="32"/>
          <w:szCs w:val="24"/>
          <w:highlight w:val="none"/>
          <w:lang w:bidi="hi-IN"/>
        </w:rPr>
        <w:t>装机规模不少于</w:t>
      </w:r>
      <w:r>
        <w:rPr>
          <w:rFonts w:hint="eastAsia" w:ascii="仿宋_GB2312" w:hAnsi="仿宋_GB2312" w:eastAsia="仿宋_GB2312" w:cs="仿宋_GB2312"/>
          <w:kern w:val="0"/>
          <w:sz w:val="32"/>
          <w:szCs w:val="24"/>
          <w:highlight w:val="none"/>
          <w:lang w:val="en-US" w:eastAsia="zh-CN" w:bidi="hi-IN"/>
        </w:rPr>
        <w:t>8</w:t>
      </w:r>
      <w:r>
        <w:rPr>
          <w:rFonts w:hint="eastAsia" w:ascii="仿宋_GB2312" w:hAnsi="仿宋_GB2312" w:eastAsia="仿宋_GB2312" w:cs="仿宋_GB2312"/>
          <w:kern w:val="0"/>
          <w:sz w:val="32"/>
          <w:szCs w:val="24"/>
          <w:highlight w:val="none"/>
          <w:lang w:bidi="hi-IN"/>
        </w:rPr>
        <w:t>万千瓦。全省试点区域2026年</w:t>
      </w:r>
      <w:r>
        <w:rPr>
          <w:rFonts w:hint="eastAsia" w:ascii="仿宋_GB2312" w:hAnsi="仿宋_GB2312" w:eastAsia="仿宋_GB2312" w:cs="仿宋_GB2312"/>
          <w:kern w:val="0"/>
          <w:sz w:val="32"/>
          <w:szCs w:val="24"/>
          <w:highlight w:val="none"/>
          <w:lang w:eastAsia="zh-CN" w:bidi="hi-IN"/>
        </w:rPr>
        <w:t>累计</w:t>
      </w:r>
      <w:r>
        <w:rPr>
          <w:rFonts w:hint="eastAsia" w:ascii="仿宋_GB2312" w:hAnsi="仿宋_GB2312" w:eastAsia="仿宋_GB2312" w:cs="仿宋_GB2312"/>
          <w:kern w:val="0"/>
          <w:sz w:val="32"/>
          <w:szCs w:val="24"/>
          <w:highlight w:val="none"/>
          <w:lang w:bidi="hi-IN"/>
        </w:rPr>
        <w:t>新增“光伏+建筑”项目</w:t>
      </w:r>
      <w:r>
        <w:rPr>
          <w:rFonts w:hint="eastAsia" w:ascii="仿宋_GB2312" w:hAnsi="仿宋_GB2312" w:eastAsia="仿宋_GB2312" w:cs="仿宋_GB2312"/>
          <w:kern w:val="0"/>
          <w:sz w:val="32"/>
          <w:szCs w:val="24"/>
          <w:highlight w:val="none"/>
          <w:lang w:eastAsia="zh-CN" w:bidi="hi-IN"/>
        </w:rPr>
        <w:t>总</w:t>
      </w:r>
      <w:r>
        <w:rPr>
          <w:rFonts w:hint="eastAsia" w:ascii="仿宋_GB2312" w:hAnsi="仿宋_GB2312" w:eastAsia="仿宋_GB2312" w:cs="仿宋_GB2312"/>
          <w:kern w:val="0"/>
          <w:sz w:val="32"/>
          <w:szCs w:val="24"/>
          <w:highlight w:val="none"/>
          <w:lang w:bidi="hi-IN"/>
        </w:rPr>
        <w:t>装机规模不少于</w:t>
      </w:r>
      <w:r>
        <w:rPr>
          <w:rFonts w:hint="eastAsia" w:ascii="仿宋_GB2312" w:hAnsi="仿宋_GB2312" w:eastAsia="仿宋_GB2312" w:cs="仿宋_GB2312"/>
          <w:kern w:val="0"/>
          <w:sz w:val="32"/>
          <w:szCs w:val="24"/>
          <w:highlight w:val="none"/>
          <w:lang w:val="en-US" w:eastAsia="zh-CN" w:bidi="hi-IN"/>
        </w:rPr>
        <w:t>200</w:t>
      </w:r>
      <w:r>
        <w:rPr>
          <w:rFonts w:hint="eastAsia" w:ascii="仿宋_GB2312" w:hAnsi="仿宋_GB2312" w:eastAsia="仿宋_GB2312" w:cs="仿宋_GB2312"/>
          <w:kern w:val="0"/>
          <w:sz w:val="32"/>
          <w:szCs w:val="24"/>
          <w:highlight w:val="none"/>
          <w:lang w:bidi="hi-IN"/>
        </w:rPr>
        <w:t>万千瓦。</w:t>
      </w:r>
    </w:p>
    <w:p w14:paraId="76A9305C">
      <w:pPr>
        <w:keepNext w:val="0"/>
        <w:keepLines w:val="0"/>
        <w:pageBreakBefore w:val="0"/>
        <w:widowControl w:val="0"/>
        <w:kinsoku/>
        <w:wordWrap/>
        <w:overflowPunct/>
        <w:topLinePunct w:val="0"/>
        <w:autoSpaceDE/>
        <w:autoSpaceDN/>
        <w:bidi w:val="0"/>
        <w:adjustRightInd/>
        <w:spacing w:line="600" w:lineRule="exact"/>
        <w:ind w:firstLine="640" w:firstLineChars="200"/>
        <w:jc w:val="left"/>
        <w:outlineLvl w:val="0"/>
        <w:rPr>
          <w:rFonts w:hint="eastAsia" w:ascii="Times New Roman" w:hAnsi="Times New Roman" w:eastAsia="黑体" w:cs="Times New Roman"/>
          <w:bCs/>
          <w:color w:val="auto"/>
          <w:kern w:val="44"/>
          <w:sz w:val="32"/>
          <w:szCs w:val="44"/>
          <w:highlight w:val="none"/>
          <w:lang w:val="en-US" w:eastAsia="zh-CN" w:bidi="ar-SA"/>
        </w:rPr>
      </w:pPr>
      <w:r>
        <w:rPr>
          <w:rFonts w:hint="eastAsia" w:ascii="Times New Roman" w:hAnsi="Times New Roman" w:eastAsia="黑体" w:cs="Times New Roman"/>
          <w:bCs/>
          <w:color w:val="auto"/>
          <w:kern w:val="44"/>
          <w:sz w:val="32"/>
          <w:szCs w:val="44"/>
          <w:highlight w:val="none"/>
          <w:lang w:val="en-US" w:eastAsia="zh-CN" w:bidi="ar-SA"/>
        </w:rPr>
        <w:t>四、工作任务</w:t>
      </w:r>
    </w:p>
    <w:p w14:paraId="72857811">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color w:val="auto"/>
          <w:kern w:val="0"/>
          <w:sz w:val="32"/>
          <w:szCs w:val="32"/>
          <w:highlight w:val="none"/>
          <w:lang w:bidi="hi-IN"/>
        </w:rPr>
      </w:pPr>
      <w:r>
        <w:rPr>
          <w:rFonts w:hint="eastAsia" w:ascii="Arial" w:hAnsi="Arial" w:eastAsia="楷体_GB2312" w:cs="Times New Roman"/>
          <w:color w:val="auto"/>
          <w:kern w:val="0"/>
          <w:sz w:val="32"/>
          <w:highlight w:val="none"/>
          <w:lang w:eastAsia="zh-CN" w:bidi="hi-IN"/>
        </w:rPr>
        <w:t>（一）制定</w:t>
      </w:r>
      <w:r>
        <w:rPr>
          <w:rFonts w:hint="eastAsia" w:ascii="Arial" w:hAnsi="Arial" w:eastAsia="楷体_GB2312" w:cs="Times New Roman"/>
          <w:color w:val="auto"/>
          <w:kern w:val="0"/>
          <w:sz w:val="32"/>
          <w:highlight w:val="none"/>
          <w:lang w:bidi="hi-IN"/>
        </w:rPr>
        <w:t>项目清单</w:t>
      </w:r>
      <w:r>
        <w:rPr>
          <w:rFonts w:ascii="Arial" w:hAnsi="Arial" w:eastAsia="楷体_GB2312" w:cs="Times New Roman"/>
          <w:color w:val="auto"/>
          <w:kern w:val="0"/>
          <w:sz w:val="32"/>
          <w:highlight w:val="none"/>
          <w:lang w:bidi="hi-IN"/>
        </w:rPr>
        <w:t>。</w:t>
      </w:r>
      <w:r>
        <w:rPr>
          <w:rFonts w:hint="eastAsia" w:ascii="仿宋_GB2312" w:hAnsi="仿宋_GB2312" w:eastAsia="仿宋_GB2312" w:cs="仿宋_GB2312"/>
          <w:color w:val="auto"/>
          <w:kern w:val="0"/>
          <w:sz w:val="32"/>
          <w:szCs w:val="32"/>
          <w:highlight w:val="none"/>
          <w:lang w:bidi="hi-IN"/>
        </w:rPr>
        <w:t>各试点区域全面调查各类公共</w:t>
      </w:r>
      <w:r>
        <w:rPr>
          <w:rFonts w:hint="eastAsia" w:ascii="仿宋_GB2312" w:hAnsi="仿宋_GB2312" w:eastAsia="仿宋_GB2312" w:cs="仿宋_GB2312"/>
          <w:color w:val="auto"/>
          <w:kern w:val="0"/>
          <w:sz w:val="32"/>
          <w:szCs w:val="32"/>
          <w:highlight w:val="none"/>
          <w:lang w:eastAsia="zh-CN" w:bidi="hi-IN"/>
        </w:rPr>
        <w:t>建筑</w:t>
      </w:r>
      <w:r>
        <w:rPr>
          <w:rFonts w:hint="eastAsia" w:ascii="仿宋_GB2312" w:hAnsi="仿宋_GB2312" w:eastAsia="仿宋_GB2312" w:cs="仿宋_GB2312"/>
          <w:color w:val="auto"/>
          <w:kern w:val="0"/>
          <w:sz w:val="32"/>
          <w:szCs w:val="32"/>
          <w:highlight w:val="none"/>
          <w:lang w:bidi="hi-IN"/>
        </w:rPr>
        <w:t>、园区建筑、城镇居住建筑、农房</w:t>
      </w:r>
      <w:r>
        <w:rPr>
          <w:rFonts w:hint="eastAsia" w:ascii="仿宋_GB2312" w:hAnsi="仿宋_GB2312" w:eastAsia="仿宋_GB2312" w:cs="仿宋_GB2312"/>
          <w:color w:val="auto"/>
          <w:kern w:val="0"/>
          <w:sz w:val="32"/>
          <w:szCs w:val="32"/>
          <w:highlight w:val="none"/>
          <w:lang w:eastAsia="zh-CN" w:bidi="hi-IN"/>
        </w:rPr>
        <w:t>、市政公用设施</w:t>
      </w:r>
      <w:r>
        <w:rPr>
          <w:rFonts w:hint="eastAsia" w:ascii="仿宋_GB2312" w:hAnsi="仿宋_GB2312" w:eastAsia="仿宋_GB2312" w:cs="仿宋_GB2312"/>
          <w:color w:val="auto"/>
          <w:kern w:val="0"/>
          <w:sz w:val="32"/>
          <w:szCs w:val="32"/>
          <w:highlight w:val="none"/>
          <w:lang w:bidi="hi-IN"/>
        </w:rPr>
        <w:t>等光伏开发资源以</w:t>
      </w:r>
      <w:r>
        <w:rPr>
          <w:rFonts w:hint="eastAsia" w:ascii="仿宋_GB2312" w:hAnsi="仿宋_GB2312" w:eastAsia="仿宋_GB2312" w:cs="仿宋_GB2312"/>
          <w:color w:val="auto"/>
          <w:kern w:val="0"/>
          <w:sz w:val="32"/>
          <w:highlight w:val="none"/>
          <w:lang w:bidi="hi-IN"/>
        </w:rPr>
        <w:t>及</w:t>
      </w:r>
      <w:r>
        <w:rPr>
          <w:rFonts w:hint="eastAsia" w:ascii="仿宋_GB2312" w:hAnsi="仿宋_GB2312" w:eastAsia="仿宋_GB2312" w:cs="仿宋_GB2312"/>
          <w:color w:val="auto"/>
          <w:kern w:val="0"/>
          <w:sz w:val="32"/>
          <w:szCs w:val="32"/>
          <w:highlight w:val="none"/>
          <w:lang w:bidi="hi-IN"/>
        </w:rPr>
        <w:t>电网基础设施</w:t>
      </w:r>
      <w:r>
        <w:rPr>
          <w:rFonts w:hint="eastAsia" w:ascii="仿宋_GB2312" w:hAnsi="仿宋_GB2312" w:eastAsia="仿宋_GB2312" w:cs="仿宋_GB2312"/>
          <w:color w:val="auto"/>
          <w:kern w:val="0"/>
          <w:sz w:val="32"/>
          <w:szCs w:val="32"/>
          <w:highlight w:val="none"/>
          <w:lang w:eastAsia="zh-CN" w:bidi="hi-IN"/>
        </w:rPr>
        <w:t>情况</w:t>
      </w:r>
      <w:r>
        <w:rPr>
          <w:rFonts w:hint="eastAsia" w:ascii="仿宋_GB2312" w:hAnsi="仿宋_GB2312" w:eastAsia="仿宋_GB2312" w:cs="仿宋_GB2312"/>
          <w:color w:val="auto"/>
          <w:kern w:val="0"/>
          <w:sz w:val="32"/>
          <w:szCs w:val="32"/>
          <w:highlight w:val="none"/>
          <w:lang w:bidi="hi-IN"/>
        </w:rPr>
        <w:t>，</w:t>
      </w:r>
      <w:r>
        <w:rPr>
          <w:rFonts w:hint="eastAsia" w:ascii="仿宋_GB2312" w:hAnsi="仿宋_GB2312" w:eastAsia="仿宋_GB2312" w:cs="仿宋_GB2312"/>
          <w:color w:val="auto"/>
          <w:kern w:val="0"/>
          <w:sz w:val="32"/>
          <w:szCs w:val="32"/>
          <w:highlight w:val="none"/>
          <w:lang w:eastAsia="zh-CN" w:bidi="hi-IN"/>
        </w:rPr>
        <w:t>研究明确可开发的“</w:t>
      </w:r>
      <w:r>
        <w:rPr>
          <w:rFonts w:hint="eastAsia" w:ascii="仿宋_GB2312" w:hAnsi="仿宋_GB2312" w:eastAsia="仿宋_GB2312" w:cs="仿宋_GB2312"/>
          <w:color w:val="auto"/>
          <w:kern w:val="0"/>
          <w:sz w:val="32"/>
          <w:szCs w:val="32"/>
          <w:highlight w:val="none"/>
          <w:lang w:val="en-US" w:eastAsia="zh-CN" w:bidi="hi-IN"/>
        </w:rPr>
        <w:t>光伏+</w:t>
      </w:r>
      <w:r>
        <w:rPr>
          <w:rFonts w:hint="eastAsia" w:ascii="仿宋_GB2312" w:hAnsi="仿宋_GB2312" w:eastAsia="仿宋_GB2312" w:cs="仿宋_GB2312"/>
          <w:color w:val="auto"/>
          <w:kern w:val="0"/>
          <w:sz w:val="32"/>
          <w:szCs w:val="32"/>
          <w:highlight w:val="none"/>
          <w:lang w:eastAsia="zh-CN" w:bidi="hi-IN"/>
        </w:rPr>
        <w:t>建筑”项目和装机规模等，</w:t>
      </w:r>
      <w:r>
        <w:rPr>
          <w:rFonts w:hint="eastAsia" w:ascii="仿宋_GB2312" w:hAnsi="仿宋_GB2312" w:eastAsia="仿宋_GB2312" w:cs="仿宋_GB2312"/>
          <w:color w:val="auto"/>
          <w:kern w:val="0"/>
          <w:sz w:val="32"/>
          <w:szCs w:val="32"/>
          <w:highlight w:val="none"/>
          <w:lang w:bidi="hi-IN"/>
        </w:rPr>
        <w:t>分类制定试点项目清单</w:t>
      </w:r>
      <w:r>
        <w:rPr>
          <w:rFonts w:hint="eastAsia" w:ascii="仿宋_GB2312" w:hAnsi="仿宋_GB2312" w:eastAsia="仿宋_GB2312" w:cs="仿宋_GB2312"/>
          <w:color w:val="auto"/>
          <w:kern w:val="0"/>
          <w:sz w:val="32"/>
          <w:szCs w:val="32"/>
          <w:highlight w:val="none"/>
          <w:lang w:eastAsia="zh-CN" w:bidi="hi-IN"/>
        </w:rPr>
        <w:t>，于</w:t>
      </w:r>
      <w:r>
        <w:rPr>
          <w:rFonts w:hint="eastAsia" w:ascii="仿宋_GB2312" w:hAnsi="仿宋_GB2312" w:eastAsia="仿宋_GB2312" w:cs="仿宋_GB2312"/>
          <w:color w:val="auto"/>
          <w:kern w:val="0"/>
          <w:sz w:val="32"/>
          <w:szCs w:val="32"/>
          <w:highlight w:val="none"/>
          <w:lang w:bidi="hi-IN"/>
        </w:rPr>
        <w:t>2024年9月底前</w:t>
      </w:r>
      <w:r>
        <w:rPr>
          <w:rFonts w:hint="eastAsia" w:ascii="仿宋_GB2312" w:hAnsi="仿宋_GB2312" w:eastAsia="仿宋_GB2312" w:cs="仿宋_GB2312"/>
          <w:color w:val="auto"/>
          <w:kern w:val="0"/>
          <w:sz w:val="32"/>
          <w:szCs w:val="32"/>
          <w:highlight w:val="none"/>
          <w:lang w:eastAsia="zh-CN" w:bidi="hi-IN"/>
        </w:rPr>
        <w:t>将</w:t>
      </w:r>
      <w:r>
        <w:rPr>
          <w:rFonts w:hint="eastAsia" w:ascii="仿宋_GB2312" w:hAnsi="仿宋_GB2312" w:eastAsia="仿宋_GB2312" w:cs="仿宋_GB2312"/>
          <w:color w:val="auto"/>
          <w:kern w:val="0"/>
          <w:sz w:val="32"/>
          <w:szCs w:val="32"/>
          <w:highlight w:val="none"/>
          <w:lang w:bidi="hi-IN"/>
        </w:rPr>
        <w:t>试点项目清单报</w:t>
      </w:r>
      <w:r>
        <w:rPr>
          <w:rFonts w:hint="eastAsia" w:ascii="仿宋_GB2312" w:hAnsi="仿宋_GB2312" w:eastAsia="仿宋_GB2312" w:cs="仿宋_GB2312"/>
          <w:color w:val="auto"/>
          <w:kern w:val="0"/>
          <w:sz w:val="32"/>
          <w:szCs w:val="32"/>
          <w:highlight w:val="none"/>
          <w:lang w:eastAsia="zh-CN" w:bidi="hi-IN"/>
        </w:rPr>
        <w:t>省住房城乡建设厅</w:t>
      </w:r>
      <w:r>
        <w:rPr>
          <w:rFonts w:hint="eastAsia" w:ascii="仿宋_GB2312" w:hAnsi="仿宋_GB2312" w:eastAsia="仿宋_GB2312" w:cs="仿宋_GB2312"/>
          <w:color w:val="auto"/>
          <w:kern w:val="0"/>
          <w:sz w:val="32"/>
          <w:szCs w:val="32"/>
          <w:highlight w:val="none"/>
          <w:lang w:bidi="hi-IN"/>
        </w:rPr>
        <w:t>。</w:t>
      </w:r>
    </w:p>
    <w:p w14:paraId="35345046">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color w:val="auto"/>
          <w:kern w:val="0"/>
          <w:sz w:val="32"/>
          <w:szCs w:val="32"/>
          <w:highlight w:val="none"/>
          <w:lang w:bidi="hi-IN"/>
        </w:rPr>
      </w:pPr>
      <w:r>
        <w:rPr>
          <w:rFonts w:hint="eastAsia" w:ascii="楷体_GB2312" w:hAnsi="楷体_GB2312" w:eastAsia="楷体_GB2312" w:cs="楷体_GB2312"/>
          <w:bCs/>
          <w:color w:val="auto"/>
          <w:kern w:val="2"/>
          <w:sz w:val="32"/>
          <w:szCs w:val="32"/>
          <w:highlight w:val="none"/>
          <w:lang w:eastAsia="zh-CN" w:bidi="ar-SA"/>
        </w:rPr>
        <w:t>（二）</w:t>
      </w:r>
      <w:r>
        <w:rPr>
          <w:rFonts w:hint="eastAsia" w:ascii="楷体_GB2312" w:hAnsi="楷体_GB2312" w:eastAsia="楷体_GB2312" w:cs="楷体_GB2312"/>
          <w:bCs/>
          <w:color w:val="auto"/>
          <w:kern w:val="2"/>
          <w:sz w:val="32"/>
          <w:szCs w:val="32"/>
          <w:highlight w:val="none"/>
          <w:lang w:bidi="ar-SA"/>
        </w:rPr>
        <w:t>优选开发模式</w:t>
      </w:r>
      <w:r>
        <w:rPr>
          <w:rFonts w:ascii="楷体_GB2312" w:hAnsi="楷体_GB2312" w:eastAsia="楷体_GB2312" w:cs="楷体_GB2312"/>
          <w:bCs/>
          <w:color w:val="auto"/>
          <w:kern w:val="2"/>
          <w:sz w:val="32"/>
          <w:szCs w:val="32"/>
          <w:highlight w:val="none"/>
          <w:lang w:bidi="ar-SA"/>
        </w:rPr>
        <w:t>。</w:t>
      </w:r>
      <w:r>
        <w:rPr>
          <w:rFonts w:hint="eastAsia" w:ascii="仿宋_GB2312" w:hAnsi="仿宋_GB2312" w:eastAsia="仿宋_GB2312" w:cs="仿宋_GB2312"/>
          <w:bCs w:val="0"/>
          <w:color w:val="auto"/>
          <w:kern w:val="0"/>
          <w:sz w:val="32"/>
          <w:szCs w:val="32"/>
          <w:highlight w:val="none"/>
          <w:lang w:eastAsia="zh-CN" w:bidi="hi-IN"/>
        </w:rPr>
        <w:t>各试点区域依法依规择优选择项目开发主体，</w:t>
      </w:r>
      <w:r>
        <w:rPr>
          <w:rFonts w:hint="eastAsia" w:ascii="仿宋_GB2312" w:hAnsi="仿宋_GB2312" w:eastAsia="仿宋_GB2312" w:cs="仿宋_GB2312"/>
          <w:color w:val="auto"/>
          <w:kern w:val="0"/>
          <w:sz w:val="32"/>
          <w:szCs w:val="32"/>
          <w:highlight w:val="none"/>
          <w:lang w:eastAsia="zh-CN" w:bidi="hi-IN"/>
        </w:rPr>
        <w:t>鼓励</w:t>
      </w:r>
      <w:r>
        <w:rPr>
          <w:rFonts w:hint="eastAsia" w:ascii="仿宋_GB2312" w:hAnsi="仿宋_GB2312" w:eastAsia="仿宋_GB2312" w:cs="仿宋_GB2312"/>
          <w:color w:val="auto"/>
          <w:kern w:val="0"/>
          <w:sz w:val="32"/>
          <w:szCs w:val="32"/>
          <w:highlight w:val="none"/>
          <w:lang w:bidi="hi-IN"/>
        </w:rPr>
        <w:t>创新运营维护、</w:t>
      </w:r>
      <w:r>
        <w:rPr>
          <w:rFonts w:hint="eastAsia" w:ascii="仿宋_GB2312" w:hAnsi="仿宋_GB2312" w:eastAsia="仿宋_GB2312" w:cs="仿宋_GB2312"/>
          <w:color w:val="00000A"/>
          <w:kern w:val="0"/>
          <w:sz w:val="32"/>
          <w:szCs w:val="32"/>
          <w:highlight w:val="none"/>
          <w:lang w:bidi="hi-IN"/>
        </w:rPr>
        <w:t>商业盈利</w:t>
      </w:r>
      <w:r>
        <w:rPr>
          <w:rFonts w:hint="eastAsia" w:ascii="仿宋_GB2312" w:hAnsi="仿宋_GB2312" w:eastAsia="仿宋_GB2312" w:cs="仿宋_GB2312"/>
          <w:color w:val="00000A"/>
          <w:kern w:val="0"/>
          <w:sz w:val="32"/>
          <w:szCs w:val="32"/>
          <w:highlight w:val="none"/>
          <w:lang w:eastAsia="zh-CN" w:bidi="hi-IN"/>
        </w:rPr>
        <w:t>、</w:t>
      </w:r>
      <w:r>
        <w:rPr>
          <w:rFonts w:hint="eastAsia" w:ascii="仿宋_GB2312" w:hAnsi="仿宋_GB2312" w:eastAsia="仿宋_GB2312" w:cs="仿宋_GB2312"/>
          <w:color w:val="auto"/>
          <w:kern w:val="0"/>
          <w:sz w:val="32"/>
          <w:szCs w:val="32"/>
          <w:highlight w:val="none"/>
          <w:lang w:bidi="hi-IN"/>
        </w:rPr>
        <w:t>收益分配</w:t>
      </w:r>
      <w:r>
        <w:rPr>
          <w:rFonts w:hint="eastAsia" w:ascii="仿宋_GB2312" w:hAnsi="仿宋_GB2312" w:eastAsia="仿宋_GB2312" w:cs="仿宋_GB2312"/>
          <w:color w:val="auto"/>
          <w:kern w:val="0"/>
          <w:sz w:val="32"/>
          <w:szCs w:val="32"/>
          <w:highlight w:val="none"/>
          <w:lang w:eastAsia="zh-CN" w:bidi="hi-IN"/>
        </w:rPr>
        <w:t>方式，</w:t>
      </w:r>
      <w:r>
        <w:rPr>
          <w:rFonts w:hint="eastAsia" w:ascii="仿宋_GB2312" w:hAnsi="仿宋_GB2312" w:eastAsia="仿宋_GB2312" w:cs="仿宋_GB2312"/>
          <w:b w:val="0"/>
          <w:bCs w:val="0"/>
          <w:color w:val="00000A"/>
          <w:kern w:val="2"/>
          <w:sz w:val="32"/>
          <w:szCs w:val="32"/>
          <w:highlight w:val="none"/>
          <w:lang w:val="en-US" w:eastAsia="zh-CN" w:bidi="hi-IN"/>
        </w:rPr>
        <w:t>实现参与方多方共赢</w:t>
      </w:r>
      <w:r>
        <w:rPr>
          <w:rFonts w:hint="eastAsia" w:ascii="仿宋_GB2312" w:hAnsi="仿宋_GB2312" w:eastAsia="仿宋_GB2312" w:cs="仿宋_GB2312"/>
          <w:color w:val="auto"/>
          <w:kern w:val="0"/>
          <w:sz w:val="32"/>
          <w:szCs w:val="32"/>
          <w:highlight w:val="none"/>
          <w:lang w:eastAsia="zh-CN" w:bidi="hi-IN"/>
        </w:rPr>
        <w:t>。</w:t>
      </w:r>
      <w:r>
        <w:rPr>
          <w:rFonts w:hint="eastAsia" w:ascii="仿宋_GB2312" w:hAnsi="仿宋_GB2312" w:eastAsia="仿宋_GB2312" w:cs="仿宋_GB2312"/>
          <w:color w:val="auto"/>
          <w:kern w:val="0"/>
          <w:sz w:val="32"/>
          <w:szCs w:val="32"/>
          <w:highlight w:val="none"/>
          <w:lang w:bidi="hi-IN"/>
        </w:rPr>
        <w:t>鼓励</w:t>
      </w:r>
      <w:r>
        <w:rPr>
          <w:rFonts w:hint="eastAsia" w:ascii="仿宋_GB2312" w:hAnsi="仿宋_GB2312" w:eastAsia="仿宋_GB2312" w:cs="仿宋_GB2312"/>
          <w:color w:val="auto"/>
          <w:kern w:val="0"/>
          <w:sz w:val="32"/>
          <w:szCs w:val="32"/>
          <w:highlight w:val="none"/>
          <w:lang w:eastAsia="zh-CN" w:bidi="hi-IN"/>
        </w:rPr>
        <w:t>各类型企业</w:t>
      </w:r>
      <w:r>
        <w:rPr>
          <w:rFonts w:hint="eastAsia" w:ascii="仿宋_GB2312" w:hAnsi="仿宋_GB2312" w:eastAsia="仿宋_GB2312" w:cs="仿宋_GB2312"/>
          <w:color w:val="auto"/>
          <w:kern w:val="0"/>
          <w:sz w:val="32"/>
          <w:szCs w:val="32"/>
          <w:highlight w:val="none"/>
          <w:lang w:bidi="hi-IN"/>
        </w:rPr>
        <w:t>合作开展投资、建设和管理，</w:t>
      </w:r>
      <w:r>
        <w:rPr>
          <w:rFonts w:hint="eastAsia" w:ascii="仿宋_GB2312" w:hAnsi="仿宋_GB2312" w:eastAsia="仿宋_GB2312" w:cs="仿宋_GB2312"/>
          <w:color w:val="auto"/>
          <w:kern w:val="0"/>
          <w:sz w:val="32"/>
          <w:szCs w:val="32"/>
          <w:highlight w:val="none"/>
          <w:lang w:eastAsia="zh-CN" w:bidi="hi-IN"/>
        </w:rPr>
        <w:t>合理</w:t>
      </w:r>
      <w:r>
        <w:rPr>
          <w:rFonts w:hint="eastAsia" w:ascii="仿宋_GB2312" w:hAnsi="仿宋_GB2312" w:eastAsia="仿宋_GB2312" w:cs="仿宋_GB2312"/>
          <w:color w:val="auto"/>
          <w:kern w:val="0"/>
          <w:sz w:val="32"/>
          <w:szCs w:val="32"/>
          <w:highlight w:val="none"/>
          <w:lang w:bidi="hi-IN"/>
        </w:rPr>
        <w:t>采用自建自用、协议租用、合同能源管理等方式盘活闲置</w:t>
      </w:r>
      <w:r>
        <w:rPr>
          <w:rFonts w:hint="eastAsia" w:ascii="仿宋_GB2312" w:hAnsi="仿宋_GB2312" w:eastAsia="仿宋_GB2312" w:cs="仿宋_GB2312"/>
          <w:color w:val="auto"/>
          <w:kern w:val="0"/>
          <w:sz w:val="32"/>
          <w:szCs w:val="32"/>
          <w:highlight w:val="none"/>
          <w:lang w:eastAsia="zh-CN" w:bidi="hi-IN"/>
        </w:rPr>
        <w:t>光伏开发</w:t>
      </w:r>
      <w:r>
        <w:rPr>
          <w:rFonts w:hint="eastAsia" w:ascii="仿宋_GB2312" w:hAnsi="仿宋_GB2312" w:eastAsia="仿宋_GB2312" w:cs="仿宋_GB2312"/>
          <w:color w:val="auto"/>
          <w:kern w:val="0"/>
          <w:sz w:val="32"/>
          <w:szCs w:val="32"/>
          <w:highlight w:val="none"/>
          <w:lang w:bidi="hi-IN"/>
        </w:rPr>
        <w:t>资源</w:t>
      </w:r>
      <w:r>
        <w:rPr>
          <w:rFonts w:hint="eastAsia" w:ascii="仿宋_GB2312" w:hAnsi="仿宋_GB2312" w:eastAsia="仿宋_GB2312" w:cs="仿宋_GB2312"/>
          <w:color w:val="auto"/>
          <w:kern w:val="0"/>
          <w:sz w:val="32"/>
          <w:szCs w:val="32"/>
          <w:highlight w:val="none"/>
          <w:lang w:eastAsia="zh-CN" w:bidi="hi-IN"/>
        </w:rPr>
        <w:t>。</w:t>
      </w:r>
      <w:r>
        <w:rPr>
          <w:rFonts w:hint="eastAsia" w:ascii="仿宋_GB2312" w:hAnsi="仿宋_GB2312" w:eastAsia="仿宋_GB2312" w:cs="仿宋_GB2312"/>
          <w:color w:val="auto"/>
          <w:kern w:val="0"/>
          <w:sz w:val="32"/>
          <w:szCs w:val="32"/>
          <w:highlight w:val="none"/>
          <w:lang w:bidi="hi-IN"/>
        </w:rPr>
        <w:t>支持农村集体经济组织以公共建筑屋顶、厂房屋顶等入股参与项目开发，增加集体收入。</w:t>
      </w:r>
    </w:p>
    <w:p w14:paraId="50F9729C">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both"/>
        <w:rPr>
          <w:rFonts w:hint="eastAsia" w:ascii="方正楷体_GBK" w:hAnsi="方正楷体_GBK" w:eastAsia="方正楷体_GBK" w:cs="方正楷体_GBK"/>
          <w:color w:val="00000A"/>
          <w:kern w:val="0"/>
          <w:sz w:val="32"/>
          <w:szCs w:val="32"/>
          <w:highlight w:val="none"/>
          <w:lang w:bidi="hi-IN"/>
        </w:rPr>
      </w:pPr>
      <w:r>
        <w:rPr>
          <w:rFonts w:hint="eastAsia" w:ascii="楷体_GB2312" w:hAnsi="楷体_GB2312" w:eastAsia="楷体_GB2312" w:cs="楷体_GB2312"/>
          <w:color w:val="00000A"/>
          <w:kern w:val="0"/>
          <w:sz w:val="32"/>
          <w:szCs w:val="32"/>
          <w:highlight w:val="none"/>
          <w:lang w:eastAsia="zh-CN" w:bidi="hi-IN"/>
        </w:rPr>
        <w:t>（三）</w:t>
      </w:r>
      <w:r>
        <w:rPr>
          <w:rFonts w:hint="eastAsia" w:ascii="楷体_GB2312" w:hAnsi="楷体_GB2312" w:eastAsia="楷体_GB2312" w:cs="楷体_GB2312"/>
          <w:color w:val="00000A"/>
          <w:kern w:val="0"/>
          <w:sz w:val="32"/>
          <w:szCs w:val="32"/>
          <w:highlight w:val="none"/>
          <w:lang w:bidi="hi-IN"/>
        </w:rPr>
        <w:t>组织实施建设。</w:t>
      </w:r>
      <w:r>
        <w:rPr>
          <w:rFonts w:hint="eastAsia" w:ascii="仿宋_GB2312" w:hAnsi="仿宋_GB2312" w:eastAsia="仿宋_GB2312" w:cs="仿宋_GB2312"/>
          <w:color w:val="00000A"/>
          <w:kern w:val="0"/>
          <w:sz w:val="32"/>
          <w:szCs w:val="32"/>
          <w:highlight w:val="none"/>
          <w:lang w:bidi="hi-IN"/>
        </w:rPr>
        <w:t>鼓励采取“一站式”并联审批流程，简化项目</w:t>
      </w:r>
      <w:r>
        <w:rPr>
          <w:rFonts w:hint="eastAsia" w:ascii="仿宋_GB2312" w:hAnsi="仿宋_GB2312" w:eastAsia="仿宋_GB2312" w:cs="仿宋_GB2312"/>
          <w:color w:val="00000A"/>
          <w:kern w:val="0"/>
          <w:sz w:val="32"/>
          <w:szCs w:val="32"/>
          <w:highlight w:val="none"/>
          <w:lang w:eastAsia="zh-CN" w:bidi="hi-IN"/>
        </w:rPr>
        <w:t>备案手续</w:t>
      </w:r>
      <w:r>
        <w:rPr>
          <w:rFonts w:hint="eastAsia" w:ascii="仿宋_GB2312" w:hAnsi="仿宋_GB2312" w:eastAsia="仿宋_GB2312" w:cs="仿宋_GB2312"/>
          <w:color w:val="00000A"/>
          <w:kern w:val="0"/>
          <w:sz w:val="32"/>
          <w:szCs w:val="32"/>
          <w:highlight w:val="none"/>
          <w:lang w:bidi="hi-IN"/>
        </w:rPr>
        <w:t>。项目</w:t>
      </w:r>
      <w:r>
        <w:rPr>
          <w:rFonts w:hint="eastAsia" w:ascii="仿宋_GB2312" w:hAnsi="仿宋_GB2312" w:eastAsia="仿宋_GB2312" w:cs="仿宋_GB2312"/>
          <w:color w:val="00000A"/>
          <w:kern w:val="0"/>
          <w:sz w:val="32"/>
          <w:szCs w:val="32"/>
          <w:highlight w:val="none"/>
          <w:lang w:eastAsia="zh-CN" w:bidi="hi-IN"/>
        </w:rPr>
        <w:t>开发</w:t>
      </w:r>
      <w:r>
        <w:rPr>
          <w:rFonts w:hint="eastAsia" w:ascii="仿宋_GB2312" w:hAnsi="仿宋_GB2312" w:eastAsia="仿宋_GB2312" w:cs="仿宋_GB2312"/>
          <w:color w:val="00000A"/>
          <w:kern w:val="0"/>
          <w:sz w:val="32"/>
          <w:szCs w:val="32"/>
          <w:highlight w:val="none"/>
          <w:lang w:bidi="hi-IN"/>
        </w:rPr>
        <w:t>主体</w:t>
      </w:r>
      <w:r>
        <w:rPr>
          <w:rFonts w:hint="eastAsia" w:ascii="仿宋_GB2312" w:hAnsi="仿宋_GB2312" w:eastAsia="仿宋_GB2312" w:cs="仿宋_GB2312"/>
          <w:color w:val="00000A"/>
          <w:kern w:val="0"/>
          <w:sz w:val="32"/>
          <w:szCs w:val="32"/>
          <w:highlight w:val="none"/>
          <w:lang w:eastAsia="zh-CN" w:bidi="hi-IN"/>
        </w:rPr>
        <w:t>应严格按照</w:t>
      </w:r>
      <w:r>
        <w:rPr>
          <w:rFonts w:hint="eastAsia" w:ascii="仿宋_GB2312" w:hAnsi="仿宋_GB2312" w:eastAsia="仿宋_GB2312" w:cs="仿宋_GB2312"/>
          <w:color w:val="00000A"/>
          <w:kern w:val="0"/>
          <w:sz w:val="32"/>
          <w:szCs w:val="32"/>
          <w:highlight w:val="none"/>
          <w:lang w:bidi="hi-IN"/>
        </w:rPr>
        <w:t>国家相关规定和技术标准组织项目</w:t>
      </w:r>
      <w:r>
        <w:rPr>
          <w:rFonts w:hint="eastAsia" w:ascii="仿宋_GB2312" w:hAnsi="仿宋_GB2312" w:eastAsia="仿宋_GB2312" w:cs="仿宋_GB2312"/>
          <w:color w:val="00000A"/>
          <w:kern w:val="0"/>
          <w:sz w:val="32"/>
          <w:szCs w:val="32"/>
          <w:highlight w:val="none"/>
          <w:lang w:eastAsia="zh-CN" w:bidi="hi-IN"/>
        </w:rPr>
        <w:t>建设和</w:t>
      </w:r>
      <w:r>
        <w:rPr>
          <w:rFonts w:hint="eastAsia" w:ascii="仿宋_GB2312" w:hAnsi="仿宋_GB2312" w:eastAsia="仿宋_GB2312" w:cs="仿宋_GB2312"/>
          <w:color w:val="00000A"/>
          <w:kern w:val="0"/>
          <w:sz w:val="32"/>
          <w:szCs w:val="32"/>
          <w:highlight w:val="none"/>
          <w:lang w:bidi="hi-IN"/>
        </w:rPr>
        <w:t>验收。</w:t>
      </w:r>
      <w:r>
        <w:rPr>
          <w:rFonts w:hint="eastAsia" w:ascii="仿宋_GB2312" w:hAnsi="仿宋_GB2312" w:eastAsia="仿宋_GB2312" w:cs="仿宋_GB2312"/>
          <w:color w:val="auto"/>
          <w:kern w:val="0"/>
          <w:sz w:val="32"/>
          <w:szCs w:val="32"/>
          <w:highlight w:val="none"/>
          <w:lang w:bidi="hi-IN"/>
        </w:rPr>
        <w:t>项目</w:t>
      </w:r>
      <w:r>
        <w:rPr>
          <w:rFonts w:hint="eastAsia" w:ascii="仿宋_GB2312" w:hAnsi="仿宋_GB2312" w:eastAsia="仿宋_GB2312" w:cs="仿宋_GB2312"/>
          <w:color w:val="auto"/>
          <w:kern w:val="0"/>
          <w:sz w:val="32"/>
          <w:szCs w:val="32"/>
          <w:highlight w:val="none"/>
          <w:lang w:eastAsia="zh-CN" w:bidi="hi-IN"/>
        </w:rPr>
        <w:t>建设应</w:t>
      </w:r>
      <w:r>
        <w:rPr>
          <w:rFonts w:hint="eastAsia" w:ascii="仿宋_GB2312" w:hAnsi="仿宋_GB2312" w:eastAsia="仿宋_GB2312" w:cs="仿宋_GB2312"/>
          <w:color w:val="auto"/>
          <w:kern w:val="0"/>
          <w:sz w:val="32"/>
          <w:szCs w:val="32"/>
          <w:highlight w:val="none"/>
          <w:lang w:bidi="hi-IN"/>
        </w:rPr>
        <w:t>与</w:t>
      </w:r>
      <w:r>
        <w:rPr>
          <w:rFonts w:hint="eastAsia" w:ascii="仿宋_GB2312" w:hAnsi="仿宋_GB2312" w:eastAsia="仿宋_GB2312" w:cs="仿宋_GB2312"/>
          <w:color w:val="auto"/>
          <w:kern w:val="0"/>
          <w:sz w:val="32"/>
          <w:szCs w:val="32"/>
          <w:highlight w:val="none"/>
          <w:lang w:eastAsia="zh-CN" w:bidi="hi-IN"/>
        </w:rPr>
        <w:t>建筑风貌、</w:t>
      </w:r>
      <w:r>
        <w:rPr>
          <w:rFonts w:hint="eastAsia" w:ascii="仿宋_GB2312" w:hAnsi="仿宋_GB2312" w:eastAsia="仿宋_GB2312" w:cs="仿宋_GB2312"/>
          <w:color w:val="auto"/>
          <w:kern w:val="0"/>
          <w:sz w:val="32"/>
          <w:szCs w:val="32"/>
          <w:highlight w:val="none"/>
          <w:lang w:bidi="hi-IN"/>
        </w:rPr>
        <w:t>地域特色相结合。</w:t>
      </w:r>
      <w:r>
        <w:rPr>
          <w:rFonts w:hint="eastAsia" w:ascii="仿宋_GB2312" w:hAnsi="仿宋_GB2312" w:eastAsia="仿宋_GB2312" w:cs="仿宋_GB2312"/>
          <w:color w:val="00000A"/>
          <w:kern w:val="0"/>
          <w:sz w:val="32"/>
          <w:szCs w:val="32"/>
          <w:highlight w:val="none"/>
          <w:lang w:bidi="hi-IN"/>
        </w:rPr>
        <w:t>各职能部门实施全过程联合监管，强化质量、安全和风貌管控。</w:t>
      </w:r>
    </w:p>
    <w:p w14:paraId="11B2C56B">
      <w:pPr>
        <w:keepNext w:val="0"/>
        <w:keepLines w:val="0"/>
        <w:pageBreakBefore w:val="0"/>
        <w:widowControl w:val="0"/>
        <w:kinsoku/>
        <w:wordWrap/>
        <w:overflowPunct/>
        <w:topLinePunct w:val="0"/>
        <w:autoSpaceDE/>
        <w:autoSpaceDN/>
        <w:bidi w:val="0"/>
        <w:adjustRightInd/>
        <w:spacing w:line="600" w:lineRule="exact"/>
        <w:ind w:firstLine="640" w:firstLineChars="200"/>
        <w:jc w:val="both"/>
        <w:outlineLvl w:val="9"/>
        <w:rPr>
          <w:rFonts w:hint="eastAsia" w:ascii="宋体" w:hAnsi="宋体" w:eastAsia="仿宋_GB2312" w:cs="Times New Roman"/>
          <w:bCs/>
          <w:color w:val="auto"/>
          <w:kern w:val="2"/>
          <w:sz w:val="32"/>
          <w:szCs w:val="32"/>
          <w:highlight w:val="none"/>
          <w:lang w:val="en-US" w:eastAsia="zh-CN" w:bidi="ar-SA"/>
        </w:rPr>
      </w:pPr>
      <w:r>
        <w:rPr>
          <w:rFonts w:ascii="楷体_GB2312" w:hAnsi="楷体_GB2312" w:eastAsia="楷体_GB2312" w:cs="楷体_GB2312"/>
          <w:bCs/>
          <w:color w:val="auto"/>
          <w:kern w:val="2"/>
          <w:sz w:val="32"/>
          <w:szCs w:val="32"/>
          <w:highlight w:val="none"/>
          <w:lang w:val="en-US" w:eastAsia="zh-CN" w:bidi="ar-SA"/>
        </w:rPr>
        <w:t>（</w:t>
      </w:r>
      <w:r>
        <w:rPr>
          <w:rFonts w:hint="eastAsia" w:ascii="楷体_GB2312" w:hAnsi="楷体_GB2312" w:eastAsia="楷体_GB2312" w:cs="楷体_GB2312"/>
          <w:bCs/>
          <w:color w:val="auto"/>
          <w:kern w:val="2"/>
          <w:sz w:val="32"/>
          <w:szCs w:val="32"/>
          <w:highlight w:val="none"/>
          <w:lang w:val="en-US" w:eastAsia="zh-CN" w:bidi="ar-SA"/>
        </w:rPr>
        <w:t>四</w:t>
      </w:r>
      <w:r>
        <w:rPr>
          <w:rFonts w:ascii="楷体_GB2312" w:hAnsi="楷体_GB2312" w:eastAsia="楷体_GB2312" w:cs="楷体_GB2312"/>
          <w:bCs/>
          <w:color w:val="auto"/>
          <w:kern w:val="2"/>
          <w:sz w:val="32"/>
          <w:szCs w:val="32"/>
          <w:highlight w:val="none"/>
          <w:lang w:val="en-US" w:eastAsia="zh-CN" w:bidi="ar-SA"/>
        </w:rPr>
        <w:t>）</w:t>
      </w:r>
      <w:r>
        <w:rPr>
          <w:rFonts w:hint="eastAsia" w:ascii="楷体_GB2312" w:hAnsi="楷体_GB2312" w:eastAsia="楷体_GB2312" w:cs="楷体_GB2312"/>
          <w:bCs/>
          <w:color w:val="auto"/>
          <w:kern w:val="2"/>
          <w:sz w:val="32"/>
          <w:szCs w:val="32"/>
          <w:highlight w:val="none"/>
          <w:lang w:val="en-US" w:eastAsia="zh-CN" w:bidi="ar-SA"/>
        </w:rPr>
        <w:t>做好运行维护。</w:t>
      </w:r>
      <w:r>
        <w:rPr>
          <w:rFonts w:hint="eastAsia" w:ascii="仿宋_GB2312" w:hAnsi="仿宋_GB2312" w:eastAsia="仿宋_GB2312" w:cs="仿宋_GB2312"/>
          <w:bCs/>
          <w:color w:val="auto"/>
          <w:kern w:val="2"/>
          <w:sz w:val="32"/>
          <w:szCs w:val="32"/>
          <w:highlight w:val="none"/>
          <w:lang w:val="en-US" w:eastAsia="zh-CN" w:bidi="ar-SA"/>
        </w:rPr>
        <w:t>按照“谁投资、谁受益、谁运维”的原则，项目开发主体要建立完善运行维护机制，落实后期运维责任，定期进行运维管理，保障项目安全有效运行，切实保障人民群众生命财产安全。</w:t>
      </w:r>
    </w:p>
    <w:p w14:paraId="6F779AAA">
      <w:pPr>
        <w:keepNext w:val="0"/>
        <w:keepLines w:val="0"/>
        <w:pageBreakBefore w:val="0"/>
        <w:kinsoku/>
        <w:wordWrap/>
        <w:overflowPunct/>
        <w:topLinePunct w:val="0"/>
        <w:autoSpaceDE/>
        <w:autoSpaceDN/>
        <w:bidi w:val="0"/>
        <w:adjustRightInd/>
        <w:spacing w:line="600" w:lineRule="exact"/>
        <w:ind w:firstLine="640" w:firstLineChars="200"/>
        <w:jc w:val="left"/>
        <w:outlineLvl w:val="0"/>
        <w:rPr>
          <w:rFonts w:hint="eastAsia" w:ascii="Cambria" w:hAnsi="Cambria" w:eastAsia="黑体" w:cs="Times New Roman"/>
          <w:bCs/>
          <w:color w:val="auto"/>
          <w:kern w:val="44"/>
          <w:sz w:val="32"/>
          <w:szCs w:val="32"/>
          <w:highlight w:val="none"/>
          <w:lang w:val="en-US" w:eastAsia="zh-CN" w:bidi="hi-IN"/>
        </w:rPr>
      </w:pPr>
      <w:r>
        <w:rPr>
          <w:rFonts w:hint="eastAsia" w:ascii="Cambria" w:hAnsi="Cambria" w:eastAsia="黑体" w:cs="Times New Roman"/>
          <w:bCs/>
          <w:color w:val="auto"/>
          <w:kern w:val="44"/>
          <w:sz w:val="32"/>
          <w:szCs w:val="32"/>
          <w:highlight w:val="none"/>
          <w:lang w:val="en-US" w:eastAsia="zh-CN" w:bidi="hi-IN"/>
        </w:rPr>
        <w:t>五、保障措施</w:t>
      </w:r>
    </w:p>
    <w:p w14:paraId="0D0D3C13">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方正小标宋简体" w:cs="Lohit Devanagari"/>
          <w:color w:val="auto"/>
          <w:kern w:val="0"/>
          <w:sz w:val="32"/>
          <w:highlight w:val="none"/>
          <w:lang w:bidi="hi-IN"/>
        </w:rPr>
      </w:pPr>
      <w:r>
        <w:rPr>
          <w:rFonts w:hint="eastAsia" w:ascii="楷体_GB2312" w:hAnsi="楷体_GB2312" w:eastAsia="楷体_GB2312" w:cs="楷体_GB2312"/>
          <w:color w:val="auto"/>
          <w:kern w:val="0"/>
          <w:sz w:val="32"/>
          <w:highlight w:val="none"/>
          <w:lang w:bidi="hi-IN"/>
        </w:rPr>
        <w:t>（一）加强组织领导。</w:t>
      </w:r>
      <w:r>
        <w:rPr>
          <w:rFonts w:hint="eastAsia" w:ascii="仿宋_GB2312" w:hAnsi="仿宋_GB2312" w:eastAsia="仿宋_GB2312" w:cs="Lohit Devanagari"/>
          <w:color w:val="auto"/>
          <w:kern w:val="0"/>
          <w:sz w:val="32"/>
          <w:highlight w:val="none"/>
          <w:lang w:bidi="hi-IN"/>
        </w:rPr>
        <w:t>各试点区域</w:t>
      </w:r>
      <w:r>
        <w:rPr>
          <w:rFonts w:hint="eastAsia" w:ascii="仿宋_GB2312" w:hAnsi="仿宋_GB2312" w:eastAsia="仿宋_GB2312" w:cs="Lohit Devanagari"/>
          <w:color w:val="auto"/>
          <w:kern w:val="0"/>
          <w:sz w:val="32"/>
          <w:highlight w:val="none"/>
          <w:lang w:eastAsia="zh-CN" w:bidi="hi-IN"/>
        </w:rPr>
        <w:t>所在地级以上市及县（市、区）人民政府</w:t>
      </w:r>
      <w:r>
        <w:rPr>
          <w:rFonts w:hint="eastAsia" w:ascii="仿宋_GB2312" w:hAnsi="仿宋_GB2312" w:eastAsia="仿宋_GB2312" w:cs="Lohit Devanagari"/>
          <w:color w:val="auto"/>
          <w:kern w:val="0"/>
          <w:sz w:val="32"/>
          <w:highlight w:val="none"/>
          <w:lang w:bidi="hi-IN"/>
        </w:rPr>
        <w:t>要</w:t>
      </w:r>
      <w:r>
        <w:rPr>
          <w:rFonts w:hint="eastAsia" w:ascii="仿宋_GB2312" w:hAnsi="仿宋_GB2312" w:eastAsia="仿宋_GB2312" w:cs="Lohit Devanagari"/>
          <w:color w:val="auto"/>
          <w:kern w:val="0"/>
          <w:sz w:val="32"/>
          <w:highlight w:val="none"/>
          <w:lang w:eastAsia="zh-CN" w:bidi="hi-IN"/>
        </w:rPr>
        <w:t>高度重视，</w:t>
      </w:r>
      <w:r>
        <w:rPr>
          <w:rFonts w:hint="eastAsia" w:ascii="仿宋_GB2312" w:hAnsi="仿宋_GB2312" w:eastAsia="仿宋_GB2312" w:cs="Lohit Devanagari"/>
          <w:color w:val="auto"/>
          <w:kern w:val="0"/>
          <w:sz w:val="32"/>
          <w:highlight w:val="none"/>
          <w:lang w:bidi="hi-IN"/>
        </w:rPr>
        <w:t>落实主体责任，建立高效运转的</w:t>
      </w:r>
      <w:r>
        <w:rPr>
          <w:rFonts w:hint="eastAsia" w:ascii="仿宋_GB2312" w:hAnsi="仿宋_GB2312" w:eastAsia="仿宋_GB2312" w:cs="Lohit Devanagari"/>
          <w:color w:val="auto"/>
          <w:kern w:val="0"/>
          <w:sz w:val="32"/>
          <w:highlight w:val="none"/>
          <w:lang w:eastAsia="zh-CN" w:bidi="hi-IN"/>
        </w:rPr>
        <w:t>工作协调</w:t>
      </w:r>
      <w:r>
        <w:rPr>
          <w:rFonts w:hint="eastAsia" w:ascii="仿宋_GB2312" w:hAnsi="仿宋_GB2312" w:eastAsia="仿宋_GB2312" w:cs="Lohit Devanagari"/>
          <w:color w:val="auto"/>
          <w:kern w:val="0"/>
          <w:sz w:val="32"/>
          <w:highlight w:val="none"/>
          <w:lang w:bidi="hi-IN"/>
        </w:rPr>
        <w:t>机制，加强指导和督促，及时协调解决试点过程中</w:t>
      </w:r>
      <w:r>
        <w:rPr>
          <w:rFonts w:hint="eastAsia" w:ascii="仿宋_GB2312" w:hAnsi="仿宋_GB2312" w:eastAsia="仿宋_GB2312" w:cs="Lohit Devanagari"/>
          <w:color w:val="auto"/>
          <w:kern w:val="0"/>
          <w:sz w:val="32"/>
          <w:highlight w:val="none"/>
          <w:lang w:eastAsia="zh-CN" w:bidi="hi-IN"/>
        </w:rPr>
        <w:t>遇到</w:t>
      </w:r>
      <w:r>
        <w:rPr>
          <w:rFonts w:hint="eastAsia" w:ascii="仿宋_GB2312" w:hAnsi="仿宋_GB2312" w:eastAsia="仿宋_GB2312" w:cs="Lohit Devanagari"/>
          <w:color w:val="auto"/>
          <w:kern w:val="0"/>
          <w:sz w:val="32"/>
          <w:highlight w:val="none"/>
          <w:lang w:bidi="hi-IN"/>
        </w:rPr>
        <w:t>的困难和问题。省</w:t>
      </w:r>
      <w:r>
        <w:rPr>
          <w:rFonts w:hint="eastAsia" w:ascii="仿宋_GB2312" w:hAnsi="仿宋_GB2312" w:eastAsia="仿宋_GB2312" w:cs="Lohit Devanagari"/>
          <w:color w:val="auto"/>
          <w:kern w:val="0"/>
          <w:sz w:val="32"/>
          <w:highlight w:val="none"/>
          <w:lang w:eastAsia="zh-CN" w:bidi="hi-IN"/>
        </w:rPr>
        <w:t>、</w:t>
      </w:r>
      <w:r>
        <w:rPr>
          <w:rFonts w:hint="eastAsia" w:ascii="仿宋_GB2312" w:hAnsi="仿宋_GB2312" w:eastAsia="仿宋_GB2312" w:cs="Lohit Devanagari"/>
          <w:color w:val="auto"/>
          <w:kern w:val="0"/>
          <w:sz w:val="32"/>
          <w:highlight w:val="none"/>
          <w:lang w:bidi="hi-IN"/>
        </w:rPr>
        <w:t>市各有关部门要密切配合，加强工作指导和资源要素保障，形成齐抓共建的工作合力。</w:t>
      </w:r>
    </w:p>
    <w:p w14:paraId="36D855E5">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楷体_GB2312" w:hAnsi="楷体_GB2312" w:eastAsia="楷体_GB2312" w:cs="楷体_GB2312"/>
          <w:color w:val="auto"/>
          <w:kern w:val="0"/>
          <w:sz w:val="32"/>
          <w:szCs w:val="32"/>
          <w:highlight w:val="none"/>
          <w:lang w:bidi="hi-IN"/>
        </w:rPr>
      </w:pPr>
      <w:r>
        <w:rPr>
          <w:rFonts w:hint="eastAsia" w:ascii="楷体_GB2312" w:hAnsi="楷体_GB2312" w:eastAsia="楷体_GB2312" w:cs="楷体_GB2312"/>
          <w:color w:val="auto"/>
          <w:kern w:val="0"/>
          <w:sz w:val="32"/>
          <w:highlight w:val="none"/>
          <w:lang w:bidi="hi-IN"/>
        </w:rPr>
        <w:t>（二）加强技术支撑。</w:t>
      </w:r>
      <w:r>
        <w:rPr>
          <w:rFonts w:hint="eastAsia" w:ascii="仿宋_GB2312" w:hAnsi="仿宋_GB2312" w:eastAsia="仿宋_GB2312" w:cs="Lohit Devanagari"/>
          <w:color w:val="auto"/>
          <w:kern w:val="0"/>
          <w:sz w:val="32"/>
          <w:highlight w:val="none"/>
          <w:lang w:eastAsia="zh-CN" w:bidi="hi-IN"/>
        </w:rPr>
        <w:t>省住房城乡建设厅要牵头组织</w:t>
      </w:r>
      <w:r>
        <w:rPr>
          <w:rFonts w:hint="eastAsia" w:ascii="仿宋_GB2312" w:hAnsi="仿宋_GB2312" w:eastAsia="仿宋_GB2312" w:cs="仿宋_GB2312"/>
          <w:color w:val="auto"/>
          <w:kern w:val="0"/>
          <w:sz w:val="32"/>
          <w:szCs w:val="32"/>
          <w:highlight w:val="none"/>
          <w:lang w:bidi="hi-IN"/>
        </w:rPr>
        <w:t>编制“光伏+建筑”项目建设指引</w:t>
      </w:r>
      <w:r>
        <w:rPr>
          <w:rFonts w:hint="eastAsia" w:ascii="仿宋_GB2312" w:hAnsi="仿宋_GB2312" w:eastAsia="仿宋_GB2312" w:cs="仿宋_GB2312"/>
          <w:color w:val="auto"/>
          <w:kern w:val="0"/>
          <w:sz w:val="32"/>
          <w:szCs w:val="32"/>
          <w:highlight w:val="none"/>
          <w:lang w:eastAsia="zh-CN" w:bidi="hi-IN"/>
        </w:rPr>
        <w:t>，</w:t>
      </w:r>
      <w:r>
        <w:rPr>
          <w:rFonts w:hint="eastAsia" w:ascii="仿宋_GB2312" w:hAnsi="仿宋_GB2312" w:eastAsia="仿宋_GB2312" w:cs="仿宋_GB2312"/>
          <w:bCs/>
          <w:color w:val="auto"/>
          <w:kern w:val="0"/>
          <w:sz w:val="32"/>
          <w:szCs w:val="32"/>
          <w:highlight w:val="none"/>
          <w:lang w:bidi="hi-IN"/>
        </w:rPr>
        <w:t>修订《太阳能光伏一体化建筑构造》图集。</w:t>
      </w:r>
      <w:r>
        <w:rPr>
          <w:rFonts w:hint="eastAsia" w:ascii="仿宋_GB2312" w:hAnsi="仿宋_GB2312" w:eastAsia="仿宋_GB2312" w:cs="仿宋_GB2312"/>
          <w:color w:val="auto"/>
          <w:kern w:val="0"/>
          <w:sz w:val="32"/>
          <w:szCs w:val="32"/>
          <w:highlight w:val="none"/>
          <w:lang w:bidi="hi-IN"/>
        </w:rPr>
        <w:t>支持企业</w:t>
      </w:r>
      <w:r>
        <w:rPr>
          <w:rFonts w:hint="eastAsia" w:ascii="仿宋_GB2312" w:hAnsi="仿宋_GB2312" w:eastAsia="仿宋_GB2312" w:cs="仿宋_GB2312"/>
          <w:color w:val="auto"/>
          <w:kern w:val="0"/>
          <w:sz w:val="32"/>
          <w:szCs w:val="32"/>
          <w:highlight w:val="none"/>
          <w:lang w:eastAsia="zh-CN" w:bidi="hi-IN"/>
        </w:rPr>
        <w:t>与高校、</w:t>
      </w:r>
      <w:r>
        <w:rPr>
          <w:rFonts w:hint="eastAsia" w:ascii="仿宋_GB2312" w:hAnsi="仿宋_GB2312" w:eastAsia="仿宋_GB2312" w:cs="仿宋_GB2312"/>
          <w:color w:val="auto"/>
          <w:kern w:val="0"/>
          <w:sz w:val="32"/>
          <w:szCs w:val="32"/>
          <w:highlight w:val="none"/>
          <w:lang w:bidi="hi-IN"/>
        </w:rPr>
        <w:t>科研机构</w:t>
      </w:r>
      <w:r>
        <w:rPr>
          <w:rFonts w:hint="eastAsia" w:ascii="仿宋_GB2312" w:hAnsi="仿宋_GB2312" w:eastAsia="仿宋_GB2312" w:cs="仿宋_GB2312"/>
          <w:color w:val="auto"/>
          <w:kern w:val="0"/>
          <w:sz w:val="32"/>
          <w:szCs w:val="32"/>
          <w:highlight w:val="none"/>
          <w:lang w:eastAsia="zh-CN" w:bidi="hi-IN"/>
        </w:rPr>
        <w:t>深度合作，</w:t>
      </w:r>
      <w:r>
        <w:rPr>
          <w:rFonts w:hint="eastAsia" w:ascii="仿宋_GB2312" w:hAnsi="仿宋_GB2312" w:eastAsia="仿宋_GB2312" w:cs="仿宋_GB2312"/>
          <w:color w:val="auto"/>
          <w:kern w:val="0"/>
          <w:sz w:val="32"/>
          <w:szCs w:val="32"/>
          <w:highlight w:val="none"/>
          <w:lang w:bidi="hi-IN"/>
        </w:rPr>
        <w:t>持续提升光伏技术水平，开发</w:t>
      </w:r>
      <w:r>
        <w:rPr>
          <w:rFonts w:hint="eastAsia" w:ascii="仿宋_GB2312" w:hAnsi="仿宋_GB2312" w:eastAsia="仿宋_GB2312" w:cs="仿宋_GB2312"/>
          <w:color w:val="auto"/>
          <w:kern w:val="0"/>
          <w:sz w:val="32"/>
          <w:szCs w:val="32"/>
          <w:highlight w:val="none"/>
          <w:lang w:eastAsia="zh-CN" w:bidi="hi-IN"/>
        </w:rPr>
        <w:t>具有</w:t>
      </w:r>
      <w:r>
        <w:rPr>
          <w:rFonts w:hint="eastAsia" w:ascii="仿宋_GB2312" w:hAnsi="仿宋_GB2312" w:eastAsia="仿宋_GB2312" w:cs="仿宋_GB2312"/>
          <w:color w:val="auto"/>
          <w:kern w:val="0"/>
          <w:sz w:val="32"/>
          <w:szCs w:val="32"/>
          <w:highlight w:val="none"/>
          <w:lang w:bidi="hi-IN"/>
        </w:rPr>
        <w:t>岭南风貌</w:t>
      </w:r>
      <w:r>
        <w:rPr>
          <w:rFonts w:hint="eastAsia" w:ascii="仿宋_GB2312" w:hAnsi="仿宋_GB2312" w:eastAsia="仿宋_GB2312" w:cs="仿宋_GB2312"/>
          <w:color w:val="auto"/>
          <w:kern w:val="0"/>
          <w:sz w:val="32"/>
          <w:szCs w:val="32"/>
          <w:highlight w:val="none"/>
          <w:lang w:eastAsia="zh-CN" w:bidi="hi-IN"/>
        </w:rPr>
        <w:t>特色且可</w:t>
      </w:r>
      <w:r>
        <w:rPr>
          <w:rFonts w:hint="eastAsia" w:ascii="仿宋_GB2312" w:hAnsi="仿宋_GB2312" w:eastAsia="仿宋_GB2312" w:cs="仿宋_GB2312"/>
          <w:color w:val="auto"/>
          <w:kern w:val="0"/>
          <w:sz w:val="32"/>
          <w:szCs w:val="32"/>
          <w:highlight w:val="none"/>
          <w:lang w:bidi="hi-IN"/>
        </w:rPr>
        <w:t>规模化、标准化应用</w:t>
      </w:r>
      <w:r>
        <w:rPr>
          <w:rFonts w:hint="eastAsia" w:ascii="仿宋_GB2312" w:hAnsi="仿宋_GB2312" w:eastAsia="仿宋_GB2312" w:cs="仿宋_GB2312"/>
          <w:color w:val="auto"/>
          <w:kern w:val="0"/>
          <w:sz w:val="32"/>
          <w:szCs w:val="32"/>
          <w:highlight w:val="none"/>
          <w:lang w:eastAsia="zh-CN" w:bidi="hi-IN"/>
        </w:rPr>
        <w:t>的</w:t>
      </w:r>
      <w:r>
        <w:rPr>
          <w:rFonts w:hint="eastAsia" w:ascii="仿宋_GB2312" w:hAnsi="仿宋_GB2312" w:eastAsia="仿宋_GB2312" w:cs="仿宋_GB2312"/>
          <w:color w:val="auto"/>
          <w:kern w:val="0"/>
          <w:sz w:val="32"/>
          <w:szCs w:val="32"/>
          <w:highlight w:val="none"/>
          <w:lang w:bidi="hi-IN"/>
        </w:rPr>
        <w:t>光伏产品。</w:t>
      </w:r>
    </w:p>
    <w:p w14:paraId="0E25B878">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color w:val="auto"/>
          <w:kern w:val="0"/>
          <w:sz w:val="32"/>
          <w:szCs w:val="32"/>
          <w:highlight w:val="none"/>
          <w:lang w:eastAsia="zh-CN" w:bidi="hi-IN"/>
        </w:rPr>
      </w:pPr>
      <w:r>
        <w:rPr>
          <w:rFonts w:hint="eastAsia" w:ascii="楷体_GB2312" w:hAnsi="楷体_GB2312" w:eastAsia="楷体_GB2312" w:cs="楷体_GB2312"/>
          <w:color w:val="auto"/>
          <w:kern w:val="0"/>
          <w:sz w:val="32"/>
          <w:highlight w:val="none"/>
          <w:lang w:bidi="hi-IN"/>
        </w:rPr>
        <w:t>（三）加强工作调度</w:t>
      </w:r>
      <w:r>
        <w:rPr>
          <w:rFonts w:hint="eastAsia" w:ascii="楷体_GB2312" w:hAnsi="楷体_GB2312" w:eastAsia="楷体_GB2312" w:cs="楷体_GB2312"/>
          <w:color w:val="auto"/>
          <w:kern w:val="0"/>
          <w:sz w:val="32"/>
          <w:szCs w:val="32"/>
          <w:highlight w:val="none"/>
          <w:lang w:bidi="hi-IN"/>
        </w:rPr>
        <w:t>。</w:t>
      </w:r>
      <w:r>
        <w:rPr>
          <w:rFonts w:hint="eastAsia" w:ascii="仿宋_GB2312" w:hAnsi="仿宋_GB2312" w:eastAsia="仿宋_GB2312" w:cs="仿宋_GB2312"/>
          <w:color w:val="auto"/>
          <w:kern w:val="0"/>
          <w:sz w:val="32"/>
          <w:szCs w:val="32"/>
          <w:highlight w:val="none"/>
          <w:lang w:bidi="hi-IN"/>
        </w:rPr>
        <w:t>省</w:t>
      </w:r>
      <w:r>
        <w:rPr>
          <w:rFonts w:hint="eastAsia" w:ascii="仿宋_GB2312" w:hAnsi="仿宋_GB2312" w:eastAsia="仿宋_GB2312" w:cs="仿宋_GB2312"/>
          <w:color w:val="auto"/>
          <w:kern w:val="0"/>
          <w:sz w:val="32"/>
          <w:szCs w:val="32"/>
          <w:highlight w:val="none"/>
          <w:lang w:eastAsia="zh-CN" w:bidi="hi-IN"/>
        </w:rPr>
        <w:t>住房城乡建设厅、工业和信息化厅、农业农村厅、能源局要</w:t>
      </w:r>
      <w:r>
        <w:rPr>
          <w:rFonts w:hint="eastAsia" w:ascii="仿宋_GB2312" w:hAnsi="仿宋_GB2312" w:eastAsia="仿宋_GB2312" w:cs="仿宋_GB2312"/>
          <w:color w:val="auto"/>
          <w:kern w:val="0"/>
          <w:sz w:val="32"/>
          <w:szCs w:val="32"/>
          <w:highlight w:val="none"/>
          <w:lang w:bidi="hi-IN"/>
        </w:rPr>
        <w:t>定期开展联合调度，及时通报各试点区域工作进展</w:t>
      </w:r>
      <w:r>
        <w:rPr>
          <w:rFonts w:hint="eastAsia" w:ascii="仿宋_GB2312" w:hAnsi="仿宋_GB2312" w:eastAsia="仿宋_GB2312" w:cs="仿宋_GB2312"/>
          <w:color w:val="auto"/>
          <w:kern w:val="0"/>
          <w:sz w:val="32"/>
          <w:szCs w:val="32"/>
          <w:highlight w:val="none"/>
          <w:lang w:eastAsia="zh-CN" w:bidi="hi-IN"/>
        </w:rPr>
        <w:t>，推动试点任务落地落实</w:t>
      </w:r>
      <w:r>
        <w:rPr>
          <w:rFonts w:hint="eastAsia" w:ascii="仿宋_GB2312" w:hAnsi="仿宋_GB2312" w:eastAsia="仿宋_GB2312" w:cs="仿宋_GB2312"/>
          <w:color w:val="auto"/>
          <w:kern w:val="0"/>
          <w:sz w:val="32"/>
          <w:szCs w:val="32"/>
          <w:highlight w:val="none"/>
          <w:lang w:bidi="hi-IN"/>
        </w:rPr>
        <w:t>。</w:t>
      </w:r>
      <w:r>
        <w:rPr>
          <w:rFonts w:hint="eastAsia" w:ascii="仿宋_GB2312" w:hAnsi="仿宋_GB2312" w:eastAsia="仿宋_GB2312" w:cs="仿宋_GB2312"/>
          <w:color w:val="auto"/>
          <w:kern w:val="2"/>
          <w:sz w:val="32"/>
          <w:highlight w:val="none"/>
          <w:lang w:bidi="hi-IN"/>
        </w:rPr>
        <w:t>各</w:t>
      </w:r>
      <w:r>
        <w:rPr>
          <w:rFonts w:hint="eastAsia" w:ascii="仿宋_GB2312" w:hAnsi="仿宋_GB2312" w:eastAsia="仿宋_GB2312" w:cs="仿宋_GB2312"/>
          <w:color w:val="auto"/>
          <w:kern w:val="0"/>
          <w:sz w:val="32"/>
          <w:highlight w:val="none"/>
          <w:lang w:bidi="hi-IN"/>
        </w:rPr>
        <w:t>试点区域要</w:t>
      </w:r>
      <w:r>
        <w:rPr>
          <w:rFonts w:hint="eastAsia" w:ascii="仿宋_GB2312" w:hAnsi="仿宋_GB2312" w:eastAsia="仿宋_GB2312" w:cs="仿宋_GB2312"/>
          <w:color w:val="auto"/>
          <w:kern w:val="0"/>
          <w:sz w:val="32"/>
          <w:szCs w:val="32"/>
          <w:highlight w:val="none"/>
          <w:lang w:eastAsia="zh-CN" w:bidi="hi-IN"/>
        </w:rPr>
        <w:t>在</w:t>
      </w:r>
      <w:r>
        <w:rPr>
          <w:rFonts w:hint="eastAsia" w:ascii="仿宋_GB2312" w:hAnsi="仿宋_GB2312" w:eastAsia="仿宋_GB2312" w:cs="仿宋_GB2312"/>
          <w:color w:val="auto"/>
          <w:kern w:val="0"/>
          <w:sz w:val="32"/>
          <w:szCs w:val="32"/>
          <w:highlight w:val="none"/>
          <w:lang w:bidi="hi-IN"/>
        </w:rPr>
        <w:t>每季度</w:t>
      </w:r>
      <w:r>
        <w:rPr>
          <w:rFonts w:hint="eastAsia" w:ascii="仿宋_GB2312" w:hAnsi="仿宋_GB2312" w:eastAsia="仿宋_GB2312" w:cs="仿宋_GB2312"/>
          <w:color w:val="auto"/>
          <w:kern w:val="0"/>
          <w:sz w:val="32"/>
          <w:szCs w:val="32"/>
          <w:highlight w:val="none"/>
          <w:lang w:eastAsia="zh-CN" w:bidi="hi-IN"/>
        </w:rPr>
        <w:t>第一周向省住房城乡建设厅（抄送省工业和信息化厅、农业农村厅、能源局）</w:t>
      </w:r>
      <w:r>
        <w:rPr>
          <w:rFonts w:hint="eastAsia" w:ascii="仿宋_GB2312" w:hAnsi="仿宋_GB2312" w:eastAsia="仿宋_GB2312" w:cs="仿宋_GB2312"/>
          <w:color w:val="auto"/>
          <w:kern w:val="0"/>
          <w:sz w:val="32"/>
          <w:szCs w:val="32"/>
          <w:highlight w:val="none"/>
          <w:lang w:bidi="hi-IN"/>
        </w:rPr>
        <w:t>报送</w:t>
      </w:r>
      <w:r>
        <w:rPr>
          <w:rFonts w:hint="eastAsia" w:ascii="仿宋_GB2312" w:hAnsi="仿宋_GB2312" w:eastAsia="仿宋_GB2312" w:cs="仿宋_GB2312"/>
          <w:color w:val="auto"/>
          <w:kern w:val="0"/>
          <w:sz w:val="32"/>
          <w:szCs w:val="32"/>
          <w:highlight w:val="none"/>
          <w:lang w:eastAsia="zh-CN" w:bidi="hi-IN"/>
        </w:rPr>
        <w:t>上季度本区域</w:t>
      </w:r>
      <w:r>
        <w:rPr>
          <w:rFonts w:hint="eastAsia" w:ascii="仿宋_GB2312" w:hAnsi="仿宋_GB2312" w:eastAsia="仿宋_GB2312" w:cs="仿宋_GB2312"/>
          <w:color w:val="auto"/>
          <w:kern w:val="0"/>
          <w:sz w:val="32"/>
          <w:szCs w:val="32"/>
          <w:highlight w:val="none"/>
          <w:lang w:bidi="hi-IN"/>
        </w:rPr>
        <w:t>试点工作进展情况</w:t>
      </w:r>
      <w:r>
        <w:rPr>
          <w:rFonts w:hint="eastAsia" w:ascii="仿宋_GB2312" w:hAnsi="仿宋_GB2312" w:eastAsia="仿宋_GB2312" w:cs="仿宋_GB2312"/>
          <w:color w:val="auto"/>
          <w:kern w:val="0"/>
          <w:sz w:val="32"/>
          <w:szCs w:val="32"/>
          <w:highlight w:val="none"/>
          <w:lang w:eastAsia="zh-CN" w:bidi="hi-IN"/>
        </w:rPr>
        <w:t>，并及时总结好的经验做法。</w:t>
      </w:r>
    </w:p>
    <w:p w14:paraId="0F706F9D">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color w:val="auto"/>
          <w:kern w:val="0"/>
          <w:sz w:val="32"/>
          <w:szCs w:val="32"/>
          <w:highlight w:val="none"/>
          <w:lang w:bidi="hi-IN"/>
        </w:rPr>
      </w:pPr>
      <w:r>
        <w:rPr>
          <w:rFonts w:hint="eastAsia" w:ascii="楷体_GB2312" w:hAnsi="楷体_GB2312" w:eastAsia="楷体_GB2312" w:cs="楷体_GB2312"/>
          <w:color w:val="auto"/>
          <w:kern w:val="0"/>
          <w:sz w:val="32"/>
          <w:szCs w:val="32"/>
          <w:highlight w:val="none"/>
          <w:lang w:bidi="hi-IN"/>
        </w:rPr>
        <w:t>（四）加强宣传引导。</w:t>
      </w:r>
      <w:r>
        <w:rPr>
          <w:rFonts w:hint="eastAsia" w:ascii="仿宋_GB2312" w:hAnsi="仿宋_GB2312" w:eastAsia="仿宋_GB2312" w:cs="仿宋_GB2312"/>
          <w:color w:val="00000A"/>
          <w:kern w:val="0"/>
          <w:sz w:val="32"/>
          <w:szCs w:val="32"/>
          <w:highlight w:val="none"/>
          <w:lang w:eastAsia="zh-CN" w:bidi="hi-IN"/>
        </w:rPr>
        <w:t>充分利用</w:t>
      </w:r>
      <w:r>
        <w:rPr>
          <w:rFonts w:hint="eastAsia" w:ascii="仿宋_GB2312" w:hAnsi="仿宋_GB2312" w:eastAsia="仿宋_GB2312" w:cs="仿宋_GB2312"/>
          <w:color w:val="00000A"/>
          <w:kern w:val="0"/>
          <w:sz w:val="32"/>
          <w:szCs w:val="32"/>
          <w:highlight w:val="none"/>
          <w:lang w:bidi="hi-IN"/>
        </w:rPr>
        <w:t>网络、电视、</w:t>
      </w:r>
      <w:r>
        <w:rPr>
          <w:rFonts w:hint="eastAsia" w:ascii="仿宋_GB2312" w:hAnsi="仿宋_GB2312" w:eastAsia="仿宋_GB2312" w:cs="仿宋_GB2312"/>
          <w:color w:val="00000A"/>
          <w:kern w:val="0"/>
          <w:sz w:val="32"/>
          <w:szCs w:val="32"/>
          <w:highlight w:val="none"/>
          <w:lang w:eastAsia="zh-CN" w:bidi="hi-IN"/>
        </w:rPr>
        <w:t>广播</w:t>
      </w:r>
      <w:r>
        <w:rPr>
          <w:rFonts w:hint="eastAsia" w:ascii="仿宋_GB2312" w:hAnsi="仿宋_GB2312" w:eastAsia="仿宋_GB2312" w:cs="仿宋_GB2312"/>
          <w:color w:val="00000A"/>
          <w:kern w:val="0"/>
          <w:sz w:val="32"/>
          <w:szCs w:val="32"/>
          <w:highlight w:val="none"/>
          <w:lang w:bidi="hi-IN"/>
        </w:rPr>
        <w:t>、报刊等</w:t>
      </w:r>
      <w:r>
        <w:rPr>
          <w:rFonts w:hint="eastAsia" w:ascii="仿宋_GB2312" w:hAnsi="仿宋_GB2312" w:eastAsia="仿宋_GB2312" w:cs="仿宋_GB2312"/>
          <w:color w:val="00000A"/>
          <w:kern w:val="0"/>
          <w:sz w:val="32"/>
          <w:szCs w:val="32"/>
          <w:highlight w:val="none"/>
          <w:lang w:eastAsia="zh-CN" w:bidi="hi-IN"/>
        </w:rPr>
        <w:t>各种媒体，多渠道、多形式</w:t>
      </w:r>
      <w:r>
        <w:rPr>
          <w:rFonts w:hint="eastAsia" w:ascii="仿宋_GB2312" w:hAnsi="仿宋_GB2312" w:eastAsia="仿宋_GB2312" w:cs="仿宋_GB2312"/>
          <w:color w:val="auto"/>
          <w:kern w:val="0"/>
          <w:sz w:val="32"/>
          <w:szCs w:val="32"/>
          <w:highlight w:val="none"/>
          <w:lang w:bidi="hi-IN"/>
        </w:rPr>
        <w:t>宣传“光伏+建筑”在</w:t>
      </w:r>
      <w:r>
        <w:rPr>
          <w:rFonts w:hint="eastAsia" w:ascii="仿宋_GB2312" w:hAnsi="仿宋_GB2312" w:eastAsia="仿宋_GB2312" w:cs="仿宋_GB2312"/>
          <w:color w:val="auto"/>
          <w:kern w:val="0"/>
          <w:sz w:val="32"/>
          <w:szCs w:val="32"/>
          <w:highlight w:val="none"/>
          <w:lang w:eastAsia="zh-CN" w:bidi="hi-IN"/>
        </w:rPr>
        <w:t>优化</w:t>
      </w:r>
      <w:r>
        <w:rPr>
          <w:rFonts w:hint="eastAsia" w:ascii="仿宋_GB2312" w:hAnsi="仿宋_GB2312" w:eastAsia="仿宋_GB2312" w:cs="仿宋_GB2312"/>
          <w:color w:val="auto"/>
          <w:kern w:val="0"/>
          <w:sz w:val="32"/>
          <w:szCs w:val="32"/>
          <w:highlight w:val="none"/>
          <w:lang w:bidi="hi-IN"/>
        </w:rPr>
        <w:t>能源结构、促进节能减排、提升居住环境等方面的重要意义</w:t>
      </w:r>
      <w:r>
        <w:rPr>
          <w:rFonts w:hint="eastAsia" w:ascii="仿宋_GB2312" w:hAnsi="仿宋_GB2312" w:eastAsia="仿宋_GB2312" w:cs="仿宋_GB2312"/>
          <w:color w:val="auto"/>
          <w:kern w:val="0"/>
          <w:sz w:val="32"/>
          <w:szCs w:val="32"/>
          <w:highlight w:val="none"/>
          <w:lang w:eastAsia="zh-CN" w:bidi="hi-IN"/>
        </w:rPr>
        <w:t>，形成各方积极参与</w:t>
      </w:r>
      <w:r>
        <w:rPr>
          <w:rFonts w:hint="eastAsia" w:ascii="仿宋_GB2312" w:hAnsi="仿宋_GB2312" w:eastAsia="仿宋_GB2312" w:cs="仿宋_GB2312"/>
          <w:color w:val="00000A"/>
          <w:kern w:val="0"/>
          <w:sz w:val="32"/>
          <w:szCs w:val="32"/>
          <w:highlight w:val="none"/>
          <w:lang w:bidi="hi-IN"/>
        </w:rPr>
        <w:t>的良好氛围</w:t>
      </w:r>
      <w:r>
        <w:rPr>
          <w:rFonts w:hint="eastAsia" w:ascii="仿宋_GB2312" w:hAnsi="仿宋_GB2312" w:eastAsia="仿宋_GB2312" w:cs="仿宋_GB2312"/>
          <w:color w:val="auto"/>
          <w:kern w:val="0"/>
          <w:sz w:val="32"/>
          <w:szCs w:val="32"/>
          <w:highlight w:val="none"/>
          <w:lang w:bidi="hi-IN"/>
        </w:rPr>
        <w:t>。</w:t>
      </w:r>
    </w:p>
    <w:p w14:paraId="3C36110F">
      <w:pPr>
        <w:keepNext w:val="0"/>
        <w:keepLines w:val="0"/>
        <w:pageBreakBefore w:val="0"/>
        <w:widowControl w:val="0"/>
        <w:kinsoku/>
        <w:wordWrap/>
        <w:overflowPunct/>
        <w:topLinePunct w:val="0"/>
        <w:autoSpaceDE/>
        <w:autoSpaceDN/>
        <w:bidi w:val="0"/>
        <w:adjustRightInd/>
        <w:spacing w:after="0" w:line="600" w:lineRule="exact"/>
        <w:ind w:left="0" w:leftChars="0" w:firstLine="420" w:firstLineChars="200"/>
        <w:jc w:val="left"/>
        <w:textAlignment w:val="baseline"/>
        <w:rPr>
          <w:rFonts w:hint="eastAsia" w:ascii="Calibri" w:hAnsi="Calibri" w:eastAsia="宋体" w:cs="Times New Roman"/>
          <w:kern w:val="2"/>
          <w:sz w:val="21"/>
          <w:szCs w:val="22"/>
          <w:highlight w:val="none"/>
          <w:lang w:val="en-US" w:eastAsia="zh-CN" w:bidi="ar-SA"/>
        </w:rPr>
      </w:pPr>
    </w:p>
    <w:p w14:paraId="594D7094">
      <w:pPr>
        <w:keepNext w:val="0"/>
        <w:keepLines w:val="0"/>
        <w:pageBreakBefore w:val="0"/>
        <w:widowControl/>
        <w:kinsoku/>
        <w:wordWrap/>
        <w:overflowPunct/>
        <w:topLinePunct w:val="0"/>
        <w:autoSpaceDE/>
        <w:autoSpaceDN/>
        <w:bidi w:val="0"/>
        <w:adjustRightInd/>
        <w:spacing w:line="600" w:lineRule="exact"/>
        <w:ind w:firstLine="640" w:firstLineChars="200"/>
        <w:jc w:val="left"/>
        <w:rPr>
          <w:rFonts w:hint="eastAsia" w:ascii="仿宋_GB2312" w:hAnsi="仿宋_GB2312" w:eastAsia="仿宋_GB2312" w:cs="仿宋_GB2312"/>
          <w:color w:val="auto"/>
          <w:kern w:val="0"/>
          <w:sz w:val="32"/>
          <w:szCs w:val="32"/>
          <w:highlight w:val="none"/>
          <w:lang w:bidi="hi-IN"/>
        </w:rPr>
      </w:pPr>
      <w:r>
        <w:rPr>
          <w:rFonts w:hint="eastAsia" w:ascii="仿宋_GB2312" w:hAnsi="仿宋_GB2312" w:eastAsia="仿宋_GB2312" w:cs="仿宋_GB2312"/>
          <w:color w:val="auto"/>
          <w:kern w:val="0"/>
          <w:sz w:val="32"/>
          <w:szCs w:val="32"/>
          <w:highlight w:val="none"/>
          <w:lang w:bidi="hi-IN"/>
        </w:rPr>
        <w:t>附件：省有关部门</w:t>
      </w:r>
      <w:r>
        <w:rPr>
          <w:rFonts w:hint="eastAsia" w:ascii="仿宋_GB2312" w:hAnsi="仿宋_GB2312" w:eastAsia="仿宋_GB2312" w:cs="仿宋_GB2312"/>
          <w:color w:val="auto"/>
          <w:kern w:val="0"/>
          <w:sz w:val="32"/>
          <w:szCs w:val="32"/>
          <w:highlight w:val="none"/>
          <w:lang w:eastAsia="zh-CN" w:bidi="hi-IN"/>
        </w:rPr>
        <w:t>任务</w:t>
      </w:r>
      <w:r>
        <w:rPr>
          <w:rFonts w:hint="eastAsia" w:ascii="仿宋_GB2312" w:hAnsi="仿宋_GB2312" w:eastAsia="仿宋_GB2312" w:cs="仿宋_GB2312"/>
          <w:color w:val="auto"/>
          <w:kern w:val="0"/>
          <w:sz w:val="32"/>
          <w:szCs w:val="32"/>
          <w:highlight w:val="none"/>
          <w:lang w:bidi="hi-IN"/>
        </w:rPr>
        <w:t>分工</w:t>
      </w:r>
    </w:p>
    <w:p w14:paraId="2688C58B">
      <w:pPr>
        <w:keepNext w:val="0"/>
        <w:keepLines w:val="0"/>
        <w:pageBreakBefore w:val="0"/>
        <w:widowControl/>
        <w:kinsoku/>
        <w:wordWrap/>
        <w:overflowPunct/>
        <w:topLinePunct w:val="0"/>
        <w:autoSpaceDE/>
        <w:autoSpaceDN/>
        <w:bidi w:val="0"/>
        <w:adjustRightInd/>
        <w:spacing w:line="600" w:lineRule="exact"/>
        <w:ind w:firstLine="0" w:firstLineChars="0"/>
        <w:jc w:val="left"/>
        <w:rPr>
          <w:rFonts w:hint="eastAsia" w:ascii="黑体" w:hAnsi="黑体" w:eastAsia="黑体" w:cs="黑体"/>
          <w:color w:val="auto"/>
          <w:kern w:val="0"/>
          <w:sz w:val="32"/>
          <w:szCs w:val="32"/>
          <w:highlight w:val="none"/>
          <w:shd w:val="clear" w:color="auto" w:fill="FFFFFF"/>
          <w:lang w:eastAsia="zh-CN" w:bidi="hi-IN"/>
        </w:rPr>
      </w:pPr>
      <w:r>
        <w:rPr>
          <w:rFonts w:hint="eastAsia" w:ascii="黑体" w:hAnsi="黑体" w:eastAsia="黑体" w:cs="黑体"/>
          <w:color w:val="00000A"/>
          <w:kern w:val="0"/>
          <w:sz w:val="32"/>
          <w:szCs w:val="32"/>
          <w:highlight w:val="none"/>
          <w:shd w:val="clear" w:color="auto" w:fill="FFFFFF"/>
          <w:lang w:bidi="hi-IN"/>
        </w:rPr>
        <w:br w:type="page"/>
      </w:r>
      <w:r>
        <w:rPr>
          <w:rFonts w:hint="eastAsia" w:ascii="黑体" w:hAnsi="黑体" w:eastAsia="黑体" w:cs="黑体"/>
          <w:color w:val="auto"/>
          <w:kern w:val="0"/>
          <w:sz w:val="32"/>
          <w:szCs w:val="32"/>
          <w:highlight w:val="none"/>
          <w:shd w:val="clear" w:color="auto" w:fill="FFFFFF"/>
          <w:lang w:bidi="hi-IN"/>
        </w:rPr>
        <w:t>附件</w:t>
      </w:r>
    </w:p>
    <w:p w14:paraId="5FA52295">
      <w:pPr>
        <w:pStyle w:val="5"/>
        <w:keepNext w:val="0"/>
        <w:keepLines w:val="0"/>
        <w:pageBreakBefore w:val="0"/>
        <w:kinsoku/>
        <w:wordWrap/>
        <w:overflowPunct/>
        <w:topLinePunct w:val="0"/>
        <w:autoSpaceDE/>
        <w:autoSpaceDN/>
        <w:bidi w:val="0"/>
        <w:adjustRightInd/>
        <w:spacing w:line="600" w:lineRule="exact"/>
        <w:ind w:firstLine="0" w:firstLineChars="0"/>
        <w:jc w:val="center"/>
        <w:outlineLvl w:val="0"/>
        <w:rPr>
          <w:rFonts w:hint="eastAsia" w:ascii="方正小标宋简体" w:hAnsi="方正小标宋简体" w:eastAsia="方正小标宋简体" w:cs="方正小标宋简体"/>
          <w:sz w:val="44"/>
          <w:szCs w:val="44"/>
          <w:highlight w:val="none"/>
        </w:rPr>
      </w:pPr>
      <w:r>
        <w:rPr>
          <w:rFonts w:hint="eastAsia" w:ascii="小标宋" w:hAnsi="小标宋" w:eastAsia="小标宋" w:cs="小标宋"/>
          <w:sz w:val="44"/>
          <w:szCs w:val="44"/>
          <w:highlight w:val="none"/>
        </w:rPr>
        <w:t>省有关部门</w:t>
      </w:r>
      <w:r>
        <w:rPr>
          <w:rFonts w:hint="eastAsia" w:ascii="小标宋" w:hAnsi="小标宋" w:eastAsia="小标宋" w:cs="小标宋"/>
          <w:sz w:val="44"/>
          <w:szCs w:val="44"/>
          <w:highlight w:val="none"/>
          <w:lang w:eastAsia="zh-CN"/>
        </w:rPr>
        <w:t>任务</w:t>
      </w:r>
      <w:r>
        <w:rPr>
          <w:rFonts w:hint="eastAsia" w:ascii="小标宋" w:hAnsi="小标宋" w:eastAsia="小标宋" w:cs="小标宋"/>
          <w:sz w:val="44"/>
          <w:szCs w:val="44"/>
          <w:highlight w:val="none"/>
        </w:rPr>
        <w:t>分工</w:t>
      </w:r>
    </w:p>
    <w:p w14:paraId="687CD18A">
      <w:pPr>
        <w:pStyle w:val="5"/>
        <w:keepNext w:val="0"/>
        <w:keepLines w:val="0"/>
        <w:pageBreakBefore w:val="0"/>
        <w:kinsoku/>
        <w:wordWrap/>
        <w:overflowPunct/>
        <w:topLinePunct w:val="0"/>
        <w:autoSpaceDE/>
        <w:autoSpaceDN/>
        <w:bidi w:val="0"/>
        <w:adjustRightInd/>
        <w:spacing w:line="600" w:lineRule="exact"/>
        <w:ind w:firstLine="640"/>
        <w:jc w:val="center"/>
        <w:rPr>
          <w:rFonts w:hint="eastAsia" w:ascii="方正小标宋_GBK" w:hAnsi="方正小标宋_GBK" w:eastAsia="方正小标宋_GBK" w:cs="方正小标宋_GBK"/>
          <w:sz w:val="32"/>
          <w:szCs w:val="32"/>
          <w:highlight w:val="none"/>
        </w:rPr>
      </w:pPr>
    </w:p>
    <w:p w14:paraId="6BEB9184">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Lohit Devanagari"/>
          <w:color w:val="auto"/>
          <w:kern w:val="0"/>
          <w:sz w:val="32"/>
          <w:highlight w:val="none"/>
          <w:lang w:bidi="hi-IN"/>
        </w:rPr>
      </w:pPr>
      <w:r>
        <w:rPr>
          <w:rFonts w:hint="eastAsia" w:ascii="仿宋_GB2312" w:hAnsi="仿宋_GB2312" w:eastAsia="仿宋_GB2312" w:cs="Lohit Devanagari"/>
          <w:color w:val="auto"/>
          <w:kern w:val="0"/>
          <w:sz w:val="32"/>
          <w:highlight w:val="none"/>
          <w:lang w:bidi="hi-IN"/>
        </w:rPr>
        <w:t>省住房城乡建设厅：统筹全省“光伏+建筑”应用试点工作，完善“光伏+建筑”领域</w:t>
      </w:r>
      <w:r>
        <w:rPr>
          <w:rFonts w:hint="eastAsia" w:ascii="仿宋_GB2312" w:hAnsi="仿宋_GB2312" w:eastAsia="仿宋_GB2312" w:cs="Lohit Devanagari"/>
          <w:color w:val="auto"/>
          <w:kern w:val="0"/>
          <w:sz w:val="32"/>
          <w:highlight w:val="none"/>
          <w:lang w:eastAsia="zh-CN" w:bidi="hi-IN"/>
        </w:rPr>
        <w:t>建筑技术</w:t>
      </w:r>
      <w:r>
        <w:rPr>
          <w:rFonts w:hint="eastAsia" w:ascii="仿宋_GB2312" w:hAnsi="仿宋_GB2312" w:eastAsia="仿宋_GB2312" w:cs="Lohit Devanagari"/>
          <w:color w:val="auto"/>
          <w:kern w:val="0"/>
          <w:sz w:val="32"/>
          <w:highlight w:val="none"/>
          <w:lang w:bidi="hi-IN"/>
        </w:rPr>
        <w:t>标准，会同相关部门加强“光伏+建筑”项目的风貌监督管理。</w:t>
      </w:r>
    </w:p>
    <w:p w14:paraId="79CC8FAB">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Lohit Devanagari"/>
          <w:color w:val="auto"/>
          <w:kern w:val="0"/>
          <w:sz w:val="32"/>
          <w:highlight w:val="none"/>
          <w:lang w:bidi="hi-IN"/>
        </w:rPr>
      </w:pPr>
      <w:r>
        <w:rPr>
          <w:rFonts w:hint="eastAsia" w:ascii="仿宋_GB2312" w:hAnsi="仿宋_GB2312" w:eastAsia="仿宋_GB2312" w:cs="Lohit Devanagari"/>
          <w:color w:val="auto"/>
          <w:kern w:val="0"/>
          <w:sz w:val="32"/>
          <w:highlight w:val="none"/>
          <w:lang w:bidi="hi-IN"/>
        </w:rPr>
        <w:t>省工业和信息化厅：支持</w:t>
      </w:r>
      <w:r>
        <w:rPr>
          <w:rFonts w:hint="eastAsia" w:ascii="仿宋_GB2312" w:hAnsi="仿宋_GB2312" w:eastAsia="仿宋_GB2312" w:cs="仿宋_GB2312"/>
          <w:color w:val="auto"/>
          <w:kern w:val="0"/>
          <w:sz w:val="32"/>
          <w:szCs w:val="32"/>
          <w:highlight w:val="none"/>
          <w:lang w:bidi="hi-IN"/>
        </w:rPr>
        <w:t>企业</w:t>
      </w:r>
      <w:r>
        <w:rPr>
          <w:rFonts w:hint="eastAsia" w:ascii="仿宋_GB2312" w:hAnsi="仿宋_GB2312" w:eastAsia="仿宋_GB2312" w:cs="仿宋_GB2312"/>
          <w:color w:val="auto"/>
          <w:kern w:val="0"/>
          <w:sz w:val="32"/>
          <w:szCs w:val="32"/>
          <w:highlight w:val="none"/>
          <w:lang w:eastAsia="zh-CN" w:bidi="hi-IN"/>
        </w:rPr>
        <w:t>与高校、科研机构深度合作，</w:t>
      </w:r>
      <w:r>
        <w:rPr>
          <w:rFonts w:hint="eastAsia" w:ascii="仿宋_GB2312" w:hAnsi="仿宋_GB2312" w:eastAsia="仿宋_GB2312" w:cs="仿宋_GB2312"/>
          <w:color w:val="auto"/>
          <w:kern w:val="0"/>
          <w:sz w:val="32"/>
          <w:szCs w:val="32"/>
          <w:highlight w:val="none"/>
          <w:lang w:bidi="hi-IN"/>
        </w:rPr>
        <w:t>持续提升光伏技术水平，开发</w:t>
      </w:r>
      <w:r>
        <w:rPr>
          <w:rFonts w:hint="eastAsia" w:ascii="仿宋_GB2312" w:hAnsi="仿宋_GB2312" w:eastAsia="仿宋_GB2312" w:cs="仿宋_GB2312"/>
          <w:color w:val="auto"/>
          <w:kern w:val="0"/>
          <w:sz w:val="32"/>
          <w:szCs w:val="32"/>
          <w:highlight w:val="none"/>
          <w:lang w:eastAsia="zh-CN" w:bidi="hi-IN"/>
        </w:rPr>
        <w:t>具有</w:t>
      </w:r>
      <w:r>
        <w:rPr>
          <w:rFonts w:hint="eastAsia" w:ascii="仿宋_GB2312" w:hAnsi="仿宋_GB2312" w:eastAsia="仿宋_GB2312" w:cs="仿宋_GB2312"/>
          <w:color w:val="auto"/>
          <w:kern w:val="0"/>
          <w:sz w:val="32"/>
          <w:szCs w:val="32"/>
          <w:highlight w:val="none"/>
          <w:lang w:bidi="hi-IN"/>
        </w:rPr>
        <w:t>岭南风貌</w:t>
      </w:r>
      <w:r>
        <w:rPr>
          <w:rFonts w:hint="eastAsia" w:ascii="仿宋_GB2312" w:hAnsi="仿宋_GB2312" w:eastAsia="仿宋_GB2312" w:cs="仿宋_GB2312"/>
          <w:color w:val="auto"/>
          <w:kern w:val="0"/>
          <w:sz w:val="32"/>
          <w:szCs w:val="32"/>
          <w:highlight w:val="none"/>
          <w:lang w:eastAsia="zh-CN" w:bidi="hi-IN"/>
        </w:rPr>
        <w:t>特色且可规模化、标准化应用的光伏产品。</w:t>
      </w:r>
    </w:p>
    <w:p w14:paraId="4AAB50FF">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Lohit Devanagari"/>
          <w:color w:val="auto"/>
          <w:kern w:val="0"/>
          <w:sz w:val="32"/>
          <w:highlight w:val="none"/>
          <w:lang w:bidi="hi-IN"/>
        </w:rPr>
      </w:pPr>
      <w:r>
        <w:rPr>
          <w:rFonts w:hint="eastAsia" w:ascii="仿宋_GB2312" w:hAnsi="仿宋_GB2312" w:eastAsia="仿宋_GB2312" w:cs="Lohit Devanagari"/>
          <w:color w:val="auto"/>
          <w:kern w:val="0"/>
          <w:sz w:val="32"/>
          <w:highlight w:val="none"/>
          <w:lang w:bidi="hi-IN"/>
        </w:rPr>
        <w:t>省农业农村厅：</w:t>
      </w:r>
      <w:r>
        <w:rPr>
          <w:rFonts w:hint="eastAsia" w:ascii="仿宋_GB2312" w:hAnsi="仿宋_GB2312" w:eastAsia="仿宋_GB2312" w:cs="仿宋_GB2312"/>
          <w:color w:val="00000A"/>
          <w:kern w:val="0"/>
          <w:sz w:val="32"/>
          <w:szCs w:val="32"/>
          <w:highlight w:val="none"/>
          <w:lang w:val="en-US" w:eastAsia="zh-CN" w:bidi="hi-IN"/>
        </w:rPr>
        <w:t>配合推动有条件的农村养殖设施屋顶、村内道路、农村污水处理设施等开发分布式光伏，指导各地做好农房光伏建设的宣传工作。统筹推进农村人居环境整治提升五年行动，提升试点村村容村貌</w:t>
      </w:r>
      <w:r>
        <w:rPr>
          <w:rFonts w:hint="eastAsia" w:ascii="仿宋_GB2312" w:hAnsi="仿宋_GB2312" w:eastAsia="仿宋_GB2312" w:cs="Lohit Devanagari"/>
          <w:color w:val="auto"/>
          <w:kern w:val="0"/>
          <w:sz w:val="32"/>
          <w:highlight w:val="none"/>
          <w:lang w:bidi="hi-IN"/>
        </w:rPr>
        <w:t>。</w:t>
      </w:r>
    </w:p>
    <w:p w14:paraId="052D1323">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Lohit Devanagari"/>
          <w:color w:val="auto"/>
          <w:kern w:val="0"/>
          <w:sz w:val="32"/>
          <w:highlight w:val="none"/>
          <w:lang w:bidi="hi-IN"/>
        </w:rPr>
      </w:pPr>
      <w:r>
        <w:rPr>
          <w:rFonts w:hint="eastAsia" w:ascii="仿宋_GB2312" w:hAnsi="仿宋_GB2312" w:eastAsia="仿宋_GB2312" w:cs="Lohit Devanagari"/>
          <w:color w:val="auto"/>
          <w:kern w:val="0"/>
          <w:sz w:val="32"/>
          <w:highlight w:val="none"/>
          <w:lang w:bidi="hi-IN"/>
        </w:rPr>
        <w:t>省能源局：指导各试点区域做好光伏项目备案管理，统筹协调电网解决试点地区电力消纳困难问题，统计试点区域的装机规模和发电量。</w:t>
      </w:r>
    </w:p>
    <w:p w14:paraId="6402C7D5">
      <w:pPr>
        <w:keepNext w:val="0"/>
        <w:keepLines w:val="0"/>
        <w:pageBreakBefore w:val="0"/>
        <w:widowControl/>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Lohit Devanagari"/>
          <w:color w:val="auto"/>
          <w:kern w:val="0"/>
          <w:sz w:val="32"/>
          <w:highlight w:val="none"/>
          <w:lang w:bidi="hi-IN"/>
        </w:rPr>
      </w:pPr>
      <w:r>
        <w:rPr>
          <w:rFonts w:hint="eastAsia" w:ascii="仿宋_GB2312" w:hAnsi="仿宋_GB2312" w:eastAsia="仿宋_GB2312" w:cs="Lohit Devanagari"/>
          <w:color w:val="auto"/>
          <w:kern w:val="0"/>
          <w:sz w:val="32"/>
          <w:highlight w:val="none"/>
          <w:lang w:bidi="hi-IN"/>
        </w:rPr>
        <w:t>其</w:t>
      </w:r>
      <w:r>
        <w:rPr>
          <w:rFonts w:hint="eastAsia" w:ascii="仿宋_GB2312" w:hAnsi="仿宋_GB2312" w:eastAsia="仿宋_GB2312" w:cs="Lohit Devanagari"/>
          <w:color w:val="auto"/>
          <w:kern w:val="0"/>
          <w:sz w:val="32"/>
          <w:highlight w:val="none"/>
          <w:lang w:eastAsia="zh-CN" w:bidi="hi-IN"/>
        </w:rPr>
        <w:t>他</w:t>
      </w:r>
      <w:r>
        <w:rPr>
          <w:rFonts w:hint="eastAsia" w:ascii="仿宋_GB2312" w:hAnsi="仿宋_GB2312" w:eastAsia="仿宋_GB2312" w:cs="Lohit Devanagari"/>
          <w:color w:val="auto"/>
          <w:kern w:val="0"/>
          <w:sz w:val="32"/>
          <w:highlight w:val="none"/>
          <w:lang w:bidi="hi-IN"/>
        </w:rPr>
        <w:t>省直部门和相关机构依据职责参与试点工作。</w:t>
      </w:r>
    </w:p>
    <w:p w14:paraId="72FEA8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Lohit Devanagari">
    <w:altName w:val="Verdana"/>
    <w:panose1 w:val="020B0600000000000000"/>
    <w:charset w:val="00"/>
    <w:family w:val="roman"/>
    <w:pitch w:val="default"/>
    <w:sig w:usb0="00000000" w:usb1="00000000" w:usb2="00000000" w:usb3="00000000" w:csb0="0000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00000000"/>
    <w:rsid w:val="5656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customStyle="1" w:styleId="5">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2024-08-27T07:19:25Z</dcterms:created>
  <dc:creator>712</dc:creator>
  <cp:lastModifiedBy>陌</cp:lastModifiedBy>
  <dcterms:modified xsi:type="dcterms:W3CDTF">2024-08-27T07:19:58Z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1EE1DECC14F249BB88392B071F5D1AFE_13</vt:lpwstr>
  </property>
</Properties>
</file>