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600" w:lineRule="atLeast"/>
        <w:ind w:right="-105" w:rightChars="-50" w:firstLine="0" w:firstLineChars="0"/>
        <w:jc w:val="center"/>
        <w:textAlignment w:val="auto"/>
        <w:rPr>
          <w:rFonts w:hint="eastAsia" w:ascii="仿宋_GB2312" w:eastAsia="仿宋_GB2312"/>
          <w:color w:val="auto"/>
          <w:sz w:val="30"/>
          <w:szCs w:val="30"/>
          <w:highlight w:val="none"/>
        </w:rPr>
      </w:pPr>
      <w:r>
        <w:rPr>
          <w:rFonts w:hint="eastAsia" w:ascii="方正小标宋简体" w:hAnsi="Calibri" w:eastAsia="方正小标宋简体" w:cs="Times New Roman"/>
          <w:color w:val="auto"/>
          <w:kern w:val="0"/>
          <w:sz w:val="44"/>
          <w:szCs w:val="44"/>
          <w:highlight w:val="none"/>
          <w:lang w:val="en-US" w:eastAsia="zh-CN"/>
        </w:rPr>
        <w:t>2023年中央财政城镇保障性安居工程补助资金（老旧小区改造）绩效自评报告</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jc w:val="both"/>
        <w:textAlignment w:val="auto"/>
        <w:outlineLvl w:val="0"/>
        <w:rPr>
          <w:rFonts w:hint="eastAsia" w:ascii="黑体" w:hAnsi="黑体" w:eastAsia="黑体" w:cs="黑体"/>
          <w:b w:val="0"/>
          <w:bCs w:val="0"/>
          <w:color w:val="auto"/>
          <w:sz w:val="32"/>
          <w:szCs w:val="32"/>
          <w:highlight w:val="none"/>
          <w:lang w:val="en-US" w:eastAsia="zh-CN"/>
        </w:rPr>
      </w:pPr>
      <w:bookmarkStart w:id="0" w:name="_Toc3596"/>
      <w:bookmarkStart w:id="1" w:name="_Toc29218"/>
      <w:bookmarkStart w:id="2" w:name="_Toc1319"/>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0" w:firstLineChars="200"/>
        <w:jc w:val="both"/>
        <w:textAlignment w:val="auto"/>
        <w:outlineLvl w:val="0"/>
        <w:rPr>
          <w:rFonts w:hint="eastAsia" w:eastAsia="楷体_GB2312"/>
          <w:b/>
          <w:bCs/>
          <w:color w:val="auto"/>
          <w:sz w:val="32"/>
          <w:highlight w:val="none"/>
        </w:rPr>
      </w:pPr>
      <w:r>
        <w:rPr>
          <w:rFonts w:hint="eastAsia" w:ascii="黑体" w:hAnsi="黑体" w:eastAsia="黑体" w:cs="黑体"/>
          <w:b w:val="0"/>
          <w:bCs w:val="0"/>
          <w:color w:val="auto"/>
          <w:sz w:val="32"/>
          <w:szCs w:val="32"/>
          <w:highlight w:val="none"/>
          <w:lang w:val="en-US" w:eastAsia="zh-CN"/>
        </w:rPr>
        <w:t>一、基本情况</w:t>
      </w:r>
      <w:bookmarkEnd w:id="0"/>
      <w:bookmarkEnd w:id="1"/>
      <w:bookmarkEnd w:id="2"/>
      <w:bookmarkStart w:id="3" w:name="_Toc62248802"/>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0" w:firstLineChars="200"/>
        <w:jc w:val="both"/>
        <w:textAlignment w:val="auto"/>
        <w:outlineLvl w:val="0"/>
        <w:rPr>
          <w:rFonts w:hint="eastAsia" w:ascii="仿宋_GB2312" w:hAnsi="Times New Roman" w:eastAsia="仿宋_GB2312"/>
          <w:color w:val="auto"/>
          <w:kern w:val="2"/>
          <w:sz w:val="32"/>
          <w:highlight w:val="none"/>
          <w:lang w:val="en-US" w:eastAsia="zh-CN"/>
        </w:rPr>
      </w:pPr>
      <w:bookmarkStart w:id="4" w:name="_Toc11032"/>
      <w:r>
        <w:rPr>
          <w:rFonts w:hint="eastAsia" w:ascii="仿宋_GB2312" w:hAnsi="Times New Roman" w:eastAsia="仿宋_GB2312"/>
          <w:color w:val="auto"/>
          <w:kern w:val="2"/>
          <w:sz w:val="32"/>
          <w:highlight w:val="none"/>
          <w:lang w:eastAsia="zh-CN"/>
        </w:rPr>
        <w:t>我省认真贯彻落实</w:t>
      </w:r>
      <w:r>
        <w:rPr>
          <w:rFonts w:hint="eastAsia" w:ascii="仿宋_GB2312" w:hAnsi="Times New Roman" w:eastAsia="仿宋_GB2312"/>
          <w:color w:val="auto"/>
          <w:kern w:val="2"/>
          <w:sz w:val="32"/>
          <w:highlight w:val="none"/>
          <w:lang w:val="en-US" w:eastAsia="zh-CN"/>
        </w:rPr>
        <w:t>党中央、国务院部署</w:t>
      </w:r>
      <w:r>
        <w:rPr>
          <w:rFonts w:hint="eastAsia" w:ascii="仿宋_GB2312" w:hAnsi="Times New Roman" w:eastAsia="仿宋_GB2312"/>
          <w:color w:val="auto"/>
          <w:kern w:val="2"/>
          <w:sz w:val="32"/>
          <w:highlight w:val="none"/>
          <w:lang w:eastAsia="zh-CN"/>
        </w:rPr>
        <w:t>，按照《国务院办公厅关于全面推进城镇老旧小区改造工作的指导意见》（国办发〔2020〕23号）精神，</w:t>
      </w:r>
      <w:r>
        <w:rPr>
          <w:rFonts w:hint="eastAsia" w:ascii="仿宋_GB2312" w:hAnsi="Times New Roman" w:eastAsia="仿宋_GB2312"/>
          <w:color w:val="auto"/>
          <w:kern w:val="2"/>
          <w:sz w:val="32"/>
          <w:highlight w:val="none"/>
          <w:lang w:val="en-US" w:eastAsia="zh-CN"/>
        </w:rPr>
        <w:t>高度重视</w:t>
      </w:r>
      <w:r>
        <w:rPr>
          <w:rFonts w:hint="eastAsia" w:ascii="仿宋_GB2312" w:hAnsi="Times New Roman" w:eastAsia="仿宋_GB2312"/>
          <w:color w:val="auto"/>
          <w:kern w:val="2"/>
          <w:sz w:val="32"/>
          <w:highlight w:val="none"/>
          <w:lang w:eastAsia="zh-CN"/>
        </w:rPr>
        <w:t>城镇老旧小区改造工作</w:t>
      </w:r>
      <w:r>
        <w:rPr>
          <w:rFonts w:hint="eastAsia" w:ascii="仿宋_GB2312" w:hAnsi="Times New Roman" w:eastAsia="仿宋_GB2312"/>
          <w:color w:val="auto"/>
          <w:kern w:val="2"/>
          <w:sz w:val="32"/>
          <w:highlight w:val="none"/>
          <w:lang w:val="en-US" w:eastAsia="zh-CN"/>
        </w:rPr>
        <w:t>。</w:t>
      </w:r>
      <w:r>
        <w:rPr>
          <w:rFonts w:hint="eastAsia" w:ascii="仿宋_GB2312" w:hAnsi="仿宋_GB2312" w:eastAsia="仿宋_GB2312" w:cs="仿宋_GB2312"/>
          <w:color w:val="auto"/>
          <w:sz w:val="32"/>
          <w:szCs w:val="32"/>
          <w:lang w:val="en-US" w:eastAsia="zh-CN"/>
        </w:rPr>
        <w:t>连续三年</w:t>
      </w:r>
      <w:r>
        <w:rPr>
          <w:rFonts w:hint="eastAsia" w:ascii="仿宋_GB2312" w:hAnsi="仿宋_GB2312" w:eastAsia="仿宋_GB2312" w:cs="仿宋_GB2312"/>
          <w:color w:val="auto"/>
          <w:kern w:val="2"/>
          <w:sz w:val="32"/>
          <w:szCs w:val="32"/>
          <w:highlight w:val="none"/>
          <w:lang w:val="en-US" w:eastAsia="zh-CN"/>
        </w:rPr>
        <w:t>将</w:t>
      </w:r>
      <w:r>
        <w:rPr>
          <w:rFonts w:hint="eastAsia" w:ascii="仿宋_GB2312" w:hAnsi="仿宋_GB2312" w:eastAsia="仿宋_GB2312" w:cs="仿宋_GB2312"/>
          <w:color w:val="auto"/>
          <w:kern w:val="2"/>
          <w:sz w:val="32"/>
          <w:szCs w:val="32"/>
          <w:highlight w:val="none"/>
          <w:lang w:eastAsia="zh-CN"/>
        </w:rPr>
        <w:t>城镇老旧小区改造</w:t>
      </w:r>
      <w:r>
        <w:rPr>
          <w:rFonts w:hint="eastAsia" w:ascii="仿宋_GB2312" w:hAnsi="仿宋_GB2312" w:eastAsia="仿宋_GB2312" w:cs="仿宋_GB2312"/>
          <w:color w:val="auto"/>
          <w:kern w:val="2"/>
          <w:sz w:val="32"/>
          <w:szCs w:val="32"/>
          <w:highlight w:val="none"/>
          <w:lang w:val="en-US" w:eastAsia="zh-CN"/>
        </w:rPr>
        <w:t>列入省十件民生实事，</w:t>
      </w:r>
      <w:r>
        <w:rPr>
          <w:rFonts w:hint="eastAsia" w:ascii="仿宋_GB2312" w:hAnsi="仿宋_GB2312" w:eastAsia="仿宋_GB2312" w:cs="仿宋_GB2312"/>
          <w:color w:val="auto"/>
          <w:kern w:val="2"/>
          <w:sz w:val="32"/>
          <w:szCs w:val="32"/>
          <w:highlight w:val="none"/>
          <w:lang w:eastAsia="zh-CN"/>
        </w:rPr>
        <w:t>把城镇老旧小区改造作为一项重要的民生工程和发展工程。</w:t>
      </w:r>
      <w:r>
        <w:rPr>
          <w:rFonts w:hint="eastAsia" w:ascii="仿宋_GB2312" w:hAnsi="Times New Roman" w:eastAsia="仿宋_GB2312"/>
          <w:color w:val="auto"/>
          <w:kern w:val="2"/>
          <w:sz w:val="32"/>
          <w:highlight w:val="none"/>
          <w:lang w:val="en-US" w:eastAsia="zh-CN"/>
        </w:rPr>
        <w:t>2023年，</w:t>
      </w:r>
      <w:r>
        <w:rPr>
          <w:rFonts w:hint="eastAsia" w:ascii="仿宋_GB2312" w:hAnsi="仿宋_GB2312" w:eastAsia="仿宋_GB2312" w:cs="仿宋_GB2312"/>
          <w:color w:val="auto"/>
          <w:sz w:val="32"/>
          <w:szCs w:val="32"/>
          <w:lang w:eastAsia="zh-CN"/>
        </w:rPr>
        <w:t>我省坚持“人民城市人民建，人民城市为人民”理念，围绕“好房子、好小区、好社区、好城区”主线，以城市体检为引领，以引入社会力量参与为导向，以提质增效为目标，深入推进老旧小区“楼道革命”“环境革命”“管理革命”。</w:t>
      </w:r>
      <w:r>
        <w:rPr>
          <w:rFonts w:hint="eastAsia" w:ascii="仿宋_GB2312" w:hAnsi="仿宋_GB2312" w:eastAsia="仿宋_GB2312" w:cs="仿宋_GB2312"/>
          <w:color w:val="auto"/>
          <w:sz w:val="32"/>
          <w:szCs w:val="32"/>
          <w:lang w:val="en-US" w:eastAsia="zh-CN"/>
        </w:rPr>
        <w:t>同等推进县城老旧小区改造，促进区域协调发展；启动军队老旧小区改造，</w:t>
      </w:r>
      <w:r>
        <w:rPr>
          <w:rFonts w:hint="eastAsia" w:ascii="仿宋_GB2312" w:hAnsi="仿宋_GB2312" w:eastAsia="仿宋_GB2312" w:cs="仿宋_GB2312"/>
          <w:color w:val="auto"/>
          <w:sz w:val="32"/>
          <w:szCs w:val="32"/>
        </w:rPr>
        <w:t>落实拥军</w:t>
      </w:r>
      <w:r>
        <w:rPr>
          <w:rFonts w:hint="eastAsia" w:ascii="仿宋_GB2312" w:hAnsi="仿宋_GB2312" w:eastAsia="仿宋_GB2312" w:cs="仿宋_GB2312"/>
          <w:color w:val="auto"/>
          <w:sz w:val="32"/>
          <w:szCs w:val="32"/>
          <w:lang w:val="en-US" w:eastAsia="zh-CN"/>
        </w:rPr>
        <w:t>优</w:t>
      </w:r>
      <w:r>
        <w:rPr>
          <w:rFonts w:hint="eastAsia" w:ascii="仿宋_GB2312" w:hAnsi="仿宋_GB2312" w:eastAsia="仿宋_GB2312" w:cs="仿宋_GB2312"/>
          <w:color w:val="auto"/>
          <w:sz w:val="32"/>
          <w:szCs w:val="32"/>
        </w:rPr>
        <w:t>属政策</w:t>
      </w:r>
      <w:r>
        <w:rPr>
          <w:rFonts w:hint="eastAsia" w:ascii="仿宋_GB2312" w:hAnsi="仿宋_GB2312" w:eastAsia="仿宋_GB2312" w:cs="仿宋_GB2312"/>
          <w:color w:val="auto"/>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0" w:firstLineChars="200"/>
        <w:jc w:val="both"/>
        <w:textAlignment w:val="auto"/>
        <w:outlineLvl w:val="0"/>
        <w:rPr>
          <w:rFonts w:hint="eastAsia" w:ascii="仿宋_GB2312" w:hAnsi="Times New Roman" w:eastAsia="仿宋_GB2312"/>
          <w:color w:val="auto"/>
          <w:kern w:val="2"/>
          <w:sz w:val="32"/>
          <w:highlight w:val="none"/>
          <w:lang w:eastAsia="zh-CN"/>
        </w:rPr>
      </w:pPr>
      <w:r>
        <w:rPr>
          <w:rFonts w:hint="eastAsia" w:ascii="仿宋_GB2312" w:hAnsi="Times New Roman" w:eastAsia="仿宋_GB2312"/>
          <w:color w:val="auto"/>
          <w:kern w:val="2"/>
          <w:sz w:val="32"/>
          <w:highlight w:val="none"/>
          <w:lang w:eastAsia="zh-CN"/>
        </w:rPr>
        <w:t>《财政部关于提前下达2023年部分中央财政城镇保障性安居工程补助资金预算的通知》（财综〔2022〕91号）、《</w:t>
      </w:r>
      <w:r>
        <w:rPr>
          <w:rFonts w:hint="eastAsia" w:ascii="仿宋_GB2312" w:hAnsi="Times New Roman" w:eastAsia="仿宋_GB2312"/>
          <w:color w:val="auto"/>
          <w:kern w:val="2"/>
          <w:sz w:val="32"/>
          <w:highlight w:val="none"/>
          <w:lang w:val="en-US" w:eastAsia="zh-CN"/>
        </w:rPr>
        <w:t>财政部 住房城乡建设部关于下达2023年中央财政城镇保障性安居工程补助资金预算的通知</w:t>
      </w:r>
      <w:r>
        <w:rPr>
          <w:rFonts w:hint="eastAsia" w:ascii="仿宋_GB2312" w:hAnsi="Times New Roman" w:eastAsia="仿宋_GB2312"/>
          <w:color w:val="auto"/>
          <w:kern w:val="2"/>
          <w:sz w:val="32"/>
          <w:highlight w:val="none"/>
          <w:lang w:eastAsia="zh-CN"/>
        </w:rPr>
        <w:t>》（财综〔2023〕21号）</w:t>
      </w:r>
      <w:r>
        <w:rPr>
          <w:rFonts w:hint="eastAsia" w:ascii="仿宋_GB2312" w:hAnsi="Times New Roman" w:eastAsia="仿宋_GB2312"/>
          <w:color w:val="auto"/>
          <w:kern w:val="2"/>
          <w:sz w:val="32"/>
          <w:highlight w:val="none"/>
        </w:rPr>
        <w:t>分</w:t>
      </w:r>
      <w:r>
        <w:rPr>
          <w:rFonts w:hint="eastAsia" w:ascii="仿宋_GB2312" w:hAnsi="Times New Roman" w:eastAsia="仿宋_GB2312"/>
          <w:color w:val="auto"/>
          <w:kern w:val="2"/>
          <w:sz w:val="32"/>
          <w:highlight w:val="none"/>
          <w:lang w:val="en-US" w:eastAsia="zh-CN"/>
        </w:rPr>
        <w:t>2</w:t>
      </w:r>
      <w:r>
        <w:rPr>
          <w:rFonts w:hint="eastAsia" w:ascii="仿宋_GB2312" w:hAnsi="Times New Roman" w:eastAsia="仿宋_GB2312"/>
          <w:color w:val="auto"/>
          <w:kern w:val="2"/>
          <w:sz w:val="32"/>
          <w:highlight w:val="none"/>
        </w:rPr>
        <w:t>次下达</w:t>
      </w:r>
      <w:r>
        <w:rPr>
          <w:rFonts w:hint="eastAsia" w:ascii="仿宋_GB2312" w:hAnsi="Times New Roman" w:eastAsia="仿宋_GB2312"/>
          <w:color w:val="auto"/>
          <w:kern w:val="2"/>
          <w:sz w:val="32"/>
          <w:highlight w:val="none"/>
          <w:lang w:eastAsia="zh-CN"/>
        </w:rPr>
        <w:t>给我省中央财政城镇保障性安居工程补助资金（老旧小区改造）共</w:t>
      </w:r>
      <w:r>
        <w:rPr>
          <w:rFonts w:hint="eastAsia" w:ascii="仿宋_GB2312" w:hAnsi="Times New Roman" w:eastAsia="仿宋_GB2312"/>
          <w:color w:val="auto"/>
          <w:kern w:val="2"/>
          <w:sz w:val="32"/>
          <w:highlight w:val="none"/>
          <w:lang w:val="en-US" w:eastAsia="zh-CN"/>
        </w:rPr>
        <w:t>123,684.00</w:t>
      </w:r>
      <w:r>
        <w:rPr>
          <w:rFonts w:hint="eastAsia" w:ascii="仿宋_GB2312" w:hAnsi="Times New Roman" w:eastAsia="仿宋_GB2312"/>
          <w:color w:val="auto"/>
          <w:kern w:val="2"/>
          <w:sz w:val="32"/>
          <w:highlight w:val="none"/>
          <w:lang w:eastAsia="zh-CN"/>
        </w:rPr>
        <w:t>万元。</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0" w:firstLineChars="200"/>
        <w:jc w:val="both"/>
        <w:textAlignment w:val="auto"/>
        <w:outlineLvl w:val="0"/>
        <w:rPr>
          <w:rFonts w:hint="eastAsia" w:ascii="仿宋_GB2312" w:hAnsi="Times New Roman" w:eastAsia="仿宋_GB2312"/>
          <w:color w:val="auto"/>
          <w:kern w:val="2"/>
          <w:sz w:val="32"/>
          <w:highlight w:val="none"/>
          <w:lang w:eastAsia="zh-CN"/>
        </w:rPr>
      </w:pPr>
      <w:r>
        <w:rPr>
          <w:rFonts w:hint="eastAsia" w:ascii="仿宋_GB2312" w:hAnsi="等线" w:eastAsia="仿宋_GB2312"/>
          <w:color w:val="auto"/>
          <w:sz w:val="32"/>
          <w:highlight w:val="none"/>
          <w:lang w:val="en-US" w:eastAsia="zh-CN"/>
        </w:rPr>
        <w:t>我省按各市申报的 2023年中央财政补助支持城镇老旧小区计划改造户数、改造楼栋数、改造建筑面积、改造小区个数等因素，结合财力情况按因素法分配，</w:t>
      </w:r>
      <w:r>
        <w:rPr>
          <w:rFonts w:hint="eastAsia" w:ascii="仿宋_GB2312" w:hAnsi="Times New Roman" w:eastAsia="仿宋_GB2312"/>
          <w:color w:val="auto"/>
          <w:kern w:val="2"/>
          <w:sz w:val="32"/>
          <w:highlight w:val="none"/>
          <w:lang w:eastAsia="zh-CN"/>
        </w:rPr>
        <w:t>《广东省财政厅关于提前下达2023年中央财政城镇保障性安居工程补助资金的通知》（粤财建〔2022〕82号）、《广东省财政厅关于下达2023年中央财政城镇保障性安居工程补助资金的通知》（粤财建〔2023〕27号）及时将中央财政</w:t>
      </w:r>
      <w:r>
        <w:rPr>
          <w:rFonts w:hint="eastAsia" w:ascii="仿宋_GB2312" w:hAnsi="Times New Roman" w:eastAsia="仿宋_GB2312"/>
          <w:color w:val="auto"/>
          <w:kern w:val="2"/>
          <w:sz w:val="32"/>
          <w:highlight w:val="none"/>
          <w:lang w:val="en-US" w:eastAsia="zh-CN"/>
        </w:rPr>
        <w:t>城镇保障性安居工程</w:t>
      </w:r>
      <w:r>
        <w:rPr>
          <w:rFonts w:hint="eastAsia" w:ascii="仿宋_GB2312" w:hAnsi="Times New Roman" w:eastAsia="仿宋_GB2312"/>
          <w:color w:val="auto"/>
          <w:kern w:val="2"/>
          <w:sz w:val="32"/>
          <w:highlight w:val="none"/>
          <w:lang w:eastAsia="zh-CN"/>
        </w:rPr>
        <w:t>补助资金分配下达给</w:t>
      </w:r>
      <w:r>
        <w:rPr>
          <w:rFonts w:hint="eastAsia" w:ascii="仿宋_GB2312" w:hAnsi="Times New Roman" w:eastAsia="仿宋_GB2312"/>
          <w:color w:val="auto"/>
          <w:kern w:val="2"/>
          <w:sz w:val="32"/>
          <w:highlight w:val="none"/>
          <w:lang w:val="en-US" w:eastAsia="zh-CN"/>
        </w:rPr>
        <w:t>相关市县</w:t>
      </w:r>
      <w:r>
        <w:rPr>
          <w:rFonts w:hint="eastAsia" w:ascii="仿宋_GB2312" w:hAnsi="Times New Roman" w:eastAsia="仿宋_GB2312"/>
          <w:color w:val="auto"/>
          <w:kern w:val="2"/>
          <w:sz w:val="32"/>
          <w:highlight w:val="none"/>
          <w:lang w:eastAsia="zh-CN"/>
        </w:rPr>
        <w:t>。</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0" w:firstLineChars="200"/>
        <w:jc w:val="both"/>
        <w:textAlignment w:val="auto"/>
        <w:outlineLvl w:val="0"/>
        <w:rPr>
          <w:rFonts w:hint="default" w:ascii="仿宋_GB2312" w:hAnsi="仿宋_GB2312" w:eastAsia="仿宋_GB2312" w:cs="仿宋_GB2312"/>
          <w:b w:val="0"/>
          <w:bCs w:val="0"/>
          <w:color w:val="auto"/>
          <w:kern w:val="0"/>
          <w:sz w:val="32"/>
          <w:szCs w:val="32"/>
          <w:highlight w:val="none"/>
          <w:lang w:val="en-US" w:eastAsia="zh-CN"/>
        </w:rPr>
      </w:pPr>
      <w:r>
        <w:rPr>
          <w:rFonts w:hint="eastAsia" w:ascii="仿宋_GB2312" w:hAnsi="Times New Roman" w:eastAsia="仿宋_GB2312"/>
          <w:color w:val="auto"/>
          <w:kern w:val="2"/>
          <w:sz w:val="32"/>
          <w:highlight w:val="none"/>
          <w:lang w:eastAsia="zh-CN"/>
        </w:rPr>
        <w:t>中央财政补助资金用于经</w:t>
      </w:r>
      <w:r>
        <w:rPr>
          <w:rFonts w:hint="eastAsia" w:ascii="仿宋_GB2312" w:hAnsi="等线" w:eastAsia="仿宋_GB2312"/>
          <w:color w:val="auto"/>
          <w:sz w:val="32"/>
          <w:highlight w:val="none"/>
          <w:lang w:val="en-US" w:eastAsia="zh-CN"/>
        </w:rPr>
        <w:t>各市</w:t>
      </w:r>
      <w:r>
        <w:rPr>
          <w:rFonts w:hint="eastAsia" w:ascii="仿宋_GB2312" w:hAnsi="Times New Roman" w:eastAsia="仿宋_GB2312"/>
          <w:color w:val="auto"/>
          <w:kern w:val="2"/>
          <w:sz w:val="32"/>
          <w:highlight w:val="none"/>
          <w:lang w:eastAsia="zh-CN"/>
        </w:rPr>
        <w:t>申报、</w:t>
      </w:r>
      <w:r>
        <w:rPr>
          <w:rFonts w:hint="eastAsia" w:ascii="仿宋_GB2312" w:hAnsi="等线" w:eastAsia="仿宋_GB2312"/>
          <w:color w:val="auto"/>
          <w:sz w:val="32"/>
          <w:highlight w:val="none"/>
        </w:rPr>
        <w:t>省住房城乡建设厅</w:t>
      </w:r>
      <w:r>
        <w:rPr>
          <w:rFonts w:hint="eastAsia" w:ascii="仿宋_GB2312" w:hAnsi="等线" w:eastAsia="仿宋_GB2312"/>
          <w:color w:val="auto"/>
          <w:sz w:val="32"/>
          <w:highlight w:val="none"/>
          <w:lang w:eastAsia="zh-CN"/>
        </w:rPr>
        <w:t>审定</w:t>
      </w:r>
      <w:r>
        <w:rPr>
          <w:rFonts w:hint="eastAsia" w:ascii="仿宋_GB2312" w:hAnsi="Times New Roman" w:eastAsia="仿宋_GB2312"/>
          <w:color w:val="auto"/>
          <w:kern w:val="2"/>
          <w:sz w:val="32"/>
          <w:highlight w:val="none"/>
          <w:lang w:eastAsia="zh-CN"/>
        </w:rPr>
        <w:t>的</w:t>
      </w:r>
      <w:r>
        <w:rPr>
          <w:rFonts w:hint="eastAsia" w:ascii="仿宋_GB2312" w:hAnsi="Times New Roman" w:eastAsia="仿宋_GB2312"/>
          <w:color w:val="auto"/>
          <w:kern w:val="2"/>
          <w:sz w:val="32"/>
          <w:highlight w:val="none"/>
          <w:lang w:val="en-US" w:eastAsia="zh-CN"/>
        </w:rPr>
        <w:t>老旧小区改造项目支出，扶持对象是</w:t>
      </w:r>
      <w:r>
        <w:rPr>
          <w:rFonts w:hint="eastAsia" w:ascii="仿宋_GB2312" w:hAnsi="等线" w:eastAsia="仿宋_GB2312"/>
          <w:color w:val="auto"/>
          <w:sz w:val="32"/>
          <w:highlight w:val="none"/>
          <w:lang w:val="en-US" w:eastAsia="zh-CN"/>
        </w:rPr>
        <w:t>各市</w:t>
      </w:r>
      <w:r>
        <w:rPr>
          <w:rFonts w:hint="eastAsia" w:ascii="仿宋_GB2312" w:hAnsi="Times New Roman" w:eastAsia="仿宋_GB2312"/>
          <w:color w:val="auto"/>
          <w:kern w:val="2"/>
          <w:sz w:val="32"/>
          <w:highlight w:val="none"/>
          <w:lang w:eastAsia="zh-CN"/>
        </w:rPr>
        <w:t>申报并获得立项审批的</w:t>
      </w:r>
      <w:r>
        <w:rPr>
          <w:rFonts w:hint="eastAsia" w:ascii="仿宋_GB2312" w:hAnsi="Times New Roman" w:eastAsia="仿宋_GB2312"/>
          <w:color w:val="auto"/>
          <w:kern w:val="2"/>
          <w:sz w:val="32"/>
          <w:highlight w:val="none"/>
          <w:lang w:val="en-US" w:eastAsia="zh-CN"/>
        </w:rPr>
        <w:t>2000年以前建成的</w:t>
      </w:r>
      <w:r>
        <w:rPr>
          <w:rFonts w:hint="eastAsia" w:ascii="仿宋_GB2312" w:hAnsi="Times New Roman" w:eastAsia="仿宋_GB2312"/>
          <w:color w:val="auto"/>
          <w:kern w:val="2"/>
          <w:sz w:val="32"/>
          <w:highlight w:val="none"/>
          <w:lang w:eastAsia="zh-CN"/>
        </w:rPr>
        <w:t>城镇</w:t>
      </w:r>
      <w:r>
        <w:rPr>
          <w:rFonts w:hint="eastAsia" w:ascii="仿宋_GB2312" w:hAnsi="Times New Roman" w:eastAsia="仿宋_GB2312"/>
          <w:color w:val="auto"/>
          <w:kern w:val="2"/>
          <w:sz w:val="32"/>
          <w:highlight w:val="none"/>
          <w:lang w:val="en-US" w:eastAsia="zh-CN"/>
        </w:rPr>
        <w:t>老旧小区改造项目。</w:t>
      </w:r>
      <w:bookmarkEnd w:id="3"/>
      <w:bookmarkEnd w:id="4"/>
      <w:bookmarkStart w:id="5" w:name="_Toc62248803"/>
      <w:r>
        <w:rPr>
          <w:rFonts w:hint="eastAsia" w:ascii="仿宋_GB2312" w:hAnsi="Times New Roman" w:eastAsia="仿宋_GB2312"/>
          <w:color w:val="auto"/>
          <w:kern w:val="2"/>
          <w:sz w:val="32"/>
          <w:highlight w:val="none"/>
          <w:lang w:eastAsia="zh-CN"/>
        </w:rPr>
        <w:t>中央财政补助资金支持范围</w:t>
      </w:r>
      <w:r>
        <w:rPr>
          <w:rFonts w:hint="eastAsia" w:ascii="仿宋_GB2312" w:hAnsi="Times New Roman" w:eastAsia="仿宋_GB2312"/>
          <w:color w:val="auto"/>
          <w:kern w:val="2"/>
          <w:sz w:val="32"/>
          <w:highlight w:val="none"/>
          <w:lang w:val="en-US" w:eastAsia="zh-CN"/>
        </w:rPr>
        <w:t>涉及全省除深圳市（单列）以外的20个地级以上市。</w:t>
      </w:r>
    </w:p>
    <w:bookmarkEnd w:id="5"/>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0" w:firstLineChars="200"/>
        <w:jc w:val="both"/>
        <w:textAlignment w:val="auto"/>
        <w:rPr>
          <w:rFonts w:hint="default" w:ascii="仿宋_GB2312" w:hAnsi="Times New Roman" w:eastAsia="仿宋_GB2312"/>
          <w:color w:val="auto"/>
          <w:kern w:val="2"/>
          <w:sz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我省</w:t>
      </w:r>
      <w:r>
        <w:rPr>
          <w:rFonts w:hint="eastAsia" w:ascii="仿宋_GB2312" w:hAnsi="Times New Roman" w:eastAsia="仿宋_GB2312"/>
          <w:color w:val="auto"/>
          <w:kern w:val="2"/>
          <w:sz w:val="32"/>
          <w:highlight w:val="none"/>
          <w:lang w:eastAsia="zh-CN"/>
        </w:rPr>
        <w:t>202</w:t>
      </w:r>
      <w:r>
        <w:rPr>
          <w:rFonts w:hint="eastAsia" w:ascii="仿宋_GB2312" w:hAnsi="Times New Roman" w:eastAsia="仿宋_GB2312"/>
          <w:color w:val="auto"/>
          <w:kern w:val="2"/>
          <w:sz w:val="32"/>
          <w:highlight w:val="none"/>
          <w:lang w:val="en-US" w:eastAsia="zh-CN"/>
        </w:rPr>
        <w:t>3</w:t>
      </w:r>
      <w:r>
        <w:rPr>
          <w:rFonts w:hint="eastAsia" w:ascii="仿宋_GB2312" w:hAnsi="Times New Roman" w:eastAsia="仿宋_GB2312"/>
          <w:color w:val="auto"/>
          <w:kern w:val="2"/>
          <w:sz w:val="32"/>
          <w:highlight w:val="none"/>
          <w:lang w:eastAsia="zh-CN"/>
        </w:rPr>
        <w:t>年中央财政城镇保障性安居工程补助资金（老旧小区改造）的总体绩效目标是：完成</w:t>
      </w:r>
      <w:r>
        <w:rPr>
          <w:rFonts w:hint="eastAsia" w:ascii="仿宋_GB2312" w:hAnsi="Times New Roman" w:eastAsia="仿宋_GB2312"/>
          <w:color w:val="auto"/>
          <w:kern w:val="2"/>
          <w:sz w:val="32"/>
          <w:highlight w:val="none"/>
          <w:lang w:val="en-US" w:eastAsia="zh-CN"/>
        </w:rPr>
        <w:t>2023</w:t>
      </w:r>
      <w:r>
        <w:rPr>
          <w:rFonts w:hint="eastAsia" w:ascii="仿宋_GB2312" w:hAnsi="Times New Roman" w:eastAsia="仿宋_GB2312"/>
          <w:color w:val="auto"/>
          <w:kern w:val="2"/>
          <w:sz w:val="32"/>
          <w:highlight w:val="none"/>
          <w:lang w:eastAsia="zh-CN"/>
        </w:rPr>
        <w:t>年度城镇老旧小区改造年度目标任务，进一步改善群众居住条件，发挥城镇保障性安居工程财政资金使用效益。具体绩效指标是：改造户数</w:t>
      </w:r>
      <w:r>
        <w:rPr>
          <w:rFonts w:hint="eastAsia" w:ascii="仿宋_GB2312" w:hAnsi="Times New Roman" w:eastAsia="仿宋_GB2312"/>
          <w:color w:val="auto"/>
          <w:kern w:val="2"/>
          <w:sz w:val="32"/>
          <w:highlight w:val="none"/>
          <w:lang w:val="en-US" w:eastAsia="zh-CN"/>
        </w:rPr>
        <w:t>317,662</w:t>
      </w:r>
      <w:r>
        <w:rPr>
          <w:rFonts w:hint="eastAsia" w:ascii="仿宋_GB2312" w:hAnsi="Times New Roman" w:eastAsia="仿宋_GB2312"/>
          <w:color w:val="auto"/>
          <w:kern w:val="2"/>
          <w:sz w:val="32"/>
          <w:highlight w:val="none"/>
          <w:lang w:eastAsia="zh-CN"/>
        </w:rPr>
        <w:t>户、改造楼栋24</w:t>
      </w:r>
      <w:r>
        <w:rPr>
          <w:rFonts w:hint="eastAsia" w:ascii="仿宋_GB2312" w:hAnsi="Times New Roman" w:eastAsia="仿宋_GB2312"/>
          <w:color w:val="auto"/>
          <w:kern w:val="2"/>
          <w:sz w:val="32"/>
          <w:highlight w:val="none"/>
          <w:lang w:val="en-US" w:eastAsia="zh-CN"/>
        </w:rPr>
        <w:t>,</w:t>
      </w:r>
      <w:r>
        <w:rPr>
          <w:rFonts w:hint="eastAsia" w:ascii="仿宋_GB2312" w:hAnsi="Times New Roman" w:eastAsia="仿宋_GB2312"/>
          <w:color w:val="auto"/>
          <w:kern w:val="2"/>
          <w:sz w:val="32"/>
          <w:highlight w:val="none"/>
          <w:lang w:eastAsia="zh-CN"/>
        </w:rPr>
        <w:t>297栋、改造</w:t>
      </w:r>
      <w:r>
        <w:rPr>
          <w:rFonts w:hint="eastAsia" w:ascii="仿宋_GB2312" w:hAnsi="Times New Roman" w:eastAsia="仿宋_GB2312"/>
          <w:color w:val="auto"/>
          <w:kern w:val="2"/>
          <w:sz w:val="32"/>
          <w:highlight w:val="none"/>
          <w:lang w:val="en-US" w:eastAsia="zh-CN"/>
        </w:rPr>
        <w:t>建筑</w:t>
      </w:r>
      <w:r>
        <w:rPr>
          <w:rFonts w:hint="eastAsia" w:ascii="仿宋_GB2312" w:hAnsi="Times New Roman" w:eastAsia="仿宋_GB2312"/>
          <w:color w:val="auto"/>
          <w:kern w:val="2"/>
          <w:sz w:val="32"/>
          <w:highlight w:val="none"/>
          <w:lang w:eastAsia="zh-CN"/>
        </w:rPr>
        <w:t>面积</w:t>
      </w:r>
      <w:r>
        <w:rPr>
          <w:rFonts w:hint="eastAsia" w:ascii="仿宋_GB2312" w:hAnsi="Times New Roman" w:eastAsia="仿宋_GB2312"/>
          <w:color w:val="auto"/>
          <w:kern w:val="2"/>
          <w:sz w:val="32"/>
          <w:highlight w:val="none"/>
          <w:lang w:val="en-US" w:eastAsia="zh-CN"/>
        </w:rPr>
        <w:t>2,995.06</w:t>
      </w:r>
      <w:r>
        <w:rPr>
          <w:rFonts w:hint="eastAsia" w:ascii="仿宋_GB2312" w:hAnsi="Times New Roman" w:eastAsia="仿宋_GB2312"/>
          <w:color w:val="auto"/>
          <w:kern w:val="2"/>
          <w:sz w:val="32"/>
          <w:highlight w:val="none"/>
          <w:lang w:eastAsia="zh-CN"/>
        </w:rPr>
        <w:t>万平方米、改造小区</w:t>
      </w:r>
      <w:r>
        <w:rPr>
          <w:rFonts w:hint="eastAsia" w:ascii="仿宋_GB2312" w:hAnsi="Times New Roman" w:eastAsia="仿宋_GB2312"/>
          <w:color w:val="auto"/>
          <w:kern w:val="2"/>
          <w:sz w:val="32"/>
          <w:highlight w:val="none"/>
          <w:lang w:val="en-US" w:eastAsia="zh-CN"/>
        </w:rPr>
        <w:t>1,487</w:t>
      </w:r>
      <w:r>
        <w:rPr>
          <w:rFonts w:hint="eastAsia" w:ascii="仿宋_GB2312" w:hAnsi="Times New Roman" w:eastAsia="仿宋_GB2312"/>
          <w:color w:val="auto"/>
          <w:kern w:val="2"/>
          <w:sz w:val="32"/>
          <w:highlight w:val="none"/>
          <w:lang w:eastAsia="zh-CN"/>
        </w:rPr>
        <w:t>个，验收合格率</w:t>
      </w:r>
      <w:r>
        <w:rPr>
          <w:rFonts w:hint="eastAsia" w:ascii="仿宋_GB2312" w:hAnsi="Times New Roman" w:eastAsia="仿宋_GB2312"/>
          <w:color w:val="auto"/>
          <w:kern w:val="2"/>
          <w:sz w:val="32"/>
          <w:highlight w:val="none"/>
          <w:lang w:val="en-US" w:eastAsia="zh-CN"/>
        </w:rPr>
        <w:t>100%，</w:t>
      </w:r>
      <w:r>
        <w:rPr>
          <w:rFonts w:hint="eastAsia" w:ascii="仿宋_GB2312" w:hAnsi="Times New Roman" w:eastAsia="仿宋_GB2312"/>
          <w:color w:val="auto"/>
          <w:kern w:val="2"/>
          <w:sz w:val="32"/>
          <w:highlight w:val="none"/>
          <w:lang w:eastAsia="zh-CN"/>
        </w:rPr>
        <w:t>开工目标完成率</w:t>
      </w:r>
      <w:r>
        <w:rPr>
          <w:rFonts w:hint="eastAsia" w:ascii="仿宋_GB2312" w:hAnsi="Times New Roman" w:eastAsia="仿宋_GB2312"/>
          <w:color w:val="auto"/>
          <w:kern w:val="2"/>
          <w:sz w:val="32"/>
          <w:highlight w:val="none"/>
          <w:lang w:val="en-US" w:eastAsia="zh-CN"/>
        </w:rPr>
        <w:t>100%，改善群众居住条件，</w:t>
      </w:r>
      <w:r>
        <w:rPr>
          <w:rFonts w:hint="eastAsia" w:ascii="仿宋_GB2312" w:hAnsi="Times New Roman" w:eastAsia="仿宋_GB2312"/>
          <w:color w:val="auto"/>
          <w:kern w:val="2"/>
          <w:sz w:val="32"/>
          <w:highlight w:val="none"/>
          <w:lang w:eastAsia="zh-CN"/>
        </w:rPr>
        <w:t>老旧小区居民满意度</w:t>
      </w:r>
      <w:r>
        <w:rPr>
          <w:rFonts w:hint="eastAsia" w:ascii="仿宋_GB2312" w:hAnsi="Times New Roman" w:eastAsia="仿宋_GB2312"/>
          <w:color w:val="auto"/>
          <w:kern w:val="2"/>
          <w:sz w:val="32"/>
          <w:highlight w:val="none"/>
          <w:lang w:val="en-US" w:eastAsia="zh-CN"/>
        </w:rPr>
        <w:t>80%以上。</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16" w:firstLineChars="200"/>
        <w:textAlignment w:val="auto"/>
        <w:rPr>
          <w:rFonts w:hint="eastAsia" w:ascii="仿宋_GB2312" w:hAnsi="仿宋" w:eastAsia="仿宋_GB2312" w:cs="仿宋"/>
          <w:color w:val="auto"/>
          <w:spacing w:val="-6"/>
          <w:sz w:val="32"/>
          <w:highlight w:val="none"/>
        </w:rPr>
      </w:pPr>
      <w:r>
        <w:rPr>
          <w:rFonts w:hint="eastAsia" w:ascii="仿宋_GB2312" w:hAnsi="仿宋" w:eastAsia="仿宋_GB2312" w:cs="仿宋"/>
          <w:color w:val="auto"/>
          <w:spacing w:val="-6"/>
          <w:sz w:val="32"/>
          <w:highlight w:val="none"/>
        </w:rPr>
        <w:t>本次评价基准日为202</w:t>
      </w:r>
      <w:r>
        <w:rPr>
          <w:rFonts w:hint="eastAsia" w:ascii="仿宋_GB2312" w:hAnsi="仿宋" w:eastAsia="仿宋_GB2312" w:cs="仿宋"/>
          <w:color w:val="auto"/>
          <w:spacing w:val="-6"/>
          <w:sz w:val="32"/>
          <w:highlight w:val="none"/>
          <w:lang w:val="en-US" w:eastAsia="zh-CN"/>
        </w:rPr>
        <w:t>3</w:t>
      </w:r>
      <w:r>
        <w:rPr>
          <w:rFonts w:hint="eastAsia" w:ascii="仿宋_GB2312" w:hAnsi="仿宋" w:eastAsia="仿宋_GB2312" w:cs="仿宋"/>
          <w:color w:val="auto"/>
          <w:spacing w:val="-6"/>
          <w:sz w:val="32"/>
          <w:highlight w:val="none"/>
        </w:rPr>
        <w:t>年1</w:t>
      </w:r>
      <w:r>
        <w:rPr>
          <w:rFonts w:hint="eastAsia" w:ascii="仿宋_GB2312" w:hAnsi="仿宋" w:eastAsia="仿宋_GB2312" w:cs="仿宋"/>
          <w:color w:val="auto"/>
          <w:spacing w:val="-6"/>
          <w:sz w:val="32"/>
          <w:highlight w:val="none"/>
          <w:lang w:val="en-US" w:eastAsia="zh-CN"/>
        </w:rPr>
        <w:t>2</w:t>
      </w:r>
      <w:r>
        <w:rPr>
          <w:rFonts w:hint="eastAsia" w:ascii="仿宋_GB2312" w:hAnsi="仿宋" w:eastAsia="仿宋_GB2312" w:cs="仿宋"/>
          <w:color w:val="auto"/>
          <w:spacing w:val="-6"/>
          <w:sz w:val="32"/>
          <w:highlight w:val="none"/>
        </w:rPr>
        <w:t>月31日。</w:t>
      </w:r>
    </w:p>
    <w:p>
      <w:pPr>
        <w:pStyle w:val="13"/>
        <w:keepNext w:val="0"/>
        <w:keepLines w:val="0"/>
        <w:pageBreakBefore w:val="0"/>
        <w:kinsoku/>
        <w:wordWrap/>
        <w:overflowPunct/>
        <w:topLinePunct w:val="0"/>
        <w:autoSpaceDE/>
        <w:autoSpaceDN/>
        <w:bidi w:val="0"/>
        <w:adjustRightInd/>
        <w:snapToGrid w:val="0"/>
        <w:spacing w:before="0" w:after="0" w:line="600" w:lineRule="atLeast"/>
        <w:ind w:right="-105" w:rightChars="-50" w:firstLine="640" w:firstLineChars="200"/>
        <w:jc w:val="both"/>
        <w:textAlignment w:val="auto"/>
        <w:rPr>
          <w:rFonts w:hint="eastAsia" w:ascii="黑体" w:hAnsi="黑体" w:eastAsia="黑体"/>
          <w:b w:val="0"/>
          <w:color w:val="auto"/>
          <w:highlight w:val="none"/>
          <w:lang w:val="en-US" w:eastAsia="zh-CN"/>
        </w:rPr>
      </w:pPr>
      <w:bookmarkStart w:id="6" w:name="_Toc62248809"/>
      <w:bookmarkStart w:id="7" w:name="_Toc13813"/>
      <w:bookmarkStart w:id="8" w:name="_Toc27259"/>
      <w:bookmarkStart w:id="9" w:name="_Toc13955"/>
      <w:r>
        <w:rPr>
          <w:rFonts w:hint="eastAsia" w:ascii="黑体" w:hAnsi="黑体" w:eastAsia="黑体"/>
          <w:b w:val="0"/>
          <w:color w:val="auto"/>
          <w:highlight w:val="none"/>
        </w:rPr>
        <w:t>二、</w:t>
      </w:r>
      <w:r>
        <w:rPr>
          <w:rFonts w:hint="eastAsia" w:ascii="黑体" w:hAnsi="黑体" w:eastAsia="黑体"/>
          <w:b w:val="0"/>
          <w:color w:val="auto"/>
          <w:highlight w:val="none"/>
          <w:lang w:eastAsia="zh-CN"/>
        </w:rPr>
        <w:t>自评情况</w:t>
      </w:r>
    </w:p>
    <w:bookmarkEnd w:id="6"/>
    <w:bookmarkEnd w:id="7"/>
    <w:bookmarkEnd w:id="8"/>
    <w:bookmarkEnd w:id="9"/>
    <w:p>
      <w:pPr>
        <w:keepNext w:val="0"/>
        <w:keepLines w:val="0"/>
        <w:pageBreakBefore w:val="0"/>
        <w:kinsoku/>
        <w:wordWrap/>
        <w:overflowPunct/>
        <w:topLinePunct w:val="0"/>
        <w:autoSpaceDE/>
        <w:autoSpaceDN/>
        <w:bidi w:val="0"/>
        <w:adjustRightInd/>
        <w:snapToGrid w:val="0"/>
        <w:spacing w:line="600" w:lineRule="atLeast"/>
        <w:ind w:right="-105" w:rightChars="-50" w:firstLine="642" w:firstLineChars="200"/>
        <w:textAlignment w:val="auto"/>
        <w:rPr>
          <w:rFonts w:hint="eastAsia" w:hAnsi="宋体" w:eastAsia="楷体_GB2312"/>
          <w:b/>
          <w:bCs/>
          <w:color w:val="auto"/>
          <w:sz w:val="32"/>
          <w:highlight w:val="none"/>
          <w:lang w:eastAsia="zh-CN"/>
        </w:rPr>
      </w:pPr>
      <w:r>
        <w:rPr>
          <w:rFonts w:hint="eastAsia" w:hAnsi="宋体" w:eastAsia="楷体_GB2312"/>
          <w:b/>
          <w:bCs/>
          <w:color w:val="auto"/>
          <w:sz w:val="32"/>
          <w:highlight w:val="none"/>
        </w:rPr>
        <w:t>（一）</w:t>
      </w:r>
      <w:r>
        <w:rPr>
          <w:rFonts w:hint="eastAsia" w:hAnsi="宋体" w:eastAsia="楷体_GB2312"/>
          <w:b/>
          <w:bCs/>
          <w:color w:val="auto"/>
          <w:sz w:val="32"/>
          <w:highlight w:val="none"/>
          <w:lang w:eastAsia="zh-CN"/>
        </w:rPr>
        <w:t>自评等级和分数。</w:t>
      </w:r>
    </w:p>
    <w:p>
      <w:pPr>
        <w:keepNext w:val="0"/>
        <w:keepLines w:val="0"/>
        <w:pageBreakBefore w:val="0"/>
        <w:kinsoku/>
        <w:wordWrap/>
        <w:overflowPunct/>
        <w:topLinePunct w:val="0"/>
        <w:autoSpaceDE/>
        <w:autoSpaceDN/>
        <w:bidi w:val="0"/>
        <w:adjustRightInd/>
        <w:snapToGrid w:val="0"/>
        <w:spacing w:line="600" w:lineRule="atLeast"/>
        <w:ind w:right="-105" w:rightChars="-50" w:firstLine="640" w:firstLineChars="200"/>
        <w:textAlignment w:val="auto"/>
        <w:rPr>
          <w:rFonts w:hint="default" w:ascii="仿宋_GB2312" w:hAnsi="仿宋" w:eastAsia="仿宋_GB2312"/>
          <w:color w:val="auto"/>
          <w:sz w:val="32"/>
          <w:highlight w:val="none"/>
          <w:lang w:val="en-US" w:eastAsia="zh-CN"/>
        </w:rPr>
      </w:pPr>
      <w:r>
        <w:rPr>
          <w:rFonts w:hint="eastAsia" w:ascii="仿宋_GB2312" w:hAnsi="Times New Roman" w:eastAsia="仿宋_GB2312"/>
          <w:color w:val="auto"/>
          <w:kern w:val="2"/>
          <w:sz w:val="32"/>
          <w:highlight w:val="none"/>
          <w:lang w:eastAsia="zh-CN"/>
        </w:rPr>
        <w:t>202</w:t>
      </w:r>
      <w:r>
        <w:rPr>
          <w:rFonts w:hint="eastAsia" w:ascii="仿宋_GB2312" w:hAnsi="Times New Roman" w:eastAsia="仿宋_GB2312"/>
          <w:color w:val="auto"/>
          <w:kern w:val="2"/>
          <w:sz w:val="32"/>
          <w:highlight w:val="none"/>
          <w:lang w:val="en-US" w:eastAsia="zh-CN"/>
        </w:rPr>
        <w:t>3</w:t>
      </w:r>
      <w:r>
        <w:rPr>
          <w:rFonts w:hint="eastAsia" w:ascii="仿宋_GB2312" w:hAnsi="Times New Roman" w:eastAsia="仿宋_GB2312"/>
          <w:color w:val="auto"/>
          <w:kern w:val="2"/>
          <w:sz w:val="32"/>
          <w:highlight w:val="none"/>
          <w:lang w:eastAsia="zh-CN"/>
        </w:rPr>
        <w:t>年中央财政城镇保障性安居工程补助资金（老旧小区改造）</w:t>
      </w:r>
      <w:r>
        <w:rPr>
          <w:rFonts w:hint="eastAsia" w:ascii="仿宋_GB2312" w:hAnsi="Times New Roman" w:eastAsia="仿宋_GB2312"/>
          <w:color w:val="auto"/>
          <w:kern w:val="2"/>
          <w:sz w:val="32"/>
          <w:highlight w:val="none"/>
        </w:rPr>
        <w:t>项目</w:t>
      </w:r>
      <w:r>
        <w:rPr>
          <w:rFonts w:hint="eastAsia" w:ascii="仿宋_GB2312" w:hAnsi="Times New Roman" w:eastAsia="仿宋_GB2312"/>
          <w:color w:val="auto"/>
          <w:kern w:val="2"/>
          <w:sz w:val="32"/>
          <w:highlight w:val="none"/>
          <w:lang w:eastAsia="zh-CN"/>
        </w:rPr>
        <w:t>，</w:t>
      </w:r>
      <w:r>
        <w:rPr>
          <w:rFonts w:hint="eastAsia" w:ascii="仿宋_GB2312" w:hAnsi="仿宋" w:eastAsia="仿宋_GB2312"/>
          <w:color w:val="auto"/>
          <w:sz w:val="32"/>
          <w:highlight w:val="none"/>
        </w:rPr>
        <w:t>依据</w:t>
      </w:r>
      <w:r>
        <w:rPr>
          <w:rFonts w:hint="eastAsia" w:ascii="仿宋_GB2312" w:hAnsi="仿宋" w:eastAsia="仿宋_GB2312"/>
          <w:sz w:val="32"/>
        </w:rPr>
        <w:t>《财政部 住房城乡建设部关于印发中央财政城镇保障性安居工程补助资金管理办法的通知》（财综〔2022〕37号）</w:t>
      </w:r>
      <w:r>
        <w:rPr>
          <w:rFonts w:hint="eastAsia" w:ascii="仿宋_GB2312" w:hAnsi="仿宋" w:eastAsia="仿宋_GB2312"/>
          <w:sz w:val="32"/>
          <w:lang w:eastAsia="zh-CN"/>
        </w:rPr>
        <w:t>规定</w:t>
      </w:r>
      <w:r>
        <w:rPr>
          <w:rFonts w:hint="eastAsia" w:ascii="仿宋_GB2312" w:hAnsi="仿宋" w:eastAsia="仿宋_GB2312"/>
          <w:color w:val="auto"/>
          <w:sz w:val="32"/>
          <w:highlight w:val="none"/>
        </w:rPr>
        <w:t>的</w:t>
      </w:r>
      <w:r>
        <w:rPr>
          <w:rFonts w:hint="eastAsia" w:ascii="仿宋_GB2312" w:hAnsi="仿宋" w:eastAsia="仿宋_GB2312"/>
          <w:color w:val="auto"/>
          <w:sz w:val="32"/>
          <w:highlight w:val="none"/>
          <w:lang w:eastAsia="zh-CN"/>
        </w:rPr>
        <w:t>绩效</w:t>
      </w:r>
      <w:r>
        <w:rPr>
          <w:rFonts w:hint="eastAsia" w:ascii="仿宋_GB2312" w:hAnsi="仿宋" w:eastAsia="仿宋_GB2312"/>
          <w:color w:val="auto"/>
          <w:sz w:val="32"/>
          <w:highlight w:val="none"/>
        </w:rPr>
        <w:t>评价指标体系和评分</w:t>
      </w:r>
      <w:r>
        <w:rPr>
          <w:rFonts w:hint="eastAsia" w:ascii="仿宋_GB2312" w:eastAsia="仿宋_GB2312"/>
          <w:color w:val="auto"/>
          <w:sz w:val="32"/>
          <w:highlight w:val="none"/>
        </w:rPr>
        <w:t>标准，</w:t>
      </w:r>
      <w:r>
        <w:rPr>
          <w:rFonts w:hint="eastAsia" w:ascii="仿宋_GB2312" w:hAnsi="仿宋_GB2312" w:eastAsia="仿宋_GB2312" w:cs="仿宋_GB2312"/>
          <w:color w:val="auto"/>
          <w:sz w:val="32"/>
          <w:highlight w:val="none"/>
        </w:rPr>
        <w:t>绩</w:t>
      </w:r>
      <w:r>
        <w:rPr>
          <w:rFonts w:hint="eastAsia" w:ascii="仿宋_GB2312" w:hAnsi="仿宋_GB2312" w:eastAsia="仿宋_GB2312" w:cs="Calibri"/>
          <w:color w:val="auto"/>
          <w:sz w:val="32"/>
          <w:highlight w:val="none"/>
        </w:rPr>
        <w:t>效</w:t>
      </w:r>
      <w:r>
        <w:rPr>
          <w:rFonts w:hint="eastAsia" w:ascii="仿宋_GB2312" w:hAnsi="仿宋_GB2312" w:eastAsia="仿宋_GB2312" w:cs="Calibri"/>
          <w:color w:val="auto"/>
          <w:sz w:val="32"/>
          <w:highlight w:val="none"/>
          <w:lang w:eastAsia="zh-CN"/>
        </w:rPr>
        <w:t>自评得</w:t>
      </w:r>
      <w:r>
        <w:rPr>
          <w:rFonts w:hint="eastAsia" w:ascii="仿宋_GB2312" w:hAnsi="仿宋_GB2312" w:eastAsia="仿宋_GB2312" w:cs="Calibri"/>
          <w:color w:val="auto"/>
          <w:sz w:val="32"/>
          <w:highlight w:val="none"/>
        </w:rPr>
        <w:t>分为</w:t>
      </w:r>
      <w:r>
        <w:rPr>
          <w:rFonts w:hint="eastAsia" w:ascii="仿宋_GB2312" w:hAnsi="仿宋_GB2312" w:eastAsia="仿宋_GB2312" w:cs="仿宋_GB2312"/>
          <w:color w:val="auto"/>
          <w:sz w:val="32"/>
          <w:highlight w:val="none"/>
          <w:lang w:val="en-US" w:eastAsia="zh-CN"/>
        </w:rPr>
        <w:t>90.42</w:t>
      </w:r>
      <w:r>
        <w:rPr>
          <w:rFonts w:hint="eastAsia" w:ascii="仿宋_GB2312" w:hAnsi="仿宋" w:eastAsia="仿宋_GB2312"/>
          <w:color w:val="auto"/>
          <w:sz w:val="32"/>
          <w:highlight w:val="none"/>
        </w:rPr>
        <w:t>分</w:t>
      </w:r>
      <w:r>
        <w:rPr>
          <w:rFonts w:hint="eastAsia" w:ascii="仿宋_GB2312" w:hAnsi="仿宋" w:eastAsia="仿宋_GB2312"/>
          <w:color w:val="auto"/>
          <w:sz w:val="32"/>
          <w:highlight w:val="none"/>
          <w:lang w:val="en-US" w:eastAsia="zh-CN"/>
        </w:rPr>
        <w:t>。详见附件1。</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2" w:firstLineChars="200"/>
        <w:jc w:val="both"/>
        <w:textAlignment w:val="auto"/>
        <w:rPr>
          <w:rFonts w:hint="eastAsia" w:hAnsi="宋体" w:eastAsia="楷体_GB2312"/>
          <w:b/>
          <w:bCs/>
          <w:color w:val="auto"/>
          <w:sz w:val="32"/>
          <w:highlight w:val="none"/>
          <w:lang w:eastAsia="zh-CN"/>
        </w:rPr>
      </w:pPr>
      <w:r>
        <w:rPr>
          <w:rFonts w:hint="eastAsia" w:hAnsi="宋体" w:eastAsia="楷体_GB2312"/>
          <w:b/>
          <w:bCs/>
          <w:color w:val="auto"/>
          <w:sz w:val="32"/>
          <w:highlight w:val="none"/>
        </w:rPr>
        <w:t>（</w:t>
      </w:r>
      <w:r>
        <w:rPr>
          <w:rFonts w:hint="eastAsia" w:hAnsi="宋体" w:eastAsia="楷体_GB2312"/>
          <w:b/>
          <w:bCs/>
          <w:color w:val="auto"/>
          <w:sz w:val="32"/>
          <w:highlight w:val="none"/>
          <w:lang w:eastAsia="zh-CN"/>
        </w:rPr>
        <w:t>二</w:t>
      </w:r>
      <w:r>
        <w:rPr>
          <w:rFonts w:hint="eastAsia" w:hAnsi="宋体" w:eastAsia="楷体_GB2312"/>
          <w:b/>
          <w:bCs/>
          <w:color w:val="auto"/>
          <w:sz w:val="32"/>
          <w:highlight w:val="none"/>
        </w:rPr>
        <w:t>）</w:t>
      </w:r>
      <w:r>
        <w:rPr>
          <w:rFonts w:hint="eastAsia" w:hAnsi="宋体" w:eastAsia="楷体_GB2312"/>
          <w:b/>
          <w:bCs/>
          <w:color w:val="auto"/>
          <w:sz w:val="32"/>
          <w:highlight w:val="none"/>
          <w:lang w:eastAsia="zh-CN"/>
        </w:rPr>
        <w:t>补助资金使用绩效。</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2" w:firstLineChars="200"/>
        <w:jc w:val="both"/>
        <w:textAlignment w:val="auto"/>
        <w:rPr>
          <w:rFonts w:hint="eastAsia" w:hAnsi="宋体" w:eastAsia="楷体_GB2312"/>
          <w:b/>
          <w:bCs/>
          <w:color w:val="auto"/>
          <w:sz w:val="32"/>
          <w:highlight w:val="none"/>
          <w:lang w:eastAsia="zh-CN"/>
        </w:rPr>
      </w:pPr>
      <w:r>
        <w:rPr>
          <w:rFonts w:hint="eastAsia" w:ascii="仿宋_GB2312" w:hAnsi="Times New Roman" w:eastAsia="仿宋_GB2312"/>
          <w:b/>
          <w:bCs/>
          <w:color w:val="auto"/>
          <w:kern w:val="2"/>
          <w:sz w:val="32"/>
          <w:highlight w:val="none"/>
          <w:lang w:val="en-US" w:eastAsia="zh-CN"/>
        </w:rPr>
        <w:t>1.</w:t>
      </w:r>
      <w:r>
        <w:rPr>
          <w:rFonts w:hint="eastAsia" w:hAnsi="宋体" w:eastAsia="楷体_GB2312"/>
          <w:b/>
          <w:bCs/>
          <w:color w:val="auto"/>
          <w:sz w:val="32"/>
          <w:highlight w:val="none"/>
          <w:lang w:eastAsia="zh-CN"/>
        </w:rPr>
        <w:t>支出情况。</w:t>
      </w:r>
    </w:p>
    <w:p>
      <w:pPr>
        <w:pStyle w:val="7"/>
        <w:keepNext w:val="0"/>
        <w:keepLines w:val="0"/>
        <w:pageBreakBefore w:val="0"/>
        <w:kinsoku/>
        <w:wordWrap/>
        <w:overflowPunct/>
        <w:topLinePunct w:val="0"/>
        <w:autoSpaceDE/>
        <w:autoSpaceDN/>
        <w:bidi w:val="0"/>
        <w:adjustRightInd/>
        <w:snapToGrid w:val="0"/>
        <w:spacing w:line="600" w:lineRule="atLeast"/>
        <w:ind w:left="0" w:leftChars="0" w:right="-105" w:rightChars="-50" w:firstLine="640" w:firstLineChars="200"/>
        <w:textAlignment w:val="auto"/>
        <w:rPr>
          <w:rFonts w:hint="eastAsia" w:ascii="仿宋_GB2312" w:eastAsia="仿宋_GB2312"/>
          <w:color w:val="auto"/>
          <w:sz w:val="32"/>
          <w:szCs w:val="32"/>
          <w:highlight w:val="none"/>
          <w:lang w:val="en-US" w:eastAsia="zh-CN"/>
        </w:rPr>
      </w:pPr>
      <w:r>
        <w:rPr>
          <w:rFonts w:hint="eastAsia" w:ascii="仿宋_GB2312" w:hAnsi="仿宋_GB2312" w:eastAsia="仿宋_GB2312" w:cstheme="minorBidi"/>
          <w:color w:val="auto"/>
          <w:sz w:val="32"/>
          <w:highlight w:val="none"/>
          <w:lang w:val="en-US" w:eastAsia="zh-CN"/>
        </w:rPr>
        <w:t>中央财政补助资金预算指标共计123,684.00</w:t>
      </w:r>
      <w:r>
        <w:rPr>
          <w:rFonts w:hint="eastAsia" w:ascii="仿宋_GB2312" w:hAnsi="Times New Roman" w:eastAsia="仿宋_GB2312"/>
          <w:color w:val="auto"/>
          <w:kern w:val="2"/>
          <w:sz w:val="32"/>
          <w:highlight w:val="none"/>
          <w:lang w:eastAsia="zh-CN"/>
        </w:rPr>
        <w:t>万元，已全部按时落实到位。</w:t>
      </w:r>
      <w:r>
        <w:rPr>
          <w:rFonts w:hint="eastAsia" w:ascii="仿宋_GB2312" w:hAnsi="仿宋_GB2312" w:eastAsia="仿宋_GB2312" w:cstheme="minorBidi"/>
          <w:color w:val="auto"/>
          <w:sz w:val="32"/>
          <w:highlight w:val="none"/>
          <w:lang w:val="en-US" w:eastAsia="zh-CN"/>
        </w:rPr>
        <w:t>截至2023年12月31日，已支付资金</w:t>
      </w:r>
      <w:r>
        <w:rPr>
          <w:rFonts w:hint="eastAsia" w:ascii="仿宋_GB2312" w:hAnsi="仿宋_GB2312" w:eastAsia="仿宋_GB2312" w:cs="仿宋_GB2312"/>
          <w:color w:val="auto"/>
          <w:kern w:val="2"/>
          <w:sz w:val="32"/>
          <w:szCs w:val="24"/>
          <w:highlight w:val="none"/>
          <w:lang w:val="en-US" w:eastAsia="zh-CN" w:bidi="ar-SA"/>
        </w:rPr>
        <w:t>67,273.75</w:t>
      </w:r>
      <w:r>
        <w:rPr>
          <w:rFonts w:hint="eastAsia" w:ascii="仿宋_GB2312" w:hAnsi="仿宋_GB2312" w:eastAsia="仿宋_GB2312" w:cstheme="minorBidi"/>
          <w:color w:val="auto"/>
          <w:sz w:val="32"/>
          <w:highlight w:val="none"/>
          <w:lang w:val="en-US" w:eastAsia="zh-CN"/>
        </w:rPr>
        <w:t>万元，结转资金</w:t>
      </w:r>
      <w:r>
        <w:rPr>
          <w:rFonts w:hint="eastAsia" w:ascii="仿宋_GB2312" w:hAnsi="仿宋_GB2312" w:eastAsia="仿宋_GB2312" w:cs="仿宋_GB2312"/>
          <w:color w:val="auto"/>
          <w:kern w:val="2"/>
          <w:sz w:val="32"/>
          <w:szCs w:val="24"/>
          <w:highlight w:val="none"/>
          <w:lang w:val="en-US" w:eastAsia="zh-CN" w:bidi="ar-SA"/>
        </w:rPr>
        <w:t>56,410.25</w:t>
      </w:r>
      <w:r>
        <w:rPr>
          <w:rFonts w:hint="eastAsia" w:ascii="仿宋_GB2312" w:hAnsi="仿宋_GB2312" w:eastAsia="仿宋_GB2312" w:cstheme="minorBidi"/>
          <w:color w:val="auto"/>
          <w:sz w:val="32"/>
          <w:highlight w:val="none"/>
          <w:lang w:val="en-US" w:eastAsia="zh-CN"/>
        </w:rPr>
        <w:t>万元将按项目建设进度在2024年支付。2023年中央财政补助资金的实际支出率为54.39%。详见附件2。</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2" w:firstLineChars="200"/>
        <w:jc w:val="both"/>
        <w:textAlignment w:val="auto"/>
        <w:rPr>
          <w:rFonts w:hint="eastAsia" w:ascii="仿宋_GB2312" w:hAnsi="Times New Roman" w:eastAsia="仿宋_GB2312"/>
          <w:b/>
          <w:bCs/>
          <w:color w:val="auto"/>
          <w:kern w:val="2"/>
          <w:sz w:val="32"/>
          <w:highlight w:val="none"/>
          <w:lang w:val="en-US" w:eastAsia="zh-CN"/>
        </w:rPr>
      </w:pPr>
      <w:r>
        <w:rPr>
          <w:rFonts w:hint="eastAsia" w:ascii="仿宋_GB2312" w:hAnsi="Times New Roman" w:eastAsia="仿宋_GB2312"/>
          <w:b/>
          <w:bCs/>
          <w:color w:val="auto"/>
          <w:kern w:val="2"/>
          <w:sz w:val="32"/>
          <w:highlight w:val="none"/>
          <w:lang w:val="en-US" w:eastAsia="zh-CN"/>
        </w:rPr>
        <w:t>2.绩效目标（指标）完成情况。</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0" w:firstLineChars="200"/>
        <w:jc w:val="both"/>
        <w:textAlignment w:val="auto"/>
        <w:rPr>
          <w:rFonts w:hint="eastAsia" w:ascii="仿宋_GB2312" w:hAnsi="Times New Roman" w:eastAsia="仿宋_GB2312"/>
          <w:color w:val="auto"/>
          <w:kern w:val="2"/>
          <w:sz w:val="32"/>
          <w:highlight w:val="none"/>
          <w:lang w:eastAsia="zh-CN"/>
        </w:rPr>
      </w:pPr>
      <w:r>
        <w:rPr>
          <w:rFonts w:hint="eastAsia" w:ascii="仿宋_GB2312" w:hAnsi="Times New Roman" w:eastAsia="仿宋_GB2312"/>
          <w:color w:val="auto"/>
          <w:kern w:val="2"/>
          <w:sz w:val="32"/>
          <w:highlight w:val="none"/>
          <w:lang w:val="en-US" w:eastAsia="zh-CN"/>
        </w:rPr>
        <w:t>2023年中央财政</w:t>
      </w:r>
      <w:r>
        <w:rPr>
          <w:rFonts w:hint="eastAsia" w:ascii="仿宋_GB2312" w:hAnsi="Times New Roman" w:eastAsia="仿宋_GB2312"/>
          <w:b w:val="0"/>
          <w:bCs w:val="0"/>
          <w:color w:val="auto"/>
          <w:kern w:val="2"/>
          <w:sz w:val="32"/>
          <w:highlight w:val="none"/>
          <w:lang w:val="en-US" w:eastAsia="zh-CN"/>
        </w:rPr>
        <w:t>补助资金项目的</w:t>
      </w:r>
      <w:r>
        <w:rPr>
          <w:rFonts w:hint="eastAsia" w:ascii="仿宋_GB2312" w:hAnsi="Times New Roman" w:eastAsia="仿宋_GB2312"/>
          <w:color w:val="auto"/>
          <w:kern w:val="2"/>
          <w:sz w:val="32"/>
          <w:highlight w:val="none"/>
          <w:lang w:val="en-US" w:eastAsia="zh-CN"/>
        </w:rPr>
        <w:t>总体绩效目标100%实现。</w:t>
      </w:r>
      <w:r>
        <w:rPr>
          <w:rFonts w:hint="eastAsia" w:ascii="仿宋_GB2312" w:hAnsi="Times New Roman" w:eastAsia="仿宋_GB2312"/>
          <w:color w:val="auto"/>
          <w:kern w:val="2"/>
          <w:sz w:val="32"/>
          <w:highlight w:val="none"/>
          <w:lang w:eastAsia="zh-CN"/>
        </w:rPr>
        <w:t>城镇老旧小区环境得到提升，进一步改善了群众居住条件，</w:t>
      </w:r>
      <w:r>
        <w:rPr>
          <w:rFonts w:hint="eastAsia" w:ascii="仿宋_GB2312" w:hAnsi="Times New Roman" w:eastAsia="仿宋_GB2312"/>
          <w:color w:val="auto"/>
          <w:sz w:val="32"/>
          <w:highlight w:val="none"/>
        </w:rPr>
        <w:t>发挥城镇保障性安居工程财政资金使用效益</w:t>
      </w:r>
      <w:r>
        <w:rPr>
          <w:rFonts w:hint="eastAsia" w:ascii="仿宋_GB2312" w:hAnsi="Times New Roman" w:eastAsia="仿宋_GB2312"/>
          <w:color w:val="auto"/>
          <w:kern w:val="2"/>
          <w:sz w:val="32"/>
          <w:highlight w:val="none"/>
          <w:lang w:eastAsia="zh-CN"/>
        </w:rPr>
        <w:t>。</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0" w:firstLineChars="200"/>
        <w:jc w:val="both"/>
        <w:textAlignment w:val="auto"/>
        <w:rPr>
          <w:rFonts w:hint="default" w:ascii="仿宋_GB2312" w:hAnsi="仿宋" w:eastAsia="仿宋_GB2312" w:cstheme="minorBidi"/>
          <w:color w:val="auto"/>
          <w:kern w:val="2"/>
          <w:sz w:val="32"/>
          <w:szCs w:val="24"/>
          <w:highlight w:val="none"/>
          <w:lang w:val="en-US" w:eastAsia="zh-CN" w:bidi="ar-SA"/>
        </w:rPr>
      </w:pPr>
      <w:r>
        <w:rPr>
          <w:rFonts w:hint="eastAsia" w:ascii="仿宋_GB2312" w:hAnsi="Times New Roman" w:eastAsia="仿宋_GB2312"/>
          <w:color w:val="auto"/>
          <w:kern w:val="2"/>
          <w:sz w:val="32"/>
          <w:highlight w:val="none"/>
          <w:lang w:val="en-US" w:eastAsia="zh-CN"/>
        </w:rPr>
        <w:t>2023年全面</w:t>
      </w:r>
      <w:r>
        <w:rPr>
          <w:rFonts w:hint="eastAsia" w:ascii="仿宋_GB2312" w:hAnsi="Times New Roman" w:eastAsia="仿宋_GB2312"/>
          <w:color w:val="auto"/>
          <w:kern w:val="2"/>
          <w:sz w:val="32"/>
          <w:highlight w:val="none"/>
          <w:lang w:eastAsia="zh-CN"/>
        </w:rPr>
        <w:t>完成了城镇老旧小区</w:t>
      </w:r>
      <w:r>
        <w:rPr>
          <w:rFonts w:hint="eastAsia" w:ascii="仿宋_GB2312" w:hAnsi="仿宋" w:eastAsia="仿宋_GB2312" w:cstheme="minorBidi"/>
          <w:color w:val="auto"/>
          <w:kern w:val="2"/>
          <w:sz w:val="32"/>
          <w:szCs w:val="24"/>
          <w:highlight w:val="none"/>
          <w:lang w:val="en-US" w:eastAsia="zh-CN" w:bidi="ar-SA"/>
        </w:rPr>
        <w:t>改造</w:t>
      </w:r>
      <w:r>
        <w:rPr>
          <w:rFonts w:hint="eastAsia" w:ascii="仿宋_GB2312" w:hAnsi="Times New Roman" w:eastAsia="仿宋_GB2312"/>
          <w:color w:val="auto"/>
          <w:kern w:val="2"/>
          <w:sz w:val="32"/>
          <w:highlight w:val="none"/>
          <w:lang w:eastAsia="zh-CN"/>
        </w:rPr>
        <w:t>开工改造户数317,662户、改造楼栋24,297栋、改造</w:t>
      </w:r>
      <w:r>
        <w:rPr>
          <w:rFonts w:hint="eastAsia" w:ascii="仿宋_GB2312" w:hAnsi="Times New Roman" w:eastAsia="仿宋_GB2312"/>
          <w:color w:val="auto"/>
          <w:kern w:val="2"/>
          <w:sz w:val="32"/>
          <w:highlight w:val="none"/>
          <w:lang w:val="en-US" w:eastAsia="zh-CN"/>
        </w:rPr>
        <w:t>建筑</w:t>
      </w:r>
      <w:r>
        <w:rPr>
          <w:rFonts w:hint="eastAsia" w:ascii="仿宋_GB2312" w:hAnsi="Times New Roman" w:eastAsia="仿宋_GB2312"/>
          <w:color w:val="auto"/>
          <w:kern w:val="2"/>
          <w:sz w:val="32"/>
          <w:highlight w:val="none"/>
          <w:lang w:eastAsia="zh-CN"/>
        </w:rPr>
        <w:t>面积2,995.06万平方米、改造小区1</w:t>
      </w:r>
      <w:r>
        <w:rPr>
          <w:rFonts w:hint="eastAsia" w:ascii="仿宋_GB2312" w:hAnsi="Times New Roman" w:eastAsia="仿宋_GB2312"/>
          <w:color w:val="auto"/>
          <w:kern w:val="2"/>
          <w:sz w:val="32"/>
          <w:highlight w:val="none"/>
          <w:lang w:val="en-US" w:eastAsia="zh-CN"/>
        </w:rPr>
        <w:t>,</w:t>
      </w:r>
      <w:r>
        <w:rPr>
          <w:rFonts w:hint="eastAsia" w:ascii="仿宋_GB2312" w:hAnsi="Times New Roman" w:eastAsia="仿宋_GB2312"/>
          <w:color w:val="auto"/>
          <w:kern w:val="2"/>
          <w:sz w:val="32"/>
          <w:highlight w:val="none"/>
          <w:lang w:eastAsia="zh-CN"/>
        </w:rPr>
        <w:t>487个</w:t>
      </w:r>
      <w:r>
        <w:rPr>
          <w:rFonts w:hint="eastAsia" w:ascii="仿宋_GB2312" w:hAnsi="Times New Roman" w:eastAsia="仿宋_GB2312"/>
          <w:color w:val="auto"/>
          <w:kern w:val="2"/>
          <w:sz w:val="32"/>
          <w:highlight w:val="none"/>
          <w:lang w:val="en-US" w:eastAsia="zh-CN"/>
        </w:rPr>
        <w:t>的绩效指标</w:t>
      </w:r>
      <w:r>
        <w:rPr>
          <w:rFonts w:hint="eastAsia" w:ascii="仿宋_GB2312" w:hAnsi="Times New Roman" w:eastAsia="仿宋_GB2312"/>
          <w:color w:val="auto"/>
          <w:kern w:val="2"/>
          <w:sz w:val="32"/>
          <w:highlight w:val="none"/>
          <w:lang w:eastAsia="zh-CN"/>
        </w:rPr>
        <w:t>，</w:t>
      </w:r>
      <w:r>
        <w:rPr>
          <w:rFonts w:hint="eastAsia" w:ascii="仿宋_GB2312" w:hAnsi="仿宋_GB2312" w:eastAsia="仿宋_GB2312" w:cs="仿宋_GB2312"/>
          <w:b/>
          <w:bCs/>
          <w:color w:val="auto"/>
          <w:sz w:val="32"/>
          <w:highlight w:val="none"/>
          <w:lang w:val="en-US" w:eastAsia="zh-CN"/>
        </w:rPr>
        <w:t>实际完成数分别为改造户数387,257户、改造楼栋28,262栋、改造建筑面积3,760.20万平方米、改造小区1,909个，分别完成预期指标的</w:t>
      </w:r>
      <w:r>
        <w:rPr>
          <w:rFonts w:hint="eastAsia" w:ascii="仿宋_GB2312" w:hAnsi="仿宋_GB2312" w:eastAsia="仿宋_GB2312" w:cs="仿宋_GB2312"/>
          <w:b/>
          <w:bCs/>
          <w:color w:val="auto"/>
          <w:sz w:val="32"/>
          <w:highlight w:val="none"/>
        </w:rPr>
        <w:t>121.91%</w:t>
      </w:r>
      <w:r>
        <w:rPr>
          <w:rFonts w:hint="eastAsia" w:ascii="仿宋_GB2312" w:hAnsi="仿宋_GB2312" w:eastAsia="仿宋_GB2312" w:cs="仿宋_GB2312"/>
          <w:b/>
          <w:bCs/>
          <w:color w:val="auto"/>
          <w:sz w:val="32"/>
          <w:highlight w:val="none"/>
          <w:lang w:val="en-US" w:eastAsia="zh-CN"/>
        </w:rPr>
        <w:t>、116.32%、125.55%、128.38%。</w:t>
      </w:r>
      <w:r>
        <w:rPr>
          <w:rFonts w:hint="eastAsia" w:ascii="仿宋_GB2312" w:hAnsi="仿宋" w:eastAsia="仿宋_GB2312" w:cstheme="minorBidi"/>
          <w:color w:val="auto"/>
          <w:kern w:val="2"/>
          <w:sz w:val="32"/>
          <w:szCs w:val="24"/>
          <w:highlight w:val="none"/>
          <w:lang w:val="en-US" w:eastAsia="zh-CN" w:bidi="ar-SA"/>
        </w:rPr>
        <w:t>已完工验收项目</w:t>
      </w:r>
      <w:r>
        <w:rPr>
          <w:rFonts w:hint="eastAsia" w:ascii="仿宋_GB2312" w:hAnsi="Times New Roman" w:eastAsia="仿宋_GB2312"/>
          <w:color w:val="auto"/>
          <w:kern w:val="2"/>
          <w:sz w:val="32"/>
          <w:highlight w:val="none"/>
          <w:lang w:eastAsia="zh-CN"/>
        </w:rPr>
        <w:t>验收合</w:t>
      </w:r>
      <w:r>
        <w:rPr>
          <w:rFonts w:hint="eastAsia" w:ascii="仿宋_GB2312" w:hAnsi="仿宋_GB2312" w:eastAsia="仿宋_GB2312" w:cs="仿宋_GB2312"/>
          <w:color w:val="auto"/>
          <w:kern w:val="2"/>
          <w:sz w:val="32"/>
          <w:highlight w:val="none"/>
          <w:lang w:eastAsia="zh-CN"/>
        </w:rPr>
        <w:t>格率</w:t>
      </w:r>
      <w:r>
        <w:rPr>
          <w:rFonts w:hint="eastAsia" w:ascii="仿宋_GB2312" w:hAnsi="仿宋_GB2312" w:eastAsia="仿宋_GB2312" w:cs="仿宋_GB2312"/>
          <w:color w:val="auto"/>
          <w:kern w:val="2"/>
          <w:sz w:val="32"/>
          <w:highlight w:val="none"/>
          <w:lang w:val="en-US" w:eastAsia="zh-CN"/>
        </w:rPr>
        <w:t>100%，</w:t>
      </w:r>
      <w:r>
        <w:rPr>
          <w:rFonts w:hint="eastAsia" w:ascii="仿宋_GB2312" w:hAnsi="仿宋_GB2312" w:eastAsia="仿宋_GB2312" w:cs="仿宋_GB2312"/>
          <w:color w:val="auto"/>
          <w:kern w:val="2"/>
          <w:sz w:val="32"/>
          <w:highlight w:val="none"/>
          <w:lang w:eastAsia="zh-CN"/>
        </w:rPr>
        <w:t>开工目标完成率达到</w:t>
      </w:r>
      <w:r>
        <w:rPr>
          <w:rFonts w:hint="eastAsia" w:ascii="仿宋_GB2312" w:hAnsi="仿宋_GB2312" w:eastAsia="仿宋_GB2312" w:cs="仿宋_GB2312"/>
          <w:color w:val="auto"/>
          <w:kern w:val="2"/>
          <w:sz w:val="32"/>
          <w:highlight w:val="none"/>
          <w:lang w:val="en-US" w:eastAsia="zh-CN"/>
        </w:rPr>
        <w:t>100%，</w:t>
      </w:r>
      <w:r>
        <w:rPr>
          <w:rFonts w:hint="eastAsia" w:ascii="仿宋_GB2312" w:hAnsi="仿宋_GB2312" w:eastAsia="仿宋_GB2312" w:cs="仿宋_GB2312"/>
          <w:color w:val="auto"/>
          <w:kern w:val="2"/>
          <w:sz w:val="32"/>
          <w:highlight w:val="none"/>
          <w:lang w:eastAsia="zh-CN"/>
        </w:rPr>
        <w:t>老旧小区居民满意度</w:t>
      </w:r>
      <w:r>
        <w:rPr>
          <w:rFonts w:hint="eastAsia" w:ascii="仿宋_GB2312" w:hAnsi="仿宋_GB2312" w:eastAsia="仿宋_GB2312" w:cs="仿宋_GB2312"/>
          <w:color w:val="auto"/>
          <w:kern w:val="2"/>
          <w:sz w:val="32"/>
          <w:highlight w:val="none"/>
          <w:lang w:val="en-US" w:eastAsia="zh-CN"/>
        </w:rPr>
        <w:t>为81%，完成</w:t>
      </w:r>
      <w:r>
        <w:rPr>
          <w:rFonts w:hint="eastAsia" w:ascii="仿宋_GB2312" w:hAnsi="仿宋_GB2312" w:eastAsia="仿宋_GB2312" w:cs="仿宋_GB2312"/>
          <w:color w:val="auto"/>
          <w:sz w:val="32"/>
          <w:highlight w:val="none"/>
          <w:lang w:val="en-US" w:eastAsia="zh-CN"/>
        </w:rPr>
        <w:t>80%的预期目标。详见附</w:t>
      </w:r>
      <w:r>
        <w:rPr>
          <w:rFonts w:hint="eastAsia" w:ascii="仿宋_GB2312" w:hAnsi="仿宋" w:eastAsia="仿宋_GB2312" w:cstheme="minorBidi"/>
          <w:color w:val="auto"/>
          <w:kern w:val="2"/>
          <w:sz w:val="32"/>
          <w:szCs w:val="24"/>
          <w:highlight w:val="none"/>
          <w:lang w:val="en-US" w:eastAsia="zh-CN" w:bidi="ar-SA"/>
        </w:rPr>
        <w:t>件3、4。</w:t>
      </w:r>
    </w:p>
    <w:p>
      <w:pPr>
        <w:keepNext w:val="0"/>
        <w:keepLines w:val="0"/>
        <w:pageBreakBefore w:val="0"/>
        <w:numPr>
          <w:ilvl w:val="0"/>
          <w:numId w:val="0"/>
        </w:numPr>
        <w:kinsoku/>
        <w:wordWrap/>
        <w:overflowPunct/>
        <w:topLinePunct w:val="0"/>
        <w:autoSpaceDE/>
        <w:autoSpaceDN/>
        <w:bidi w:val="0"/>
        <w:adjustRightInd/>
        <w:snapToGrid w:val="0"/>
        <w:spacing w:before="0" w:after="0" w:line="600" w:lineRule="atLeast"/>
        <w:ind w:right="-105" w:rightChars="-50" w:firstLine="642" w:firstLineChars="200"/>
        <w:jc w:val="both"/>
        <w:textAlignment w:val="auto"/>
        <w:outlineLvl w:val="2"/>
        <w:rPr>
          <w:rFonts w:hint="eastAsia" w:ascii="仿宋_GB2312" w:hAnsi="仿宋" w:eastAsia="仿宋_GB2312"/>
          <w:b w:val="0"/>
          <w:bCs w:val="0"/>
          <w:color w:val="auto"/>
          <w:sz w:val="32"/>
          <w:highlight w:val="none"/>
          <w:lang w:bidi="ar"/>
        </w:rPr>
      </w:pPr>
      <w:r>
        <w:rPr>
          <w:rFonts w:hint="eastAsia" w:ascii="仿宋_GB2312" w:hAnsi="仿宋" w:eastAsia="仿宋_GB2312" w:cs="Times New Roman"/>
          <w:b/>
          <w:bCs/>
          <w:color w:val="auto"/>
          <w:kern w:val="28"/>
          <w:sz w:val="32"/>
          <w:highlight w:val="none"/>
          <w:lang w:val="en-US" w:eastAsia="zh-CN"/>
        </w:rPr>
        <w:t>（1）</w:t>
      </w:r>
      <w:r>
        <w:rPr>
          <w:rFonts w:hint="eastAsia" w:ascii="仿宋_GB2312" w:hAnsi="仿宋" w:eastAsia="仿宋_GB2312" w:cs="Times New Roman"/>
          <w:b/>
          <w:bCs/>
          <w:color w:val="auto"/>
          <w:kern w:val="28"/>
          <w:sz w:val="32"/>
          <w:szCs w:val="24"/>
          <w:highlight w:val="none"/>
          <w:lang w:val="en-US" w:eastAsia="zh-CN" w:bidi="ar-SA"/>
        </w:rPr>
        <w:t>资金管理。</w:t>
      </w:r>
    </w:p>
    <w:p>
      <w:pPr>
        <w:pStyle w:val="10"/>
        <w:keepNext w:val="0"/>
        <w:keepLines w:val="0"/>
        <w:pageBreakBefore w:val="0"/>
        <w:kinsoku/>
        <w:wordWrap/>
        <w:overflowPunct/>
        <w:topLinePunct w:val="0"/>
        <w:autoSpaceDE/>
        <w:autoSpaceDN/>
        <w:bidi w:val="0"/>
        <w:adjustRightInd/>
        <w:snapToGrid w:val="0"/>
        <w:spacing w:before="0" w:after="0" w:line="600" w:lineRule="atLeast"/>
        <w:ind w:right="-105" w:rightChars="-50" w:firstLine="642" w:firstLineChars="200"/>
        <w:jc w:val="both"/>
        <w:textAlignment w:val="auto"/>
        <w:outlineLvl w:val="2"/>
        <w:rPr>
          <w:rFonts w:hint="eastAsia"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资金筹集。</w:t>
      </w:r>
      <w:r>
        <w:rPr>
          <w:rFonts w:hint="eastAsia" w:ascii="仿宋_GB2312" w:hAnsi="仿宋" w:eastAsia="仿宋_GB2312"/>
          <w:b w:val="0"/>
          <w:bCs w:val="0"/>
          <w:color w:val="auto"/>
          <w:highlight w:val="none"/>
          <w:lang w:val="en-US" w:eastAsia="zh-CN"/>
        </w:rPr>
        <w:t>2023年我省老旧小区改造项目已落实到位资金共393,577.31万元，其中：中央财政补助资金</w:t>
      </w:r>
      <w:r>
        <w:rPr>
          <w:rFonts w:hint="eastAsia" w:ascii="仿宋_GB2312" w:hAnsi="仿宋" w:eastAsia="仿宋_GB2312"/>
          <w:b w:val="0"/>
          <w:bCs w:val="0"/>
          <w:color w:val="auto"/>
          <w:kern w:val="28"/>
          <w:sz w:val="32"/>
          <w:highlight w:val="none"/>
          <w:lang w:val="en-US" w:eastAsia="zh-CN"/>
        </w:rPr>
        <w:t>123,684.00</w:t>
      </w:r>
      <w:r>
        <w:rPr>
          <w:rFonts w:hint="eastAsia" w:ascii="仿宋_GB2312" w:hAnsi="仿宋" w:eastAsia="仿宋_GB2312"/>
          <w:b w:val="0"/>
          <w:bCs w:val="0"/>
          <w:color w:val="auto"/>
          <w:kern w:val="28"/>
          <w:sz w:val="32"/>
          <w:highlight w:val="none"/>
          <w:lang w:eastAsia="zh-CN"/>
        </w:rPr>
        <w:t>万元</w:t>
      </w:r>
      <w:r>
        <w:rPr>
          <w:rFonts w:hint="eastAsia" w:ascii="仿宋_GB2312" w:hAnsi="仿宋" w:eastAsia="仿宋_GB2312"/>
          <w:b w:val="0"/>
          <w:bCs w:val="0"/>
          <w:color w:val="auto"/>
          <w:highlight w:val="none"/>
          <w:lang w:val="en-US" w:eastAsia="zh-CN"/>
        </w:rPr>
        <w:t>，其他各级财政资金248,541.76万元，企业和居民等社会各类自筹资金共</w:t>
      </w:r>
      <w:r>
        <w:rPr>
          <w:rFonts w:hint="eastAsia" w:ascii="仿宋_GB2312" w:hAnsi="仿宋" w:eastAsia="仿宋_GB2312"/>
          <w:b w:val="0"/>
          <w:bCs w:val="0"/>
          <w:color w:val="auto"/>
          <w:kern w:val="28"/>
          <w:sz w:val="32"/>
          <w:highlight w:val="none"/>
          <w:lang w:val="en-US" w:eastAsia="zh-CN"/>
        </w:rPr>
        <w:t>21</w:t>
      </w:r>
      <w:r>
        <w:rPr>
          <w:rFonts w:hint="eastAsia" w:ascii="仿宋_GB2312" w:hAnsi="仿宋" w:eastAsia="仿宋_GB2312"/>
          <w:b w:val="0"/>
          <w:bCs w:val="0"/>
          <w:color w:val="auto"/>
          <w:highlight w:val="none"/>
          <w:lang w:val="en-US" w:eastAsia="zh-CN"/>
        </w:rPr>
        <w:t>,</w:t>
      </w:r>
      <w:r>
        <w:rPr>
          <w:rFonts w:hint="eastAsia" w:ascii="仿宋_GB2312" w:hAnsi="仿宋" w:eastAsia="仿宋_GB2312"/>
          <w:b w:val="0"/>
          <w:bCs w:val="0"/>
          <w:color w:val="auto"/>
          <w:kern w:val="28"/>
          <w:sz w:val="32"/>
          <w:highlight w:val="none"/>
          <w:lang w:val="en-US" w:eastAsia="zh-CN"/>
        </w:rPr>
        <w:t>351.55</w:t>
      </w:r>
      <w:r>
        <w:rPr>
          <w:rFonts w:hint="eastAsia" w:ascii="仿宋_GB2312" w:hAnsi="仿宋" w:eastAsia="仿宋_GB2312"/>
          <w:b w:val="0"/>
          <w:bCs w:val="0"/>
          <w:color w:val="auto"/>
          <w:highlight w:val="none"/>
          <w:lang w:val="en-US" w:eastAsia="zh-CN"/>
        </w:rPr>
        <w:t>万元。由市场化运作的规模化实施运营主体实施的小区占年度计划改造小区比例为</w:t>
      </w:r>
      <w:r>
        <w:rPr>
          <w:rFonts w:hint="eastAsia" w:ascii="仿宋_GB2312" w:hAnsi="仿宋" w:eastAsia="仿宋_GB2312"/>
          <w:b w:val="0"/>
          <w:bCs w:val="0"/>
          <w:color w:val="auto"/>
          <w:kern w:val="28"/>
          <w:sz w:val="32"/>
          <w:highlight w:val="none"/>
          <w:lang w:val="en-US" w:eastAsia="zh-CN"/>
        </w:rPr>
        <w:t>22.36%</w:t>
      </w:r>
      <w:r>
        <w:rPr>
          <w:rFonts w:hint="eastAsia" w:ascii="仿宋_GB2312" w:hAnsi="仿宋" w:eastAsia="仿宋_GB2312"/>
          <w:b w:val="0"/>
          <w:bCs w:val="0"/>
          <w:color w:val="auto"/>
          <w:highlight w:val="none"/>
          <w:lang w:val="en-US" w:eastAsia="zh-CN"/>
        </w:rPr>
        <w:t>；实际到位资金中，企业、产权单位（原产权单位）、专业经营单位等社会力量及居民出资占比为</w:t>
      </w:r>
      <w:r>
        <w:rPr>
          <w:rFonts w:hint="eastAsia" w:ascii="仿宋_GB2312" w:hAnsi="仿宋" w:eastAsia="仿宋_GB2312"/>
          <w:b w:val="0"/>
          <w:bCs w:val="0"/>
          <w:color w:val="auto"/>
          <w:kern w:val="28"/>
          <w:sz w:val="32"/>
          <w:highlight w:val="none"/>
          <w:lang w:val="en-US" w:eastAsia="zh-CN"/>
        </w:rPr>
        <w:t>5.42%</w:t>
      </w:r>
      <w:r>
        <w:rPr>
          <w:rFonts w:hint="eastAsia" w:ascii="仿宋_GB2312" w:hAnsi="仿宋" w:eastAsia="仿宋_GB2312"/>
          <w:b w:val="0"/>
          <w:bCs w:val="0"/>
          <w:color w:val="auto"/>
          <w:highlight w:val="none"/>
          <w:lang w:val="en-US" w:eastAsia="zh-CN"/>
        </w:rPr>
        <w:t>，中央财政补助资金占比为</w:t>
      </w:r>
      <w:r>
        <w:rPr>
          <w:rFonts w:hint="eastAsia" w:ascii="仿宋_GB2312" w:hAnsi="仿宋" w:eastAsia="仿宋_GB2312"/>
          <w:b w:val="0"/>
          <w:bCs w:val="0"/>
          <w:color w:val="auto"/>
          <w:kern w:val="28"/>
          <w:sz w:val="32"/>
          <w:highlight w:val="none"/>
          <w:lang w:val="en-US" w:eastAsia="zh-CN"/>
        </w:rPr>
        <w:t>31.43%</w:t>
      </w:r>
      <w:r>
        <w:rPr>
          <w:rFonts w:hint="eastAsia" w:ascii="仿宋_GB2312" w:hAnsi="仿宋" w:eastAsia="仿宋_GB2312"/>
          <w:b w:val="0"/>
          <w:bCs w:val="0"/>
          <w:color w:val="auto"/>
          <w:highlight w:val="none"/>
          <w:lang w:val="en-US" w:eastAsia="zh-CN"/>
        </w:rPr>
        <w:t>；没有</w:t>
      </w:r>
      <w:r>
        <w:rPr>
          <w:rFonts w:hint="eastAsia" w:ascii="仿宋_GB2312" w:hAnsi="仿宋" w:eastAsia="仿宋_GB2312"/>
          <w:b w:val="0"/>
          <w:bCs w:val="0"/>
          <w:color w:val="auto"/>
          <w:highlight w:val="none"/>
        </w:rPr>
        <w:t>地市改造项目使用银行贷款、企业债券筹集资金</w:t>
      </w:r>
      <w:r>
        <w:rPr>
          <w:rFonts w:hint="eastAsia" w:ascii="仿宋_GB2312" w:hAnsi="仿宋" w:eastAsia="仿宋_GB2312"/>
          <w:b w:val="0"/>
          <w:bCs w:val="0"/>
          <w:color w:val="auto"/>
          <w:highlight w:val="none"/>
          <w:lang w:eastAsia="zh-CN"/>
        </w:rPr>
        <w:t>；</w:t>
      </w:r>
      <w:r>
        <w:rPr>
          <w:rFonts w:hint="eastAsia" w:ascii="仿宋_GB2312" w:hAnsi="仿宋" w:eastAsia="仿宋_GB2312"/>
          <w:b w:val="0"/>
          <w:bCs w:val="0"/>
          <w:color w:val="auto"/>
          <w:highlight w:val="none"/>
          <w:lang w:val="en-US" w:eastAsia="zh-CN"/>
        </w:rPr>
        <w:t>20个地级以上城市地方财政安排了资金用于老旧小区改造，</w:t>
      </w:r>
      <w:r>
        <w:rPr>
          <w:rFonts w:hint="eastAsia" w:ascii="仿宋_GB2312" w:hAnsi="仿宋" w:eastAsia="仿宋_GB2312"/>
          <w:b w:val="0"/>
          <w:bCs w:val="0"/>
          <w:color w:val="auto"/>
          <w:highlight w:val="none"/>
        </w:rPr>
        <w:t>共</w:t>
      </w:r>
      <w:r>
        <w:rPr>
          <w:rFonts w:hint="eastAsia" w:ascii="仿宋_GB2312" w:hAnsi="仿宋" w:eastAsia="仿宋_GB2312"/>
          <w:b w:val="0"/>
          <w:bCs w:val="0"/>
          <w:color w:val="auto"/>
          <w:highlight w:val="none"/>
          <w:lang w:val="en-US" w:eastAsia="zh-CN"/>
        </w:rPr>
        <w:t>到位</w:t>
      </w:r>
      <w:r>
        <w:rPr>
          <w:rFonts w:hint="eastAsia" w:ascii="仿宋_GB2312" w:hAnsi="仿宋" w:eastAsia="仿宋_GB2312"/>
          <w:b w:val="0"/>
          <w:bCs w:val="0"/>
          <w:color w:val="auto"/>
          <w:highlight w:val="none"/>
        </w:rPr>
        <w:t>资金2</w:t>
      </w:r>
      <w:r>
        <w:rPr>
          <w:rFonts w:hint="eastAsia" w:ascii="仿宋_GB2312" w:hAnsi="仿宋" w:eastAsia="仿宋_GB2312"/>
          <w:b w:val="0"/>
          <w:bCs w:val="0"/>
          <w:color w:val="auto"/>
          <w:highlight w:val="none"/>
          <w:lang w:val="en-US" w:eastAsia="zh-CN"/>
        </w:rPr>
        <w:t>48,541.76</w:t>
      </w:r>
      <w:r>
        <w:rPr>
          <w:rFonts w:hint="eastAsia" w:ascii="仿宋_GB2312" w:hAnsi="仿宋" w:eastAsia="仿宋_GB2312"/>
          <w:b w:val="0"/>
          <w:bCs w:val="0"/>
          <w:color w:val="auto"/>
          <w:highlight w:val="none"/>
        </w:rPr>
        <w:t>万元</w:t>
      </w:r>
      <w:r>
        <w:rPr>
          <w:rFonts w:hint="eastAsia" w:ascii="仿宋_GB2312" w:hAnsi="仿宋" w:eastAsia="仿宋_GB2312"/>
          <w:b w:val="0"/>
          <w:bCs w:val="0"/>
          <w:color w:val="auto"/>
          <w:highlight w:val="none"/>
          <w:lang w:val="en-US" w:eastAsia="zh-CN"/>
        </w:rPr>
        <w:t>；68.86%的项目使用地方政府专项债券或一般债券用于城镇老旧小区改造；居民出资改造的小区占全部改造小区比例为10.56%。</w:t>
      </w:r>
    </w:p>
    <w:p>
      <w:pPr>
        <w:pStyle w:val="10"/>
        <w:keepNext w:val="0"/>
        <w:keepLines w:val="0"/>
        <w:pageBreakBefore w:val="0"/>
        <w:kinsoku/>
        <w:wordWrap/>
        <w:overflowPunct/>
        <w:topLinePunct w:val="0"/>
        <w:autoSpaceDE/>
        <w:autoSpaceDN/>
        <w:bidi w:val="0"/>
        <w:adjustRightInd/>
        <w:snapToGrid w:val="0"/>
        <w:spacing w:before="0" w:after="0" w:line="600" w:lineRule="atLeast"/>
        <w:ind w:right="-105" w:rightChars="-50" w:firstLine="642" w:firstLineChars="200"/>
        <w:jc w:val="both"/>
        <w:textAlignment w:val="auto"/>
        <w:outlineLvl w:val="2"/>
        <w:rPr>
          <w:rFonts w:hint="eastAsia"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资金分配。一是</w:t>
      </w:r>
      <w:r>
        <w:rPr>
          <w:rFonts w:hint="eastAsia" w:ascii="仿宋_GB2312" w:hAnsi="仿宋" w:eastAsia="仿宋_GB2312"/>
          <w:b w:val="0"/>
          <w:bCs w:val="0"/>
          <w:color w:val="auto"/>
          <w:highlight w:val="none"/>
          <w:lang w:val="en-US" w:eastAsia="zh-CN"/>
        </w:rPr>
        <w:t>除了执行财政部、住房城乡建设部中央财政城镇保障性安居工程专项资金管理办法，</w:t>
      </w:r>
      <w:r>
        <w:rPr>
          <w:rFonts w:hint="eastAsia" w:ascii="仿宋_GB2312" w:hAnsi="仿宋" w:eastAsia="仿宋_GB2312"/>
          <w:b w:val="0"/>
          <w:bCs w:val="0"/>
        </w:rPr>
        <w:t>省级还制定了《中共广东省委 广东省人民政府关于全面实施预算绩效管理的若干意见》（粤发〔2019〕5号）、《广东省财政厅 广东省住房和城乡建设厅关于印发广东省住房和城乡建设领域专项资金管理办法的通知》（粤财建〔2021〕6号）等文件，各市也有相应管理办法；</w:t>
      </w:r>
      <w:r>
        <w:rPr>
          <w:rFonts w:hint="eastAsia" w:ascii="仿宋_GB2312" w:hAnsi="仿宋" w:eastAsia="仿宋_GB2312"/>
          <w:b/>
          <w:bCs/>
          <w:color w:val="auto"/>
          <w:highlight w:val="none"/>
          <w:lang w:val="en-US" w:eastAsia="zh-CN"/>
        </w:rPr>
        <w:t>二是</w:t>
      </w:r>
      <w:r>
        <w:rPr>
          <w:rFonts w:hint="eastAsia" w:ascii="仿宋_GB2312" w:hAnsi="仿宋" w:eastAsia="仿宋_GB2312"/>
          <w:b w:val="0"/>
          <w:bCs w:val="0"/>
          <w:color w:val="auto"/>
          <w:highlight w:val="none"/>
          <w:lang w:val="en-US" w:eastAsia="zh-CN"/>
        </w:rPr>
        <w:t>接到财政部下达的资金指标后，广东省财政厅均在规定时间内采用因素法，以《广东省财政厅关于提前下达2023年中央财政城镇保障性安居工程补助资金的通知》（粤财建〔2022〕82号）、《广东省财政厅关于下达2023年中央财政城镇保障性安居工程补助资金的通知》（粤财建〔2023〕27 号）将资金指标全额转分配下达到相关市县。</w:t>
      </w:r>
    </w:p>
    <w:p>
      <w:pPr>
        <w:pStyle w:val="10"/>
        <w:keepNext w:val="0"/>
        <w:keepLines w:val="0"/>
        <w:pageBreakBefore w:val="0"/>
        <w:kinsoku/>
        <w:wordWrap/>
        <w:overflowPunct/>
        <w:topLinePunct w:val="0"/>
        <w:autoSpaceDE/>
        <w:autoSpaceDN/>
        <w:bidi w:val="0"/>
        <w:adjustRightInd/>
        <w:snapToGrid w:val="0"/>
        <w:spacing w:before="0" w:after="0" w:line="600" w:lineRule="atLeast"/>
        <w:ind w:right="-105" w:rightChars="-50" w:firstLine="642" w:firstLineChars="200"/>
        <w:jc w:val="both"/>
        <w:textAlignment w:val="auto"/>
        <w:outlineLvl w:val="2"/>
        <w:rPr>
          <w:rFonts w:hint="eastAsia"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预算执行。</w:t>
      </w:r>
      <w:r>
        <w:rPr>
          <w:rFonts w:hint="eastAsia" w:ascii="仿宋_GB2312" w:hAnsi="仿宋" w:eastAsia="仿宋_GB2312"/>
          <w:b w:val="0"/>
          <w:bCs w:val="0"/>
          <w:color w:val="auto"/>
          <w:highlight w:val="none"/>
          <w:lang w:val="en-US" w:eastAsia="zh-CN"/>
        </w:rPr>
        <w:t>我省建立了预算执行、绩效监控机制。参照《广东省省级财政资金“双监控”管理暂行办法》（粤财监〔2020〕33号），并且</w:t>
      </w:r>
      <w:r>
        <w:rPr>
          <w:rFonts w:hint="eastAsia" w:ascii="仿宋_GB2312" w:hAnsi="仿宋" w:eastAsia="仿宋_GB2312"/>
          <w:b w:val="0"/>
          <w:bCs w:val="0"/>
          <w:lang w:eastAsia="zh-CN"/>
        </w:rPr>
        <w:t>使用“</w:t>
      </w:r>
      <w:r>
        <w:rPr>
          <w:rFonts w:hint="eastAsia" w:ascii="仿宋_GB2312" w:hAnsi="仿宋" w:eastAsia="仿宋_GB2312"/>
          <w:b w:val="0"/>
          <w:bCs w:val="0"/>
          <w:lang w:val="en-US" w:eastAsia="zh-CN"/>
        </w:rPr>
        <w:t>广东省数字政府管理平台”建立报告制度等方式</w:t>
      </w:r>
      <w:r>
        <w:rPr>
          <w:rFonts w:hint="eastAsia" w:ascii="仿宋_GB2312" w:hAnsi="仿宋" w:eastAsia="仿宋_GB2312"/>
          <w:b w:val="0"/>
          <w:bCs w:val="0"/>
          <w:color w:val="auto"/>
          <w:highlight w:val="none"/>
          <w:lang w:val="en-US" w:eastAsia="zh-CN"/>
        </w:rPr>
        <w:t>对中央财政补助资金进行预算执行及绩效监控。2023年全省中央财政补助资金预算执行率为54.39%。</w:t>
      </w:r>
    </w:p>
    <w:p>
      <w:pPr>
        <w:pStyle w:val="10"/>
        <w:keepNext w:val="0"/>
        <w:keepLines w:val="0"/>
        <w:pageBreakBefore w:val="0"/>
        <w:kinsoku/>
        <w:wordWrap/>
        <w:overflowPunct/>
        <w:topLinePunct w:val="0"/>
        <w:autoSpaceDE/>
        <w:autoSpaceDN/>
        <w:bidi w:val="0"/>
        <w:adjustRightInd/>
        <w:snapToGrid w:val="0"/>
        <w:spacing w:before="0" w:after="0" w:line="600" w:lineRule="atLeast"/>
        <w:ind w:right="-105" w:rightChars="-50" w:firstLine="642" w:firstLineChars="200"/>
        <w:jc w:val="both"/>
        <w:textAlignment w:val="auto"/>
        <w:outlineLvl w:val="2"/>
        <w:rPr>
          <w:rFonts w:hint="eastAsia"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资金使用管理。</w:t>
      </w:r>
      <w:r>
        <w:rPr>
          <w:rFonts w:hint="eastAsia" w:ascii="仿宋_GB2312" w:hAnsi="仿宋" w:eastAsia="仿宋_GB2312"/>
          <w:b w:val="0"/>
          <w:bCs w:val="0"/>
          <w:color w:val="auto"/>
          <w:highlight w:val="none"/>
          <w:lang w:val="en-US" w:eastAsia="zh-CN"/>
        </w:rPr>
        <w:t>我省各市在城镇老旧小区改造项目实施过程中认真落实各项管理制度，各级监管部门在对项目的监督管理工作中未发现资金截留、挪用、交叉重复等违规违纪行为；也未发生群众举报或新闻媒体曝光、经查实存在的违规违纪行为。</w:t>
      </w:r>
    </w:p>
    <w:p>
      <w:pPr>
        <w:keepNext w:val="0"/>
        <w:keepLines w:val="0"/>
        <w:pageBreakBefore w:val="0"/>
        <w:numPr>
          <w:ilvl w:val="0"/>
          <w:numId w:val="0"/>
        </w:numPr>
        <w:kinsoku/>
        <w:wordWrap/>
        <w:overflowPunct/>
        <w:topLinePunct w:val="0"/>
        <w:autoSpaceDE/>
        <w:autoSpaceDN/>
        <w:bidi w:val="0"/>
        <w:adjustRightInd/>
        <w:snapToGrid w:val="0"/>
        <w:spacing w:before="0" w:after="0" w:line="600" w:lineRule="atLeast"/>
        <w:ind w:right="-105" w:rightChars="-50" w:firstLine="642" w:firstLineChars="200"/>
        <w:jc w:val="both"/>
        <w:textAlignment w:val="auto"/>
        <w:outlineLvl w:val="2"/>
        <w:rPr>
          <w:rFonts w:hint="eastAsia" w:ascii="仿宋_GB2312" w:hAnsi="仿宋" w:eastAsia="仿宋_GB2312"/>
          <w:b w:val="0"/>
          <w:bCs w:val="0"/>
          <w:color w:val="auto"/>
          <w:sz w:val="32"/>
          <w:highlight w:val="none"/>
          <w:lang w:bidi="ar"/>
        </w:rPr>
      </w:pPr>
      <w:r>
        <w:rPr>
          <w:rFonts w:hint="eastAsia" w:ascii="仿宋_GB2312" w:hAnsi="仿宋" w:eastAsia="仿宋_GB2312" w:cstheme="minorBidi"/>
          <w:b/>
          <w:bCs/>
          <w:color w:val="auto"/>
          <w:kern w:val="2"/>
          <w:sz w:val="32"/>
          <w:highlight w:val="none"/>
          <w:lang w:val="en-US" w:eastAsia="zh-CN" w:bidi="ar"/>
        </w:rPr>
        <w:t>（2）</w:t>
      </w:r>
      <w:r>
        <w:rPr>
          <w:rFonts w:hint="eastAsia" w:ascii="仿宋_GB2312" w:hAnsi="仿宋" w:eastAsia="仿宋_GB2312"/>
          <w:b/>
          <w:bCs/>
          <w:color w:val="auto"/>
          <w:kern w:val="2"/>
          <w:sz w:val="32"/>
          <w:highlight w:val="none"/>
          <w:lang w:val="en-US" w:eastAsia="zh-CN" w:bidi="ar"/>
        </w:rPr>
        <w:t>项目管理</w:t>
      </w:r>
      <w:r>
        <w:rPr>
          <w:rFonts w:hint="eastAsia" w:ascii="仿宋_GB2312" w:hAnsi="仿宋" w:eastAsia="仿宋_GB2312" w:cstheme="minorBidi"/>
          <w:b/>
          <w:bCs/>
          <w:color w:val="auto"/>
          <w:kern w:val="2"/>
          <w:sz w:val="32"/>
          <w:szCs w:val="24"/>
          <w:highlight w:val="none"/>
          <w:lang w:val="en-US" w:eastAsia="zh-CN" w:bidi="ar"/>
        </w:rPr>
        <w:t>。</w:t>
      </w:r>
    </w:p>
    <w:p>
      <w:pPr>
        <w:pStyle w:val="10"/>
        <w:keepNext w:val="0"/>
        <w:keepLines w:val="0"/>
        <w:pageBreakBefore w:val="0"/>
        <w:kinsoku/>
        <w:wordWrap/>
        <w:overflowPunct/>
        <w:topLinePunct w:val="0"/>
        <w:autoSpaceDE/>
        <w:autoSpaceDN/>
        <w:bidi w:val="0"/>
        <w:adjustRightInd/>
        <w:snapToGrid w:val="0"/>
        <w:spacing w:before="0" w:after="0" w:line="600" w:lineRule="atLeast"/>
        <w:ind w:right="-105" w:rightChars="-50" w:firstLine="642" w:firstLineChars="200"/>
        <w:jc w:val="both"/>
        <w:textAlignment w:val="auto"/>
        <w:outlineLvl w:val="2"/>
        <w:rPr>
          <w:rFonts w:hint="eastAsia"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政策储备库。</w:t>
      </w:r>
      <w:r>
        <w:rPr>
          <w:rFonts w:hint="eastAsia" w:ascii="仿宋_GB2312" w:hAnsi="仿宋" w:eastAsia="仿宋_GB2312"/>
          <w:b w:val="0"/>
          <w:bCs w:val="0"/>
          <w:color w:val="auto"/>
          <w:highlight w:val="none"/>
          <w:lang w:val="en-US" w:eastAsia="zh-CN"/>
        </w:rPr>
        <w:t>我省建立了“广东省城镇老旧小区改造及城中村改造信息管理平台”，各市在平台上填报城镇老旧小区改造项目相关信息。对入库项目建立档案、实现同步录入改造项目基本情况、居民改造意愿、改造方案、工程进度、改造前后效果的数据、图片信息；根据小区配套设施状况，改造方案的完整性、针对性、居民改造意愿等，对入库项目初步实施方案进行量化计分、排序，明确纳入年度改造计划的优先顺序。</w:t>
      </w:r>
      <w:r>
        <w:rPr>
          <w:rFonts w:hint="eastAsia" w:ascii="仿宋_GB2312" w:hAnsi="仿宋" w:eastAsia="仿宋_GB2312"/>
          <w:b w:val="0"/>
          <w:bCs w:val="0"/>
          <w:color w:val="auto"/>
          <w:highlight w:val="none"/>
        </w:rPr>
        <w:t>根据《住房和城乡建设部办公厅等关于申报2023年城镇老旧小区改造计划任务的通知》（建办城函〔2022〕248号）要求，我省迅速转发文件，部署贯彻落实工作要求，组织动员各</w:t>
      </w:r>
      <w:r>
        <w:rPr>
          <w:rFonts w:hint="eastAsia" w:ascii="仿宋_GB2312" w:hAnsi="仿宋" w:eastAsia="仿宋_GB2312"/>
          <w:b w:val="0"/>
          <w:bCs w:val="0"/>
          <w:color w:val="auto"/>
          <w:highlight w:val="none"/>
          <w:lang w:val="en-US" w:eastAsia="zh-CN"/>
        </w:rPr>
        <w:t>地级以上市形成</w:t>
      </w:r>
      <w:r>
        <w:rPr>
          <w:rFonts w:hint="eastAsia" w:ascii="仿宋_GB2312" w:hAnsi="仿宋" w:eastAsia="仿宋_GB2312"/>
          <w:b w:val="0"/>
          <w:bCs w:val="0"/>
          <w:color w:val="auto"/>
          <w:highlight w:val="none"/>
        </w:rPr>
        <w:t>《广东省2023年城镇老旧小区改造计划表》</w:t>
      </w:r>
      <w:r>
        <w:rPr>
          <w:rFonts w:hint="eastAsia" w:ascii="仿宋_GB2312" w:hAnsi="仿宋" w:eastAsia="仿宋_GB2312"/>
          <w:b w:val="0"/>
          <w:bCs w:val="0"/>
          <w:color w:val="auto"/>
          <w:highlight w:val="none"/>
          <w:lang w:eastAsia="zh-CN"/>
        </w:rPr>
        <w:t>，</w:t>
      </w:r>
      <w:r>
        <w:rPr>
          <w:rFonts w:hint="eastAsia" w:ascii="仿宋_GB2312" w:hAnsi="仿宋" w:eastAsia="仿宋_GB2312"/>
          <w:b w:val="0"/>
          <w:bCs w:val="0"/>
          <w:color w:val="auto"/>
          <w:highlight w:val="none"/>
          <w:lang w:val="en-US" w:eastAsia="zh-CN"/>
        </w:rPr>
        <w:t>通过《广东省住房和城乡建设厅 广东省发展和改革委员会 广东省财政厅关于报送2023年城镇老旧小区改造计划任务的函》向中央部委报送了我省2023年城镇老旧小区改造计划任务。</w:t>
      </w:r>
    </w:p>
    <w:p>
      <w:pPr>
        <w:pStyle w:val="10"/>
        <w:keepNext w:val="0"/>
        <w:keepLines w:val="0"/>
        <w:pageBreakBefore w:val="0"/>
        <w:kinsoku/>
        <w:wordWrap/>
        <w:overflowPunct/>
        <w:topLinePunct w:val="0"/>
        <w:autoSpaceDE/>
        <w:autoSpaceDN/>
        <w:bidi w:val="0"/>
        <w:adjustRightInd/>
        <w:snapToGrid w:val="0"/>
        <w:spacing w:before="0" w:after="0" w:line="600" w:lineRule="atLeast"/>
        <w:ind w:right="-105" w:rightChars="-50" w:firstLine="642" w:firstLineChars="200"/>
        <w:jc w:val="both"/>
        <w:textAlignment w:val="auto"/>
        <w:outlineLvl w:val="2"/>
        <w:rPr>
          <w:rFonts w:hint="default"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统筹协调机制。</w:t>
      </w:r>
      <w:r>
        <w:rPr>
          <w:rFonts w:hint="eastAsia" w:ascii="仿宋_GB2312" w:hAnsi="仿宋" w:eastAsia="仿宋_GB2312"/>
          <w:b w:val="0"/>
          <w:bCs w:val="0"/>
          <w:color w:val="auto"/>
          <w:highlight w:val="none"/>
          <w:lang w:val="en-US" w:eastAsia="zh-CN"/>
        </w:rPr>
        <w:t>省级成立了广东省城镇居住社区人居环境品质提升工作领导小组，由分管副省长任组长，省发展改革委等33个部门及专营单位参与，统筹推进城镇老旧小区改造工作。各市县也因地制宜成立市县级领导机构。省市县均建立政府统筹、条块协作、各部门齐抓共管的专门工作机制，形成工作合力。省、市县年度改造计划均与水电气信等相关专营设施增设或改造计划有效衔接，对需改造水电气信等设施的小区，开工改造前均就水电气信等设施形成统筹施工方案。</w:t>
      </w:r>
    </w:p>
    <w:p>
      <w:pPr>
        <w:pStyle w:val="10"/>
        <w:keepNext w:val="0"/>
        <w:keepLines w:val="0"/>
        <w:pageBreakBefore w:val="0"/>
        <w:kinsoku/>
        <w:wordWrap/>
        <w:overflowPunct/>
        <w:topLinePunct w:val="0"/>
        <w:autoSpaceDE/>
        <w:autoSpaceDN/>
        <w:bidi w:val="0"/>
        <w:adjustRightInd/>
        <w:snapToGrid w:val="0"/>
        <w:spacing w:before="0" w:after="0" w:line="600" w:lineRule="atLeast"/>
        <w:ind w:right="-105" w:rightChars="-50" w:firstLine="642" w:firstLineChars="200"/>
        <w:jc w:val="both"/>
        <w:textAlignment w:val="auto"/>
        <w:outlineLvl w:val="2"/>
        <w:rPr>
          <w:rFonts w:hint="eastAsia"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评价报告报送。一是</w:t>
      </w:r>
      <w:r>
        <w:rPr>
          <w:rFonts w:hint="eastAsia" w:ascii="仿宋_GB2312" w:hAnsi="仿宋" w:eastAsia="仿宋_GB2312"/>
          <w:b w:val="0"/>
          <w:bCs w:val="0"/>
          <w:color w:val="auto"/>
          <w:highlight w:val="none"/>
          <w:lang w:val="en-US" w:eastAsia="zh-CN"/>
        </w:rPr>
        <w:t>对2023年中央财政城镇保障性安居工程补助资金（用于城镇老旧小区改造）设置了完整、科学、合理、可衡量的绩效目标。</w:t>
      </w:r>
      <w:r>
        <w:rPr>
          <w:rFonts w:hint="eastAsia" w:ascii="仿宋_GB2312" w:hAnsi="仿宋" w:eastAsia="仿宋_GB2312"/>
          <w:b/>
          <w:bCs/>
          <w:color w:val="auto"/>
          <w:highlight w:val="none"/>
          <w:lang w:val="en-US" w:eastAsia="zh-CN"/>
        </w:rPr>
        <w:t>二是</w:t>
      </w:r>
      <w:r>
        <w:rPr>
          <w:rFonts w:hint="eastAsia" w:ascii="仿宋_GB2312" w:hAnsi="仿宋" w:eastAsia="仿宋_GB2312"/>
          <w:b w:val="0"/>
          <w:bCs w:val="0"/>
          <w:color w:val="auto"/>
          <w:highlight w:val="none"/>
          <w:lang w:val="en-US" w:eastAsia="zh-CN"/>
        </w:rPr>
        <w:t>认真落实《财政部 住房城乡建设部关于印发中央财政城镇保障性安居工程补助资金管理办法的通知》（财综〔2022〕37号），及时组织开展绩效评价，按时、完整、真实填写和报送绩效自评表及绩效评价报告。</w:t>
      </w:r>
    </w:p>
    <w:p>
      <w:pPr>
        <w:keepNext w:val="0"/>
        <w:keepLines w:val="0"/>
        <w:pageBreakBefore w:val="0"/>
        <w:numPr>
          <w:ilvl w:val="0"/>
          <w:numId w:val="0"/>
        </w:numPr>
        <w:kinsoku/>
        <w:wordWrap/>
        <w:overflowPunct/>
        <w:topLinePunct w:val="0"/>
        <w:autoSpaceDE/>
        <w:autoSpaceDN/>
        <w:bidi w:val="0"/>
        <w:adjustRightInd/>
        <w:snapToGrid w:val="0"/>
        <w:spacing w:before="0" w:after="0" w:line="600" w:lineRule="atLeast"/>
        <w:ind w:right="-105" w:rightChars="-50" w:firstLine="642" w:firstLineChars="200"/>
        <w:jc w:val="both"/>
        <w:textAlignment w:val="auto"/>
        <w:outlineLvl w:val="2"/>
        <w:rPr>
          <w:rFonts w:hint="eastAsia" w:ascii="仿宋_GB2312" w:hAnsi="仿宋" w:eastAsia="仿宋_GB2312"/>
          <w:b w:val="0"/>
          <w:bCs w:val="0"/>
          <w:color w:val="auto"/>
          <w:sz w:val="32"/>
          <w:highlight w:val="none"/>
          <w:u w:val="none"/>
          <w:lang w:bidi="ar"/>
        </w:rPr>
      </w:pPr>
      <w:r>
        <w:rPr>
          <w:rFonts w:hint="eastAsia" w:ascii="仿宋_GB2312" w:hAnsi="仿宋" w:eastAsia="仿宋_GB2312" w:cstheme="minorBidi"/>
          <w:b/>
          <w:bCs/>
          <w:color w:val="auto"/>
          <w:kern w:val="2"/>
          <w:sz w:val="32"/>
          <w:szCs w:val="24"/>
          <w:highlight w:val="none"/>
          <w:u w:val="none"/>
          <w:lang w:val="en-US" w:eastAsia="zh-CN" w:bidi="ar"/>
        </w:rPr>
        <w:t>（3）</w:t>
      </w:r>
      <w:r>
        <w:rPr>
          <w:rFonts w:hint="eastAsia" w:ascii="仿宋_GB2312" w:hAnsi="仿宋" w:eastAsia="仿宋_GB2312"/>
          <w:b/>
          <w:bCs/>
          <w:color w:val="auto"/>
          <w:sz w:val="32"/>
          <w:highlight w:val="none"/>
          <w:u w:val="none"/>
          <w:lang w:val="en-US" w:eastAsia="zh-CN" w:bidi="ar"/>
        </w:rPr>
        <w:t>产出效益。</w:t>
      </w:r>
    </w:p>
    <w:p>
      <w:pPr>
        <w:pStyle w:val="10"/>
        <w:keepNext w:val="0"/>
        <w:keepLines w:val="0"/>
        <w:pageBreakBefore w:val="0"/>
        <w:kinsoku/>
        <w:wordWrap/>
        <w:overflowPunct/>
        <w:topLinePunct w:val="0"/>
        <w:autoSpaceDE/>
        <w:autoSpaceDN/>
        <w:bidi w:val="0"/>
        <w:adjustRightInd/>
        <w:snapToGrid w:val="0"/>
        <w:spacing w:line="600" w:lineRule="atLeast"/>
        <w:ind w:right="-105" w:rightChars="-50" w:firstLine="642" w:firstLineChars="200"/>
        <w:jc w:val="left"/>
        <w:textAlignment w:val="auto"/>
        <w:outlineLvl w:val="2"/>
        <w:rPr>
          <w:rFonts w:hint="eastAsia"/>
          <w:color w:val="auto"/>
          <w:highlight w:val="none"/>
          <w:lang w:val="en-US" w:eastAsia="zh-CN"/>
        </w:rPr>
      </w:pPr>
      <w:r>
        <w:rPr>
          <w:rFonts w:hint="eastAsia" w:ascii="仿宋_GB2312" w:hAnsi="仿宋" w:eastAsia="仿宋_GB2312" w:cs="Times New Roman"/>
          <w:b/>
          <w:bCs/>
          <w:color w:val="auto"/>
          <w:kern w:val="28"/>
          <w:sz w:val="32"/>
          <w:szCs w:val="24"/>
          <w:highlight w:val="none"/>
          <w:lang w:val="en-US" w:eastAsia="zh-CN" w:bidi="ar-SA"/>
        </w:rPr>
        <w:t>改造户数计划完成率。</w:t>
      </w:r>
      <w:r>
        <w:rPr>
          <w:rFonts w:hint="eastAsia" w:ascii="仿宋_GB2312" w:hAnsi="仿宋" w:eastAsia="仿宋_GB2312" w:cs="Times New Roman"/>
          <w:b w:val="0"/>
          <w:bCs w:val="0"/>
          <w:color w:val="auto"/>
          <w:kern w:val="28"/>
          <w:sz w:val="32"/>
          <w:szCs w:val="24"/>
          <w:highlight w:val="none"/>
          <w:lang w:val="en-US" w:eastAsia="zh-CN" w:bidi="ar-SA"/>
        </w:rPr>
        <w:t>国家下达我省2023年度改造户数开工量计划317,662户。截至2023年12月31日，项目实际开工量（含已完工项目）为</w:t>
      </w:r>
      <w:r>
        <w:rPr>
          <w:rFonts w:hint="eastAsia" w:ascii="仿宋_GB2312" w:hAnsi="仿宋" w:eastAsia="仿宋_GB2312"/>
          <w:b w:val="0"/>
          <w:bCs w:val="0"/>
          <w:color w:val="auto"/>
          <w:kern w:val="28"/>
          <w:sz w:val="32"/>
          <w:highlight w:val="none"/>
          <w:lang w:val="en-US" w:eastAsia="zh-CN"/>
        </w:rPr>
        <w:t>387,257</w:t>
      </w:r>
      <w:r>
        <w:rPr>
          <w:rFonts w:hint="eastAsia" w:ascii="仿宋_GB2312" w:hAnsi="仿宋" w:eastAsia="仿宋_GB2312" w:cs="Times New Roman"/>
          <w:b w:val="0"/>
          <w:bCs w:val="0"/>
          <w:color w:val="auto"/>
          <w:kern w:val="28"/>
          <w:sz w:val="32"/>
          <w:szCs w:val="24"/>
          <w:highlight w:val="none"/>
          <w:lang w:val="en-US" w:eastAsia="zh-CN" w:bidi="ar-SA"/>
        </w:rPr>
        <w:t>户，实际开工量为年度计划的</w:t>
      </w:r>
      <w:r>
        <w:rPr>
          <w:rFonts w:hint="eastAsia" w:ascii="仿宋_GB2312" w:hAnsi="仿宋" w:eastAsia="仿宋_GB2312"/>
          <w:b w:val="0"/>
          <w:bCs w:val="0"/>
          <w:color w:val="auto"/>
          <w:kern w:val="28"/>
          <w:sz w:val="32"/>
          <w:highlight w:val="none"/>
          <w:lang w:val="en-US" w:eastAsia="zh-CN"/>
        </w:rPr>
        <w:t>121.91%</w:t>
      </w:r>
      <w:r>
        <w:rPr>
          <w:rFonts w:hint="eastAsia" w:ascii="仿宋_GB2312" w:hAnsi="仿宋" w:eastAsia="仿宋_GB2312" w:cs="Times New Roman"/>
          <w:b w:val="0"/>
          <w:bCs w:val="0"/>
          <w:color w:val="auto"/>
          <w:kern w:val="28"/>
          <w:sz w:val="32"/>
          <w:szCs w:val="24"/>
          <w:highlight w:val="none"/>
          <w:lang w:val="en-US" w:eastAsia="zh-CN" w:bidi="ar-SA"/>
        </w:rPr>
        <w:t>。</w:t>
      </w:r>
    </w:p>
    <w:p>
      <w:pPr>
        <w:pStyle w:val="10"/>
        <w:keepNext w:val="0"/>
        <w:keepLines w:val="0"/>
        <w:pageBreakBefore w:val="0"/>
        <w:kinsoku/>
        <w:wordWrap/>
        <w:overflowPunct/>
        <w:topLinePunct w:val="0"/>
        <w:autoSpaceDE/>
        <w:autoSpaceDN/>
        <w:bidi w:val="0"/>
        <w:adjustRightInd/>
        <w:snapToGrid w:val="0"/>
        <w:spacing w:before="0" w:after="0" w:line="600" w:lineRule="atLeast"/>
        <w:ind w:right="-105" w:rightChars="-50" w:firstLine="642" w:firstLineChars="200"/>
        <w:jc w:val="both"/>
        <w:textAlignment w:val="auto"/>
        <w:outlineLvl w:val="2"/>
        <w:rPr>
          <w:rFonts w:hint="default"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改造楼栋计划完成率。</w:t>
      </w:r>
      <w:r>
        <w:rPr>
          <w:rFonts w:hint="eastAsia" w:ascii="仿宋_GB2312" w:hAnsi="仿宋" w:eastAsia="仿宋_GB2312"/>
          <w:b w:val="0"/>
          <w:bCs w:val="0"/>
          <w:color w:val="auto"/>
          <w:highlight w:val="none"/>
          <w:lang w:val="en-US" w:eastAsia="zh-CN"/>
        </w:rPr>
        <w:t>国家下达我省2023年度改造楼栋开工量计划24,297栋，截至2023年12月31日，项目实际开工量（含已完工项目）为</w:t>
      </w:r>
      <w:r>
        <w:rPr>
          <w:rFonts w:hint="eastAsia" w:ascii="仿宋_GB2312" w:hAnsi="仿宋" w:eastAsia="仿宋_GB2312"/>
          <w:b w:val="0"/>
          <w:bCs w:val="0"/>
          <w:color w:val="auto"/>
          <w:kern w:val="28"/>
          <w:sz w:val="32"/>
          <w:highlight w:val="none"/>
          <w:lang w:val="en-US" w:eastAsia="zh-CN"/>
        </w:rPr>
        <w:t>28,262</w:t>
      </w:r>
      <w:r>
        <w:rPr>
          <w:rFonts w:hint="eastAsia" w:ascii="仿宋_GB2312" w:hAnsi="仿宋" w:eastAsia="仿宋_GB2312"/>
          <w:b w:val="0"/>
          <w:bCs w:val="0"/>
          <w:color w:val="auto"/>
          <w:highlight w:val="none"/>
          <w:lang w:val="en-US" w:eastAsia="zh-CN"/>
        </w:rPr>
        <w:t>栋，实际开工量为年度计划的</w:t>
      </w:r>
      <w:r>
        <w:rPr>
          <w:rFonts w:hint="eastAsia" w:ascii="仿宋_GB2312" w:hAnsi="仿宋" w:eastAsia="仿宋_GB2312"/>
          <w:b w:val="0"/>
          <w:bCs w:val="0"/>
          <w:color w:val="auto"/>
          <w:kern w:val="28"/>
          <w:sz w:val="32"/>
          <w:highlight w:val="none"/>
          <w:lang w:val="en-US" w:eastAsia="zh-CN"/>
        </w:rPr>
        <w:t>116.32%</w:t>
      </w:r>
      <w:r>
        <w:rPr>
          <w:rFonts w:hint="eastAsia" w:ascii="仿宋_GB2312" w:hAnsi="仿宋" w:eastAsia="仿宋_GB2312"/>
          <w:b w:val="0"/>
          <w:bCs w:val="0"/>
          <w:color w:val="auto"/>
          <w:highlight w:val="none"/>
          <w:lang w:val="en-US" w:eastAsia="zh-CN"/>
        </w:rPr>
        <w:t>。</w:t>
      </w:r>
    </w:p>
    <w:p>
      <w:pPr>
        <w:pStyle w:val="10"/>
        <w:keepNext w:val="0"/>
        <w:keepLines w:val="0"/>
        <w:pageBreakBefore w:val="0"/>
        <w:kinsoku/>
        <w:wordWrap/>
        <w:overflowPunct/>
        <w:topLinePunct w:val="0"/>
        <w:autoSpaceDE/>
        <w:autoSpaceDN/>
        <w:bidi w:val="0"/>
        <w:adjustRightInd/>
        <w:snapToGrid w:val="0"/>
        <w:spacing w:before="0" w:after="0" w:line="600" w:lineRule="atLeast"/>
        <w:ind w:right="-105" w:rightChars="-50" w:firstLine="642" w:firstLineChars="200"/>
        <w:jc w:val="both"/>
        <w:textAlignment w:val="auto"/>
        <w:outlineLvl w:val="2"/>
        <w:rPr>
          <w:rFonts w:hint="eastAsia" w:ascii="仿宋_GB2312" w:hAnsi="仿宋" w:eastAsia="仿宋_GB2312"/>
          <w:b w:val="0"/>
          <w:bCs w:val="0"/>
          <w:color w:val="auto"/>
          <w:kern w:val="28"/>
          <w:sz w:val="32"/>
          <w:highlight w:val="none"/>
          <w:lang w:val="en-US" w:eastAsia="zh-CN"/>
        </w:rPr>
      </w:pPr>
      <w:r>
        <w:rPr>
          <w:rFonts w:hint="eastAsia" w:ascii="仿宋_GB2312" w:hAnsi="仿宋" w:eastAsia="仿宋_GB2312"/>
          <w:b/>
          <w:bCs/>
          <w:color w:val="auto"/>
          <w:highlight w:val="none"/>
          <w:lang w:val="en-US" w:eastAsia="zh-CN"/>
        </w:rPr>
        <w:t>改造面积计划完成率。</w:t>
      </w:r>
      <w:r>
        <w:rPr>
          <w:rFonts w:hint="eastAsia" w:ascii="仿宋_GB2312" w:hAnsi="仿宋" w:eastAsia="仿宋_GB2312"/>
          <w:b w:val="0"/>
          <w:bCs w:val="0"/>
          <w:color w:val="auto"/>
          <w:highlight w:val="none"/>
          <w:lang w:val="en-US" w:eastAsia="zh-CN"/>
        </w:rPr>
        <w:t>国家下达我省2023年度改造建筑面积数开工量计划2,995.06万平方米，截至2023年12月31日，项目实际开工量（含已完工项目）为</w:t>
      </w:r>
      <w:r>
        <w:rPr>
          <w:rFonts w:hint="eastAsia" w:ascii="仿宋_GB2312" w:hAnsi="仿宋" w:eastAsia="仿宋_GB2312"/>
          <w:b w:val="0"/>
          <w:bCs w:val="0"/>
          <w:color w:val="auto"/>
          <w:kern w:val="28"/>
          <w:sz w:val="32"/>
          <w:highlight w:val="none"/>
          <w:lang w:val="en-US" w:eastAsia="zh-CN"/>
        </w:rPr>
        <w:t>3,760.20</w:t>
      </w:r>
      <w:r>
        <w:rPr>
          <w:rFonts w:hint="eastAsia" w:ascii="仿宋_GB2312" w:hAnsi="仿宋" w:eastAsia="仿宋_GB2312"/>
          <w:b w:val="0"/>
          <w:bCs w:val="0"/>
          <w:color w:val="auto"/>
          <w:highlight w:val="none"/>
          <w:lang w:val="en-US" w:eastAsia="zh-CN"/>
        </w:rPr>
        <w:t>万平方米，实际开工量为年度计划的</w:t>
      </w:r>
      <w:r>
        <w:rPr>
          <w:rFonts w:hint="eastAsia" w:ascii="仿宋_GB2312" w:hAnsi="仿宋" w:eastAsia="仿宋_GB2312"/>
          <w:b w:val="0"/>
          <w:bCs w:val="0"/>
          <w:color w:val="auto"/>
          <w:kern w:val="28"/>
          <w:sz w:val="32"/>
          <w:highlight w:val="none"/>
          <w:lang w:val="en-US" w:eastAsia="zh-CN"/>
        </w:rPr>
        <w:t>125.55%。</w:t>
      </w:r>
    </w:p>
    <w:p>
      <w:pPr>
        <w:pStyle w:val="10"/>
        <w:keepNext w:val="0"/>
        <w:keepLines w:val="0"/>
        <w:pageBreakBefore w:val="0"/>
        <w:kinsoku/>
        <w:wordWrap/>
        <w:overflowPunct/>
        <w:topLinePunct w:val="0"/>
        <w:autoSpaceDE/>
        <w:autoSpaceDN/>
        <w:bidi w:val="0"/>
        <w:adjustRightInd/>
        <w:snapToGrid w:val="0"/>
        <w:spacing w:before="0" w:after="0" w:line="600" w:lineRule="atLeast"/>
        <w:ind w:right="-105" w:rightChars="-50" w:firstLine="642" w:firstLineChars="200"/>
        <w:jc w:val="both"/>
        <w:textAlignment w:val="auto"/>
        <w:outlineLvl w:val="2"/>
        <w:rPr>
          <w:rFonts w:hint="default"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改造小区计划完成率。</w:t>
      </w:r>
      <w:r>
        <w:rPr>
          <w:rFonts w:hint="eastAsia" w:ascii="仿宋_GB2312" w:hAnsi="仿宋" w:eastAsia="仿宋_GB2312"/>
          <w:b w:val="0"/>
          <w:bCs w:val="0"/>
          <w:color w:val="auto"/>
          <w:highlight w:val="none"/>
          <w:lang w:val="en-US" w:eastAsia="zh-CN"/>
        </w:rPr>
        <w:t>国家下达我省2023年度改造小区开工量计划</w:t>
      </w:r>
      <w:r>
        <w:rPr>
          <w:rFonts w:hint="eastAsia" w:ascii="仿宋_GB2312" w:hAnsi="仿宋" w:eastAsia="仿宋_GB2312"/>
          <w:b w:val="0"/>
          <w:bCs w:val="0"/>
          <w:color w:val="auto"/>
          <w:kern w:val="28"/>
          <w:sz w:val="32"/>
          <w:highlight w:val="none"/>
          <w:lang w:val="en-US" w:eastAsia="zh-CN"/>
        </w:rPr>
        <w:t>1,487</w:t>
      </w:r>
      <w:r>
        <w:rPr>
          <w:rFonts w:hint="eastAsia" w:ascii="仿宋_GB2312" w:hAnsi="仿宋" w:eastAsia="仿宋_GB2312"/>
          <w:b w:val="0"/>
          <w:bCs w:val="0"/>
          <w:color w:val="auto"/>
          <w:highlight w:val="none"/>
          <w:lang w:val="en-US" w:eastAsia="zh-CN"/>
        </w:rPr>
        <w:t>个，截至2023年12月31日，项目实际开工量（含已完工项目）为</w:t>
      </w:r>
      <w:r>
        <w:rPr>
          <w:rFonts w:hint="eastAsia" w:ascii="仿宋_GB2312" w:hAnsi="仿宋" w:eastAsia="仿宋_GB2312"/>
          <w:b w:val="0"/>
          <w:bCs w:val="0"/>
          <w:color w:val="auto"/>
          <w:highlight w:val="none"/>
        </w:rPr>
        <w:t>1,909</w:t>
      </w:r>
      <w:r>
        <w:rPr>
          <w:rFonts w:hint="eastAsia" w:ascii="仿宋_GB2312" w:hAnsi="仿宋" w:eastAsia="仿宋_GB2312"/>
          <w:b w:val="0"/>
          <w:bCs w:val="0"/>
          <w:color w:val="auto"/>
          <w:highlight w:val="none"/>
          <w:lang w:val="en-US" w:eastAsia="zh-CN"/>
        </w:rPr>
        <w:t>个，实际开工量为年度计划的</w:t>
      </w:r>
      <w:r>
        <w:rPr>
          <w:rFonts w:hint="eastAsia" w:ascii="仿宋_GB2312" w:hAnsi="仿宋" w:eastAsia="仿宋_GB2312"/>
          <w:b w:val="0"/>
          <w:bCs w:val="0"/>
          <w:color w:val="auto"/>
          <w:kern w:val="28"/>
          <w:sz w:val="32"/>
          <w:highlight w:val="none"/>
          <w:lang w:val="en-US" w:eastAsia="zh-CN"/>
        </w:rPr>
        <w:t>128.38%</w:t>
      </w:r>
      <w:r>
        <w:rPr>
          <w:rFonts w:hint="eastAsia" w:ascii="仿宋_GB2312" w:hAnsi="仿宋" w:eastAsia="仿宋_GB2312"/>
          <w:b w:val="0"/>
          <w:bCs w:val="0"/>
          <w:color w:val="auto"/>
          <w:highlight w:val="none"/>
          <w:lang w:val="en-US" w:eastAsia="zh-CN"/>
        </w:rPr>
        <w:t>。截至2023年12月31日，已完工通过验收项目</w:t>
      </w:r>
      <w:r>
        <w:rPr>
          <w:rFonts w:hint="eastAsia" w:ascii="仿宋_GB2312" w:hAnsi="仿宋" w:eastAsia="仿宋_GB2312"/>
          <w:b w:val="0"/>
          <w:bCs w:val="0"/>
          <w:color w:val="auto"/>
          <w:kern w:val="28"/>
          <w:sz w:val="32"/>
          <w:highlight w:val="none"/>
          <w:lang w:val="en-US" w:eastAsia="zh-CN"/>
        </w:rPr>
        <w:t>289 个</w:t>
      </w:r>
      <w:r>
        <w:rPr>
          <w:rFonts w:hint="eastAsia" w:ascii="仿宋_GB2312" w:hAnsi="仿宋" w:eastAsia="仿宋_GB2312"/>
          <w:b w:val="0"/>
          <w:bCs w:val="0"/>
          <w:color w:val="auto"/>
          <w:highlight w:val="none"/>
          <w:lang w:val="en-US" w:eastAsia="zh-CN"/>
        </w:rPr>
        <w:t>。</w:t>
      </w:r>
    </w:p>
    <w:p>
      <w:pPr>
        <w:pStyle w:val="10"/>
        <w:keepNext w:val="0"/>
        <w:keepLines w:val="0"/>
        <w:pageBreakBefore w:val="0"/>
        <w:kinsoku/>
        <w:wordWrap/>
        <w:overflowPunct/>
        <w:topLinePunct w:val="0"/>
        <w:autoSpaceDE/>
        <w:autoSpaceDN/>
        <w:bidi w:val="0"/>
        <w:adjustRightInd/>
        <w:snapToGrid w:val="0"/>
        <w:spacing w:before="0" w:after="0" w:line="600" w:lineRule="atLeast"/>
        <w:ind w:right="-105" w:rightChars="-50" w:firstLine="642" w:firstLineChars="200"/>
        <w:jc w:val="both"/>
        <w:textAlignment w:val="auto"/>
        <w:outlineLvl w:val="2"/>
        <w:rPr>
          <w:rFonts w:hint="eastAsia" w:ascii="仿宋_GB2312" w:hAnsi="仿宋" w:eastAsia="仿宋_GB2312"/>
          <w:b w:val="0"/>
          <w:bCs w:val="0"/>
          <w:color w:val="auto"/>
          <w:highlight w:val="yellow"/>
          <w:lang w:val="en-US" w:eastAsia="zh-CN"/>
        </w:rPr>
      </w:pPr>
      <w:r>
        <w:rPr>
          <w:rFonts w:hint="eastAsia" w:ascii="仿宋_GB2312" w:hAnsi="仿宋" w:eastAsia="仿宋_GB2312"/>
          <w:b/>
          <w:bCs/>
          <w:color w:val="auto"/>
          <w:highlight w:val="none"/>
          <w:lang w:val="en-US" w:eastAsia="zh-CN"/>
        </w:rPr>
        <w:t>居民参与。</w:t>
      </w:r>
      <w:r>
        <w:rPr>
          <w:rFonts w:hint="eastAsia" w:ascii="仿宋_GB2312" w:hAnsi="仿宋" w:eastAsia="仿宋_GB2312"/>
          <w:b w:val="0"/>
          <w:bCs w:val="0"/>
          <w:color w:val="auto"/>
          <w:highlight w:val="none"/>
          <w:lang w:val="en-US" w:eastAsia="zh-CN"/>
        </w:rPr>
        <w:t>2023年我省列入城镇老旧小区改造计划的小区数量1,487个，成立党组织的小区288个，成立党组织的小区占年度计划比例19.37%；选举业主委员会的小区207个，选举业主委员会的小区占年度计划比例13.92%。改造方案（含改造后小区物业管理模式、居民缴纳必要的物业服务费等）经法定比例以上居民书面（线上）表决同意的小区为100%；66.38%的地级以上市引导居民利用“互联网+共建共治”等线上手段，对改造中共同决定事项进行表决，提高居民协商议事效率。</w:t>
      </w:r>
    </w:p>
    <w:p>
      <w:pPr>
        <w:pStyle w:val="10"/>
        <w:keepNext w:val="0"/>
        <w:keepLines w:val="0"/>
        <w:pageBreakBefore w:val="0"/>
        <w:kinsoku/>
        <w:wordWrap/>
        <w:overflowPunct/>
        <w:topLinePunct w:val="0"/>
        <w:autoSpaceDE/>
        <w:autoSpaceDN/>
        <w:bidi w:val="0"/>
        <w:adjustRightInd/>
        <w:snapToGrid w:val="0"/>
        <w:spacing w:before="0" w:after="0" w:line="600" w:lineRule="atLeast"/>
        <w:ind w:right="-105" w:rightChars="-50" w:firstLine="642" w:firstLineChars="200"/>
        <w:jc w:val="both"/>
        <w:textAlignment w:val="auto"/>
        <w:outlineLvl w:val="2"/>
        <w:rPr>
          <w:rFonts w:hint="eastAsia"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改造内容。</w:t>
      </w:r>
      <w:r>
        <w:rPr>
          <w:rFonts w:hint="eastAsia" w:ascii="仿宋_GB2312" w:hAnsi="仿宋" w:eastAsia="仿宋_GB2312"/>
          <w:b w:val="0"/>
          <w:bCs w:val="0"/>
          <w:color w:val="auto"/>
          <w:highlight w:val="none"/>
          <w:lang w:val="en-US" w:eastAsia="zh-CN"/>
        </w:rPr>
        <w:t>对于在老旧管线等市政配套基础设施、小区内建筑物本体公共部位维修以及公共区域无障碍设施、适老化改造、适儿化改造等方面存在短板的小区，将相关设施短板均纳入改造方案的小区占比100%；对于存在停车、加装电梯、充电、安防、照明、智能信包箱及快件箱等完善类短板的小区，均有相关内容纳入改造方案的小区占比100%；对存在体育健身及养老、托育等提升类设施短板的小区，拟通过改造、新建、租赁、购买等方式将相关设施短板均纳入改造方案的小区占比100%；与相邻小区及周边地区联动、连片实施改造小区有1,360个，占年度计划改造小区比例91.46%。</w:t>
      </w:r>
    </w:p>
    <w:p>
      <w:pPr>
        <w:pStyle w:val="10"/>
        <w:keepNext w:val="0"/>
        <w:keepLines w:val="0"/>
        <w:pageBreakBefore w:val="0"/>
        <w:kinsoku/>
        <w:wordWrap/>
        <w:overflowPunct/>
        <w:topLinePunct w:val="0"/>
        <w:autoSpaceDE/>
        <w:autoSpaceDN/>
        <w:bidi w:val="0"/>
        <w:adjustRightInd/>
        <w:snapToGrid w:val="0"/>
        <w:spacing w:before="0" w:after="0" w:line="600" w:lineRule="atLeast"/>
        <w:ind w:right="-105" w:rightChars="-50" w:firstLine="642" w:firstLineChars="200"/>
        <w:jc w:val="both"/>
        <w:textAlignment w:val="auto"/>
        <w:outlineLvl w:val="2"/>
        <w:rPr>
          <w:rFonts w:hint="eastAsia"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工程质量安全。</w:t>
      </w:r>
      <w:r>
        <w:rPr>
          <w:rFonts w:hint="eastAsia" w:ascii="仿宋_GB2312" w:hAnsi="仿宋" w:eastAsia="仿宋_GB2312"/>
          <w:b w:val="0"/>
          <w:bCs w:val="0"/>
          <w:color w:val="auto"/>
          <w:highlight w:val="none"/>
          <w:lang w:val="en-US" w:eastAsia="zh-CN"/>
        </w:rPr>
        <w:t>我省对中央财政城镇保障性安居工程补助资金（用于老旧小区改造）项目实施单位严格执行《广东省建设工程质量管理条例》《广东省建设项目安全设施监督管理办法》《广东省城镇老旧小区改造工作指引（2022年版）》等规定，各市县结合城镇老旧小区改造项目实际，制定并落实有针对性的规章制度，完善城镇老旧小区改造质量安全事中事后监管机制。制定城镇老旧小区改造质量通病防治导则并强化运用，压实建设单位、设计单位、施工单位、监理单位等参建单位质量安全责任。严把工程质量关，项目工程质量较高。住房城乡建设、监察等部门在日常监管中未发现存在工程质量问题；也未发现经群众信访投诉、审计发现、媒体曝光等城镇老旧小区改造项目存在工程质量安全问题。</w:t>
      </w:r>
    </w:p>
    <w:p>
      <w:pPr>
        <w:pStyle w:val="10"/>
        <w:keepNext w:val="0"/>
        <w:keepLines w:val="0"/>
        <w:pageBreakBefore w:val="0"/>
        <w:kinsoku/>
        <w:wordWrap/>
        <w:overflowPunct/>
        <w:topLinePunct w:val="0"/>
        <w:autoSpaceDE/>
        <w:autoSpaceDN/>
        <w:bidi w:val="0"/>
        <w:adjustRightInd/>
        <w:snapToGrid w:val="0"/>
        <w:spacing w:before="0" w:after="0" w:line="600" w:lineRule="atLeast"/>
        <w:ind w:right="-105" w:rightChars="-50" w:firstLine="642" w:firstLineChars="200"/>
        <w:jc w:val="both"/>
        <w:textAlignment w:val="auto"/>
        <w:outlineLvl w:val="2"/>
        <w:rPr>
          <w:rFonts w:hint="eastAsia"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长效管理机制。</w:t>
      </w:r>
      <w:r>
        <w:rPr>
          <w:rFonts w:hint="eastAsia" w:ascii="仿宋_GB2312" w:hAnsi="仿宋" w:eastAsia="仿宋_GB2312"/>
          <w:b w:val="0"/>
          <w:bCs w:val="0"/>
          <w:color w:val="auto"/>
          <w:highlight w:val="none"/>
          <w:lang w:val="en-US" w:eastAsia="zh-CN"/>
        </w:rPr>
        <w:t>城镇老旧小区改造计划完成后，将全部改造后水电气信等专营设施设备产权依照法定程序移交给专业经营单位，由其负责维护管理的小区，占年度计划改造小区比例是97.58%；建立健全住宅专项维修资金归集、使用、续筹机制的小区，占年度计划改造小区比例18.16%。</w:t>
      </w:r>
    </w:p>
    <w:p>
      <w:pPr>
        <w:pStyle w:val="10"/>
        <w:keepNext w:val="0"/>
        <w:keepLines w:val="0"/>
        <w:pageBreakBefore w:val="0"/>
        <w:kinsoku/>
        <w:wordWrap/>
        <w:overflowPunct/>
        <w:topLinePunct w:val="0"/>
        <w:autoSpaceDE/>
        <w:autoSpaceDN/>
        <w:bidi w:val="0"/>
        <w:adjustRightInd/>
        <w:snapToGrid w:val="0"/>
        <w:spacing w:before="0" w:after="0" w:line="600" w:lineRule="atLeast"/>
        <w:ind w:right="-105" w:rightChars="-50" w:firstLine="642" w:firstLineChars="200"/>
        <w:jc w:val="both"/>
        <w:textAlignment w:val="auto"/>
        <w:outlineLvl w:val="2"/>
        <w:rPr>
          <w:rFonts w:hint="eastAsia"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完善配套政策制度。</w:t>
      </w:r>
      <w:r>
        <w:rPr>
          <w:rFonts w:hint="eastAsia" w:ascii="仿宋_GB2312" w:hAnsi="仿宋" w:eastAsia="仿宋_GB2312"/>
          <w:b w:val="0"/>
          <w:bCs w:val="0"/>
          <w:color w:val="auto"/>
          <w:highlight w:val="none"/>
          <w:lang w:val="en-US" w:eastAsia="zh-CN"/>
        </w:rPr>
        <w:t>2023年，我省在成功构建“1+2+N”政策体系的基础上积极推进完善配套政策制度，</w:t>
      </w:r>
      <w:r>
        <w:rPr>
          <w:rFonts w:hint="eastAsia" w:ascii="仿宋_GB2312" w:hAnsi="仿宋" w:eastAsia="仿宋_GB2312"/>
          <w:b/>
          <w:bCs/>
          <w:color w:val="auto"/>
          <w:highlight w:val="none"/>
          <w:lang w:val="en-US" w:eastAsia="zh-CN"/>
        </w:rPr>
        <w:t>一是</w:t>
      </w:r>
      <w:r>
        <w:rPr>
          <w:rFonts w:hint="eastAsia" w:ascii="仿宋_GB2312" w:hAnsi="仿宋" w:eastAsia="仿宋_GB2312"/>
          <w:b w:val="0"/>
          <w:bCs w:val="0"/>
          <w:color w:val="auto"/>
          <w:highlight w:val="none"/>
          <w:lang w:val="en-US" w:eastAsia="zh-CN"/>
        </w:rPr>
        <w:t>出台了《广东省城镇老旧小区改造可复制政策机制清单》</w:t>
      </w:r>
      <w:r>
        <w:rPr>
          <w:rFonts w:hint="eastAsia" w:ascii="仿宋_GB2312" w:hAnsi="仿宋" w:eastAsia="仿宋_GB2312"/>
          <w:b w:val="0"/>
          <w:bCs w:val="0"/>
          <w:color w:val="auto"/>
          <w:highlight w:val="none"/>
        </w:rPr>
        <w:t>（粤建节〔2023〕4号）</w:t>
      </w:r>
      <w:r>
        <w:rPr>
          <w:rFonts w:hint="eastAsia" w:ascii="仿宋_GB2312" w:hAnsi="仿宋" w:eastAsia="仿宋_GB2312"/>
          <w:b w:val="0"/>
          <w:bCs w:val="0"/>
          <w:color w:val="auto"/>
          <w:highlight w:val="none"/>
          <w:lang w:val="en-US" w:eastAsia="zh-CN"/>
        </w:rPr>
        <w:t>，复制推广先进地市在引入社会力量、成片连片改造等方面工作经验；</w:t>
      </w:r>
      <w:r>
        <w:rPr>
          <w:rFonts w:hint="eastAsia" w:ascii="仿宋_GB2312" w:hAnsi="仿宋" w:eastAsia="仿宋_GB2312"/>
          <w:b/>
          <w:bCs/>
          <w:color w:val="auto"/>
          <w:highlight w:val="none"/>
          <w:lang w:val="en-US" w:eastAsia="zh-CN"/>
        </w:rPr>
        <w:t>二是</w:t>
      </w:r>
      <w:r>
        <w:rPr>
          <w:rFonts w:hint="eastAsia" w:ascii="仿宋_GB2312" w:hAnsi="仿宋" w:eastAsia="仿宋_GB2312"/>
          <w:b w:val="0"/>
          <w:bCs w:val="0"/>
          <w:color w:val="auto"/>
          <w:highlight w:val="none"/>
          <w:lang w:val="en-US" w:eastAsia="zh-CN"/>
        </w:rPr>
        <w:t>出台了《</w:t>
      </w:r>
      <w:r>
        <w:rPr>
          <w:rFonts w:hint="eastAsia" w:ascii="仿宋_GB2312" w:hAnsi="仿宋" w:eastAsia="仿宋_GB2312"/>
          <w:b w:val="0"/>
          <w:bCs w:val="0"/>
          <w:color w:val="auto"/>
          <w:highlight w:val="none"/>
        </w:rPr>
        <w:t>广东省住房和城乡建设厅关于印发</w:t>
      </w:r>
      <w:r>
        <w:rPr>
          <w:rFonts w:hint="eastAsia" w:ascii="仿宋_GB2312" w:hAnsi="仿宋_GB2312" w:eastAsia="仿宋_GB2312" w:cs="仿宋_GB2312"/>
          <w:b w:val="0"/>
          <w:bCs w:val="0"/>
          <w:color w:val="auto"/>
          <w:highlight w:val="none"/>
          <w:lang w:val="en-US" w:eastAsia="zh-CN"/>
        </w:rPr>
        <w:t>〈</w:t>
      </w:r>
      <w:r>
        <w:rPr>
          <w:rFonts w:hint="eastAsia" w:ascii="仿宋_GB2312" w:hAnsi="仿宋_GB2312" w:eastAsia="仿宋_GB2312" w:cs="仿宋_GB2312"/>
          <w:b w:val="0"/>
          <w:bCs w:val="0"/>
          <w:color w:val="auto"/>
          <w:highlight w:val="none"/>
        </w:rPr>
        <w:t>广东省城镇老旧小区改造多渠道筹资工作指引</w:t>
      </w:r>
      <w:r>
        <w:rPr>
          <w:rFonts w:hint="eastAsia" w:ascii="仿宋_GB2312" w:hAnsi="仿宋_GB2312" w:eastAsia="仿宋_GB2312" w:cs="仿宋_GB2312"/>
          <w:b w:val="0"/>
          <w:bCs w:val="0"/>
          <w:color w:val="auto"/>
          <w:highlight w:val="none"/>
          <w:lang w:val="en-US" w:eastAsia="zh-CN"/>
        </w:rPr>
        <w:t>〉</w:t>
      </w:r>
      <w:r>
        <w:rPr>
          <w:rFonts w:hint="eastAsia" w:ascii="仿宋_GB2312" w:hAnsi="仿宋_GB2312" w:eastAsia="仿宋_GB2312" w:cs="仿宋_GB2312"/>
          <w:b w:val="0"/>
          <w:bCs w:val="0"/>
          <w:color w:val="auto"/>
          <w:highlight w:val="none"/>
        </w:rPr>
        <w:t>的通知</w:t>
      </w:r>
      <w:r>
        <w:rPr>
          <w:rFonts w:hint="eastAsia" w:ascii="仿宋_GB2312" w:hAnsi="仿宋_GB2312" w:eastAsia="仿宋_GB2312" w:cs="仿宋_GB2312"/>
          <w:b w:val="0"/>
          <w:bCs w:val="0"/>
          <w:color w:val="auto"/>
          <w:highlight w:val="none"/>
          <w:lang w:eastAsia="zh-CN"/>
        </w:rPr>
        <w:t>》</w:t>
      </w:r>
      <w:r>
        <w:rPr>
          <w:rFonts w:hint="eastAsia" w:ascii="仿宋_GB2312" w:hAnsi="仿宋" w:eastAsia="仿宋_GB2312"/>
          <w:b w:val="0"/>
          <w:bCs w:val="0"/>
          <w:color w:val="auto"/>
          <w:highlight w:val="none"/>
        </w:rPr>
        <w:t>（粤建节〔2023〕183号），</w:t>
      </w:r>
      <w:r>
        <w:rPr>
          <w:rFonts w:hint="eastAsia" w:ascii="仿宋_GB2312" w:hAnsi="仿宋" w:eastAsia="仿宋_GB2312"/>
          <w:b w:val="0"/>
          <w:bCs w:val="0"/>
          <w:color w:val="auto"/>
          <w:highlight w:val="none"/>
          <w:lang w:val="en-US" w:eastAsia="zh-CN"/>
        </w:rPr>
        <w:t>指导各地加快建立改造资金合理共担机制，</w:t>
      </w:r>
      <w:r>
        <w:rPr>
          <w:rFonts w:hint="eastAsia" w:ascii="仿宋_GB2312" w:hAnsi="仿宋" w:eastAsia="仿宋_GB2312"/>
          <w:b w:val="0"/>
          <w:bCs w:val="0"/>
          <w:color w:val="auto"/>
          <w:highlight w:val="none"/>
        </w:rPr>
        <w:t>拓宽资金筹措渠道，积极谋划，有效整合、盘活存量资源</w:t>
      </w:r>
      <w:r>
        <w:rPr>
          <w:rFonts w:hint="eastAsia" w:ascii="仿宋_GB2312" w:hAnsi="仿宋" w:eastAsia="仿宋_GB2312"/>
          <w:b w:val="0"/>
          <w:bCs w:val="0"/>
          <w:color w:val="auto"/>
          <w:highlight w:val="none"/>
          <w:lang w:eastAsia="zh-CN"/>
        </w:rPr>
        <w:t>，</w:t>
      </w:r>
      <w:r>
        <w:rPr>
          <w:rFonts w:hint="eastAsia" w:ascii="仿宋_GB2312" w:hAnsi="仿宋" w:eastAsia="仿宋_GB2312"/>
          <w:b w:val="0"/>
          <w:bCs w:val="0"/>
          <w:color w:val="auto"/>
          <w:highlight w:val="none"/>
          <w:lang w:val="en-US" w:eastAsia="zh-CN"/>
        </w:rPr>
        <w:t>提高我省改造速度、质量和效果；</w:t>
      </w:r>
      <w:r>
        <w:rPr>
          <w:rFonts w:hint="eastAsia" w:ascii="仿宋_GB2312" w:hAnsi="仿宋" w:eastAsia="仿宋_GB2312"/>
          <w:b/>
          <w:bCs/>
          <w:color w:val="auto"/>
          <w:highlight w:val="none"/>
          <w:lang w:val="en-US" w:eastAsia="zh-CN"/>
        </w:rPr>
        <w:t>三是</w:t>
      </w:r>
      <w:r>
        <w:rPr>
          <w:rFonts w:hint="eastAsia" w:ascii="仿宋_GB2312" w:hAnsi="仿宋" w:eastAsia="仿宋_GB2312"/>
          <w:b w:val="0"/>
          <w:bCs w:val="0"/>
          <w:color w:val="auto"/>
          <w:highlight w:val="none"/>
          <w:lang w:val="en-US" w:eastAsia="zh-CN"/>
        </w:rPr>
        <w:t>出台了《</w:t>
      </w:r>
      <w:r>
        <w:rPr>
          <w:rFonts w:hint="eastAsia" w:ascii="仿宋_GB2312" w:hAnsi="仿宋" w:eastAsia="仿宋_GB2312"/>
          <w:b w:val="0"/>
          <w:bCs w:val="0"/>
          <w:color w:val="auto"/>
          <w:highlight w:val="none"/>
        </w:rPr>
        <w:t>广东省住房和城乡建设厅 广东省发展和改革委员会 广东省财政厅关于印发</w:t>
      </w:r>
      <w:r>
        <w:rPr>
          <w:rFonts w:hint="eastAsia" w:ascii="仿宋_GB2312" w:hAnsi="仿宋_GB2312" w:eastAsia="仿宋_GB2312" w:cs="仿宋_GB2312"/>
          <w:b w:val="0"/>
          <w:bCs w:val="0"/>
          <w:color w:val="auto"/>
          <w:highlight w:val="none"/>
          <w:lang w:val="en-US" w:eastAsia="zh-CN"/>
        </w:rPr>
        <w:t>〈</w:t>
      </w:r>
      <w:r>
        <w:rPr>
          <w:rFonts w:hint="eastAsia" w:ascii="仿宋_GB2312" w:hAnsi="仿宋" w:eastAsia="仿宋_GB2312"/>
          <w:b w:val="0"/>
          <w:bCs w:val="0"/>
          <w:color w:val="auto"/>
          <w:highlight w:val="none"/>
        </w:rPr>
        <w:t>广东省城镇老旧小区改造工作重点关注事项</w:t>
      </w:r>
      <w:r>
        <w:rPr>
          <w:rFonts w:hint="eastAsia" w:ascii="仿宋_GB2312" w:hAnsi="仿宋_GB2312" w:eastAsia="仿宋_GB2312" w:cs="仿宋_GB2312"/>
          <w:b w:val="0"/>
          <w:bCs w:val="0"/>
          <w:color w:val="auto"/>
          <w:highlight w:val="none"/>
          <w:lang w:val="en-US" w:eastAsia="zh-CN"/>
        </w:rPr>
        <w:t>〉</w:t>
      </w:r>
      <w:r>
        <w:rPr>
          <w:rFonts w:hint="eastAsia" w:ascii="仿宋_GB2312" w:hAnsi="仿宋" w:eastAsia="仿宋_GB2312"/>
          <w:b w:val="0"/>
          <w:bCs w:val="0"/>
          <w:color w:val="auto"/>
          <w:highlight w:val="none"/>
        </w:rPr>
        <w:t>的通知</w:t>
      </w:r>
      <w:r>
        <w:rPr>
          <w:rFonts w:hint="eastAsia" w:ascii="仿宋_GB2312" w:hAnsi="仿宋" w:eastAsia="仿宋_GB2312"/>
          <w:b w:val="0"/>
          <w:bCs w:val="0"/>
          <w:color w:val="auto"/>
          <w:highlight w:val="none"/>
          <w:lang w:val="en-US" w:eastAsia="zh-CN"/>
        </w:rPr>
        <w:t>》</w:t>
      </w:r>
      <w:r>
        <w:rPr>
          <w:rFonts w:hint="eastAsia" w:ascii="仿宋_GB2312" w:hAnsi="仿宋" w:eastAsia="仿宋_GB2312"/>
          <w:b w:val="0"/>
          <w:bCs w:val="0"/>
          <w:color w:val="auto"/>
          <w:highlight w:val="none"/>
        </w:rPr>
        <w:t>（粤建节函〔2023〕419号）</w:t>
      </w:r>
      <w:r>
        <w:rPr>
          <w:rFonts w:hint="eastAsia" w:ascii="仿宋_GB2312" w:hAnsi="仿宋" w:eastAsia="仿宋_GB2312"/>
          <w:b w:val="0"/>
          <w:bCs w:val="0"/>
          <w:color w:val="auto"/>
          <w:highlight w:val="none"/>
          <w:lang w:val="en-US" w:eastAsia="zh-CN"/>
        </w:rPr>
        <w:t>，重点关注提高改造计划的科学性合理性、促进统筹协调、充分发挥居民参与机制、强化施工组织管理、建立长效管理机制、多渠道筹措资金、统计填报规范化等事项。各市也相应出台了市级工作方案、工作流程指引、政策解读与办事指引、改造标准等配套文件。</w:t>
      </w:r>
    </w:p>
    <w:p>
      <w:pPr>
        <w:pStyle w:val="10"/>
        <w:keepNext w:val="0"/>
        <w:keepLines w:val="0"/>
        <w:pageBreakBefore w:val="0"/>
        <w:numPr>
          <w:ilvl w:val="0"/>
          <w:numId w:val="0"/>
        </w:numPr>
        <w:kinsoku/>
        <w:wordWrap/>
        <w:overflowPunct/>
        <w:topLinePunct w:val="0"/>
        <w:autoSpaceDE/>
        <w:autoSpaceDN/>
        <w:bidi w:val="0"/>
        <w:adjustRightInd/>
        <w:snapToGrid w:val="0"/>
        <w:spacing w:before="0" w:after="0" w:line="600" w:lineRule="atLeast"/>
        <w:ind w:right="-105" w:rightChars="-50" w:firstLine="642" w:firstLineChars="200"/>
        <w:jc w:val="both"/>
        <w:textAlignment w:val="auto"/>
        <w:outlineLvl w:val="2"/>
        <w:rPr>
          <w:rFonts w:hint="eastAsia" w:ascii="仿宋_GB2312" w:hAnsi="仿宋" w:eastAsia="仿宋_GB2312"/>
          <w:b w:val="0"/>
          <w:bCs w:val="0"/>
          <w:color w:val="auto"/>
          <w:kern w:val="28"/>
          <w:sz w:val="32"/>
          <w:highlight w:val="none"/>
          <w:lang w:val="en-US" w:eastAsia="zh-CN" w:bidi="ar"/>
        </w:rPr>
      </w:pPr>
      <w:r>
        <w:rPr>
          <w:rFonts w:hint="eastAsia" w:ascii="仿宋_GB2312" w:hAnsi="仿宋" w:eastAsia="仿宋_GB2312" w:cstheme="minorBidi"/>
          <w:b/>
          <w:bCs/>
          <w:color w:val="auto"/>
          <w:kern w:val="2"/>
          <w:sz w:val="32"/>
          <w:szCs w:val="24"/>
          <w:highlight w:val="none"/>
          <w:lang w:val="en-US" w:eastAsia="zh-CN" w:bidi="ar"/>
        </w:rPr>
        <w:t>完成改造小区居民满意度</w:t>
      </w:r>
      <w:r>
        <w:rPr>
          <w:rFonts w:hint="eastAsia" w:ascii="仿宋_GB2312" w:hAnsi="仿宋" w:eastAsia="仿宋_GB2312"/>
          <w:b/>
          <w:bCs/>
          <w:color w:val="auto"/>
          <w:sz w:val="32"/>
          <w:highlight w:val="none"/>
          <w:lang w:eastAsia="zh-CN" w:bidi="ar"/>
        </w:rPr>
        <w:t>。</w:t>
      </w:r>
      <w:r>
        <w:rPr>
          <w:rFonts w:hint="eastAsia" w:ascii="仿宋_GB2312" w:hAnsi="仿宋" w:eastAsia="仿宋_GB2312"/>
          <w:b w:val="0"/>
          <w:bCs w:val="0"/>
          <w:color w:val="auto"/>
          <w:sz w:val="32"/>
          <w:highlight w:val="none"/>
          <w:lang w:bidi="ar"/>
        </w:rPr>
        <w:t>根据各市统计、住房城乡建设主管部门或项目实施部门调查结果，全省完成改造小区居民对城镇老旧小区改造项目的满意度</w:t>
      </w:r>
      <w:r>
        <w:rPr>
          <w:rFonts w:hint="eastAsia" w:ascii="仿宋_GB2312" w:hAnsi="仿宋" w:eastAsia="仿宋_GB2312"/>
          <w:b w:val="0"/>
          <w:bCs w:val="0"/>
          <w:color w:val="auto"/>
          <w:sz w:val="32"/>
          <w:highlight w:val="none"/>
          <w:lang w:val="en-US" w:eastAsia="zh-CN" w:bidi="ar"/>
        </w:rPr>
        <w:t>是81%。</w:t>
      </w:r>
    </w:p>
    <w:p>
      <w:pPr>
        <w:pStyle w:val="7"/>
        <w:keepNext w:val="0"/>
        <w:keepLines w:val="0"/>
        <w:pageBreakBefore w:val="0"/>
        <w:kinsoku/>
        <w:wordWrap/>
        <w:overflowPunct/>
        <w:topLinePunct w:val="0"/>
        <w:autoSpaceDE/>
        <w:autoSpaceDN/>
        <w:bidi w:val="0"/>
        <w:adjustRightInd/>
        <w:snapToGrid w:val="0"/>
        <w:spacing w:line="600" w:lineRule="atLeast"/>
        <w:ind w:left="0" w:leftChars="0" w:right="-105" w:rightChars="-50" w:firstLine="642" w:firstLineChars="200"/>
        <w:textAlignment w:val="auto"/>
        <w:rPr>
          <w:rFonts w:hint="eastAsia" w:ascii="仿宋_GB2312" w:hAnsi="Times New Roman" w:eastAsia="仿宋_GB2312"/>
          <w:b/>
          <w:bCs/>
          <w:color w:val="auto"/>
          <w:kern w:val="2"/>
          <w:sz w:val="32"/>
          <w:highlight w:val="none"/>
          <w:lang w:val="en-US" w:eastAsia="zh-CN"/>
        </w:rPr>
      </w:pPr>
      <w:r>
        <w:rPr>
          <w:rFonts w:hint="eastAsia" w:ascii="仿宋_GB2312" w:hAnsi="Times New Roman" w:eastAsia="仿宋_GB2312"/>
          <w:b/>
          <w:bCs/>
          <w:color w:val="auto"/>
          <w:kern w:val="2"/>
          <w:sz w:val="32"/>
          <w:highlight w:val="none"/>
          <w:lang w:val="en-US" w:eastAsia="zh-CN"/>
        </w:rPr>
        <w:t>3.主要绩效。</w:t>
      </w:r>
    </w:p>
    <w:p>
      <w:pPr>
        <w:pStyle w:val="7"/>
        <w:keepNext w:val="0"/>
        <w:keepLines w:val="0"/>
        <w:pageBreakBefore w:val="0"/>
        <w:kinsoku/>
        <w:wordWrap/>
        <w:overflowPunct/>
        <w:topLinePunct w:val="0"/>
        <w:autoSpaceDE/>
        <w:autoSpaceDN/>
        <w:bidi w:val="0"/>
        <w:adjustRightInd/>
        <w:snapToGrid w:val="0"/>
        <w:spacing w:line="600" w:lineRule="atLeast"/>
        <w:ind w:left="0" w:leftChars="0" w:right="-105" w:rightChars="-50" w:firstLine="642" w:firstLineChars="200"/>
        <w:textAlignment w:val="auto"/>
        <w:rPr>
          <w:rFonts w:hint="eastAsia" w:ascii="仿宋_GB2312" w:hAnsi="Times New Roman" w:eastAsia="仿宋_GB2312"/>
          <w:b/>
          <w:bCs/>
          <w:color w:val="auto"/>
          <w:kern w:val="2"/>
          <w:sz w:val="21"/>
          <w:szCs w:val="21"/>
          <w:highlight w:val="none"/>
          <w:lang w:val="en-US" w:eastAsia="zh-CN"/>
        </w:rPr>
      </w:pPr>
      <w:r>
        <w:rPr>
          <w:rFonts w:hint="eastAsia" w:ascii="仿宋_GB2312" w:hAnsi="Times New Roman" w:eastAsia="仿宋_GB2312"/>
          <w:b/>
          <w:bCs/>
          <w:color w:val="auto"/>
          <w:kern w:val="2"/>
          <w:sz w:val="32"/>
          <w:highlight w:val="none"/>
          <w:lang w:val="en-US" w:eastAsia="zh-CN"/>
        </w:rPr>
        <w:t>（1）2023年年度目标任务全面完成，有力推进我省</w:t>
      </w:r>
      <w:r>
        <w:rPr>
          <w:rFonts w:hint="eastAsia" w:ascii="仿宋_GB2312" w:hAnsi="Times New Roman" w:eastAsia="仿宋_GB2312"/>
          <w:b/>
          <w:bCs/>
          <w:color w:val="auto"/>
          <w:kern w:val="2"/>
          <w:sz w:val="32"/>
          <w:highlight w:val="none"/>
          <w:lang w:eastAsia="zh-CN"/>
        </w:rPr>
        <w:t>老旧小区改造</w:t>
      </w:r>
      <w:r>
        <w:rPr>
          <w:rFonts w:hint="eastAsia" w:ascii="仿宋_GB2312" w:hAnsi="Times New Roman" w:eastAsia="仿宋_GB2312"/>
          <w:b/>
          <w:bCs/>
          <w:color w:val="auto"/>
          <w:kern w:val="2"/>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atLeast"/>
        <w:ind w:right="-105" w:rightChars="-50" w:firstLine="642" w:firstLineChars="200"/>
        <w:textAlignment w:val="auto"/>
        <w:outlineLvl w:val="9"/>
        <w:rPr>
          <w:rFonts w:hint="default"/>
          <w:color w:val="auto"/>
          <w:lang w:val="en-US" w:eastAsia="zh-CN"/>
        </w:rPr>
      </w:pPr>
      <w:r>
        <w:rPr>
          <w:rFonts w:hint="eastAsia" w:ascii="仿宋_GB2312" w:hAnsi="仿宋" w:eastAsia="仿宋_GB2312"/>
          <w:b/>
          <w:bCs/>
          <w:color w:val="auto"/>
          <w:kern w:val="2"/>
          <w:sz w:val="32"/>
          <w:highlight w:val="none"/>
          <w:lang w:val="en-US" w:eastAsia="zh-CN"/>
        </w:rPr>
        <w:t>一是</w:t>
      </w:r>
      <w:r>
        <w:rPr>
          <w:rFonts w:hint="eastAsia" w:ascii="仿宋_GB2312" w:hAnsi="仿宋_GB2312" w:eastAsia="仿宋_GB2312" w:cs="仿宋_GB2312"/>
          <w:color w:val="auto"/>
          <w:sz w:val="32"/>
          <w:highlight w:val="none"/>
          <w:lang w:eastAsia="zh-CN"/>
        </w:rPr>
        <w:t>实现了全部预期绩效目标。</w:t>
      </w:r>
      <w:r>
        <w:rPr>
          <w:rFonts w:hint="eastAsia" w:ascii="仿宋_GB2312" w:hAnsi="仿宋" w:eastAsia="仿宋_GB2312" w:cstheme="minorBidi"/>
          <w:color w:val="auto"/>
          <w:kern w:val="2"/>
          <w:sz w:val="32"/>
          <w:szCs w:val="24"/>
          <w:highlight w:val="none"/>
          <w:lang w:val="en-US" w:eastAsia="zh-CN" w:bidi="ar-SA"/>
        </w:rPr>
        <w:t>2023年，</w:t>
      </w:r>
      <w:r>
        <w:rPr>
          <w:rFonts w:hint="eastAsia" w:ascii="仿宋_GB2312" w:hAnsi="仿宋_GB2312" w:eastAsia="仿宋_GB2312" w:cs="仿宋_GB2312"/>
          <w:color w:val="auto"/>
          <w:sz w:val="32"/>
          <w:highlight w:val="none"/>
          <w:lang w:eastAsia="zh-CN"/>
        </w:rPr>
        <w:t>我省</w:t>
      </w:r>
      <w:r>
        <w:rPr>
          <w:rFonts w:hint="eastAsia" w:ascii="仿宋_GB2312" w:hAnsi="仿宋_GB2312" w:eastAsia="仿宋_GB2312" w:cs="仿宋_GB2312"/>
          <w:color w:val="auto"/>
          <w:sz w:val="32"/>
          <w:highlight w:val="none"/>
          <w:lang w:val="en-US" w:eastAsia="zh-CN"/>
        </w:rPr>
        <w:t>超额</w:t>
      </w:r>
      <w:r>
        <w:rPr>
          <w:rFonts w:hint="eastAsia" w:ascii="仿宋_GB2312" w:hAnsi="仿宋_GB2312" w:eastAsia="仿宋_GB2312" w:cs="仿宋_GB2312"/>
          <w:color w:val="auto"/>
          <w:sz w:val="32"/>
          <w:highlight w:val="none"/>
          <w:lang w:eastAsia="zh-CN"/>
        </w:rPr>
        <w:t>完成了</w:t>
      </w:r>
      <w:r>
        <w:rPr>
          <w:rFonts w:hint="eastAsia" w:ascii="仿宋_GB2312" w:hAnsi="Times New Roman" w:eastAsia="仿宋_GB2312"/>
          <w:color w:val="auto"/>
          <w:kern w:val="2"/>
          <w:sz w:val="32"/>
          <w:highlight w:val="none"/>
          <w:lang w:eastAsia="zh-CN"/>
        </w:rPr>
        <w:t>老旧小区改造</w:t>
      </w:r>
      <w:r>
        <w:rPr>
          <w:rFonts w:hint="eastAsia" w:ascii="仿宋_GB2312" w:hAnsi="仿宋_GB2312" w:eastAsia="仿宋_GB2312" w:cs="仿宋_GB2312"/>
          <w:color w:val="auto"/>
          <w:sz w:val="32"/>
          <w:highlight w:val="none"/>
          <w:lang w:eastAsia="zh-CN"/>
        </w:rPr>
        <w:t>计划任务。</w:t>
      </w:r>
      <w:r>
        <w:rPr>
          <w:rFonts w:hint="eastAsia" w:ascii="仿宋_GB2312" w:hAnsi="仿宋_GB2312" w:eastAsia="仿宋_GB2312" w:cs="仿宋_GB2312"/>
          <w:color w:val="auto"/>
          <w:sz w:val="32"/>
          <w:highlight w:val="none"/>
          <w:lang w:val="en-US" w:eastAsia="zh-CN"/>
        </w:rPr>
        <w:t>全面</w:t>
      </w:r>
      <w:r>
        <w:rPr>
          <w:rFonts w:hint="eastAsia" w:ascii="仿宋_GB2312" w:hAnsi="Times New Roman" w:eastAsia="仿宋_GB2312"/>
          <w:color w:val="auto"/>
          <w:kern w:val="2"/>
          <w:sz w:val="32"/>
          <w:highlight w:val="none"/>
          <w:lang w:eastAsia="zh-CN"/>
        </w:rPr>
        <w:t>改造</w:t>
      </w:r>
      <w:r>
        <w:rPr>
          <w:rFonts w:hint="eastAsia" w:ascii="仿宋_GB2312" w:hAnsi="Times New Roman" w:eastAsia="仿宋_GB2312"/>
          <w:color w:val="auto"/>
          <w:kern w:val="2"/>
          <w:sz w:val="32"/>
          <w:highlight w:val="none"/>
          <w:lang w:val="en-US" w:eastAsia="zh-CN"/>
        </w:rPr>
        <w:t>老旧的</w:t>
      </w:r>
      <w:r>
        <w:rPr>
          <w:rFonts w:hint="eastAsia" w:ascii="仿宋_GB2312" w:hAnsi="Times New Roman" w:eastAsia="仿宋_GB2312"/>
          <w:color w:val="auto"/>
          <w:kern w:val="2"/>
          <w:sz w:val="32"/>
          <w:highlight w:val="none"/>
          <w:lang w:eastAsia="zh-CN"/>
        </w:rPr>
        <w:t>水电气热信等设施</w:t>
      </w:r>
      <w:r>
        <w:rPr>
          <w:rFonts w:hint="eastAsia" w:ascii="仿宋_GB2312" w:hAnsi="Times New Roman" w:eastAsia="仿宋_GB2312"/>
          <w:color w:val="auto"/>
          <w:kern w:val="2"/>
          <w:sz w:val="32"/>
          <w:highlight w:val="none"/>
          <w:lang w:val="en-US" w:eastAsia="zh-CN"/>
        </w:rPr>
        <w:t>减少安全隐患</w:t>
      </w:r>
      <w:r>
        <w:rPr>
          <w:rFonts w:hint="eastAsia" w:ascii="仿宋_GB2312" w:hAnsi="仿宋_GB2312" w:eastAsia="仿宋_GB2312" w:cs="仿宋_GB2312"/>
          <w:color w:val="auto"/>
          <w:sz w:val="32"/>
          <w:highlight w:val="none"/>
          <w:lang w:eastAsia="zh-CN"/>
        </w:rPr>
        <w:t>，大力推进加装电梯、公共区域无障碍设施</w:t>
      </w:r>
      <w:r>
        <w:rPr>
          <w:rFonts w:hint="eastAsia" w:ascii="仿宋_GB2312" w:hAnsi="仿宋_GB2312" w:eastAsia="仿宋_GB2312" w:cs="仿宋_GB2312"/>
          <w:color w:val="auto"/>
          <w:sz w:val="32"/>
          <w:highlight w:val="none"/>
          <w:lang w:val="en-US" w:eastAsia="zh-CN"/>
        </w:rPr>
        <w:t>等改造内容</w:t>
      </w:r>
      <w:r>
        <w:rPr>
          <w:rFonts w:hint="eastAsia" w:ascii="仿宋_GB2312" w:hAnsi="仿宋_GB2312" w:eastAsia="仿宋_GB2312" w:cs="仿宋_GB2312"/>
          <w:color w:val="auto"/>
          <w:sz w:val="32"/>
          <w:highlight w:val="none"/>
          <w:lang w:eastAsia="zh-CN"/>
        </w:rPr>
        <w:t>增进居民生活便利，加强历史文化保护留住城市记忆，注重长效管养巩固改造成果，</w:t>
      </w:r>
      <w:r>
        <w:rPr>
          <w:rFonts w:hint="eastAsia" w:ascii="仿宋_GB2312" w:hAnsi="仿宋" w:eastAsia="仿宋_GB2312" w:cstheme="minorBidi"/>
          <w:color w:val="auto"/>
          <w:kern w:val="2"/>
          <w:sz w:val="32"/>
          <w:szCs w:val="24"/>
          <w:highlight w:val="none"/>
          <w:lang w:val="en-US" w:eastAsia="zh-CN" w:bidi="ar-SA"/>
        </w:rPr>
        <w:t>城镇老旧小区居民的生活环境显著改善，居民满意度较高，群众的获得感、幸福感、安全感进一步提升。</w:t>
      </w:r>
      <w:r>
        <w:rPr>
          <w:rFonts w:hint="eastAsia" w:ascii="仿宋_GB2312" w:hAnsi="仿宋" w:eastAsia="仿宋_GB2312"/>
          <w:b/>
          <w:bCs/>
          <w:color w:val="auto"/>
          <w:kern w:val="2"/>
          <w:sz w:val="32"/>
          <w:highlight w:val="none"/>
          <w:lang w:val="en-US" w:eastAsia="zh-CN"/>
        </w:rPr>
        <w:t>二是</w:t>
      </w:r>
      <w:r>
        <w:rPr>
          <w:rFonts w:hint="eastAsia" w:ascii="仿宋_GB2312" w:hAnsi="仿宋" w:eastAsia="仿宋_GB2312"/>
          <w:b w:val="0"/>
          <w:bCs w:val="0"/>
          <w:color w:val="auto"/>
          <w:kern w:val="2"/>
          <w:sz w:val="32"/>
          <w:highlight w:val="none"/>
          <w:lang w:val="en-US" w:eastAsia="zh-CN"/>
        </w:rPr>
        <w:t>推进我省老旧小区改造。</w:t>
      </w:r>
      <w:r>
        <w:rPr>
          <w:rFonts w:hint="eastAsia" w:ascii="仿宋_GB2312" w:hAnsi="Times New Roman" w:eastAsia="仿宋_GB2312"/>
          <w:color w:val="auto"/>
          <w:kern w:val="2"/>
          <w:sz w:val="32"/>
          <w:highlight w:val="none"/>
          <w:lang w:eastAsia="zh-CN"/>
        </w:rPr>
        <w:t>202</w:t>
      </w:r>
      <w:r>
        <w:rPr>
          <w:rFonts w:hint="eastAsia" w:ascii="仿宋_GB2312" w:hAnsi="Times New Roman" w:eastAsia="仿宋_GB2312"/>
          <w:color w:val="auto"/>
          <w:kern w:val="2"/>
          <w:sz w:val="32"/>
          <w:highlight w:val="none"/>
          <w:lang w:val="en-US" w:eastAsia="zh-CN"/>
        </w:rPr>
        <w:t>3</w:t>
      </w:r>
      <w:r>
        <w:rPr>
          <w:rFonts w:hint="eastAsia" w:ascii="仿宋_GB2312" w:hAnsi="Times New Roman" w:eastAsia="仿宋_GB2312"/>
          <w:color w:val="auto"/>
          <w:kern w:val="2"/>
          <w:sz w:val="32"/>
          <w:highlight w:val="none"/>
          <w:lang w:eastAsia="zh-CN"/>
        </w:rPr>
        <w:t>年中央财政支持我省城镇保障性安居工程补助资金（老旧小区改造）</w:t>
      </w:r>
      <w:r>
        <w:rPr>
          <w:rFonts w:hint="eastAsia" w:ascii="仿宋_GB2312" w:hAnsi="Times New Roman" w:eastAsia="仿宋_GB2312"/>
          <w:color w:val="auto"/>
          <w:kern w:val="2"/>
          <w:sz w:val="32"/>
          <w:highlight w:val="none"/>
          <w:lang w:val="en-US" w:eastAsia="zh-CN"/>
        </w:rPr>
        <w:t>123,684.00</w:t>
      </w:r>
      <w:r>
        <w:rPr>
          <w:rFonts w:hint="eastAsia" w:ascii="仿宋_GB2312" w:hAnsi="Times New Roman" w:eastAsia="仿宋_GB2312"/>
          <w:color w:val="auto"/>
          <w:kern w:val="2"/>
          <w:sz w:val="32"/>
          <w:highlight w:val="none"/>
          <w:lang w:eastAsia="zh-CN"/>
        </w:rPr>
        <w:t>万元，</w:t>
      </w:r>
      <w:r>
        <w:rPr>
          <w:rFonts w:hint="eastAsia" w:ascii="仿宋_GB2312" w:hAnsi="Times New Roman" w:eastAsia="仿宋_GB2312"/>
          <w:color w:val="auto"/>
          <w:kern w:val="2"/>
          <w:sz w:val="32"/>
          <w:highlight w:val="none"/>
          <w:lang w:val="en-US" w:eastAsia="zh-CN"/>
        </w:rPr>
        <w:t>撬</w:t>
      </w:r>
      <w:r>
        <w:rPr>
          <w:rFonts w:hint="eastAsia" w:ascii="仿宋_GB2312" w:hAnsi="Times New Roman" w:eastAsia="仿宋_GB2312"/>
          <w:color w:val="auto"/>
          <w:kern w:val="2"/>
          <w:sz w:val="32"/>
          <w:highlight w:val="none"/>
          <w:lang w:eastAsia="zh-CN"/>
        </w:rPr>
        <w:t>动我省各级财政安排预算资金</w:t>
      </w:r>
      <w:r>
        <w:rPr>
          <w:rFonts w:hint="eastAsia" w:ascii="仿宋_GB2312" w:hAnsi="仿宋" w:eastAsia="仿宋_GB2312" w:cs="Times New Roman"/>
          <w:color w:val="auto"/>
          <w:kern w:val="28"/>
          <w:sz w:val="32"/>
          <w:highlight w:val="none"/>
        </w:rPr>
        <w:t>2</w:t>
      </w:r>
      <w:r>
        <w:rPr>
          <w:rFonts w:hint="eastAsia" w:ascii="仿宋_GB2312" w:hAnsi="仿宋" w:eastAsia="仿宋_GB2312" w:cs="Times New Roman"/>
          <w:color w:val="auto"/>
          <w:kern w:val="28"/>
          <w:sz w:val="32"/>
          <w:highlight w:val="none"/>
          <w:lang w:val="en-US" w:eastAsia="zh-CN"/>
        </w:rPr>
        <w:t>76,509</w:t>
      </w:r>
      <w:r>
        <w:rPr>
          <w:rFonts w:hint="eastAsia" w:ascii="仿宋_GB2312" w:hAnsi="仿宋" w:eastAsia="仿宋_GB2312" w:cs="Times New Roman"/>
          <w:color w:val="auto"/>
          <w:kern w:val="28"/>
          <w:sz w:val="32"/>
          <w:highlight w:val="none"/>
        </w:rPr>
        <w:t>.11</w:t>
      </w:r>
      <w:r>
        <w:rPr>
          <w:rFonts w:hint="eastAsia" w:ascii="仿宋_GB2312" w:hAnsi="Times New Roman" w:eastAsia="仿宋_GB2312"/>
          <w:color w:val="auto"/>
          <w:kern w:val="2"/>
          <w:sz w:val="32"/>
          <w:highlight w:val="none"/>
          <w:lang w:val="en-US" w:eastAsia="zh-CN"/>
        </w:rPr>
        <w:t>万元（已落实到位</w:t>
      </w:r>
      <w:r>
        <w:rPr>
          <w:rFonts w:hint="eastAsia" w:ascii="仿宋_GB2312" w:hAnsi="仿宋" w:eastAsia="仿宋_GB2312" w:cs="Times New Roman"/>
          <w:b w:val="0"/>
          <w:bCs w:val="0"/>
          <w:color w:val="auto"/>
          <w:kern w:val="28"/>
          <w:sz w:val="32"/>
          <w:szCs w:val="24"/>
          <w:highlight w:val="none"/>
          <w:lang w:val="en-US" w:eastAsia="zh-CN" w:bidi="ar-SA"/>
        </w:rPr>
        <w:t>248,541.76</w:t>
      </w:r>
      <w:r>
        <w:rPr>
          <w:rFonts w:hint="eastAsia" w:ascii="仿宋_GB2312" w:hAnsi="Times New Roman" w:eastAsia="仿宋_GB2312"/>
          <w:color w:val="auto"/>
          <w:kern w:val="2"/>
          <w:sz w:val="32"/>
          <w:highlight w:val="none"/>
          <w:lang w:val="en-US" w:eastAsia="zh-CN"/>
        </w:rPr>
        <w:t>万元）、企业和居民等社会筹资到位资金</w:t>
      </w:r>
      <w:r>
        <w:rPr>
          <w:rFonts w:hint="eastAsia" w:ascii="仿宋_GB2312" w:hAnsi="仿宋" w:eastAsia="仿宋_GB2312" w:cs="Times New Roman"/>
          <w:b w:val="0"/>
          <w:bCs w:val="0"/>
          <w:color w:val="auto"/>
          <w:kern w:val="28"/>
          <w:sz w:val="32"/>
          <w:szCs w:val="24"/>
          <w:highlight w:val="none"/>
          <w:lang w:val="en-US" w:eastAsia="zh-CN" w:bidi="ar-SA"/>
        </w:rPr>
        <w:t>21,351.55</w:t>
      </w:r>
      <w:r>
        <w:rPr>
          <w:rFonts w:hint="eastAsia" w:ascii="仿宋_GB2312" w:hAnsi="Times New Roman" w:eastAsia="仿宋_GB2312"/>
          <w:color w:val="auto"/>
          <w:kern w:val="2"/>
          <w:sz w:val="32"/>
          <w:highlight w:val="none"/>
          <w:lang w:val="en-US" w:eastAsia="zh-CN"/>
        </w:rPr>
        <w:t>万元</w:t>
      </w:r>
      <w:r>
        <w:rPr>
          <w:rFonts w:hint="eastAsia" w:ascii="仿宋_GB2312" w:hAnsi="Times New Roman" w:eastAsia="仿宋_GB2312"/>
          <w:color w:val="auto"/>
          <w:kern w:val="2"/>
          <w:sz w:val="32"/>
          <w:highlight w:val="none"/>
          <w:lang w:eastAsia="zh-CN"/>
        </w:rPr>
        <w:t>用于老旧小区改造。同时，</w:t>
      </w:r>
      <w:r>
        <w:rPr>
          <w:rFonts w:hint="eastAsia" w:ascii="仿宋_GB2312" w:hAnsi="Times New Roman" w:eastAsia="仿宋_GB2312"/>
          <w:color w:val="auto"/>
          <w:kern w:val="2"/>
          <w:sz w:val="32"/>
          <w:highlight w:val="none"/>
          <w:lang w:val="en-US" w:eastAsia="zh-CN"/>
        </w:rPr>
        <w:t>我省部分老旧小区承载着独特的岭南建筑风貌，通过引入商业模式对传统</w:t>
      </w:r>
      <w:r>
        <w:rPr>
          <w:rFonts w:hint="eastAsia" w:ascii="仿宋_GB2312" w:hAnsi="Times New Roman" w:eastAsia="仿宋_GB2312"/>
          <w:color w:val="auto"/>
          <w:sz w:val="32"/>
          <w:highlight w:val="none"/>
        </w:rPr>
        <w:t>建筑</w:t>
      </w:r>
      <w:r>
        <w:rPr>
          <w:rFonts w:hint="eastAsia" w:ascii="仿宋_GB2312" w:hAnsi="Times New Roman" w:eastAsia="仿宋_GB2312"/>
          <w:color w:val="auto"/>
          <w:sz w:val="32"/>
          <w:highlight w:val="none"/>
          <w:lang w:val="en-US" w:eastAsia="zh-CN"/>
        </w:rPr>
        <w:t>进行</w:t>
      </w:r>
      <w:r>
        <w:rPr>
          <w:rFonts w:hint="eastAsia" w:ascii="仿宋_GB2312" w:hAnsi="Times New Roman" w:eastAsia="仿宋_GB2312"/>
          <w:color w:val="auto"/>
          <w:sz w:val="32"/>
          <w:highlight w:val="none"/>
        </w:rPr>
        <w:t>活化利用</w:t>
      </w:r>
      <w:r>
        <w:rPr>
          <w:rFonts w:hint="eastAsia" w:ascii="仿宋_GB2312" w:hAnsi="Times New Roman" w:eastAsia="仿宋_GB2312"/>
          <w:color w:val="auto"/>
          <w:sz w:val="32"/>
          <w:highlight w:val="none"/>
          <w:lang w:eastAsia="zh-CN"/>
        </w:rPr>
        <w:t>，</w:t>
      </w:r>
      <w:r>
        <w:rPr>
          <w:rFonts w:hint="eastAsia" w:ascii="仿宋_GB2312" w:hAnsi="Times New Roman" w:eastAsia="仿宋_GB2312"/>
          <w:color w:val="auto"/>
          <w:sz w:val="32"/>
          <w:highlight w:val="none"/>
        </w:rPr>
        <w:t>激发市场活力</w:t>
      </w:r>
      <w:r>
        <w:rPr>
          <w:rFonts w:hint="eastAsia" w:ascii="仿宋_GB2312" w:hAnsi="Times New Roman" w:eastAsia="仿宋_GB2312"/>
          <w:color w:val="auto"/>
          <w:sz w:val="32"/>
          <w:highlight w:val="none"/>
          <w:lang w:eastAsia="zh-CN"/>
        </w:rPr>
        <w:t>，</w:t>
      </w:r>
      <w:r>
        <w:rPr>
          <w:rFonts w:hint="eastAsia" w:ascii="仿宋_GB2312" w:hAnsi="Times New Roman" w:eastAsia="仿宋_GB2312"/>
          <w:color w:val="auto"/>
          <w:sz w:val="32"/>
          <w:highlight w:val="none"/>
        </w:rPr>
        <w:t>促进创新创业</w:t>
      </w:r>
      <w:r>
        <w:rPr>
          <w:rFonts w:hint="eastAsia" w:ascii="仿宋_GB2312" w:hAnsi="Times New Roman" w:eastAsia="仿宋_GB2312"/>
          <w:color w:val="auto"/>
          <w:sz w:val="32"/>
          <w:highlight w:val="none"/>
          <w:lang w:eastAsia="zh-CN"/>
        </w:rPr>
        <w:t>，</w:t>
      </w:r>
      <w:r>
        <w:rPr>
          <w:rFonts w:hint="eastAsia" w:ascii="仿宋_GB2312" w:hAnsi="Times New Roman" w:eastAsia="仿宋_GB2312"/>
          <w:color w:val="auto"/>
          <w:sz w:val="32"/>
          <w:highlight w:val="none"/>
        </w:rPr>
        <w:t>拉动消费</w:t>
      </w:r>
      <w:r>
        <w:rPr>
          <w:rFonts w:hint="eastAsia" w:ascii="仿宋_GB2312" w:hAnsi="Times New Roman" w:eastAsia="仿宋_GB2312"/>
          <w:color w:val="auto"/>
          <w:sz w:val="32"/>
          <w:highlight w:val="none"/>
          <w:lang w:eastAsia="zh-CN"/>
        </w:rPr>
        <w:t>，</w:t>
      </w:r>
      <w:r>
        <w:rPr>
          <w:rFonts w:hint="eastAsia" w:ascii="仿宋_GB2312" w:hAnsi="Times New Roman" w:eastAsia="仿宋_GB2312"/>
          <w:color w:val="auto"/>
          <w:sz w:val="32"/>
          <w:highlight w:val="none"/>
        </w:rPr>
        <w:t>有力促进区域社会经济发展。</w:t>
      </w:r>
      <w:r>
        <w:rPr>
          <w:rFonts w:hint="eastAsia" w:ascii="仿宋_GB2312" w:hAnsi="Times New Roman" w:eastAsia="仿宋_GB2312"/>
          <w:color w:val="auto"/>
          <w:sz w:val="32"/>
          <w:highlight w:val="none"/>
          <w:lang w:eastAsia="zh-CN"/>
        </w:rPr>
        <w:t>如</w:t>
      </w:r>
      <w:r>
        <w:rPr>
          <w:rFonts w:hint="eastAsia" w:ascii="仿宋_GB2312" w:hAnsi="Times New Roman" w:eastAsia="仿宋_GB2312"/>
          <w:color w:val="auto"/>
          <w:kern w:val="2"/>
          <w:sz w:val="32"/>
          <w:highlight w:val="none"/>
          <w:lang w:eastAsia="zh-CN"/>
        </w:rPr>
        <w:t>广州市约30%的老旧小区改造项目位于历史文化街区范围内，恩宁路、上下九骑楼街、五仙观、石室圣心教堂等文化街区周边老旧小区改造，</w:t>
      </w:r>
      <w:r>
        <w:rPr>
          <w:rFonts w:hint="eastAsia" w:ascii="仿宋_GB2312" w:hAnsi="Times New Roman" w:eastAsia="仿宋_GB2312"/>
          <w:color w:val="auto"/>
          <w:kern w:val="2"/>
          <w:sz w:val="32"/>
          <w:highlight w:val="none"/>
          <w:lang w:val="en-US" w:eastAsia="zh-CN"/>
        </w:rPr>
        <w:t>改善人居环境的同时也带动了周边旅游文化和旅游经济的发展。</w:t>
      </w:r>
    </w:p>
    <w:p>
      <w:pPr>
        <w:pStyle w:val="7"/>
        <w:keepNext w:val="0"/>
        <w:keepLines w:val="0"/>
        <w:pageBreakBefore w:val="0"/>
        <w:kinsoku/>
        <w:wordWrap/>
        <w:overflowPunct/>
        <w:topLinePunct w:val="0"/>
        <w:autoSpaceDE/>
        <w:autoSpaceDN/>
        <w:bidi w:val="0"/>
        <w:adjustRightInd/>
        <w:snapToGrid w:val="0"/>
        <w:spacing w:line="600" w:lineRule="atLeast"/>
        <w:ind w:left="0" w:leftChars="0" w:right="-105" w:rightChars="-50" w:firstLine="642" w:firstLineChars="200"/>
        <w:textAlignment w:val="auto"/>
        <w:rPr>
          <w:rFonts w:hint="eastAsia" w:ascii="仿宋_GB2312" w:hAnsi="Times New Roman" w:eastAsia="仿宋_GB2312"/>
          <w:b/>
          <w:bCs/>
          <w:color w:val="auto"/>
          <w:kern w:val="2"/>
          <w:sz w:val="32"/>
          <w:highlight w:val="none"/>
          <w:lang w:val="en-US" w:eastAsia="zh-CN"/>
        </w:rPr>
      </w:pPr>
      <w:r>
        <w:rPr>
          <w:rFonts w:hint="eastAsia" w:ascii="仿宋_GB2312" w:hAnsi="Times New Roman" w:eastAsia="仿宋_GB2312"/>
          <w:b/>
          <w:bCs/>
          <w:color w:val="auto"/>
          <w:kern w:val="2"/>
          <w:sz w:val="32"/>
          <w:highlight w:val="none"/>
          <w:lang w:val="en-US" w:eastAsia="zh-CN"/>
        </w:rPr>
        <w:t>（2）加强顶层设计，健全工作机制</w:t>
      </w:r>
      <w:r>
        <w:rPr>
          <w:rFonts w:hint="eastAsia" w:ascii="仿宋_GB2312" w:hAnsi="仿宋_GB2312" w:eastAsia="仿宋_GB2312" w:cs="仿宋_GB2312"/>
          <w:b/>
          <w:bCs/>
          <w:color w:val="auto"/>
          <w:sz w:val="32"/>
          <w:szCs w:val="32"/>
          <w:highlight w:val="none"/>
          <w:lang w:eastAsia="zh-CN"/>
        </w:rPr>
        <w:t>和完善</w:t>
      </w:r>
      <w:r>
        <w:rPr>
          <w:rFonts w:hint="eastAsia" w:ascii="仿宋_GB2312" w:hAnsi="仿宋_GB2312" w:eastAsia="仿宋_GB2312" w:cs="仿宋_GB2312"/>
          <w:b/>
          <w:bCs/>
          <w:i w:val="0"/>
          <w:caps w:val="0"/>
          <w:color w:val="auto"/>
          <w:spacing w:val="0"/>
          <w:sz w:val="32"/>
          <w:szCs w:val="32"/>
          <w:shd w:val="clear" w:color="auto" w:fill="auto"/>
        </w:rPr>
        <w:t>政</w:t>
      </w:r>
      <w:r>
        <w:rPr>
          <w:rFonts w:hint="eastAsia" w:ascii="仿宋_GB2312" w:hAnsi="仿宋_GB2312" w:eastAsia="仿宋_GB2312" w:cs="仿宋_GB2312"/>
          <w:b/>
          <w:bCs/>
          <w:i w:val="0"/>
          <w:caps w:val="0"/>
          <w:color w:val="auto"/>
          <w:spacing w:val="0"/>
          <w:sz w:val="32"/>
          <w:szCs w:val="32"/>
          <w:shd w:val="clear" w:color="auto" w:fill="auto"/>
          <w:lang w:eastAsia="zh-CN"/>
        </w:rPr>
        <w:t>策</w:t>
      </w:r>
      <w:r>
        <w:rPr>
          <w:rFonts w:hint="default" w:ascii="仿宋_GB2312" w:hAnsi="仿宋_GB2312" w:eastAsia="仿宋_GB2312" w:cs="仿宋_GB2312"/>
          <w:b/>
          <w:bCs/>
          <w:color w:val="auto"/>
          <w:sz w:val="32"/>
          <w:szCs w:val="32"/>
          <w:highlight w:val="none"/>
        </w:rPr>
        <w:t>制度体系</w:t>
      </w:r>
      <w:r>
        <w:rPr>
          <w:rFonts w:hint="eastAsia" w:ascii="仿宋_GB2312" w:hAnsi="Times New Roman" w:eastAsia="仿宋_GB2312"/>
          <w:b/>
          <w:bCs/>
          <w:color w:val="auto"/>
          <w:kern w:val="2"/>
          <w:sz w:val="32"/>
          <w:highlight w:val="none"/>
          <w:lang w:val="en-US" w:eastAsia="zh-CN"/>
        </w:rPr>
        <w:t>。</w:t>
      </w:r>
    </w:p>
    <w:p>
      <w:pPr>
        <w:keepNext w:val="0"/>
        <w:keepLines w:val="0"/>
        <w:pageBreakBefore w:val="0"/>
        <w:numPr>
          <w:ilvl w:val="-1"/>
          <w:numId w:val="0"/>
        </w:numPr>
        <w:kinsoku/>
        <w:wordWrap/>
        <w:overflowPunct/>
        <w:topLinePunct w:val="0"/>
        <w:autoSpaceDE/>
        <w:autoSpaceDN/>
        <w:bidi w:val="0"/>
        <w:adjustRightInd/>
        <w:snapToGrid w:val="0"/>
        <w:spacing w:line="600" w:lineRule="atLeast"/>
        <w:ind w:right="-105" w:rightChars="-50" w:firstLine="642"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 w:eastAsia="仿宋_GB2312"/>
          <w:b/>
          <w:bCs/>
          <w:color w:val="auto"/>
          <w:kern w:val="2"/>
          <w:sz w:val="32"/>
          <w:highlight w:val="none"/>
          <w:lang w:val="en-US" w:eastAsia="zh-CN"/>
        </w:rPr>
        <w:t>一是</w:t>
      </w:r>
      <w:r>
        <w:rPr>
          <w:rFonts w:hint="eastAsia" w:ascii="仿宋_GB2312" w:hAnsi="仿宋" w:eastAsia="仿宋_GB2312"/>
          <w:b w:val="0"/>
          <w:bCs w:val="0"/>
          <w:color w:val="auto"/>
          <w:kern w:val="2"/>
          <w:sz w:val="32"/>
          <w:highlight w:val="none"/>
          <w:lang w:val="en-US" w:eastAsia="zh-CN"/>
        </w:rPr>
        <w:t>健全统筹协调工作机制。</w:t>
      </w:r>
      <w:r>
        <w:rPr>
          <w:rFonts w:hint="eastAsia" w:ascii="仿宋_GB2312" w:hAnsi="仿宋_GB2312" w:eastAsia="仿宋_GB2312" w:cs="仿宋_GB2312"/>
          <w:color w:val="auto"/>
          <w:sz w:val="32"/>
          <w:szCs w:val="32"/>
          <w:lang w:val="en-US" w:eastAsia="zh-CN"/>
        </w:rPr>
        <w:t>坚持高位推动，省级成立广东省城镇居住社区人居环境品质提升工作领导小组，由分管副省长任组长，省发展改革委等33个部门及专营单位参与，统筹推进城镇老旧小区改造工作。20个地级以上城市（不包括深圳市）均成立了由市政府主要负责人或分管负责人任组长的工作领导小组，形成了</w:t>
      </w:r>
      <w:r>
        <w:rPr>
          <w:rFonts w:hint="eastAsia" w:ascii="仿宋_GB2312" w:hAnsi="仿宋_GB2312" w:eastAsia="仿宋_GB2312" w:cs="仿宋_GB2312"/>
          <w:b w:val="0"/>
          <w:i w:val="0"/>
          <w:caps w:val="0"/>
          <w:color w:val="auto"/>
          <w:spacing w:val="0"/>
          <w:sz w:val="32"/>
          <w:szCs w:val="32"/>
          <w:shd w:val="clear" w:color="auto" w:fill="auto"/>
        </w:rPr>
        <w:t>政府统筹、条块协作、各部门齐抓共管的工作</w:t>
      </w:r>
      <w:r>
        <w:rPr>
          <w:rFonts w:hint="eastAsia" w:ascii="仿宋_GB2312" w:hAnsi="仿宋_GB2312" w:eastAsia="仿宋_GB2312" w:cs="仿宋_GB2312"/>
          <w:b w:val="0"/>
          <w:i w:val="0"/>
          <w:caps w:val="0"/>
          <w:color w:val="auto"/>
          <w:spacing w:val="0"/>
          <w:sz w:val="32"/>
          <w:szCs w:val="32"/>
          <w:shd w:val="clear"/>
          <w:lang w:eastAsia="zh-CN"/>
        </w:rPr>
        <w:t>格局</w:t>
      </w:r>
      <w:r>
        <w:rPr>
          <w:rFonts w:hint="eastAsia" w:ascii="仿宋_GB2312" w:hAnsi="仿宋_GB2312" w:eastAsia="仿宋_GB2312" w:cs="仿宋_GB2312"/>
          <w:b w:val="0"/>
          <w:i w:val="0"/>
          <w:caps w:val="0"/>
          <w:color w:val="auto"/>
          <w:spacing w:val="0"/>
          <w:sz w:val="32"/>
          <w:szCs w:val="32"/>
          <w:shd w:val="clear" w:color="auto" w:fill="auto"/>
        </w:rPr>
        <w:t>。</w:t>
      </w:r>
      <w:r>
        <w:rPr>
          <w:rFonts w:hint="eastAsia" w:ascii="仿宋_GB2312" w:hAnsi="仿宋" w:eastAsia="仿宋_GB2312"/>
          <w:b/>
          <w:bCs/>
          <w:color w:val="auto"/>
          <w:kern w:val="2"/>
          <w:sz w:val="32"/>
          <w:highlight w:val="none"/>
          <w:lang w:val="en-US" w:eastAsia="zh-CN"/>
        </w:rPr>
        <w:t>二是</w:t>
      </w:r>
      <w:r>
        <w:rPr>
          <w:rFonts w:hint="eastAsia" w:ascii="仿宋_GB2312" w:hAnsi="仿宋_GB2312" w:eastAsia="仿宋_GB2312" w:cs="仿宋_GB2312"/>
          <w:b w:val="0"/>
          <w:bCs w:val="0"/>
          <w:color w:val="auto"/>
          <w:sz w:val="32"/>
          <w:szCs w:val="32"/>
          <w:highlight w:val="none"/>
          <w:lang w:eastAsia="zh-CN"/>
        </w:rPr>
        <w:t>不断完善政策</w:t>
      </w:r>
      <w:r>
        <w:rPr>
          <w:rFonts w:hint="default" w:ascii="仿宋_GB2312" w:hAnsi="仿宋_GB2312" w:eastAsia="仿宋_GB2312" w:cs="仿宋_GB2312"/>
          <w:b w:val="0"/>
          <w:bCs w:val="0"/>
          <w:color w:val="auto"/>
          <w:sz w:val="32"/>
          <w:szCs w:val="32"/>
          <w:highlight w:val="none"/>
        </w:rPr>
        <w:t>制度体系</w:t>
      </w:r>
      <w:r>
        <w:rPr>
          <w:rFonts w:hint="eastAsia" w:ascii="仿宋_GB2312" w:hAnsi="仿宋" w:eastAsia="仿宋_GB2312"/>
          <w:b w:val="0"/>
          <w:bCs w:val="0"/>
          <w:color w:val="auto"/>
          <w:kern w:val="2"/>
          <w:sz w:val="32"/>
          <w:highlight w:val="none"/>
          <w:lang w:val="en-US" w:eastAsia="zh-CN"/>
        </w:rPr>
        <w:t>。</w:t>
      </w:r>
      <w:r>
        <w:rPr>
          <w:rFonts w:hint="eastAsia" w:ascii="仿宋_GB2312" w:hAnsi="仿宋_GB2312" w:eastAsia="仿宋_GB2312" w:cs="仿宋_GB2312"/>
          <w:color w:val="auto"/>
          <w:sz w:val="32"/>
          <w:szCs w:val="32"/>
          <w:lang w:val="en-US" w:eastAsia="zh-CN"/>
        </w:rPr>
        <w:t>我省成功构建了“1+2+N”政策体系，为全省推动老旧小区改造提供多方位全链条工作指引。“1”是指：印发《广东省城镇老旧小区改造实施计划（2021-2025年）》，明确了五年改造任务，提出精简项目审批、土地支持政策、建立存量资源整合利用机制等配套措施。“2”是指：印发《广东省城镇老旧小区改造工作指引》《广东省城镇老旧小区改造技术导则（试行）》，全流程规范改造工作，指导各地筹措和管理各类改造资金，加强对片区联动改造的技术指导。“N”是指：省住房城乡建设厅会同省自然资源厅、财政厅、国家开发银行广东省分行、广东电信、广东移动等单位出台支持城镇老旧小区改造的“N”个专项政策，从土地、规划、项目审批、财政、金融、专营单位等多方面出台支持措施。此外，2023年省层面出台了《广东省城镇老旧小区改造可复制政策机制清单》《广东省住房和城乡建设厅关于印发〈广东省城镇老旧小区改造多渠道筹资工作指引〉的通知》《广东省住房和城乡建设厅 广东省发展和改革委员会 广东省财政厅关于印发〈广东省城镇老旧小区改造工作重点关注事项〉的通知》《进一步明确城镇老旧小区改造施工和竣工等项目统计标准的通知》《广东省城镇老旧小区改造工作重点关注事项》等文件，进一步完善了广东省老旧小区改造制度体系。</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2" w:firstLineChars="200"/>
        <w:textAlignment w:val="auto"/>
        <w:rPr>
          <w:rFonts w:hint="eastAsia" w:ascii="仿宋_GB2312" w:hAnsi="Times New Roman" w:eastAsia="仿宋_GB2312" w:cstheme="minorBidi"/>
          <w:b/>
          <w:bCs/>
          <w:color w:val="auto"/>
          <w:kern w:val="2"/>
          <w:sz w:val="32"/>
          <w:szCs w:val="24"/>
          <w:highlight w:val="none"/>
          <w:lang w:val="en-US" w:eastAsia="zh-CN" w:bidi="ar"/>
        </w:rPr>
      </w:pPr>
      <w:r>
        <w:rPr>
          <w:rFonts w:hint="eastAsia" w:ascii="仿宋_GB2312" w:hAnsi="Times New Roman" w:eastAsia="仿宋_GB2312"/>
          <w:b/>
          <w:bCs/>
          <w:color w:val="auto"/>
          <w:kern w:val="2"/>
          <w:sz w:val="32"/>
          <w:highlight w:val="none"/>
          <w:lang w:val="en-US" w:eastAsia="zh-CN"/>
        </w:rPr>
        <w:t>（3）</w:t>
      </w:r>
      <w:r>
        <w:rPr>
          <w:rFonts w:hint="eastAsia" w:ascii="仿宋_GB2312" w:hAnsi="Times New Roman" w:eastAsia="仿宋_GB2312" w:cstheme="minorBidi"/>
          <w:b/>
          <w:bCs/>
          <w:color w:val="auto"/>
          <w:kern w:val="2"/>
          <w:sz w:val="32"/>
          <w:szCs w:val="24"/>
          <w:highlight w:val="none"/>
          <w:lang w:val="zh-CN" w:eastAsia="zh-CN" w:bidi="ar"/>
        </w:rPr>
        <w:t>拓宽资金渠道，形成工作合力</w:t>
      </w:r>
      <w:r>
        <w:rPr>
          <w:rFonts w:hint="eastAsia" w:ascii="仿宋_GB2312" w:hAnsi="Times New Roman" w:eastAsia="仿宋_GB2312" w:cstheme="minorBidi"/>
          <w:b/>
          <w:bCs/>
          <w:color w:val="auto"/>
          <w:kern w:val="2"/>
          <w:sz w:val="32"/>
          <w:szCs w:val="24"/>
          <w:highlight w:val="none"/>
          <w:lang w:val="en-US" w:eastAsia="zh-CN" w:bidi="ar"/>
        </w:rPr>
        <w:t>。</w:t>
      </w:r>
    </w:p>
    <w:p>
      <w:pPr>
        <w:pStyle w:val="7"/>
        <w:keepNext w:val="0"/>
        <w:keepLines w:val="0"/>
        <w:pageBreakBefore w:val="0"/>
        <w:kinsoku/>
        <w:wordWrap/>
        <w:overflowPunct/>
        <w:topLinePunct w:val="0"/>
        <w:autoSpaceDE/>
        <w:autoSpaceDN/>
        <w:bidi w:val="0"/>
        <w:adjustRightInd/>
        <w:snapToGrid w:val="0"/>
        <w:spacing w:line="600" w:lineRule="atLeast"/>
        <w:ind w:left="0" w:leftChars="0" w:right="-105" w:rightChars="-50" w:firstLine="640" w:firstLineChars="200"/>
        <w:textAlignment w:val="auto"/>
        <w:rPr>
          <w:rFonts w:hint="eastAsia" w:ascii="仿宋_GB2312" w:hAnsi="仿宋_GB2312" w:eastAsia="仿宋_GB2312" w:cs="仿宋_GB2312"/>
          <w:b w:val="0"/>
          <w:bCs w:val="0"/>
          <w:color w:val="auto"/>
          <w:kern w:val="2"/>
          <w:sz w:val="32"/>
          <w:szCs w:val="32"/>
          <w:lang w:val="en-US" w:eastAsia="zh-CN"/>
        </w:rPr>
      </w:pPr>
      <w:r>
        <w:rPr>
          <w:rFonts w:hint="eastAsia" w:ascii="仿宋_GB2312" w:hAnsi="Times New Roman" w:eastAsia="仿宋_GB2312" w:cstheme="minorBidi"/>
          <w:b w:val="0"/>
          <w:bCs w:val="0"/>
          <w:color w:val="auto"/>
          <w:kern w:val="2"/>
          <w:sz w:val="32"/>
          <w:szCs w:val="24"/>
          <w:highlight w:val="none"/>
          <w:lang w:val="zh-CN" w:eastAsia="zh-CN" w:bidi="ar"/>
        </w:rPr>
        <w:t>引导多方参与，</w:t>
      </w:r>
      <w:r>
        <w:rPr>
          <w:rFonts w:hint="eastAsia" w:ascii="仿宋_GB2312" w:hAnsi="仿宋_GB2312" w:eastAsia="仿宋_GB2312" w:cs="仿宋_GB2312"/>
          <w:b w:val="0"/>
          <w:bCs w:val="0"/>
          <w:color w:val="auto"/>
          <w:kern w:val="2"/>
          <w:sz w:val="32"/>
          <w:szCs w:val="32"/>
          <w:lang w:val="en-US" w:eastAsia="zh-CN"/>
        </w:rPr>
        <w:t>构建“居民出一点、企业投一点、产权单位筹一点、政府支持一点”的资金共担机制，</w:t>
      </w:r>
      <w:r>
        <w:rPr>
          <w:rFonts w:hint="eastAsia" w:ascii="仿宋_GB2312" w:hAnsi="仿宋_GB2312" w:eastAsia="仿宋_GB2312" w:cs="仿宋_GB2312"/>
          <w:color w:val="auto"/>
          <w:sz w:val="32"/>
          <w:szCs w:val="32"/>
          <w:lang w:val="en-US" w:eastAsia="zh-CN"/>
        </w:rPr>
        <w:t>有效提升了企业和居民参与改造的积极性，形成工作合力，</w:t>
      </w:r>
      <w:r>
        <w:rPr>
          <w:rFonts w:hint="eastAsia" w:ascii="仿宋_GB2312" w:hAnsi="仿宋_GB2312" w:eastAsia="仿宋_GB2312" w:cs="仿宋_GB2312"/>
          <w:sz w:val="32"/>
          <w:szCs w:val="32"/>
          <w:lang w:eastAsia="zh-CN"/>
        </w:rPr>
        <w:t>推动老旧小区改造可持续发展</w:t>
      </w:r>
      <w:r>
        <w:rPr>
          <w:rFonts w:hint="eastAsia" w:ascii="仿宋_GB2312" w:hAnsi="仿宋_GB2312" w:eastAsia="仿宋_GB2312" w:cs="仿宋_GB2312"/>
          <w:b w:val="0"/>
          <w:bCs w:val="0"/>
          <w:color w:val="auto"/>
          <w:kern w:val="2"/>
          <w:sz w:val="32"/>
          <w:szCs w:val="32"/>
          <w:lang w:val="en-US" w:eastAsia="zh-CN"/>
        </w:rPr>
        <w:t>。</w:t>
      </w:r>
      <w:r>
        <w:rPr>
          <w:rFonts w:hint="eastAsia" w:ascii="仿宋_GB2312" w:hAnsi="仿宋_GB2312" w:eastAsia="仿宋_GB2312" w:cs="仿宋_GB2312"/>
          <w:b/>
          <w:bCs/>
          <w:color w:val="auto"/>
          <w:kern w:val="2"/>
          <w:sz w:val="32"/>
          <w:szCs w:val="32"/>
          <w:lang w:val="en-US" w:eastAsia="zh-CN"/>
        </w:rPr>
        <w:t>一是</w:t>
      </w:r>
      <w:r>
        <w:rPr>
          <w:rFonts w:hint="eastAsia" w:ascii="仿宋_GB2312" w:hAnsi="仿宋_GB2312" w:eastAsia="仿宋_GB2312" w:cs="仿宋_GB2312"/>
          <w:b w:val="0"/>
          <w:bCs w:val="0"/>
          <w:color w:val="auto"/>
          <w:kern w:val="2"/>
          <w:sz w:val="32"/>
          <w:szCs w:val="32"/>
          <w:lang w:val="en-US" w:eastAsia="zh-CN"/>
        </w:rPr>
        <w:t>落实企业责任，展现“专营专改”新成效。省住房城乡建设厅先后联合广东电信、广东移动印发支持城镇老旧小区线网整治和智慧化提升的政策文件，搭建政企合作平台，支持城镇老旧小区“三线”下地及智慧化改造。佛山市整治改造“三线”，由四大运营商全额出资，政府给予财政补贴，协调当地运营商累计出资近2,000万元。东莞市积极探索引导专营企业出资城镇老旧小区改造的方式，印发《关于加快推进老旧小区加装管道天然气工作的通知》，明确天然气改造费用由业主和财政按3:7的比例分摊，业主承担的30%改造费用由燃气企业出资承担。</w:t>
      </w:r>
      <w:r>
        <w:rPr>
          <w:rFonts w:hint="eastAsia" w:ascii="仿宋_GB2312" w:hAnsi="仿宋_GB2312" w:eastAsia="仿宋_GB2312" w:cs="仿宋_GB2312"/>
          <w:b/>
          <w:bCs/>
          <w:color w:val="auto"/>
          <w:kern w:val="2"/>
          <w:sz w:val="32"/>
          <w:szCs w:val="32"/>
          <w:lang w:val="en-US" w:eastAsia="zh-CN"/>
        </w:rPr>
        <w:t>二是</w:t>
      </w:r>
      <w:r>
        <w:rPr>
          <w:rFonts w:hint="eastAsia" w:ascii="仿宋_GB2312" w:hAnsi="仿宋_GB2312" w:eastAsia="仿宋_GB2312" w:cs="仿宋_GB2312"/>
          <w:b w:val="0"/>
          <w:bCs w:val="0"/>
          <w:color w:val="auto"/>
          <w:kern w:val="2"/>
          <w:sz w:val="32"/>
          <w:szCs w:val="32"/>
          <w:lang w:val="en-US" w:eastAsia="zh-CN"/>
        </w:rPr>
        <w:t>鼓励居民出资，服务共建共享“主人翁”。积极引导居民出资，提升居民参与度，实现小区共建共治共商共享。如，珠海市香洲区出台建筑物本体整治奖补办法，按照财政与居民1:1且不超过5,000元/户标准进行奖补。韶关市坚持“谁受益、谁出资”原则，市区范围内按照每户收取不低于500元的诚意金，居民累计投资达450万元。东莞市印发《东莞市老旧小区改造工作实施方案》，规定基础类改造内容按照政府与居民8:2的比例出资改造。</w:t>
      </w:r>
    </w:p>
    <w:p>
      <w:pPr>
        <w:pStyle w:val="22"/>
        <w:keepNext w:val="0"/>
        <w:keepLines w:val="0"/>
        <w:pageBreakBefore w:val="0"/>
        <w:kinsoku/>
        <w:wordWrap/>
        <w:overflowPunct/>
        <w:topLinePunct w:val="0"/>
        <w:autoSpaceDE/>
        <w:autoSpaceDN/>
        <w:bidi w:val="0"/>
        <w:adjustRightInd/>
        <w:snapToGrid w:val="0"/>
        <w:spacing w:line="600" w:lineRule="atLeast"/>
        <w:ind w:right="-105" w:rightChars="-50" w:firstLine="642" w:firstLineChars="200"/>
        <w:textAlignment w:val="auto"/>
        <w:rPr>
          <w:rFonts w:hint="eastAsia" w:ascii="仿宋_GB2312" w:hAnsi="Times New Roman" w:eastAsia="仿宋_GB2312"/>
          <w:b/>
          <w:bCs/>
          <w:color w:val="auto"/>
          <w:kern w:val="2"/>
          <w:sz w:val="32"/>
          <w:highlight w:val="none"/>
          <w:lang w:val="zh-CN" w:eastAsia="zh-CN" w:bidi="ar"/>
        </w:rPr>
      </w:pPr>
      <w:r>
        <w:rPr>
          <w:rFonts w:hint="eastAsia" w:ascii="仿宋_GB2312" w:hAnsi="Times New Roman" w:eastAsia="仿宋_GB2312"/>
          <w:b/>
          <w:bCs/>
          <w:color w:val="auto"/>
          <w:sz w:val="32"/>
          <w:highlight w:val="none"/>
          <w:lang w:val="zh-CN" w:eastAsia="zh-CN" w:bidi="ar"/>
        </w:rPr>
        <w:t>（</w:t>
      </w:r>
      <w:r>
        <w:rPr>
          <w:rFonts w:hint="eastAsia" w:ascii="仿宋_GB2312" w:hAnsi="Times New Roman" w:eastAsia="仿宋_GB2312"/>
          <w:b/>
          <w:bCs/>
          <w:color w:val="auto"/>
          <w:sz w:val="32"/>
          <w:highlight w:val="none"/>
          <w:lang w:val="en-US" w:eastAsia="zh-CN" w:bidi="ar"/>
        </w:rPr>
        <w:t>4</w:t>
      </w:r>
      <w:r>
        <w:rPr>
          <w:rFonts w:hint="eastAsia" w:ascii="仿宋_GB2312" w:hAnsi="Times New Roman" w:eastAsia="仿宋_GB2312"/>
          <w:b/>
          <w:bCs/>
          <w:color w:val="auto"/>
          <w:sz w:val="32"/>
          <w:highlight w:val="none"/>
          <w:lang w:val="zh-CN" w:eastAsia="zh-CN" w:bidi="ar"/>
        </w:rPr>
        <w:t>）</w:t>
      </w:r>
      <w:r>
        <w:rPr>
          <w:rFonts w:hint="eastAsia" w:ascii="仿宋_GB2312" w:hAnsi="Times New Roman" w:eastAsia="仿宋_GB2312"/>
          <w:b/>
          <w:bCs/>
          <w:color w:val="auto"/>
          <w:kern w:val="2"/>
          <w:sz w:val="32"/>
          <w:highlight w:val="none"/>
          <w:lang w:val="zh-CN" w:eastAsia="zh-CN" w:bidi="ar"/>
        </w:rPr>
        <w:t>创新</w:t>
      </w:r>
      <w:r>
        <w:rPr>
          <w:rFonts w:hint="eastAsia" w:ascii="仿宋_GB2312" w:hAnsi="Times New Roman" w:eastAsia="仿宋_GB2312"/>
          <w:b/>
          <w:bCs/>
          <w:color w:val="auto"/>
          <w:sz w:val="32"/>
          <w:highlight w:val="none"/>
        </w:rPr>
        <w:t>改造</w:t>
      </w:r>
      <w:r>
        <w:rPr>
          <w:rFonts w:hint="eastAsia" w:ascii="仿宋_GB2312" w:hAnsi="Times New Roman" w:eastAsia="仿宋_GB2312"/>
          <w:b/>
          <w:bCs/>
          <w:color w:val="auto"/>
          <w:kern w:val="2"/>
          <w:sz w:val="32"/>
          <w:highlight w:val="none"/>
          <w:lang w:val="zh-CN" w:eastAsia="zh-CN" w:bidi="ar"/>
        </w:rPr>
        <w:t>模式，推进提质增效。</w:t>
      </w:r>
    </w:p>
    <w:p>
      <w:pPr>
        <w:keepNext w:val="0"/>
        <w:keepLines w:val="0"/>
        <w:pageBreakBefore w:val="0"/>
        <w:kinsoku/>
        <w:wordWrap/>
        <w:overflowPunct/>
        <w:topLinePunct w:val="0"/>
        <w:autoSpaceDE/>
        <w:autoSpaceDN/>
        <w:bidi w:val="0"/>
        <w:adjustRightInd/>
        <w:snapToGrid w:val="0"/>
        <w:spacing w:line="600" w:lineRule="atLeast"/>
        <w:ind w:right="-105" w:rightChars="-50" w:firstLine="640" w:firstLineChars="200"/>
        <w:textAlignment w:val="auto"/>
        <w:rPr>
          <w:rFonts w:hint="eastAsia" w:ascii="仿宋_GB2312" w:hAnsi="Times New Roman" w:eastAsia="仿宋_GB2312"/>
          <w:b/>
          <w:bCs/>
          <w:color w:val="auto"/>
          <w:kern w:val="2"/>
          <w:sz w:val="32"/>
          <w:highlight w:val="none"/>
          <w:lang w:val="zh-CN" w:eastAsia="zh-CN" w:bidi="ar"/>
        </w:rPr>
      </w:pPr>
      <w:r>
        <w:rPr>
          <w:rFonts w:hint="eastAsia" w:ascii="仿宋_GB2312" w:hAnsi="Times New Roman" w:eastAsia="仿宋_GB2312"/>
          <w:b w:val="0"/>
          <w:bCs w:val="0"/>
          <w:color w:val="auto"/>
          <w:kern w:val="2"/>
          <w:sz w:val="32"/>
          <w:highlight w:val="none"/>
          <w:lang w:val="zh-CN" w:eastAsia="zh-CN" w:bidi="ar"/>
        </w:rPr>
        <w:t>坚持以住房城乡建设部和省级联系点建设为引领，支持各地结合实际培育规模化实施运营主体，探索推进改造管理模式创新，通过提供公共服务和增值服务，以产生的收益平衡前期投入。一是“EPC+O”推进模式。如佛山市积极探索“EPC+O”模式，引入企业通过市场化方式，全链条参与改造项目的设计、建设、运营和管理，该市顺德区大良街道北部片区老旧小区改造是广东省首个成功采用“EPC+O”模式的改造项目。二是综合补短板模式。如广州、珠海等地积极出台老旧小区既有建筑活化利用、存量资源补齐公共服务等方面的政策文件，充分挖掘历史建筑、公房等资源，促进城镇老旧小区改造可持续发展，完善公共服务、提升社区活力、加强文化功能、激发市场活力、促进创新创业。三是探索多模式整合。如广州市花都区旧人大小区有机更新项目，财政投资部分采用EPC设计施工总承包模式，社会投资部分采用BOT特许经营模式，通过活化利用低效闲置用房和用地、配建机械停车楼、改造长者食堂等增加小区公共收益，丰富社区文化服务配套，完善小区日常管养。</w:t>
      </w:r>
    </w:p>
    <w:p>
      <w:pPr>
        <w:pStyle w:val="7"/>
        <w:keepNext w:val="0"/>
        <w:keepLines w:val="0"/>
        <w:pageBreakBefore w:val="0"/>
        <w:kinsoku/>
        <w:wordWrap/>
        <w:overflowPunct/>
        <w:topLinePunct w:val="0"/>
        <w:autoSpaceDE/>
        <w:autoSpaceDN/>
        <w:bidi w:val="0"/>
        <w:adjustRightInd/>
        <w:snapToGrid w:val="0"/>
        <w:spacing w:line="600" w:lineRule="atLeast"/>
        <w:ind w:right="-105" w:rightChars="-50"/>
        <w:textAlignment w:val="auto"/>
        <w:rPr>
          <w:rFonts w:hint="default" w:ascii="仿宋_GB2312" w:hAnsi="Times New Roman" w:eastAsia="仿宋_GB2312" w:cstheme="minorBidi"/>
          <w:b/>
          <w:bCs/>
          <w:color w:val="auto"/>
          <w:sz w:val="32"/>
          <w:szCs w:val="24"/>
          <w:highlight w:val="none"/>
          <w:lang w:val="en-US" w:eastAsia="zh-CN" w:bidi="ar"/>
        </w:rPr>
      </w:pPr>
      <w:r>
        <w:rPr>
          <w:rFonts w:hint="eastAsia" w:ascii="仿宋_GB2312" w:hAnsi="Times New Roman" w:eastAsia="仿宋_GB2312"/>
          <w:b/>
          <w:bCs/>
          <w:color w:val="auto"/>
          <w:kern w:val="2"/>
          <w:sz w:val="32"/>
          <w:highlight w:val="none"/>
          <w:lang w:val="zh-CN" w:eastAsia="zh-CN" w:bidi="ar"/>
        </w:rPr>
        <w:t>（</w:t>
      </w:r>
      <w:r>
        <w:rPr>
          <w:rFonts w:hint="eastAsia" w:ascii="仿宋_GB2312" w:hAnsi="Times New Roman" w:eastAsia="仿宋_GB2312" w:cstheme="minorBidi"/>
          <w:b/>
          <w:bCs/>
          <w:color w:val="auto"/>
          <w:kern w:val="2"/>
          <w:sz w:val="32"/>
          <w:szCs w:val="24"/>
          <w:highlight w:val="none"/>
          <w:lang w:val="en-US" w:eastAsia="zh-CN" w:bidi="ar"/>
        </w:rPr>
        <w:t>5</w:t>
      </w:r>
      <w:r>
        <w:rPr>
          <w:rFonts w:hint="eastAsia" w:ascii="仿宋_GB2312" w:hAnsi="Times New Roman" w:eastAsia="仿宋_GB2312"/>
          <w:b/>
          <w:bCs/>
          <w:color w:val="auto"/>
          <w:kern w:val="2"/>
          <w:sz w:val="32"/>
          <w:highlight w:val="none"/>
          <w:lang w:val="zh-CN" w:eastAsia="zh-CN" w:bidi="ar"/>
        </w:rPr>
        <w:t>）</w:t>
      </w:r>
      <w:r>
        <w:rPr>
          <w:rFonts w:hint="eastAsia" w:ascii="仿宋_GB2312" w:hAnsi="Times New Roman" w:eastAsia="仿宋_GB2312" w:cstheme="minorBidi"/>
          <w:b/>
          <w:bCs/>
          <w:color w:val="auto"/>
          <w:sz w:val="32"/>
          <w:szCs w:val="24"/>
          <w:highlight w:val="none"/>
          <w:lang w:val="zh-CN" w:eastAsia="zh-CN" w:bidi="ar"/>
        </w:rPr>
        <w:t>整合多方资源，</w:t>
      </w:r>
      <w:r>
        <w:rPr>
          <w:rFonts w:hint="eastAsia" w:ascii="仿宋_GB2312" w:hAnsi="Times New Roman" w:eastAsia="仿宋_GB2312" w:cstheme="minorBidi"/>
          <w:b/>
          <w:bCs/>
          <w:color w:val="auto"/>
          <w:sz w:val="32"/>
          <w:szCs w:val="24"/>
          <w:highlight w:val="none"/>
          <w:lang w:val="en-US" w:eastAsia="zh-CN" w:bidi="ar"/>
        </w:rPr>
        <w:t>拓展老旧小区改造的新内容。</w:t>
      </w:r>
    </w:p>
    <w:p>
      <w:pPr>
        <w:pStyle w:val="22"/>
        <w:keepNext w:val="0"/>
        <w:keepLines w:val="0"/>
        <w:pageBreakBefore w:val="0"/>
        <w:kinsoku/>
        <w:wordWrap/>
        <w:overflowPunct/>
        <w:topLinePunct w:val="0"/>
        <w:autoSpaceDE/>
        <w:autoSpaceDN/>
        <w:bidi w:val="0"/>
        <w:adjustRightInd/>
        <w:snapToGrid w:val="0"/>
        <w:spacing w:line="600" w:lineRule="atLeast"/>
        <w:ind w:right="-105" w:rightChars="-50" w:firstLine="642" w:firstLineChars="200"/>
        <w:textAlignment w:val="auto"/>
        <w:rPr>
          <w:rFonts w:hint="default" w:eastAsia="仿宋_GB2312"/>
          <w:lang w:val="en-US" w:eastAsia="zh-CN" w:bidi="ar"/>
        </w:rPr>
      </w:pPr>
      <w:r>
        <w:rPr>
          <w:rFonts w:hint="eastAsia" w:ascii="仿宋_GB2312" w:hAnsi="Times New Roman" w:eastAsia="仿宋_GB2312"/>
          <w:b/>
          <w:bCs/>
          <w:color w:val="auto"/>
          <w:sz w:val="32"/>
          <w:highlight w:val="none"/>
          <w:lang w:val="en-US" w:eastAsia="zh-CN"/>
        </w:rPr>
        <w:t>一是</w:t>
      </w:r>
      <w:r>
        <w:rPr>
          <w:rFonts w:hint="eastAsia" w:ascii="仿宋_GB2312" w:hAnsi="Times New Roman" w:eastAsia="仿宋_GB2312"/>
          <w:b w:val="0"/>
          <w:bCs w:val="0"/>
          <w:color w:val="auto"/>
          <w:sz w:val="32"/>
          <w:highlight w:val="none"/>
          <w:lang w:val="en-US" w:eastAsia="zh-CN"/>
        </w:rPr>
        <w:t>通过军地联动落实拥军优属政策。</w:t>
      </w:r>
      <w:r>
        <w:rPr>
          <w:rFonts w:hint="eastAsia" w:ascii="仿宋_GB2312" w:hAnsi="Times New Roman" w:eastAsia="仿宋_GB2312"/>
          <w:b w:val="0"/>
          <w:bCs w:val="0"/>
          <w:color w:val="auto"/>
          <w:sz w:val="32"/>
          <w:highlight w:val="none"/>
        </w:rPr>
        <w:t>军队老旧住房小区改造是增进官兵福祉、助力强军事业的有力保障，是新时代军政军民团结的生动实践。</w:t>
      </w:r>
      <w:r>
        <w:rPr>
          <w:rFonts w:hint="eastAsia" w:ascii="仿宋_GB2312" w:hAnsi="Times New Roman" w:eastAsia="仿宋_GB2312"/>
          <w:b w:val="0"/>
          <w:bCs w:val="0"/>
          <w:color w:val="auto"/>
          <w:sz w:val="32"/>
          <w:highlight w:val="none"/>
          <w:lang w:val="en-US" w:eastAsia="zh-CN"/>
        </w:rPr>
        <w:t>广东</w:t>
      </w:r>
      <w:r>
        <w:rPr>
          <w:rFonts w:hint="eastAsia" w:ascii="仿宋_GB2312" w:hAnsi="Times New Roman" w:eastAsia="仿宋_GB2312"/>
          <w:color w:val="auto"/>
          <w:sz w:val="32"/>
          <w:highlight w:val="none"/>
        </w:rPr>
        <w:t>省住房</w:t>
      </w:r>
      <w:r>
        <w:rPr>
          <w:rFonts w:hint="eastAsia" w:ascii="仿宋_GB2312" w:hAnsi="Times New Roman" w:eastAsia="仿宋_GB2312"/>
          <w:color w:val="auto"/>
          <w:sz w:val="32"/>
          <w:highlight w:val="none"/>
          <w:lang w:eastAsia="zh-CN"/>
        </w:rPr>
        <w:t>和</w:t>
      </w:r>
      <w:r>
        <w:rPr>
          <w:rFonts w:hint="eastAsia" w:ascii="仿宋_GB2312" w:hAnsi="Times New Roman" w:eastAsia="仿宋_GB2312"/>
          <w:color w:val="auto"/>
          <w:sz w:val="32"/>
          <w:highlight w:val="none"/>
        </w:rPr>
        <w:t>城乡建设厅同省军区保障局、发展改革委、财政厅</w:t>
      </w:r>
      <w:r>
        <w:rPr>
          <w:rFonts w:hint="eastAsia" w:ascii="仿宋_GB2312" w:hAnsi="Times New Roman" w:eastAsia="仿宋_GB2312"/>
          <w:color w:val="auto"/>
          <w:sz w:val="32"/>
          <w:highlight w:val="none"/>
          <w:lang w:val="en-US" w:eastAsia="zh-CN"/>
        </w:rPr>
        <w:t>共同推进</w:t>
      </w:r>
      <w:r>
        <w:rPr>
          <w:rFonts w:hint="eastAsia" w:ascii="仿宋_GB2312" w:hAnsi="Times New Roman" w:eastAsia="仿宋_GB2312"/>
          <w:color w:val="auto"/>
          <w:sz w:val="32"/>
          <w:highlight w:val="none"/>
        </w:rPr>
        <w:t>军队老旧住房小区改造工作</w:t>
      </w:r>
      <w:r>
        <w:rPr>
          <w:rFonts w:hint="eastAsia" w:ascii="仿宋_GB2312" w:hAnsi="Times New Roman" w:eastAsia="仿宋_GB2312"/>
          <w:color w:val="auto"/>
          <w:sz w:val="32"/>
          <w:highlight w:val="none"/>
          <w:lang w:eastAsia="zh-CN"/>
        </w:rPr>
        <w:t>，</w:t>
      </w:r>
      <w:r>
        <w:rPr>
          <w:rFonts w:hint="eastAsia" w:ascii="仿宋_GB2312" w:hAnsi="Times New Roman" w:eastAsia="仿宋_GB2312"/>
          <w:color w:val="auto"/>
          <w:sz w:val="32"/>
          <w:highlight w:val="none"/>
          <w:lang w:val="en-US" w:eastAsia="zh-CN"/>
        </w:rPr>
        <w:t>严格</w:t>
      </w:r>
      <w:r>
        <w:rPr>
          <w:rFonts w:hint="eastAsia" w:ascii="仿宋_GB2312" w:hAnsi="Times New Roman" w:eastAsia="仿宋_GB2312"/>
          <w:color w:val="auto"/>
          <w:sz w:val="32"/>
          <w:highlight w:val="none"/>
        </w:rPr>
        <w:t>按照“统一筹划、军地合力、试点先行、有序推进”的思路，建立军地统筹协调机制、改造项目推进机制，推进</w:t>
      </w:r>
      <w:r>
        <w:rPr>
          <w:rFonts w:hint="eastAsia" w:ascii="仿宋_GB2312" w:hAnsi="Times New Roman" w:eastAsia="仿宋_GB2312"/>
          <w:color w:val="auto"/>
          <w:sz w:val="32"/>
          <w:highlight w:val="none"/>
          <w:lang w:val="en-US" w:eastAsia="zh-CN"/>
        </w:rPr>
        <w:t>军队老旧住房小区改造项目</w:t>
      </w:r>
      <w:r>
        <w:rPr>
          <w:rFonts w:hint="eastAsia" w:ascii="仿宋_GB2312" w:hAnsi="Times New Roman" w:eastAsia="仿宋_GB2312"/>
          <w:color w:val="auto"/>
          <w:sz w:val="32"/>
          <w:highlight w:val="none"/>
        </w:rPr>
        <w:t>落地落实。截至</w:t>
      </w:r>
      <w:r>
        <w:rPr>
          <w:rFonts w:hint="eastAsia" w:ascii="仿宋_GB2312" w:hAnsi="Times New Roman" w:eastAsia="仿宋_GB2312"/>
          <w:color w:val="auto"/>
          <w:sz w:val="32"/>
          <w:highlight w:val="none"/>
          <w:lang w:val="en-US" w:eastAsia="zh-CN"/>
        </w:rPr>
        <w:t>2023年</w:t>
      </w:r>
      <w:r>
        <w:rPr>
          <w:rFonts w:hint="eastAsia" w:ascii="仿宋_GB2312" w:hAnsi="Times New Roman" w:eastAsia="仿宋_GB2312"/>
          <w:color w:val="auto"/>
          <w:sz w:val="32"/>
          <w:highlight w:val="none"/>
        </w:rPr>
        <w:t>12月底</w:t>
      </w:r>
      <w:r>
        <w:rPr>
          <w:rFonts w:hint="eastAsia" w:ascii="仿宋_GB2312" w:hAnsi="Times New Roman" w:eastAsia="仿宋_GB2312"/>
          <w:color w:val="auto"/>
          <w:sz w:val="32"/>
          <w:highlight w:val="none"/>
          <w:lang w:eastAsia="zh-CN"/>
        </w:rPr>
        <w:t>，</w:t>
      </w:r>
      <w:r>
        <w:rPr>
          <w:rFonts w:hint="eastAsia" w:ascii="仿宋_GB2312" w:hAnsi="Times New Roman" w:eastAsia="仿宋_GB2312"/>
          <w:color w:val="auto"/>
          <w:sz w:val="32"/>
          <w:highlight w:val="none"/>
        </w:rPr>
        <w:t>已开工改造37个军队老旧小区</w:t>
      </w:r>
      <w:r>
        <w:rPr>
          <w:rFonts w:hint="eastAsia" w:ascii="仿宋_GB2312" w:hAnsi="Times New Roman" w:eastAsia="仿宋_GB2312"/>
          <w:color w:val="auto"/>
          <w:sz w:val="32"/>
          <w:highlight w:val="none"/>
          <w:lang w:eastAsia="zh-CN"/>
        </w:rPr>
        <w:t>。</w:t>
      </w:r>
      <w:r>
        <w:rPr>
          <w:rFonts w:hint="eastAsia" w:ascii="仿宋_GB2312" w:hAnsi="Times New Roman" w:eastAsia="仿宋_GB2312"/>
          <w:b/>
          <w:bCs/>
          <w:color w:val="auto"/>
          <w:sz w:val="32"/>
          <w:highlight w:val="none"/>
          <w:lang w:val="en-US" w:eastAsia="zh-CN"/>
        </w:rPr>
        <w:t>二是</w:t>
      </w:r>
      <w:r>
        <w:rPr>
          <w:rFonts w:hint="eastAsia" w:ascii="仿宋_GB2312" w:hAnsi="Times New Roman" w:eastAsia="仿宋_GB2312"/>
          <w:color w:val="auto"/>
          <w:sz w:val="32"/>
          <w:highlight w:val="none"/>
        </w:rPr>
        <w:t>将体育健身设施纳入</w:t>
      </w:r>
      <w:r>
        <w:rPr>
          <w:rFonts w:hint="eastAsia" w:ascii="仿宋_GB2312" w:hAnsi="Times New Roman" w:eastAsia="仿宋_GB2312"/>
          <w:color w:val="auto"/>
          <w:sz w:val="32"/>
          <w:highlight w:val="none"/>
          <w:lang w:val="en-US" w:eastAsia="zh-CN"/>
        </w:rPr>
        <w:t>老旧小区改造内容。广东</w:t>
      </w:r>
      <w:r>
        <w:rPr>
          <w:rFonts w:hint="eastAsia" w:ascii="仿宋_GB2312" w:hAnsi="Times New Roman" w:eastAsia="仿宋_GB2312"/>
          <w:color w:val="auto"/>
          <w:sz w:val="32"/>
          <w:highlight w:val="none"/>
        </w:rPr>
        <w:t>省住房</w:t>
      </w:r>
      <w:r>
        <w:rPr>
          <w:rFonts w:hint="eastAsia" w:ascii="仿宋_GB2312" w:hAnsi="Times New Roman" w:eastAsia="仿宋_GB2312"/>
          <w:color w:val="auto"/>
          <w:sz w:val="32"/>
          <w:highlight w:val="none"/>
          <w:lang w:eastAsia="zh-CN"/>
        </w:rPr>
        <w:t>和</w:t>
      </w:r>
      <w:bookmarkStart w:id="10" w:name="_GoBack"/>
      <w:bookmarkEnd w:id="10"/>
      <w:r>
        <w:rPr>
          <w:rFonts w:hint="eastAsia" w:ascii="仿宋_GB2312" w:hAnsi="Times New Roman" w:eastAsia="仿宋_GB2312"/>
          <w:color w:val="auto"/>
          <w:sz w:val="32"/>
          <w:highlight w:val="none"/>
        </w:rPr>
        <w:t>城乡建设厅印发《广东省城镇老旧小区改造技术导则（试行）》，将体育健身设施纳入完善类改造内容，鼓励各地将小区周边使用效率不高或空间品质较差的空间改造为体育场地。</w:t>
      </w:r>
      <w:r>
        <w:rPr>
          <w:rFonts w:hint="eastAsia" w:ascii="仿宋_GB2312" w:hAnsi="Times New Roman" w:eastAsia="仿宋_GB2312"/>
          <w:color w:val="auto"/>
          <w:sz w:val="32"/>
          <w:highlight w:val="none"/>
          <w:lang w:val="en-US" w:eastAsia="zh-CN"/>
        </w:rPr>
        <w:t>为了</w:t>
      </w:r>
      <w:r>
        <w:rPr>
          <w:rFonts w:hint="eastAsia" w:ascii="仿宋_GB2312" w:hAnsi="Times New Roman" w:eastAsia="仿宋_GB2312"/>
          <w:color w:val="auto"/>
          <w:sz w:val="32"/>
          <w:highlight w:val="none"/>
        </w:rPr>
        <w:t>积极</w:t>
      </w:r>
      <w:r>
        <w:rPr>
          <w:rFonts w:hint="eastAsia" w:ascii="仿宋_GB2312" w:hAnsi="Times New Roman" w:eastAsia="仿宋_GB2312"/>
          <w:color w:val="auto"/>
          <w:sz w:val="32"/>
          <w:highlight w:val="none"/>
          <w:lang w:val="en-US" w:eastAsia="zh-CN"/>
        </w:rPr>
        <w:t>响应</w:t>
      </w:r>
      <w:r>
        <w:rPr>
          <w:rFonts w:hint="eastAsia" w:ascii="仿宋_GB2312" w:hAnsi="Times New Roman" w:eastAsia="仿宋_GB2312"/>
          <w:color w:val="auto"/>
          <w:sz w:val="32"/>
          <w:highlight w:val="none"/>
        </w:rPr>
        <w:t>“国球进社区”活动</w:t>
      </w:r>
      <w:r>
        <w:rPr>
          <w:rFonts w:hint="eastAsia" w:ascii="仿宋_GB2312" w:hAnsi="Times New Roman" w:eastAsia="仿宋_GB2312"/>
          <w:color w:val="auto"/>
          <w:sz w:val="32"/>
          <w:highlight w:val="none"/>
          <w:lang w:val="en-US" w:eastAsia="zh-CN"/>
        </w:rPr>
        <w:t>的开展</w:t>
      </w:r>
      <w:r>
        <w:rPr>
          <w:rFonts w:hint="eastAsia" w:ascii="仿宋_GB2312" w:hAnsi="Times New Roman" w:eastAsia="仿宋_GB2312"/>
          <w:color w:val="auto"/>
          <w:sz w:val="32"/>
          <w:highlight w:val="none"/>
          <w:lang w:eastAsia="zh-CN"/>
        </w:rPr>
        <w:t>，</w:t>
      </w:r>
      <w:r>
        <w:rPr>
          <w:rFonts w:hint="eastAsia" w:ascii="仿宋_GB2312" w:hAnsi="Times New Roman" w:eastAsia="仿宋_GB2312"/>
          <w:color w:val="auto"/>
          <w:sz w:val="32"/>
          <w:highlight w:val="none"/>
        </w:rPr>
        <w:t>各</w:t>
      </w:r>
      <w:r>
        <w:rPr>
          <w:rFonts w:hint="eastAsia" w:ascii="仿宋_GB2312" w:hAnsi="Times New Roman" w:eastAsia="仿宋_GB2312"/>
          <w:color w:val="auto"/>
          <w:sz w:val="32"/>
          <w:highlight w:val="none"/>
          <w:lang w:val="en-US" w:eastAsia="zh-CN"/>
        </w:rPr>
        <w:t>地级以上市</w:t>
      </w:r>
      <w:r>
        <w:rPr>
          <w:rFonts w:hint="eastAsia" w:ascii="仿宋_GB2312" w:hAnsi="Times New Roman" w:eastAsia="仿宋_GB2312"/>
          <w:color w:val="auto"/>
          <w:sz w:val="32"/>
          <w:highlight w:val="none"/>
        </w:rPr>
        <w:t>结合城镇老旧小区改造和完整社区建设，统筹年度改造的老旧小区红线范围内空地、荒地、闲置地等存量资源，腾挪出公共空间进行改造，配建以乒乓球台等小型设施为重点的健身设施。</w:t>
      </w:r>
    </w:p>
    <w:p>
      <w:pPr>
        <w:keepNext w:val="0"/>
        <w:keepLines w:val="0"/>
        <w:pageBreakBefore w:val="0"/>
        <w:kinsoku/>
        <w:wordWrap/>
        <w:overflowPunct/>
        <w:topLinePunct w:val="0"/>
        <w:autoSpaceDE/>
        <w:autoSpaceDN/>
        <w:bidi w:val="0"/>
        <w:adjustRightInd/>
        <w:snapToGrid w:val="0"/>
        <w:spacing w:line="600" w:lineRule="atLeast"/>
        <w:ind w:left="0" w:leftChars="0" w:right="-105" w:rightChars="-50" w:firstLine="642" w:firstLineChars="200"/>
        <w:textAlignment w:val="auto"/>
        <w:rPr>
          <w:rFonts w:hint="eastAsia" w:ascii="仿宋_GB2312" w:eastAsia="仿宋_GB2312"/>
          <w:b/>
          <w:bCs/>
          <w:color w:val="auto"/>
          <w:sz w:val="32"/>
          <w:highlight w:val="none"/>
          <w:lang w:eastAsia="zh-CN"/>
        </w:rPr>
      </w:pPr>
      <w:r>
        <w:rPr>
          <w:rFonts w:hint="eastAsia" w:ascii="仿宋_GB2312" w:hAnsi="Times New Roman" w:eastAsia="仿宋_GB2312" w:cstheme="minorBidi"/>
          <w:b/>
          <w:bCs/>
          <w:color w:val="auto"/>
          <w:kern w:val="2"/>
          <w:sz w:val="32"/>
          <w:szCs w:val="24"/>
          <w:highlight w:val="none"/>
          <w:lang w:val="zh-CN" w:eastAsia="zh-CN" w:bidi="ar"/>
        </w:rPr>
        <w:t>（</w:t>
      </w:r>
      <w:r>
        <w:rPr>
          <w:rFonts w:hint="eastAsia" w:ascii="仿宋_GB2312" w:hAnsi="Times New Roman" w:eastAsia="仿宋_GB2312" w:cstheme="minorBidi"/>
          <w:b/>
          <w:bCs/>
          <w:color w:val="auto"/>
          <w:kern w:val="2"/>
          <w:sz w:val="32"/>
          <w:szCs w:val="24"/>
          <w:highlight w:val="none"/>
          <w:lang w:val="en-US" w:eastAsia="zh-CN" w:bidi="ar"/>
        </w:rPr>
        <w:t>6</w:t>
      </w:r>
      <w:r>
        <w:rPr>
          <w:rFonts w:hint="eastAsia" w:ascii="仿宋_GB2312" w:hAnsi="Times New Roman" w:eastAsia="仿宋_GB2312" w:cstheme="minorBidi"/>
          <w:b/>
          <w:bCs/>
          <w:color w:val="auto"/>
          <w:kern w:val="2"/>
          <w:sz w:val="32"/>
          <w:szCs w:val="24"/>
          <w:highlight w:val="none"/>
          <w:lang w:val="zh-CN" w:eastAsia="zh-CN" w:bidi="ar"/>
        </w:rPr>
        <w:t>）坚持党建引领，解决群众急难愁盼。</w:t>
      </w:r>
    </w:p>
    <w:p>
      <w:pPr>
        <w:keepNext w:val="0"/>
        <w:keepLines w:val="0"/>
        <w:pageBreakBefore w:val="0"/>
        <w:numPr>
          <w:ilvl w:val="0"/>
          <w:numId w:val="0"/>
        </w:numPr>
        <w:kinsoku/>
        <w:wordWrap/>
        <w:overflowPunct/>
        <w:topLinePunct w:val="0"/>
        <w:autoSpaceDE/>
        <w:autoSpaceDN/>
        <w:bidi w:val="0"/>
        <w:adjustRightInd/>
        <w:snapToGrid w:val="0"/>
        <w:spacing w:line="600" w:lineRule="atLeast"/>
        <w:ind w:left="0" w:leftChars="0" w:right="-105" w:rightChars="-50" w:firstLine="642" w:firstLineChars="200"/>
        <w:textAlignment w:val="auto"/>
        <w:rPr>
          <w:rFonts w:hint="eastAsia" w:ascii="仿宋_GB2312" w:eastAsia="仿宋_GB2312"/>
          <w:color w:val="auto"/>
          <w:sz w:val="32"/>
          <w:highlight w:val="none"/>
          <w:lang w:eastAsia="zh-CN"/>
        </w:rPr>
      </w:pPr>
      <w:r>
        <w:rPr>
          <w:rFonts w:hint="eastAsia" w:ascii="仿宋_GB2312" w:eastAsia="仿宋_GB2312"/>
          <w:b/>
          <w:bCs/>
          <w:color w:val="auto"/>
          <w:sz w:val="32"/>
          <w:highlight w:val="none"/>
          <w:lang w:eastAsia="zh-CN"/>
        </w:rPr>
        <w:t>一是</w:t>
      </w:r>
      <w:r>
        <w:rPr>
          <w:rFonts w:hint="eastAsia" w:ascii="仿宋_GB2312" w:hAnsi="仿宋_GB2312" w:eastAsia="仿宋_GB2312" w:cs="仿宋_GB2312"/>
          <w:b w:val="0"/>
          <w:bCs/>
          <w:color w:val="auto"/>
          <w:sz w:val="32"/>
          <w:szCs w:val="32"/>
          <w:lang w:eastAsia="zh-CN"/>
        </w:rPr>
        <w:t>省住房城乡建设厅会同有关部门指导各市将党的全面领导落实到提升市域社会治理现代化的各方面各环节，以高质量党建引领，推进基层治理现代化。结合主题教育，推动各地在老旧小区改造中健全长效管养机制，有效实施“管理革命”，2023年成立党组织的小区</w:t>
      </w:r>
      <w:r>
        <w:rPr>
          <w:rFonts w:hint="eastAsia" w:ascii="仿宋_GB2312" w:hAnsi="仿宋_GB2312" w:eastAsia="仿宋_GB2312" w:cs="仿宋_GB2312"/>
          <w:b w:val="0"/>
          <w:bCs/>
          <w:color w:val="auto"/>
          <w:sz w:val="32"/>
          <w:szCs w:val="32"/>
          <w:lang w:val="en-US" w:eastAsia="zh-CN"/>
        </w:rPr>
        <w:t>288</w:t>
      </w:r>
      <w:r>
        <w:rPr>
          <w:rFonts w:hint="eastAsia" w:ascii="仿宋_GB2312" w:hAnsi="仿宋_GB2312" w:eastAsia="仿宋_GB2312" w:cs="仿宋_GB2312"/>
          <w:b w:val="0"/>
          <w:bCs/>
          <w:color w:val="auto"/>
          <w:sz w:val="32"/>
          <w:szCs w:val="32"/>
          <w:lang w:eastAsia="zh-CN"/>
        </w:rPr>
        <w:t>个，成立业主大会、选举业主委员会的小区</w:t>
      </w:r>
      <w:r>
        <w:rPr>
          <w:rFonts w:hint="eastAsia" w:ascii="仿宋_GB2312" w:hAnsi="仿宋_GB2312" w:eastAsia="仿宋_GB2312" w:cs="仿宋_GB2312"/>
          <w:b w:val="0"/>
          <w:bCs/>
          <w:color w:val="auto"/>
          <w:sz w:val="32"/>
          <w:szCs w:val="32"/>
          <w:lang w:val="en-US" w:eastAsia="zh-CN"/>
        </w:rPr>
        <w:t>207</w:t>
      </w:r>
      <w:r>
        <w:rPr>
          <w:rFonts w:hint="eastAsia" w:ascii="仿宋_GB2312" w:hAnsi="仿宋_GB2312" w:eastAsia="仿宋_GB2312" w:cs="仿宋_GB2312"/>
          <w:b w:val="0"/>
          <w:bCs/>
          <w:color w:val="auto"/>
          <w:sz w:val="32"/>
          <w:szCs w:val="32"/>
          <w:lang w:eastAsia="zh-CN"/>
        </w:rPr>
        <w:t>个，</w:t>
      </w:r>
      <w:r>
        <w:rPr>
          <w:rFonts w:hint="eastAsia" w:ascii="仿宋_GB2312" w:hAnsi="仿宋_GB2312" w:eastAsia="仿宋_GB2312" w:cs="仿宋_GB2312"/>
          <w:sz w:val="32"/>
          <w:szCs w:val="32"/>
          <w:lang w:val="en-US" w:eastAsia="zh-CN"/>
        </w:rPr>
        <w:t>在党建引领物业提质上取得新突破。如</w:t>
      </w:r>
      <w:r>
        <w:rPr>
          <w:rFonts w:hint="eastAsia" w:ascii="仿宋_GB2312" w:hAnsi="仿宋_GB2312" w:eastAsia="仿宋_GB2312" w:cs="仿宋_GB2312"/>
          <w:b w:val="0"/>
          <w:bCs/>
          <w:color w:val="auto"/>
          <w:sz w:val="32"/>
          <w:szCs w:val="32"/>
          <w:lang w:eastAsia="zh-CN"/>
        </w:rPr>
        <w:t>梅州市出台《党建引领城镇老旧小区改造工作指引》，发挥党组织的监督协调作用和党员议事决策和先锋模范作用。</w:t>
      </w:r>
      <w:r>
        <w:rPr>
          <w:rFonts w:hint="eastAsia" w:ascii="仿宋_GB2312" w:eastAsia="仿宋_GB2312"/>
          <w:b/>
          <w:bCs/>
          <w:color w:val="auto"/>
          <w:sz w:val="32"/>
          <w:highlight w:val="none"/>
          <w:lang w:eastAsia="zh-CN"/>
        </w:rPr>
        <w:t>二是</w:t>
      </w:r>
      <w:r>
        <w:rPr>
          <w:rFonts w:hint="eastAsia" w:ascii="仿宋_GB2312" w:hAnsi="Times New Roman" w:eastAsia="仿宋_GB2312" w:cstheme="minorBidi"/>
          <w:b w:val="0"/>
          <w:bCs w:val="0"/>
          <w:color w:val="auto"/>
          <w:kern w:val="2"/>
          <w:sz w:val="32"/>
          <w:szCs w:val="24"/>
          <w:highlight w:val="none"/>
          <w:lang w:val="zh-CN" w:eastAsia="zh-CN" w:bidi="ar"/>
        </w:rPr>
        <w:t>坚持以人为本，</w:t>
      </w:r>
      <w:r>
        <w:rPr>
          <w:rFonts w:hint="eastAsia" w:ascii="仿宋_GB2312" w:eastAsia="仿宋_GB2312"/>
          <w:color w:val="auto"/>
          <w:sz w:val="32"/>
          <w:highlight w:val="none"/>
        </w:rPr>
        <w:t>解决群众急难愁盼。</w:t>
      </w:r>
      <w:r>
        <w:rPr>
          <w:rFonts w:hint="eastAsia" w:ascii="仿宋_GB2312" w:eastAsia="仿宋_GB2312"/>
          <w:color w:val="auto"/>
          <w:sz w:val="32"/>
          <w:highlight w:val="none"/>
          <w:lang w:eastAsia="zh-CN"/>
        </w:rPr>
        <w:t>老旧小区</w:t>
      </w:r>
      <w:r>
        <w:rPr>
          <w:rFonts w:hint="eastAsia" w:ascii="仿宋_GB2312" w:hAnsi="仿宋_GB2312" w:eastAsia="仿宋_GB2312" w:cs="仿宋_GB2312"/>
          <w:color w:val="auto"/>
          <w:kern w:val="0"/>
          <w:sz w:val="31"/>
          <w:szCs w:val="31"/>
          <w:highlight w:val="none"/>
          <w:lang w:val="en-US" w:eastAsia="zh-CN" w:bidi="ar"/>
        </w:rPr>
        <w:t>“改不改、怎么改”群众说了算，充分调动群众的积极性和主动性。</w:t>
      </w:r>
      <w:r>
        <w:rPr>
          <w:rFonts w:hint="eastAsia" w:ascii="仿宋_GB2312" w:hAnsi="仿宋" w:eastAsia="仿宋_GB2312"/>
          <w:b w:val="0"/>
          <w:bCs w:val="0"/>
          <w:color w:val="auto"/>
          <w:sz w:val="32"/>
          <w:highlight w:val="none"/>
          <w:lang w:bidi="ar"/>
        </w:rPr>
        <w:t>许多地区城镇居民由“消极接受、配合改造”转变为“主动申请、参与改造”</w:t>
      </w:r>
      <w:r>
        <w:rPr>
          <w:rFonts w:hint="eastAsia" w:ascii="仿宋_GB2312" w:eastAsia="仿宋_GB2312" w:cstheme="minorBidi"/>
          <w:b w:val="0"/>
          <w:bCs w:val="0"/>
          <w:color w:val="auto"/>
          <w:kern w:val="2"/>
          <w:sz w:val="32"/>
          <w:szCs w:val="24"/>
          <w:highlight w:val="none"/>
          <w:lang w:val="zh-CN" w:eastAsia="zh-CN" w:bidi="ar"/>
        </w:rPr>
        <w:t>。</w:t>
      </w:r>
      <w:r>
        <w:rPr>
          <w:rFonts w:hint="eastAsia" w:ascii="仿宋_GB2312" w:eastAsia="仿宋_GB2312"/>
          <w:color w:val="auto"/>
          <w:sz w:val="32"/>
          <w:highlight w:val="none"/>
          <w:lang w:eastAsia="zh-CN"/>
        </w:rPr>
        <w:t>改造前“问需于民”、改造时“问计于民”、改造后“问效于民”，用心用情用力解决群众急难愁盼问题，</w:t>
      </w:r>
      <w:r>
        <w:rPr>
          <w:rFonts w:hint="default" w:ascii="仿宋_GB2312" w:hAnsi="仿宋_GB2312" w:eastAsia="仿宋_GB2312" w:cs="仿宋_GB2312"/>
          <w:color w:val="auto"/>
          <w:kern w:val="0"/>
          <w:sz w:val="32"/>
          <w:szCs w:val="32"/>
          <w:highlight w:val="none"/>
          <w:lang w:val="en-US" w:eastAsia="zh-CN"/>
        </w:rPr>
        <w:t>不断增强人民群众获得感、幸福感、安全感。</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2" w:firstLineChars="200"/>
        <w:textAlignment w:val="auto"/>
        <w:rPr>
          <w:rFonts w:hint="eastAsia" w:hAnsi="宋体" w:eastAsia="楷体_GB2312"/>
          <w:b/>
          <w:bCs/>
          <w:color w:val="auto"/>
          <w:kern w:val="44"/>
          <w:sz w:val="32"/>
          <w:szCs w:val="44"/>
          <w:highlight w:val="none"/>
          <w:lang w:val="en-US" w:eastAsia="zh-CN"/>
        </w:rPr>
      </w:pPr>
      <w:r>
        <w:rPr>
          <w:rFonts w:hint="eastAsia" w:hAnsi="宋体" w:eastAsia="楷体_GB2312"/>
          <w:b/>
          <w:bCs/>
          <w:color w:val="auto"/>
          <w:kern w:val="44"/>
          <w:sz w:val="32"/>
          <w:szCs w:val="44"/>
          <w:highlight w:val="none"/>
          <w:lang w:val="en-US" w:eastAsia="zh-CN"/>
        </w:rPr>
        <w:t>（三）存在问题。</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2" w:firstLineChars="200"/>
        <w:jc w:val="both"/>
        <w:textAlignment w:val="auto"/>
        <w:rPr>
          <w:rFonts w:hint="eastAsia" w:ascii="仿宋_GB2312" w:hAnsi="仿宋_GB2312" w:eastAsia="仿宋_GB2312"/>
          <w:b/>
          <w:bCs/>
          <w:color w:val="auto"/>
          <w:kern w:val="0"/>
          <w:sz w:val="32"/>
          <w:szCs w:val="32"/>
          <w:highlight w:val="none"/>
          <w:lang w:val="en-US" w:eastAsia="zh-CN"/>
        </w:rPr>
      </w:pPr>
      <w:r>
        <w:rPr>
          <w:rFonts w:hint="eastAsia" w:ascii="仿宋_GB2312" w:hAnsi="仿宋_GB2312" w:eastAsia="仿宋_GB2312"/>
          <w:b/>
          <w:bCs/>
          <w:color w:val="auto"/>
          <w:kern w:val="0"/>
          <w:sz w:val="32"/>
          <w:szCs w:val="32"/>
          <w:highlight w:val="none"/>
          <w:lang w:val="en-US" w:eastAsia="zh-CN"/>
        </w:rPr>
        <w:t>1.部分城镇的中央财政补助资金</w:t>
      </w:r>
      <w:r>
        <w:rPr>
          <w:rFonts w:hint="default" w:ascii="仿宋_GB2312" w:hAnsi="仿宋_GB2312" w:eastAsia="仿宋_GB2312"/>
          <w:b/>
          <w:bCs/>
          <w:color w:val="auto"/>
          <w:kern w:val="0"/>
          <w:sz w:val="32"/>
          <w:szCs w:val="32"/>
          <w:highlight w:val="none"/>
          <w:lang w:val="en-US" w:eastAsia="zh-CN"/>
        </w:rPr>
        <w:t>执行</w:t>
      </w:r>
      <w:r>
        <w:rPr>
          <w:rFonts w:hint="eastAsia" w:ascii="仿宋_GB2312" w:hAnsi="仿宋_GB2312" w:eastAsia="仿宋_GB2312"/>
          <w:b/>
          <w:bCs/>
          <w:color w:val="auto"/>
          <w:kern w:val="0"/>
          <w:sz w:val="32"/>
          <w:szCs w:val="32"/>
          <w:highlight w:val="none"/>
          <w:lang w:val="en-US" w:eastAsia="zh-CN"/>
        </w:rPr>
        <w:t>未达预期、支出率偏低。</w:t>
      </w:r>
    </w:p>
    <w:p>
      <w:pPr>
        <w:keepNext w:val="0"/>
        <w:keepLines w:val="0"/>
        <w:pageBreakBefore w:val="0"/>
        <w:kinsoku/>
        <w:wordWrap/>
        <w:overflowPunct/>
        <w:topLinePunct w:val="0"/>
        <w:autoSpaceDE/>
        <w:autoSpaceDN/>
        <w:bidi w:val="0"/>
        <w:adjustRightInd/>
        <w:snapToGrid w:val="0"/>
        <w:spacing w:before="226" w:line="600" w:lineRule="atLeast"/>
        <w:ind w:left="15" w:right="-105" w:rightChars="-50" w:firstLine="653"/>
        <w:textAlignment w:val="auto"/>
        <w:rPr>
          <w:rFonts w:ascii="仿宋" w:hAnsi="仿宋" w:eastAsia="仿宋" w:cs="仿宋"/>
          <w:sz w:val="31"/>
          <w:szCs w:val="31"/>
        </w:rPr>
      </w:pPr>
      <w:r>
        <w:rPr>
          <w:rFonts w:hint="eastAsia" w:ascii="仿宋_GB2312" w:hAnsi="仿宋_GB2312" w:eastAsia="仿宋_GB2312"/>
          <w:b w:val="0"/>
          <w:bCs w:val="0"/>
          <w:color w:val="auto"/>
          <w:kern w:val="0"/>
          <w:sz w:val="32"/>
          <w:szCs w:val="32"/>
          <w:highlight w:val="none"/>
          <w:lang w:val="en-US" w:eastAsia="zh-CN"/>
        </w:rPr>
        <w:t>2023年，广东省用于老旧小区改造的中央财政补助资金支出率为54.39%，其中汕头市的资金支出率为</w:t>
      </w:r>
      <w:r>
        <w:rPr>
          <w:rFonts w:hint="eastAsia" w:ascii="仿宋_GB2312" w:hAnsi="仿宋_GB2312" w:eastAsia="仿宋_GB2312"/>
          <w:color w:val="auto"/>
          <w:kern w:val="0"/>
          <w:sz w:val="32"/>
          <w:szCs w:val="32"/>
          <w:highlight w:val="none"/>
        </w:rPr>
        <w:t>0.84%</w:t>
      </w:r>
      <w:r>
        <w:rPr>
          <w:rFonts w:hint="eastAsia" w:ascii="仿宋_GB2312" w:hAnsi="仿宋_GB2312" w:eastAsia="仿宋_GB2312"/>
          <w:color w:val="auto"/>
          <w:kern w:val="0"/>
          <w:sz w:val="32"/>
          <w:szCs w:val="32"/>
          <w:highlight w:val="none"/>
          <w:lang w:eastAsia="zh-CN"/>
        </w:rPr>
        <w:t>，</w:t>
      </w:r>
      <w:r>
        <w:rPr>
          <w:rFonts w:hint="eastAsia" w:ascii="仿宋_GB2312" w:hAnsi="仿宋_GB2312" w:eastAsia="仿宋_GB2312"/>
          <w:b w:val="0"/>
          <w:bCs w:val="0"/>
          <w:color w:val="auto"/>
          <w:kern w:val="0"/>
          <w:sz w:val="32"/>
          <w:szCs w:val="32"/>
          <w:highlight w:val="none"/>
          <w:lang w:val="en-US" w:eastAsia="zh-CN"/>
        </w:rPr>
        <w:t>湛江市的资金支出率为</w:t>
      </w:r>
      <w:r>
        <w:rPr>
          <w:rFonts w:hint="eastAsia" w:ascii="仿宋_GB2312" w:hAnsi="仿宋_GB2312" w:eastAsia="仿宋_GB2312"/>
          <w:color w:val="auto"/>
          <w:kern w:val="0"/>
          <w:sz w:val="32"/>
          <w:szCs w:val="32"/>
          <w:highlight w:val="none"/>
        </w:rPr>
        <w:t>4.95%</w:t>
      </w:r>
      <w:r>
        <w:rPr>
          <w:rFonts w:hint="eastAsia" w:ascii="仿宋_GB2312" w:hAnsi="仿宋_GB2312" w:eastAsia="仿宋_GB2312"/>
          <w:color w:val="auto"/>
          <w:kern w:val="0"/>
          <w:sz w:val="32"/>
          <w:szCs w:val="32"/>
          <w:highlight w:val="none"/>
          <w:lang w:eastAsia="zh-CN"/>
        </w:rPr>
        <w:t>，</w:t>
      </w:r>
      <w:r>
        <w:rPr>
          <w:rFonts w:hint="eastAsia" w:ascii="仿宋_GB2312" w:hAnsi="仿宋_GB2312" w:eastAsia="仿宋_GB2312"/>
          <w:color w:val="auto"/>
          <w:kern w:val="0"/>
          <w:sz w:val="32"/>
          <w:szCs w:val="32"/>
          <w:highlight w:val="none"/>
          <w:lang w:val="en-US" w:eastAsia="zh-CN"/>
        </w:rPr>
        <w:t>资金执行情况较差。</w:t>
      </w:r>
      <w:r>
        <w:rPr>
          <w:rFonts w:hint="eastAsia" w:ascii="仿宋_GB2312" w:hAnsi="仿宋_GB2312" w:eastAsia="仿宋_GB2312"/>
          <w:b w:val="0"/>
          <w:bCs w:val="0"/>
          <w:color w:val="auto"/>
          <w:kern w:val="0"/>
          <w:sz w:val="32"/>
          <w:szCs w:val="32"/>
          <w:highlight w:val="none"/>
          <w:lang w:val="en-US" w:eastAsia="zh-CN"/>
        </w:rPr>
        <w:t>一方面</w:t>
      </w:r>
      <w:r>
        <w:rPr>
          <w:rFonts w:hint="eastAsia" w:ascii="仿宋_GB2312" w:hAnsi="仿宋_GB2312" w:eastAsia="仿宋_GB2312"/>
          <w:b w:val="0"/>
          <w:bCs w:val="0"/>
          <w:color w:val="auto"/>
          <w:kern w:val="0"/>
          <w:sz w:val="32"/>
          <w:szCs w:val="32"/>
          <w:highlight w:val="none"/>
        </w:rPr>
        <w:t>部分</w:t>
      </w:r>
      <w:r>
        <w:rPr>
          <w:rFonts w:hint="eastAsia" w:ascii="仿宋_GB2312" w:hAnsi="仿宋_GB2312" w:eastAsia="仿宋_GB2312"/>
          <w:b w:val="0"/>
          <w:bCs w:val="0"/>
          <w:color w:val="auto"/>
          <w:kern w:val="0"/>
          <w:sz w:val="32"/>
          <w:szCs w:val="32"/>
          <w:highlight w:val="none"/>
          <w:lang w:val="en-US" w:eastAsia="zh-CN"/>
        </w:rPr>
        <w:t>市县</w:t>
      </w:r>
      <w:r>
        <w:rPr>
          <w:rFonts w:hint="eastAsia" w:ascii="仿宋_GB2312" w:hAnsi="仿宋_GB2312" w:eastAsia="仿宋_GB2312"/>
          <w:b w:val="0"/>
          <w:bCs w:val="0"/>
          <w:color w:val="auto"/>
          <w:kern w:val="0"/>
          <w:sz w:val="32"/>
          <w:szCs w:val="32"/>
          <w:highlight w:val="none"/>
        </w:rPr>
        <w:t>没有平衡好上级补助资金和政府专项债的关系，优先以政府专项债资金进行支付</w:t>
      </w:r>
      <w:r>
        <w:rPr>
          <w:rFonts w:hint="eastAsia" w:ascii="仿宋_GB2312" w:hAnsi="仿宋_GB2312" w:eastAsia="仿宋_GB2312"/>
          <w:b w:val="0"/>
          <w:bCs w:val="0"/>
          <w:color w:val="auto"/>
          <w:kern w:val="0"/>
          <w:sz w:val="32"/>
          <w:szCs w:val="32"/>
          <w:highlight w:val="none"/>
          <w:lang w:eastAsia="zh-CN"/>
        </w:rPr>
        <w:t>。</w:t>
      </w:r>
      <w:r>
        <w:rPr>
          <w:rFonts w:hint="eastAsia" w:ascii="仿宋_GB2312" w:hAnsi="仿宋_GB2312" w:eastAsia="仿宋_GB2312"/>
          <w:b w:val="0"/>
          <w:bCs w:val="0"/>
          <w:color w:val="auto"/>
          <w:kern w:val="0"/>
          <w:sz w:val="32"/>
          <w:szCs w:val="32"/>
          <w:highlight w:val="none"/>
          <w:lang w:val="en-US" w:eastAsia="zh-CN"/>
        </w:rPr>
        <w:t>2023年</w:t>
      </w:r>
      <w:r>
        <w:rPr>
          <w:rFonts w:hint="eastAsia" w:ascii="仿宋_GB2312" w:hAnsi="仿宋_GB2312" w:eastAsia="仿宋_GB2312"/>
          <w:b w:val="0"/>
          <w:bCs w:val="0"/>
          <w:color w:val="auto"/>
          <w:kern w:val="0"/>
          <w:sz w:val="32"/>
          <w:szCs w:val="32"/>
          <w:highlight w:val="none"/>
        </w:rPr>
        <w:t>68.86%的项目使用地方政府专项债券或一般债券用于老旧小区改造</w:t>
      </w:r>
      <w:r>
        <w:rPr>
          <w:rFonts w:hint="eastAsia" w:ascii="仿宋_GB2312" w:hAnsi="仿宋_GB2312" w:eastAsia="仿宋_GB2312"/>
          <w:b w:val="0"/>
          <w:bCs w:val="0"/>
          <w:color w:val="auto"/>
          <w:kern w:val="0"/>
          <w:sz w:val="32"/>
          <w:szCs w:val="32"/>
          <w:highlight w:val="none"/>
          <w:lang w:eastAsia="zh-CN"/>
        </w:rPr>
        <w:t>，</w:t>
      </w:r>
      <w:r>
        <w:rPr>
          <w:rFonts w:hint="eastAsia" w:ascii="仿宋_GB2312" w:hAnsi="仿宋_GB2312" w:eastAsia="仿宋_GB2312"/>
          <w:b w:val="0"/>
          <w:bCs w:val="0"/>
          <w:color w:val="auto"/>
          <w:kern w:val="0"/>
          <w:sz w:val="32"/>
          <w:szCs w:val="32"/>
          <w:highlight w:val="none"/>
        </w:rPr>
        <w:t>专项债一定程度上挤占了财政资金支付进度</w:t>
      </w:r>
      <w:r>
        <w:rPr>
          <w:rFonts w:hint="eastAsia" w:ascii="仿宋_GB2312" w:hAnsi="仿宋_GB2312" w:eastAsia="仿宋_GB2312"/>
          <w:b w:val="0"/>
          <w:bCs w:val="0"/>
          <w:color w:val="auto"/>
          <w:kern w:val="0"/>
          <w:sz w:val="32"/>
          <w:szCs w:val="32"/>
          <w:highlight w:val="none"/>
          <w:lang w:eastAsia="zh-CN"/>
        </w:rPr>
        <w:t>，</w:t>
      </w:r>
      <w:r>
        <w:rPr>
          <w:rFonts w:hint="eastAsia" w:ascii="仿宋_GB2312" w:hAnsi="仿宋_GB2312" w:eastAsia="仿宋_GB2312"/>
          <w:b w:val="0"/>
          <w:bCs w:val="0"/>
          <w:color w:val="auto"/>
          <w:kern w:val="0"/>
          <w:sz w:val="32"/>
          <w:szCs w:val="32"/>
          <w:highlight w:val="none"/>
        </w:rPr>
        <w:t>致使上级补助资金支付空间不足；</w:t>
      </w:r>
      <w:r>
        <w:rPr>
          <w:rFonts w:hint="eastAsia" w:ascii="仿宋_GB2312" w:hAnsi="仿宋_GB2312" w:eastAsia="仿宋_GB2312"/>
          <w:b w:val="0"/>
          <w:bCs w:val="0"/>
          <w:color w:val="auto"/>
          <w:kern w:val="0"/>
          <w:sz w:val="32"/>
          <w:szCs w:val="32"/>
          <w:highlight w:val="none"/>
          <w:lang w:val="en-US" w:eastAsia="zh-CN"/>
        </w:rPr>
        <w:t>另一方面部分县（市、区）</w:t>
      </w:r>
      <w:r>
        <w:rPr>
          <w:rFonts w:ascii="仿宋" w:hAnsi="仿宋" w:eastAsia="仿宋" w:cs="仿宋"/>
          <w:spacing w:val="2"/>
          <w:sz w:val="31"/>
          <w:szCs w:val="31"/>
        </w:rPr>
        <w:t>前期谋划</w:t>
      </w:r>
      <w:r>
        <w:rPr>
          <w:rFonts w:ascii="仿宋" w:hAnsi="仿宋" w:eastAsia="仿宋" w:cs="仿宋"/>
          <w:spacing w:val="1"/>
          <w:sz w:val="31"/>
          <w:szCs w:val="31"/>
        </w:rPr>
        <w:t>不足，</w:t>
      </w:r>
      <w:r>
        <w:rPr>
          <w:rFonts w:hint="eastAsia" w:ascii="仿宋" w:hAnsi="仿宋" w:eastAsia="仿宋" w:cs="仿宋"/>
          <w:spacing w:val="1"/>
          <w:sz w:val="31"/>
          <w:szCs w:val="31"/>
          <w:lang w:eastAsia="zh-CN"/>
        </w:rPr>
        <w:t>改造过程</w:t>
      </w:r>
      <w:r>
        <w:rPr>
          <w:rFonts w:ascii="仿宋" w:hAnsi="仿宋" w:eastAsia="仿宋" w:cs="仿宋"/>
          <w:spacing w:val="5"/>
          <w:sz w:val="31"/>
          <w:szCs w:val="31"/>
        </w:rPr>
        <w:t>出现改造内容变更、改造计划调整等情</w:t>
      </w:r>
      <w:r>
        <w:rPr>
          <w:rFonts w:ascii="仿宋" w:hAnsi="仿宋" w:eastAsia="仿宋" w:cs="仿宋"/>
          <w:spacing w:val="6"/>
          <w:sz w:val="31"/>
          <w:szCs w:val="31"/>
        </w:rPr>
        <w:t>况，影响改造进度</w:t>
      </w:r>
      <w:r>
        <w:rPr>
          <w:rFonts w:hint="eastAsia" w:ascii="仿宋" w:hAnsi="仿宋" w:eastAsia="仿宋" w:cs="仿宋"/>
          <w:spacing w:val="6"/>
          <w:sz w:val="31"/>
          <w:szCs w:val="31"/>
          <w:lang w:eastAsia="zh-CN"/>
        </w:rPr>
        <w:t>和资金支付进度</w:t>
      </w:r>
      <w:r>
        <w:rPr>
          <w:rFonts w:ascii="仿宋" w:hAnsi="仿宋" w:eastAsia="仿宋" w:cs="仿宋"/>
          <w:spacing w:val="6"/>
          <w:sz w:val="31"/>
          <w:szCs w:val="31"/>
        </w:rPr>
        <w:t>。</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2" w:firstLineChars="200"/>
        <w:jc w:val="both"/>
        <w:textAlignment w:val="auto"/>
        <w:rPr>
          <w:rFonts w:hint="eastAsia" w:ascii="仿宋_GB2312" w:hAnsi="仿宋_GB2312" w:eastAsia="仿宋_GB2312"/>
          <w:b/>
          <w:bCs/>
          <w:color w:val="auto"/>
          <w:kern w:val="0"/>
          <w:sz w:val="32"/>
          <w:szCs w:val="32"/>
          <w:highlight w:val="none"/>
          <w:lang w:val="en-US" w:eastAsia="zh-CN"/>
        </w:rPr>
      </w:pPr>
      <w:r>
        <w:rPr>
          <w:rFonts w:hint="eastAsia" w:ascii="仿宋_GB2312" w:hAnsi="仿宋_GB2312" w:eastAsia="仿宋_GB2312"/>
          <w:b/>
          <w:bCs/>
          <w:color w:val="auto"/>
          <w:kern w:val="0"/>
          <w:sz w:val="32"/>
          <w:szCs w:val="32"/>
          <w:highlight w:val="none"/>
          <w:lang w:val="en-US" w:eastAsia="zh-CN"/>
        </w:rPr>
        <w:t>2.部分市县筹资渠道仍然比较单一。</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0" w:firstLineChars="200"/>
        <w:jc w:val="both"/>
        <w:textAlignment w:val="auto"/>
        <w:rPr>
          <w:rFonts w:hint="eastAsia" w:ascii="仿宋_GB2312" w:hAnsi="仿宋_GB2312" w:eastAsia="仿宋_GB2312"/>
          <w:b w:val="0"/>
          <w:bCs w:val="0"/>
          <w:color w:val="auto"/>
          <w:kern w:val="0"/>
          <w:sz w:val="32"/>
          <w:szCs w:val="32"/>
          <w:highlight w:val="none"/>
          <w:lang w:val="en-US" w:eastAsia="zh-CN"/>
        </w:rPr>
      </w:pPr>
      <w:r>
        <w:rPr>
          <w:rFonts w:hint="eastAsia" w:ascii="仿宋_GB2312" w:hAnsi="仿宋_GB2312" w:eastAsia="仿宋_GB2312"/>
          <w:b w:val="0"/>
          <w:bCs w:val="0"/>
          <w:color w:val="auto"/>
          <w:kern w:val="0"/>
          <w:sz w:val="32"/>
          <w:szCs w:val="32"/>
          <w:highlight w:val="none"/>
          <w:lang w:val="en-US" w:eastAsia="zh-CN"/>
        </w:rPr>
        <w:t>目前大部分市县城镇老旧小区改造的</w:t>
      </w:r>
      <w:r>
        <w:rPr>
          <w:rFonts w:hint="eastAsia" w:ascii="仿宋_GB2312" w:hAnsi="仿宋_GB2312" w:eastAsia="仿宋_GB2312" w:cs="仿宋_GB2312"/>
          <w:sz w:val="32"/>
          <w:szCs w:val="32"/>
          <w:highlight w:val="none"/>
        </w:rPr>
        <w:t>资金来源主要</w:t>
      </w:r>
      <w:r>
        <w:rPr>
          <w:rFonts w:hint="eastAsia" w:ascii="仿宋_GB2312" w:hAnsi="仿宋_GB2312" w:eastAsia="仿宋_GB2312" w:cs="仿宋_GB2312"/>
          <w:sz w:val="32"/>
          <w:szCs w:val="32"/>
          <w:highlight w:val="none"/>
          <w:lang w:val="en-US" w:eastAsia="zh-CN"/>
        </w:rPr>
        <w:t>是中央</w:t>
      </w:r>
      <w:r>
        <w:rPr>
          <w:rFonts w:hint="eastAsia" w:ascii="仿宋_GB2312" w:hAnsi="仿宋_GB2312" w:eastAsia="仿宋_GB2312" w:cs="仿宋_GB2312"/>
          <w:sz w:val="32"/>
          <w:szCs w:val="32"/>
          <w:highlight w:val="none"/>
        </w:rPr>
        <w:t>政府</w:t>
      </w:r>
      <w:r>
        <w:rPr>
          <w:rFonts w:hint="eastAsia" w:ascii="仿宋_GB2312" w:hAnsi="仿宋_GB2312" w:eastAsia="仿宋_GB2312" w:cs="仿宋_GB2312"/>
          <w:sz w:val="32"/>
          <w:szCs w:val="32"/>
          <w:highlight w:val="none"/>
          <w:lang w:val="en-US" w:eastAsia="zh-CN"/>
        </w:rPr>
        <w:t>财政补助</w:t>
      </w:r>
      <w:r>
        <w:rPr>
          <w:rFonts w:hint="eastAsia" w:ascii="仿宋_GB2312" w:hAnsi="仿宋_GB2312" w:eastAsia="仿宋_GB2312" w:cs="仿宋_GB2312"/>
          <w:sz w:val="32"/>
          <w:szCs w:val="32"/>
          <w:highlight w:val="none"/>
        </w:rPr>
        <w:t>资金</w:t>
      </w:r>
      <w:r>
        <w:rPr>
          <w:rFonts w:hint="eastAsia" w:ascii="仿宋_GB2312" w:hAnsi="仿宋_GB2312" w:eastAsia="仿宋_GB2312" w:cs="仿宋_GB2312"/>
          <w:sz w:val="32"/>
          <w:szCs w:val="32"/>
          <w:highlight w:val="none"/>
          <w:lang w:val="en-US" w:eastAsia="zh-CN"/>
        </w:rPr>
        <w:t>和地方</w:t>
      </w:r>
      <w:r>
        <w:rPr>
          <w:rFonts w:hint="eastAsia" w:ascii="仿宋_GB2312" w:hAnsi="仿宋_GB2312" w:eastAsia="仿宋_GB2312" w:cs="仿宋_GB2312"/>
          <w:sz w:val="32"/>
          <w:szCs w:val="32"/>
          <w:highlight w:val="none"/>
        </w:rPr>
        <w:t>财政投入为主，缺少居民、社会资金投入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筹资渠道仍然比较单一，</w:t>
      </w:r>
      <w:r>
        <w:rPr>
          <w:rFonts w:hint="eastAsia" w:ascii="仿宋_GB2312" w:hAnsi="仿宋_GB2312" w:eastAsia="仿宋_GB2312" w:cs="仿宋_GB2312"/>
          <w:sz w:val="32"/>
          <w:szCs w:val="32"/>
          <w:highlight w:val="none"/>
          <w:lang w:eastAsia="zh-CN"/>
        </w:rPr>
        <w:t>资金缺口较大。</w:t>
      </w:r>
      <w:r>
        <w:rPr>
          <w:rFonts w:hint="eastAsia" w:ascii="仿宋_GB2312" w:hAnsi="仿宋_GB2312" w:eastAsia="仿宋_GB2312"/>
          <w:b w:val="0"/>
          <w:bCs w:val="0"/>
          <w:color w:val="auto"/>
          <w:kern w:val="0"/>
          <w:sz w:val="32"/>
          <w:szCs w:val="32"/>
          <w:highlight w:val="none"/>
          <w:lang w:val="en-US" w:eastAsia="zh-CN"/>
        </w:rPr>
        <w:t>2023年，企业、产权单位（原产权单位）、专业经营单位等社会力量及居民出资占</w:t>
      </w:r>
      <w:r>
        <w:rPr>
          <w:rFonts w:hint="eastAsia" w:ascii="仿宋_GB2312" w:hAnsi="仿宋_GB2312" w:eastAsia="仿宋_GB2312"/>
          <w:b w:val="0"/>
          <w:bCs w:val="0"/>
          <w:color w:val="auto"/>
          <w:kern w:val="0"/>
          <w:sz w:val="32"/>
          <w:szCs w:val="32"/>
          <w:highlight w:val="none"/>
        </w:rPr>
        <w:t>实际到位资金</w:t>
      </w:r>
      <w:r>
        <w:rPr>
          <w:rFonts w:hint="eastAsia" w:ascii="仿宋_GB2312" w:hAnsi="仿宋_GB2312" w:eastAsia="仿宋_GB2312"/>
          <w:b w:val="0"/>
          <w:bCs w:val="0"/>
          <w:color w:val="auto"/>
          <w:kern w:val="0"/>
          <w:sz w:val="32"/>
          <w:szCs w:val="32"/>
          <w:highlight w:val="none"/>
          <w:lang w:val="en-US" w:eastAsia="zh-CN"/>
        </w:rPr>
        <w:t>的比例是5.42%，与预期目标的占比20%仍有一段距离。因为</w:t>
      </w:r>
      <w:r>
        <w:rPr>
          <w:rFonts w:hint="eastAsia" w:ascii="仿宋_GB2312" w:hAnsi="仿宋_GB2312" w:eastAsia="仿宋_GB2312"/>
          <w:color w:val="auto"/>
          <w:kern w:val="0"/>
          <w:sz w:val="32"/>
          <w:szCs w:val="32"/>
          <w:highlight w:val="none"/>
        </w:rPr>
        <w:t>老旧小区改造项目的微利性和长期性导致社会资本缺乏主动参与的自发性和积极性</w:t>
      </w:r>
      <w:r>
        <w:rPr>
          <w:rFonts w:hint="eastAsia" w:ascii="仿宋_GB2312" w:hAnsi="仿宋_GB2312" w:eastAsia="仿宋_GB2312"/>
          <w:color w:val="auto"/>
          <w:kern w:val="0"/>
          <w:sz w:val="32"/>
          <w:szCs w:val="32"/>
          <w:highlight w:val="none"/>
          <w:lang w:eastAsia="zh-CN"/>
        </w:rPr>
        <w:t>。</w:t>
      </w:r>
      <w:r>
        <w:rPr>
          <w:rFonts w:hint="eastAsia" w:ascii="仿宋_GB2312" w:hAnsi="仿宋_GB2312" w:eastAsia="仿宋_GB2312"/>
          <w:b w:val="0"/>
          <w:bCs w:val="0"/>
          <w:color w:val="auto"/>
          <w:kern w:val="0"/>
          <w:sz w:val="32"/>
          <w:szCs w:val="32"/>
          <w:highlight w:val="none"/>
          <w:lang w:val="en-US" w:eastAsia="zh-CN"/>
        </w:rPr>
        <w:t>老旧小区改造工作点多面广、公益性强、资金需求量大，但社会资本参与的项目少、意愿低，项目本身</w:t>
      </w:r>
      <w:r>
        <w:rPr>
          <w:rFonts w:hint="eastAsia" w:ascii="仿宋_GB2312" w:hAnsi="仿宋_GB2312" w:eastAsia="仿宋_GB2312"/>
          <w:color w:val="auto"/>
          <w:kern w:val="0"/>
          <w:sz w:val="32"/>
          <w:szCs w:val="32"/>
          <w:highlight w:val="none"/>
        </w:rPr>
        <w:t>投资回报周期长</w:t>
      </w:r>
      <w:r>
        <w:rPr>
          <w:rFonts w:hint="eastAsia" w:ascii="仿宋_GB2312" w:hAnsi="仿宋_GB2312" w:eastAsia="仿宋_GB2312"/>
          <w:color w:val="auto"/>
          <w:kern w:val="0"/>
          <w:sz w:val="32"/>
          <w:szCs w:val="32"/>
          <w:highlight w:val="none"/>
          <w:lang w:eastAsia="zh-CN"/>
        </w:rPr>
        <w:t>，</w:t>
      </w:r>
      <w:r>
        <w:rPr>
          <w:rFonts w:hint="eastAsia" w:ascii="仿宋_GB2312" w:hAnsi="仿宋_GB2312" w:eastAsia="仿宋_GB2312"/>
          <w:b w:val="0"/>
          <w:bCs w:val="0"/>
          <w:color w:val="auto"/>
          <w:kern w:val="0"/>
          <w:sz w:val="32"/>
          <w:szCs w:val="32"/>
          <w:highlight w:val="none"/>
          <w:lang w:val="en-US" w:eastAsia="zh-CN"/>
        </w:rPr>
        <w:t>盈利点不多。对于居民来说，业主对改造后的老旧小区价值提升效果缺乏感知，受自身收入、房屋出租率影响无法确认是否能取得投资回报，导致居民出资意愿低。因此亟须探索拓宽老旧小区改造社会资金筹措渠道，</w:t>
      </w:r>
      <w:r>
        <w:rPr>
          <w:rFonts w:hint="eastAsia" w:ascii="仿宋_GB2312" w:hAnsi="仿宋_GB2312" w:eastAsia="仿宋_GB2312"/>
          <w:color w:val="auto"/>
          <w:kern w:val="0"/>
          <w:sz w:val="32"/>
          <w:szCs w:val="32"/>
          <w:highlight w:val="none"/>
        </w:rPr>
        <w:t>寻找到财务和经济上可持续的发展模式</w:t>
      </w:r>
      <w:r>
        <w:rPr>
          <w:rFonts w:hint="eastAsia" w:ascii="仿宋_GB2312" w:hAnsi="仿宋_GB2312" w:eastAsia="仿宋_GB2312"/>
          <w:b w:val="0"/>
          <w:bCs w:val="0"/>
          <w:color w:val="auto"/>
          <w:kern w:val="0"/>
          <w:sz w:val="32"/>
          <w:szCs w:val="32"/>
          <w:highlight w:val="none"/>
          <w:lang w:val="en-US" w:eastAsia="zh-CN"/>
        </w:rPr>
        <w:t>。</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2" w:firstLineChars="200"/>
        <w:jc w:val="both"/>
        <w:textAlignment w:val="auto"/>
        <w:rPr>
          <w:rFonts w:hint="eastAsia" w:ascii="仿宋_GB2312" w:hAnsi="仿宋_GB2312" w:eastAsia="仿宋_GB2312"/>
          <w:b/>
          <w:bCs/>
          <w:color w:val="auto"/>
          <w:kern w:val="0"/>
          <w:sz w:val="32"/>
          <w:szCs w:val="32"/>
          <w:highlight w:val="none"/>
          <w:lang w:eastAsia="zh-CN"/>
        </w:rPr>
      </w:pPr>
      <w:r>
        <w:rPr>
          <w:rFonts w:hint="eastAsia" w:ascii="仿宋_GB2312" w:hAnsi="仿宋_GB2312" w:eastAsia="仿宋_GB2312"/>
          <w:b/>
          <w:bCs/>
          <w:color w:val="auto"/>
          <w:kern w:val="0"/>
          <w:sz w:val="32"/>
          <w:szCs w:val="32"/>
          <w:highlight w:val="none"/>
          <w:lang w:val="en-US" w:eastAsia="zh-CN"/>
        </w:rPr>
        <w:t>3.</w:t>
      </w:r>
      <w:r>
        <w:rPr>
          <w:rFonts w:hint="eastAsia" w:ascii="仿宋_GB2312" w:hAnsi="仿宋_GB2312" w:eastAsia="仿宋_GB2312"/>
          <w:b/>
          <w:bCs/>
          <w:color w:val="auto"/>
          <w:kern w:val="0"/>
          <w:sz w:val="32"/>
          <w:szCs w:val="32"/>
          <w:highlight w:val="none"/>
        </w:rPr>
        <w:t>难以同时满足</w:t>
      </w:r>
      <w:r>
        <w:rPr>
          <w:rFonts w:hint="eastAsia" w:ascii="仿宋_GB2312" w:hAnsi="仿宋_GB2312" w:eastAsia="仿宋_GB2312"/>
          <w:b/>
          <w:bCs/>
          <w:color w:val="auto"/>
          <w:kern w:val="0"/>
          <w:sz w:val="32"/>
          <w:szCs w:val="32"/>
          <w:highlight w:val="none"/>
          <w:lang w:eastAsia="zh-CN"/>
        </w:rPr>
        <w:t>所有</w:t>
      </w:r>
      <w:r>
        <w:rPr>
          <w:rFonts w:hint="eastAsia" w:ascii="仿宋_GB2312" w:hAnsi="仿宋_GB2312" w:eastAsia="仿宋_GB2312"/>
          <w:b/>
          <w:bCs/>
          <w:color w:val="auto"/>
          <w:kern w:val="0"/>
          <w:sz w:val="32"/>
          <w:szCs w:val="32"/>
          <w:highlight w:val="none"/>
        </w:rPr>
        <w:t>居民要求</w:t>
      </w:r>
      <w:r>
        <w:rPr>
          <w:rFonts w:hint="eastAsia" w:ascii="仿宋_GB2312" w:hAnsi="仿宋_GB2312" w:eastAsia="仿宋_GB2312"/>
          <w:b/>
          <w:bCs/>
          <w:color w:val="auto"/>
          <w:kern w:val="0"/>
          <w:sz w:val="32"/>
          <w:szCs w:val="32"/>
          <w:highlight w:val="none"/>
          <w:lang w:eastAsia="zh-CN"/>
        </w:rPr>
        <w:t>。</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0" w:firstLineChars="200"/>
        <w:jc w:val="both"/>
        <w:textAlignment w:val="auto"/>
        <w:rPr>
          <w:rFonts w:hint="eastAsia" w:ascii="仿宋_GB2312" w:hAnsi="仿宋_GB2312" w:eastAsia="仿宋_GB2312"/>
          <w:b w:val="0"/>
          <w:bCs w:val="0"/>
          <w:color w:val="auto"/>
          <w:kern w:val="0"/>
          <w:sz w:val="32"/>
          <w:szCs w:val="32"/>
          <w:highlight w:val="none"/>
          <w:lang w:val="en-US" w:eastAsia="zh-CN"/>
        </w:rPr>
      </w:pPr>
      <w:r>
        <w:rPr>
          <w:rFonts w:hint="eastAsia" w:ascii="仿宋_GB2312" w:hAnsi="仿宋_GB2312" w:eastAsia="仿宋_GB2312"/>
          <w:b w:val="0"/>
          <w:bCs w:val="0"/>
          <w:color w:val="auto"/>
          <w:kern w:val="0"/>
          <w:sz w:val="32"/>
          <w:szCs w:val="32"/>
          <w:highlight w:val="none"/>
          <w:lang w:val="en-US" w:eastAsia="zh-CN"/>
        </w:rPr>
        <w:t>按照“改不改、怎么改，老百姓说了算”的原则，老旧小区改造方案需征求大部分居民的意见。而大部分老旧小区的居民各自需求不同，例如低楼层居民和高楼层居民是否加装电梯的需求冲突，低收入居民和高收入居民对是否出资参与老旧小区改造的需求冲突，业主和租户对拆除或翻新老旧小区的需求冲突等，居民需求的多样以及小区资源的有限，导致老旧小区的改造更加复杂，难以同时满足所有居民需求。</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2" w:firstLineChars="200"/>
        <w:jc w:val="both"/>
        <w:textAlignment w:val="auto"/>
        <w:rPr>
          <w:rFonts w:hint="eastAsia" w:ascii="仿宋_GB2312" w:hAnsi="仿宋_GB2312" w:eastAsia="仿宋_GB2312" w:cs="仿宋_GB2312"/>
          <w:b/>
          <w:bCs/>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rPr>
        <w:t>4.推进长效管养存在现实困境。</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2" w:firstLineChars="200"/>
        <w:jc w:val="both"/>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rPr>
        <w:t>首先</w:t>
      </w:r>
      <w:r>
        <w:rPr>
          <w:rFonts w:hint="eastAsia" w:ascii="仿宋_GB2312" w:hAnsi="仿宋_GB2312" w:eastAsia="仿宋_GB2312" w:cs="仿宋_GB2312"/>
          <w:b w:val="0"/>
          <w:bCs w:val="0"/>
          <w:color w:val="auto"/>
          <w:kern w:val="0"/>
          <w:sz w:val="32"/>
          <w:szCs w:val="32"/>
          <w:highlight w:val="none"/>
          <w:lang w:val="en-US" w:eastAsia="zh-CN"/>
        </w:rPr>
        <w:t>物业服务单位进驻意愿不强。老旧小区往往无物业管理，无专项维修费，改造后仍存在物业区域管理难，住户付费购买服务意愿低的现象，物业服务企业不愿提供高质小区管理服务。</w:t>
      </w:r>
      <w:r>
        <w:rPr>
          <w:rFonts w:hint="eastAsia" w:ascii="仿宋_GB2312" w:hAnsi="仿宋_GB2312" w:eastAsia="仿宋_GB2312" w:cs="仿宋_GB2312"/>
          <w:b/>
          <w:bCs/>
          <w:color w:val="auto"/>
          <w:kern w:val="0"/>
          <w:sz w:val="32"/>
          <w:szCs w:val="32"/>
          <w:highlight w:val="none"/>
          <w:lang w:val="en-US" w:eastAsia="zh-CN"/>
        </w:rPr>
        <w:t>其次</w:t>
      </w:r>
      <w:r>
        <w:rPr>
          <w:rFonts w:hint="eastAsia" w:ascii="仿宋_GB2312" w:hAnsi="仿宋_GB2312" w:eastAsia="仿宋_GB2312" w:cs="仿宋_GB2312"/>
          <w:b w:val="0"/>
          <w:bCs w:val="0"/>
          <w:color w:val="auto"/>
          <w:kern w:val="0"/>
          <w:sz w:val="32"/>
          <w:szCs w:val="32"/>
          <w:highlight w:val="none"/>
          <w:lang w:val="en-US" w:eastAsia="zh-CN"/>
        </w:rPr>
        <w:t>全周期寿命内老旧小区质量安全责任压力较大。当前城镇老旧小区本身建筑老化产生的质量安全隐患与改造后产生的质量安全隐患难以明确责任，在一定程度上增加老旧小区改造后的后续维护整改工作量。</w:t>
      </w:r>
    </w:p>
    <w:p>
      <w:pPr>
        <w:pStyle w:val="11"/>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0" w:firstLineChars="200"/>
        <w:textAlignment w:val="auto"/>
        <w:outlineLvl w:val="0"/>
        <w:rPr>
          <w:rFonts w:hint="default" w:ascii="黑体" w:hAnsi="黑体" w:eastAsia="黑体" w:cs="黑体"/>
          <w:color w:val="auto"/>
          <w:kern w:val="2"/>
          <w:sz w:val="32"/>
          <w:szCs w:val="32"/>
          <w:highlight w:val="none"/>
          <w:lang w:val="en-US" w:eastAsia="zh-CN" w:bidi="ar-SA"/>
        </w:rPr>
      </w:pPr>
      <w:r>
        <w:rPr>
          <w:rFonts w:hint="eastAsia" w:ascii="黑体" w:hAnsi="黑体" w:eastAsia="黑体" w:cs="黑体"/>
          <w:color w:val="auto"/>
          <w:kern w:val="2"/>
          <w:sz w:val="32"/>
          <w:szCs w:val="32"/>
          <w:highlight w:val="none"/>
          <w:lang w:val="en-US" w:eastAsia="zh-CN" w:bidi="ar-SA"/>
        </w:rPr>
        <w:t>三、改进意见和建议</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2" w:firstLineChars="200"/>
        <w:textAlignment w:val="auto"/>
        <w:rPr>
          <w:rFonts w:hint="eastAsia" w:ascii="仿宋" w:hAnsi="仿宋" w:eastAsia="仿宋" w:cs="仿宋"/>
          <w:b/>
          <w:bCs/>
          <w:color w:val="auto"/>
          <w:kern w:val="0"/>
          <w:sz w:val="32"/>
          <w:szCs w:val="32"/>
          <w:highlight w:val="none"/>
          <w:lang w:val="zh-TW" w:eastAsia="zh-CN"/>
        </w:rPr>
      </w:pPr>
      <w:r>
        <w:rPr>
          <w:rFonts w:hint="eastAsia" w:hAnsi="宋体" w:eastAsia="楷体_GB2312" w:asciiTheme="minorHAnsi" w:cstheme="minorBidi"/>
          <w:b/>
          <w:bCs/>
          <w:color w:val="auto"/>
          <w:kern w:val="44"/>
          <w:sz w:val="32"/>
          <w:szCs w:val="44"/>
          <w:highlight w:val="none"/>
          <w:lang w:val="en-US" w:eastAsia="zh-CN"/>
        </w:rPr>
        <w:t>（一）加强部门</w:t>
      </w:r>
      <w:r>
        <w:rPr>
          <w:rFonts w:hint="eastAsia" w:hAnsi="宋体" w:eastAsia="楷体_GB2312" w:cstheme="minorBidi"/>
          <w:b/>
          <w:bCs/>
          <w:color w:val="auto"/>
          <w:kern w:val="44"/>
          <w:sz w:val="32"/>
          <w:szCs w:val="44"/>
          <w:highlight w:val="none"/>
          <w:lang w:val="en-US" w:eastAsia="zh-CN"/>
        </w:rPr>
        <w:t>统筹协调</w:t>
      </w:r>
      <w:r>
        <w:rPr>
          <w:rFonts w:hint="eastAsia" w:hAnsi="宋体" w:eastAsia="楷体_GB2312" w:asciiTheme="minorHAnsi" w:cstheme="minorBidi"/>
          <w:b/>
          <w:bCs/>
          <w:color w:val="auto"/>
          <w:kern w:val="44"/>
          <w:sz w:val="32"/>
          <w:szCs w:val="44"/>
          <w:highlight w:val="none"/>
          <w:lang w:val="en-US" w:eastAsia="zh-CN"/>
        </w:rPr>
        <w:t>，</w:t>
      </w:r>
      <w:r>
        <w:rPr>
          <w:rFonts w:hint="eastAsia" w:hAnsi="宋体" w:eastAsia="楷体_GB2312" w:cstheme="minorBidi"/>
          <w:b/>
          <w:bCs/>
          <w:color w:val="auto"/>
          <w:kern w:val="44"/>
          <w:sz w:val="32"/>
          <w:szCs w:val="44"/>
          <w:highlight w:val="none"/>
          <w:lang w:val="en-US" w:eastAsia="zh-CN"/>
        </w:rPr>
        <w:t>继续完善工作机制和政策制度体系</w:t>
      </w:r>
      <w:r>
        <w:rPr>
          <w:rFonts w:hint="eastAsia" w:hAnsi="宋体" w:eastAsia="楷体_GB2312" w:asciiTheme="minorHAnsi" w:cstheme="minorBidi"/>
          <w:b/>
          <w:bCs/>
          <w:color w:val="auto"/>
          <w:kern w:val="44"/>
          <w:sz w:val="32"/>
          <w:szCs w:val="44"/>
          <w:highlight w:val="none"/>
          <w:lang w:val="en-US" w:eastAsia="zh-CN"/>
        </w:rPr>
        <w:t>。</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2" w:firstLineChars="200"/>
        <w:textAlignment w:val="auto"/>
        <w:rPr>
          <w:rFonts w:hint="eastAsia" w:hAnsi="宋体" w:eastAsia="楷体_GB2312"/>
          <w:b/>
          <w:bCs/>
          <w:color w:val="auto"/>
          <w:kern w:val="44"/>
          <w:sz w:val="32"/>
          <w:szCs w:val="44"/>
          <w:highlight w:val="none"/>
          <w:lang w:eastAsia="zh-CN"/>
        </w:rPr>
      </w:pPr>
      <w:r>
        <w:rPr>
          <w:rFonts w:hint="eastAsia" w:ascii="仿宋_GB2312" w:hAnsi="仿宋_GB2312" w:eastAsia="仿宋_GB2312" w:cs="仿宋_GB2312"/>
          <w:b/>
          <w:bCs/>
          <w:color w:val="auto"/>
          <w:sz w:val="32"/>
          <w:highlight w:val="none"/>
          <w:lang w:val="en-US" w:eastAsia="zh-CN"/>
        </w:rPr>
        <w:t>一是</w:t>
      </w:r>
      <w:r>
        <w:rPr>
          <w:rFonts w:hint="eastAsia" w:ascii="仿宋_GB2312" w:hAnsi="仿宋_GB2312" w:eastAsia="仿宋_GB2312" w:cs="仿宋_GB2312"/>
          <w:b w:val="0"/>
          <w:bCs w:val="0"/>
          <w:color w:val="auto"/>
          <w:sz w:val="32"/>
          <w:highlight w:val="none"/>
          <w:lang w:eastAsia="zh-CN"/>
        </w:rPr>
        <w:t>进一步加强工作统筹协调，</w:t>
      </w:r>
      <w:r>
        <w:rPr>
          <w:rFonts w:hint="eastAsia" w:ascii="仿宋_GB2312" w:hAnsi="仿宋_GB2312" w:eastAsia="仿宋_GB2312" w:cs="仿宋_GB2312"/>
          <w:color w:val="auto"/>
          <w:kern w:val="0"/>
          <w:sz w:val="32"/>
          <w:szCs w:val="32"/>
          <w:highlight w:val="none"/>
          <w:lang w:eastAsia="zh-CN"/>
        </w:rPr>
        <w:t>充分发挥住房城乡建设、财政审计部门、纪检部门、巡察小组在老旧小区改造中的监管作用</w:t>
      </w:r>
      <w:r>
        <w:rPr>
          <w:rFonts w:hint="eastAsia" w:ascii="仿宋_GB2312" w:hAnsi="仿宋_GB2312" w:eastAsia="仿宋_GB2312" w:cs="仿宋_GB2312"/>
          <w:b w:val="0"/>
          <w:bCs w:val="0"/>
          <w:color w:val="auto"/>
          <w:sz w:val="32"/>
          <w:highlight w:val="none"/>
          <w:lang w:eastAsia="zh-CN"/>
        </w:rPr>
        <w:t>。将老旧小区改造与推动城市精细化管理建设、基层党组织建设、居民自治机制建设、社区服务体系建设相结合，通过整体策划、科学布局、强化特色、传承历史，实现老旧小区成片连片形态更新、功能更新、治理更新。</w:t>
      </w:r>
      <w:r>
        <w:rPr>
          <w:rFonts w:hint="eastAsia" w:ascii="仿宋_GB2312" w:hAnsi="仿宋_GB2312" w:eastAsia="仿宋_GB2312" w:cs="仿宋_GB2312"/>
          <w:b/>
          <w:bCs/>
          <w:color w:val="auto"/>
          <w:sz w:val="32"/>
          <w:highlight w:val="none"/>
          <w:lang w:val="en-US" w:eastAsia="zh-CN"/>
        </w:rPr>
        <w:t>二是</w:t>
      </w:r>
      <w:r>
        <w:rPr>
          <w:rFonts w:hint="eastAsia" w:ascii="仿宋_GB2312" w:hAnsi="仿宋_GB2312" w:eastAsia="仿宋_GB2312" w:cs="仿宋_GB2312"/>
          <w:b w:val="0"/>
          <w:bCs w:val="0"/>
          <w:color w:val="auto"/>
          <w:sz w:val="32"/>
          <w:highlight w:val="none"/>
          <w:lang w:val="en-US" w:eastAsia="zh-CN"/>
        </w:rPr>
        <w:t>完善配套制度体系。</w:t>
      </w:r>
      <w:r>
        <w:rPr>
          <w:rFonts w:hint="eastAsia" w:ascii="仿宋_GB2312" w:hAnsi="仿宋_GB2312" w:eastAsia="仿宋_GB2312" w:cs="仿宋_GB2312"/>
          <w:b w:val="0"/>
          <w:bCs w:val="0"/>
          <w:color w:val="auto"/>
          <w:sz w:val="32"/>
          <w:highlight w:val="none"/>
          <w:lang w:eastAsia="zh-CN"/>
        </w:rPr>
        <w:t>推动制定与现有法律法规相衔接的规划、土地、财政、金融等配套政策，聚焦改造项目实施的重要节点和关键环节，明确老旧小区提升改造涉及的各利益主体的权利关系。</w:t>
      </w:r>
      <w:r>
        <w:rPr>
          <w:rFonts w:hint="eastAsia" w:ascii="仿宋_GB2312" w:hAnsi="仿宋_GB2312" w:eastAsia="仿宋_GB2312" w:cs="仿宋_GB2312"/>
          <w:b w:val="0"/>
          <w:bCs w:val="0"/>
          <w:color w:val="auto"/>
          <w:sz w:val="32"/>
          <w:highlight w:val="none"/>
          <w:lang w:val="en-US" w:eastAsia="zh-CN"/>
        </w:rPr>
        <w:t>只有</w:t>
      </w:r>
      <w:r>
        <w:rPr>
          <w:rFonts w:hint="eastAsia" w:ascii="仿宋_GB2312" w:hAnsi="仿宋_GB2312" w:eastAsia="仿宋_GB2312" w:cs="仿宋_GB2312"/>
          <w:b w:val="0"/>
          <w:bCs w:val="0"/>
          <w:color w:val="auto"/>
          <w:sz w:val="32"/>
          <w:highlight w:val="none"/>
          <w:lang w:eastAsia="zh-CN"/>
        </w:rPr>
        <w:t>建立健全老旧小区改造建设的</w:t>
      </w:r>
      <w:r>
        <w:rPr>
          <w:rFonts w:hint="eastAsia" w:ascii="仿宋_GB2312" w:hAnsi="仿宋_GB2312" w:eastAsia="仿宋_GB2312" w:cs="仿宋_GB2312"/>
          <w:b w:val="0"/>
          <w:bCs w:val="0"/>
          <w:color w:val="auto"/>
          <w:sz w:val="32"/>
          <w:highlight w:val="none"/>
          <w:lang w:val="en-US" w:eastAsia="zh-CN"/>
        </w:rPr>
        <w:t>制度</w:t>
      </w:r>
      <w:r>
        <w:rPr>
          <w:rFonts w:hint="eastAsia" w:ascii="仿宋_GB2312" w:hAnsi="仿宋_GB2312" w:eastAsia="仿宋_GB2312" w:cs="仿宋_GB2312"/>
          <w:b w:val="0"/>
          <w:bCs w:val="0"/>
          <w:color w:val="auto"/>
          <w:sz w:val="32"/>
          <w:highlight w:val="none"/>
          <w:lang w:eastAsia="zh-CN"/>
        </w:rPr>
        <w:t>体系，</w:t>
      </w:r>
      <w:r>
        <w:rPr>
          <w:rFonts w:hint="eastAsia" w:ascii="仿宋_GB2312" w:hAnsi="仿宋_GB2312" w:eastAsia="仿宋_GB2312" w:cs="仿宋_GB2312"/>
          <w:color w:val="auto"/>
          <w:sz w:val="32"/>
          <w:highlight w:val="none"/>
        </w:rPr>
        <w:t>形成具有广泛约束力的建设机制</w:t>
      </w:r>
      <w:r>
        <w:rPr>
          <w:rFonts w:hint="eastAsia" w:ascii="仿宋_GB2312" w:hAnsi="仿宋_GB2312" w:eastAsia="仿宋_GB2312" w:cs="仿宋_GB2312"/>
          <w:color w:val="auto"/>
          <w:sz w:val="32"/>
          <w:highlight w:val="none"/>
          <w:lang w:eastAsia="zh-CN"/>
        </w:rPr>
        <w:t>，</w:t>
      </w:r>
      <w:r>
        <w:rPr>
          <w:rFonts w:hint="eastAsia" w:ascii="仿宋_GB2312" w:hAnsi="仿宋_GB2312" w:eastAsia="仿宋_GB2312" w:cs="仿宋_GB2312"/>
          <w:b w:val="0"/>
          <w:bCs w:val="0"/>
          <w:color w:val="auto"/>
          <w:sz w:val="32"/>
          <w:highlight w:val="none"/>
          <w:lang w:val="en-US" w:eastAsia="zh-CN"/>
        </w:rPr>
        <w:t>才能</w:t>
      </w:r>
      <w:r>
        <w:rPr>
          <w:rFonts w:hint="eastAsia" w:ascii="仿宋_GB2312" w:hAnsi="仿宋_GB2312" w:eastAsia="仿宋_GB2312" w:cs="仿宋_GB2312"/>
          <w:b w:val="0"/>
          <w:bCs w:val="0"/>
          <w:color w:val="auto"/>
          <w:sz w:val="32"/>
          <w:highlight w:val="none"/>
          <w:lang w:eastAsia="zh-CN"/>
        </w:rPr>
        <w:t>为全面推进老旧小区改造进程提供支撑。</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2" w:firstLineChars="200"/>
        <w:textAlignment w:val="auto"/>
        <w:rPr>
          <w:rFonts w:hint="eastAsia" w:ascii="仿宋_GB2312" w:hAnsi="仿宋_GB2312" w:eastAsia="仿宋_GB2312" w:cs="仿宋_GB2312"/>
          <w:color w:val="auto"/>
          <w:kern w:val="0"/>
          <w:sz w:val="32"/>
          <w:szCs w:val="32"/>
          <w:highlight w:val="none"/>
        </w:rPr>
      </w:pPr>
      <w:r>
        <w:rPr>
          <w:rFonts w:hint="eastAsia" w:hAnsi="宋体" w:eastAsia="楷体_GB2312" w:asciiTheme="minorHAnsi" w:cstheme="minorBidi"/>
          <w:b/>
          <w:bCs/>
          <w:color w:val="auto"/>
          <w:kern w:val="44"/>
          <w:sz w:val="32"/>
          <w:szCs w:val="44"/>
          <w:highlight w:val="none"/>
          <w:lang w:val="en-US" w:eastAsia="zh-CN"/>
        </w:rPr>
        <w:t>（二）</w:t>
      </w:r>
      <w:r>
        <w:rPr>
          <w:rFonts w:hint="eastAsia" w:hAnsi="宋体" w:eastAsia="楷体_GB2312"/>
          <w:b/>
          <w:bCs/>
          <w:color w:val="auto"/>
          <w:kern w:val="44"/>
          <w:sz w:val="32"/>
          <w:szCs w:val="44"/>
          <w:highlight w:val="none"/>
        </w:rPr>
        <w:t>科学谋划</w:t>
      </w:r>
      <w:r>
        <w:rPr>
          <w:rFonts w:hint="eastAsia" w:hAnsi="宋体" w:eastAsia="楷体_GB2312" w:asciiTheme="minorHAnsi" w:cstheme="minorBidi"/>
          <w:b/>
          <w:bCs/>
          <w:color w:val="auto"/>
          <w:kern w:val="44"/>
          <w:sz w:val="32"/>
          <w:szCs w:val="44"/>
          <w:highlight w:val="none"/>
          <w:lang w:eastAsia="zh-CN"/>
        </w:rPr>
        <w:t>，</w:t>
      </w:r>
      <w:r>
        <w:rPr>
          <w:rFonts w:hint="eastAsia" w:hAnsi="宋体" w:eastAsia="楷体_GB2312"/>
          <w:b/>
          <w:bCs/>
          <w:color w:val="auto"/>
          <w:kern w:val="44"/>
          <w:sz w:val="32"/>
          <w:szCs w:val="44"/>
          <w:highlight w:val="none"/>
        </w:rPr>
        <w:t>提高资金使用效率。</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2"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lang w:val="en-US" w:eastAsia="zh-CN"/>
        </w:rPr>
        <w:t>一是</w:t>
      </w:r>
      <w:r>
        <w:rPr>
          <w:rFonts w:hint="eastAsia" w:ascii="仿宋_GB2312" w:hAnsi="仿宋_GB2312" w:eastAsia="仿宋_GB2312" w:cs="仿宋_GB2312"/>
          <w:b w:val="0"/>
          <w:bCs w:val="0"/>
          <w:color w:val="auto"/>
          <w:kern w:val="0"/>
          <w:sz w:val="32"/>
          <w:szCs w:val="32"/>
          <w:highlight w:val="none"/>
          <w:lang w:val="en-US" w:eastAsia="zh-CN"/>
        </w:rPr>
        <w:t>抓好绩效目标的落实，</w:t>
      </w:r>
      <w:r>
        <w:rPr>
          <w:rFonts w:ascii="仿宋" w:hAnsi="仿宋" w:eastAsia="仿宋" w:cs="仿宋"/>
          <w:b w:val="0"/>
          <w:bCs w:val="0"/>
          <w:spacing w:val="13"/>
          <w:sz w:val="31"/>
          <w:szCs w:val="31"/>
        </w:rPr>
        <w:t>进一步压实</w:t>
      </w:r>
      <w:r>
        <w:rPr>
          <w:rFonts w:hint="eastAsia" w:ascii="仿宋" w:hAnsi="仿宋" w:eastAsia="仿宋" w:cs="仿宋"/>
          <w:b w:val="0"/>
          <w:bCs w:val="0"/>
          <w:spacing w:val="13"/>
          <w:sz w:val="31"/>
          <w:szCs w:val="31"/>
          <w:lang w:eastAsia="zh-CN"/>
        </w:rPr>
        <w:t>主体</w:t>
      </w:r>
      <w:r>
        <w:rPr>
          <w:rFonts w:ascii="仿宋" w:hAnsi="仿宋" w:eastAsia="仿宋" w:cs="仿宋"/>
          <w:b w:val="0"/>
          <w:bCs w:val="0"/>
          <w:spacing w:val="13"/>
          <w:sz w:val="31"/>
          <w:szCs w:val="31"/>
        </w:rPr>
        <w:t>责任</w:t>
      </w:r>
      <w:r>
        <w:rPr>
          <w:rFonts w:hint="eastAsia" w:ascii="仿宋_GB2312" w:hAnsi="仿宋_GB2312" w:eastAsia="仿宋_GB2312" w:cs="仿宋_GB2312"/>
          <w:b w:val="0"/>
          <w:bCs w:val="0"/>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eastAsia="zh-CN"/>
        </w:rPr>
        <w:t>加强对各地执行</w:t>
      </w:r>
      <w:r>
        <w:rPr>
          <w:rFonts w:hint="eastAsia" w:ascii="仿宋_GB2312" w:hAnsi="仿宋_GB2312" w:eastAsia="仿宋_GB2312" w:cs="仿宋_GB2312"/>
          <w:b w:val="0"/>
          <w:bCs w:val="0"/>
          <w:color w:val="auto"/>
          <w:kern w:val="0"/>
          <w:sz w:val="32"/>
          <w:szCs w:val="32"/>
          <w:highlight w:val="none"/>
          <w:lang w:val="en-US" w:eastAsia="zh-CN"/>
        </w:rPr>
        <w:t>支付进度计划的</w:t>
      </w:r>
      <w:r>
        <w:rPr>
          <w:rFonts w:hint="eastAsia" w:ascii="仿宋_GB2312" w:hAnsi="仿宋_GB2312" w:eastAsia="仿宋_GB2312" w:cs="仿宋_GB2312"/>
          <w:color w:val="auto"/>
          <w:kern w:val="0"/>
          <w:sz w:val="32"/>
          <w:szCs w:val="32"/>
          <w:highlight w:val="none"/>
        </w:rPr>
        <w:t>督促指导</w:t>
      </w:r>
      <w:r>
        <w:rPr>
          <w:rFonts w:hint="eastAsia" w:ascii="仿宋_GB2312" w:hAnsi="仿宋_GB2312" w:eastAsia="仿宋_GB2312" w:cs="仿宋_GB2312"/>
          <w:color w:val="auto"/>
          <w:kern w:val="0"/>
          <w:sz w:val="32"/>
          <w:szCs w:val="32"/>
          <w:highlight w:val="none"/>
          <w:lang w:eastAsia="zh-CN"/>
        </w:rPr>
        <w:t>。充分发挥绩效监控和审计部门、纪检部门、巡察小组在老旧小区改造中的作用，加强对各个环节的监督和预警。督促各市业务主管部门</w:t>
      </w:r>
      <w:r>
        <w:rPr>
          <w:rFonts w:hint="eastAsia" w:ascii="仿宋_GB2312" w:hAnsi="仿宋_GB2312" w:eastAsia="仿宋_GB2312" w:cs="仿宋_GB2312"/>
          <w:color w:val="auto"/>
          <w:kern w:val="0"/>
          <w:sz w:val="32"/>
          <w:szCs w:val="32"/>
          <w:highlight w:val="none"/>
        </w:rPr>
        <w:t>积极与财政部门沟通衔接，做好资金</w:t>
      </w:r>
      <w:r>
        <w:rPr>
          <w:rFonts w:hint="eastAsia" w:ascii="仿宋_GB2312" w:hAnsi="仿宋_GB2312" w:eastAsia="仿宋_GB2312" w:cs="仿宋_GB2312"/>
          <w:color w:val="auto"/>
          <w:kern w:val="0"/>
          <w:sz w:val="32"/>
          <w:szCs w:val="32"/>
          <w:highlight w:val="none"/>
          <w:lang w:val="en-US" w:eastAsia="zh-CN"/>
        </w:rPr>
        <w:t>前期</w:t>
      </w:r>
      <w:r>
        <w:rPr>
          <w:rFonts w:hint="eastAsia" w:ascii="仿宋_GB2312" w:hAnsi="仿宋_GB2312" w:eastAsia="仿宋_GB2312" w:cs="仿宋_GB2312"/>
          <w:color w:val="auto"/>
          <w:kern w:val="0"/>
          <w:sz w:val="32"/>
          <w:szCs w:val="32"/>
          <w:highlight w:val="none"/>
        </w:rPr>
        <w:t>审批工作</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督促各市</w:t>
      </w:r>
      <w:r>
        <w:rPr>
          <w:rFonts w:hint="eastAsia" w:ascii="仿宋_GB2312" w:hAnsi="仿宋_GB2312" w:eastAsia="仿宋_GB2312" w:cs="仿宋_GB2312"/>
          <w:color w:val="auto"/>
          <w:kern w:val="0"/>
          <w:sz w:val="32"/>
          <w:szCs w:val="32"/>
          <w:highlight w:val="none"/>
        </w:rPr>
        <w:t>严格按工程进度落实资金支付</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督促各市</w:t>
      </w:r>
      <w:r>
        <w:rPr>
          <w:rFonts w:hint="eastAsia" w:ascii="仿宋_GB2312" w:hAnsi="仿宋_GB2312" w:eastAsia="仿宋_GB2312" w:cs="仿宋_GB2312"/>
          <w:color w:val="auto"/>
          <w:kern w:val="0"/>
          <w:sz w:val="32"/>
          <w:szCs w:val="32"/>
          <w:highlight w:val="none"/>
        </w:rPr>
        <w:t>平衡好上级补助资金和政府专项债的优先关系，</w:t>
      </w:r>
      <w:r>
        <w:rPr>
          <w:rFonts w:hint="eastAsia" w:ascii="仿宋_GB2312" w:hAnsi="仿宋_GB2312" w:eastAsia="仿宋_GB2312" w:cs="仿宋_GB2312"/>
          <w:color w:val="auto"/>
          <w:kern w:val="0"/>
          <w:sz w:val="32"/>
          <w:szCs w:val="32"/>
          <w:highlight w:val="none"/>
          <w:lang w:val="en-US" w:eastAsia="zh-CN"/>
        </w:rPr>
        <w:t>避免</w:t>
      </w:r>
      <w:r>
        <w:rPr>
          <w:rFonts w:hint="eastAsia" w:ascii="仿宋_GB2312" w:hAnsi="仿宋_GB2312" w:eastAsia="仿宋_GB2312" w:cs="仿宋_GB2312"/>
          <w:color w:val="auto"/>
          <w:kern w:val="0"/>
          <w:sz w:val="32"/>
          <w:szCs w:val="32"/>
          <w:highlight w:val="none"/>
        </w:rPr>
        <w:t>使用专项债后造成上级补助资金无法支付等现象。</w:t>
      </w:r>
      <w:r>
        <w:rPr>
          <w:rFonts w:hint="eastAsia" w:ascii="仿宋_GB2312" w:hAnsi="仿宋_GB2312" w:eastAsia="仿宋_GB2312" w:cs="仿宋_GB2312"/>
          <w:b/>
          <w:bCs/>
          <w:color w:val="auto"/>
          <w:kern w:val="0"/>
          <w:sz w:val="32"/>
          <w:szCs w:val="32"/>
          <w:highlight w:val="none"/>
          <w:lang w:val="en-US" w:eastAsia="zh-CN"/>
        </w:rPr>
        <w:t>二是</w:t>
      </w:r>
      <w:r>
        <w:rPr>
          <w:rFonts w:hint="eastAsia" w:ascii="仿宋_GB2312" w:hAnsi="仿宋_GB2312" w:eastAsia="仿宋_GB2312" w:cs="仿宋_GB2312"/>
          <w:color w:val="auto"/>
          <w:kern w:val="0"/>
          <w:sz w:val="32"/>
          <w:szCs w:val="32"/>
          <w:highlight w:val="none"/>
          <w:lang w:val="en-US" w:eastAsia="zh-CN"/>
        </w:rPr>
        <w:t>优化审批流程。针对部分县级业务主管部门反映财政补助资金拨付较慢，影响了项目进度和资金支出情况。推动市县优化、简化、完善资金的审批程序，提升审批拨付效率。</w:t>
      </w:r>
      <w:r>
        <w:rPr>
          <w:rFonts w:hint="eastAsia" w:ascii="仿宋_GB2312" w:hAnsi="仿宋_GB2312" w:eastAsia="仿宋_GB2312" w:cs="仿宋_GB2312"/>
          <w:b/>
          <w:bCs/>
          <w:color w:val="auto"/>
          <w:kern w:val="0"/>
          <w:sz w:val="32"/>
          <w:szCs w:val="32"/>
          <w:highlight w:val="none"/>
          <w:lang w:val="en-US" w:eastAsia="zh-CN"/>
        </w:rPr>
        <w:t>三是</w:t>
      </w:r>
      <w:r>
        <w:rPr>
          <w:rFonts w:hint="eastAsia" w:ascii="仿宋_GB2312" w:hAnsi="仿宋_GB2312" w:eastAsia="仿宋_GB2312" w:cs="仿宋_GB2312"/>
          <w:b w:val="0"/>
          <w:bCs w:val="0"/>
          <w:color w:val="auto"/>
          <w:kern w:val="0"/>
          <w:sz w:val="32"/>
          <w:szCs w:val="32"/>
          <w:highlight w:val="none"/>
          <w:lang w:val="en-US" w:eastAsia="zh-CN"/>
        </w:rPr>
        <w:t>强化绩效评价结果反馈机制。</w:t>
      </w:r>
      <w:r>
        <w:rPr>
          <w:rFonts w:hint="eastAsia" w:ascii="仿宋_GB2312" w:hAnsi="仿宋_GB2312" w:eastAsia="仿宋_GB2312" w:cs="仿宋_GB2312"/>
          <w:color w:val="auto"/>
          <w:kern w:val="0"/>
          <w:sz w:val="32"/>
          <w:szCs w:val="32"/>
          <w:highlight w:val="none"/>
          <w:lang w:val="en-US" w:eastAsia="zh-CN"/>
        </w:rPr>
        <w:t>根据上一年度的中央财政</w:t>
      </w:r>
      <w:r>
        <w:rPr>
          <w:rFonts w:hint="eastAsia" w:ascii="仿宋_GB2312" w:hAnsi="仿宋_GB2312" w:eastAsia="仿宋_GB2312" w:cs="仿宋_GB2312"/>
          <w:color w:val="auto"/>
          <w:kern w:val="0"/>
          <w:sz w:val="32"/>
          <w:szCs w:val="32"/>
          <w:highlight w:val="none"/>
        </w:rPr>
        <w:t>补助资金</w:t>
      </w:r>
      <w:r>
        <w:rPr>
          <w:rFonts w:hint="eastAsia" w:ascii="仿宋_GB2312" w:hAnsi="仿宋_GB2312" w:eastAsia="仿宋_GB2312" w:cs="仿宋_GB2312"/>
          <w:color w:val="auto"/>
          <w:kern w:val="0"/>
          <w:sz w:val="32"/>
          <w:szCs w:val="32"/>
          <w:highlight w:val="none"/>
          <w:lang w:val="en-US" w:eastAsia="zh-CN"/>
        </w:rPr>
        <w:t>绩效评价结果对下一年度资金分配情况</w:t>
      </w:r>
      <w:r>
        <w:rPr>
          <w:rFonts w:hint="eastAsia" w:ascii="仿宋_GB2312" w:hAnsi="仿宋_GB2312" w:eastAsia="仿宋_GB2312" w:cs="仿宋_GB2312"/>
          <w:color w:val="auto"/>
          <w:kern w:val="0"/>
          <w:sz w:val="32"/>
          <w:szCs w:val="32"/>
          <w:highlight w:val="none"/>
        </w:rPr>
        <w:t>进行调</w:t>
      </w:r>
      <w:r>
        <w:rPr>
          <w:rFonts w:hint="eastAsia" w:ascii="仿宋_GB2312" w:hAnsi="仿宋_GB2312" w:eastAsia="仿宋_GB2312" w:cs="仿宋_GB2312"/>
          <w:color w:val="auto"/>
          <w:kern w:val="0"/>
          <w:sz w:val="32"/>
          <w:szCs w:val="32"/>
          <w:highlight w:val="none"/>
          <w:lang w:val="en-US" w:eastAsia="zh-CN"/>
        </w:rPr>
        <w:t>整</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关注</w:t>
      </w:r>
      <w:r>
        <w:rPr>
          <w:rFonts w:hint="eastAsia" w:ascii="仿宋_GB2312" w:hAnsi="仿宋_GB2312" w:eastAsia="仿宋_GB2312" w:cs="仿宋_GB2312"/>
          <w:color w:val="auto"/>
          <w:kern w:val="0"/>
          <w:sz w:val="32"/>
          <w:szCs w:val="32"/>
          <w:highlight w:val="none"/>
        </w:rPr>
        <w:t>资金缺口大、项目实施建设好、资金支付使用效率高的项目</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提高资金使用效率</w:t>
      </w:r>
      <w:r>
        <w:rPr>
          <w:rFonts w:hint="eastAsia" w:ascii="仿宋_GB2312" w:hAnsi="仿宋_GB2312" w:eastAsia="仿宋_GB2312" w:cs="仿宋_GB2312"/>
          <w:color w:val="auto"/>
          <w:kern w:val="0"/>
          <w:sz w:val="32"/>
          <w:szCs w:val="32"/>
          <w:highlight w:val="none"/>
        </w:rPr>
        <w:t>。</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2" w:firstLineChars="200"/>
        <w:textAlignment w:val="auto"/>
        <w:rPr>
          <w:rFonts w:hint="eastAsia" w:hAnsi="宋体" w:eastAsia="楷体_GB2312"/>
          <w:b/>
          <w:bCs/>
          <w:color w:val="auto"/>
          <w:kern w:val="44"/>
          <w:sz w:val="32"/>
          <w:szCs w:val="44"/>
          <w:highlight w:val="none"/>
        </w:rPr>
      </w:pPr>
      <w:r>
        <w:rPr>
          <w:rFonts w:hint="eastAsia" w:hAnsi="宋体" w:eastAsia="楷体_GB2312"/>
          <w:b/>
          <w:bCs/>
          <w:color w:val="auto"/>
          <w:kern w:val="44"/>
          <w:sz w:val="32"/>
          <w:szCs w:val="44"/>
          <w:highlight w:val="none"/>
          <w:lang w:eastAsia="zh-CN"/>
        </w:rPr>
        <w:t>（</w:t>
      </w:r>
      <w:r>
        <w:rPr>
          <w:rFonts w:hint="eastAsia" w:hAnsi="宋体" w:eastAsia="楷体_GB2312"/>
          <w:b/>
          <w:bCs/>
          <w:color w:val="auto"/>
          <w:kern w:val="44"/>
          <w:sz w:val="32"/>
          <w:szCs w:val="44"/>
          <w:highlight w:val="none"/>
          <w:lang w:val="en-US" w:eastAsia="zh-CN"/>
        </w:rPr>
        <w:t>三</w:t>
      </w:r>
      <w:r>
        <w:rPr>
          <w:rFonts w:hint="eastAsia" w:hAnsi="宋体" w:eastAsia="楷体_GB2312"/>
          <w:b/>
          <w:bCs/>
          <w:color w:val="auto"/>
          <w:kern w:val="44"/>
          <w:sz w:val="32"/>
          <w:szCs w:val="44"/>
          <w:highlight w:val="none"/>
          <w:lang w:eastAsia="zh-CN"/>
        </w:rPr>
        <w:t>）</w:t>
      </w:r>
      <w:r>
        <w:rPr>
          <w:rFonts w:hint="eastAsia" w:hAnsi="宋体" w:eastAsia="楷体_GB2312"/>
          <w:b/>
          <w:bCs/>
          <w:color w:val="auto"/>
          <w:kern w:val="44"/>
          <w:sz w:val="32"/>
          <w:szCs w:val="44"/>
          <w:highlight w:val="none"/>
        </w:rPr>
        <w:t>拓宽思路方法，多渠道筹集资金。</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老旧小区改造牵涉面广，单靠财政资金远不能满足改造资金需求</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因此需要</w:t>
      </w:r>
      <w:r>
        <w:rPr>
          <w:rFonts w:hint="eastAsia" w:ascii="仿宋_GB2312" w:hAnsi="仿宋_GB2312" w:eastAsia="仿宋_GB2312" w:cs="仿宋_GB2312"/>
          <w:color w:val="auto"/>
          <w:kern w:val="0"/>
          <w:sz w:val="32"/>
          <w:szCs w:val="32"/>
          <w:highlight w:val="none"/>
        </w:rPr>
        <w:t>引导居民、原产权单位</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企业</w:t>
      </w:r>
      <w:r>
        <w:rPr>
          <w:rFonts w:hint="eastAsia" w:ascii="仿宋_GB2312" w:hAnsi="仿宋_GB2312" w:eastAsia="仿宋_GB2312" w:cs="仿宋_GB2312"/>
          <w:color w:val="auto"/>
          <w:kern w:val="0"/>
          <w:sz w:val="32"/>
          <w:szCs w:val="32"/>
          <w:highlight w:val="none"/>
        </w:rPr>
        <w:t>出资等多元化多渠道进行</w:t>
      </w:r>
      <w:r>
        <w:rPr>
          <w:rFonts w:hint="eastAsia" w:ascii="仿宋_GB2312" w:hAnsi="仿宋_GB2312" w:eastAsia="仿宋_GB2312" w:cs="仿宋_GB2312"/>
          <w:color w:val="auto"/>
          <w:kern w:val="0"/>
          <w:sz w:val="32"/>
          <w:szCs w:val="32"/>
          <w:highlight w:val="none"/>
          <w:lang w:val="en-US" w:eastAsia="zh-CN"/>
        </w:rPr>
        <w:t>资金</w:t>
      </w:r>
      <w:r>
        <w:rPr>
          <w:rFonts w:hint="eastAsia" w:ascii="仿宋_GB2312" w:hAnsi="仿宋_GB2312" w:eastAsia="仿宋_GB2312" w:cs="仿宋_GB2312"/>
          <w:color w:val="auto"/>
          <w:kern w:val="0"/>
          <w:sz w:val="32"/>
          <w:szCs w:val="32"/>
          <w:highlight w:val="none"/>
        </w:rPr>
        <w:t>筹措。</w:t>
      </w:r>
      <w:r>
        <w:rPr>
          <w:rFonts w:hint="eastAsia" w:ascii="仿宋_GB2312" w:hAnsi="仿宋_GB2312" w:eastAsia="仿宋_GB2312" w:cs="仿宋_GB2312"/>
          <w:b/>
          <w:bCs/>
          <w:color w:val="auto"/>
          <w:kern w:val="0"/>
          <w:sz w:val="32"/>
          <w:szCs w:val="32"/>
          <w:highlight w:val="none"/>
          <w:lang w:val="en-US" w:eastAsia="zh-CN"/>
        </w:rPr>
        <w:t>一是</w:t>
      </w:r>
      <w:r>
        <w:rPr>
          <w:rFonts w:hint="eastAsia" w:ascii="仿宋_GB2312" w:hAnsi="仿宋_GB2312" w:eastAsia="仿宋_GB2312" w:cs="仿宋_GB2312"/>
          <w:color w:val="auto"/>
          <w:kern w:val="0"/>
          <w:sz w:val="32"/>
          <w:szCs w:val="32"/>
          <w:highlight w:val="none"/>
          <w:lang w:val="en-US" w:eastAsia="zh-CN"/>
        </w:rPr>
        <w:t>完善激励制度，通过税收减免及对老旧小区的适老化、绿色化改造进行补贴等方式吸引社会资本参与，或者</w:t>
      </w:r>
      <w:r>
        <w:rPr>
          <w:rFonts w:hint="eastAsia" w:ascii="仿宋_GB2312" w:hAnsi="仿宋_GB2312" w:eastAsia="仿宋_GB2312" w:cs="仿宋_GB2312"/>
          <w:color w:val="auto"/>
          <w:kern w:val="0"/>
          <w:sz w:val="32"/>
          <w:szCs w:val="32"/>
          <w:highlight w:val="none"/>
        </w:rPr>
        <w:t>按照“谁收益、谁出资”的原则</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建立改造资金政府与居民合理共摊机制</w:t>
      </w:r>
      <w:r>
        <w:rPr>
          <w:rFonts w:hint="eastAsia" w:ascii="仿宋_GB2312" w:hAnsi="仿宋_GB2312" w:eastAsia="仿宋_GB2312" w:cs="仿宋_GB2312"/>
          <w:color w:val="auto"/>
          <w:kern w:val="0"/>
          <w:sz w:val="32"/>
          <w:szCs w:val="32"/>
          <w:highlight w:val="none"/>
          <w:lang w:val="en-US" w:eastAsia="zh-CN"/>
        </w:rPr>
        <w:t>吸引居民出资参与。</w:t>
      </w:r>
      <w:r>
        <w:rPr>
          <w:rFonts w:hint="eastAsia" w:ascii="仿宋_GB2312" w:hAnsi="仿宋_GB2312" w:eastAsia="仿宋_GB2312" w:cs="仿宋_GB2312"/>
          <w:b/>
          <w:bCs/>
          <w:color w:val="auto"/>
          <w:kern w:val="0"/>
          <w:sz w:val="32"/>
          <w:szCs w:val="32"/>
          <w:highlight w:val="none"/>
          <w:lang w:val="en-US" w:eastAsia="zh-CN"/>
        </w:rPr>
        <w:t>二是</w:t>
      </w:r>
      <w:r>
        <w:rPr>
          <w:rFonts w:hint="eastAsia" w:ascii="仿宋_GB2312" w:hAnsi="仿宋_GB2312" w:eastAsia="仿宋_GB2312" w:cs="仿宋_GB2312"/>
          <w:color w:val="auto"/>
          <w:kern w:val="0"/>
          <w:sz w:val="32"/>
          <w:szCs w:val="32"/>
          <w:highlight w:val="none"/>
          <w:lang w:val="en-US" w:eastAsia="zh-CN"/>
        </w:rPr>
        <w:t>搭建各级部门与相关单位改造合作平台，建立合作机制，继续完善“专营专改”新模式，吸引各运营商共同参与改造。</w:t>
      </w:r>
      <w:r>
        <w:rPr>
          <w:rFonts w:hint="eastAsia" w:ascii="仿宋_GB2312" w:hAnsi="仿宋_GB2312" w:eastAsia="仿宋_GB2312" w:cs="仿宋_GB2312"/>
          <w:b/>
          <w:bCs/>
          <w:color w:val="auto"/>
          <w:kern w:val="0"/>
          <w:sz w:val="32"/>
          <w:szCs w:val="32"/>
          <w:highlight w:val="none"/>
          <w:lang w:val="en-US" w:eastAsia="zh-CN"/>
        </w:rPr>
        <w:t>三是</w:t>
      </w:r>
      <w:r>
        <w:rPr>
          <w:rFonts w:hint="eastAsia" w:ascii="仿宋_GB2312" w:hAnsi="仿宋_GB2312" w:eastAsia="仿宋_GB2312" w:cs="仿宋_GB2312"/>
          <w:color w:val="auto"/>
          <w:kern w:val="0"/>
          <w:sz w:val="32"/>
          <w:szCs w:val="32"/>
          <w:highlight w:val="none"/>
          <w:lang w:val="en-US" w:eastAsia="zh-CN"/>
        </w:rPr>
        <w:t>鼓励政策性银行加大支持力度，提供低息贷款。由政府成立项目公司向政策性银行融资，通过出售土地、自持经营和合作开发等方式取得经营性现金流，偿还贷款，实现</w:t>
      </w:r>
      <w:r>
        <w:rPr>
          <w:rFonts w:hint="eastAsia" w:ascii="仿宋_GB2312" w:hAnsi="仿宋_GB2312" w:eastAsia="仿宋_GB2312" w:cs="仿宋_GB2312"/>
          <w:color w:val="auto"/>
          <w:kern w:val="0"/>
          <w:sz w:val="32"/>
          <w:szCs w:val="32"/>
          <w:highlight w:val="none"/>
        </w:rPr>
        <w:t>资金封闭运营</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保障资金安全的同时，解决老旧小区改造中存在的抵押物不足和回款周期长的问题。</w:t>
      </w:r>
      <w:r>
        <w:rPr>
          <w:rFonts w:hint="eastAsia" w:ascii="仿宋_GB2312" w:hAnsi="仿宋_GB2312" w:eastAsia="仿宋_GB2312" w:cs="仿宋_GB2312"/>
          <w:b/>
          <w:bCs/>
          <w:color w:val="auto"/>
          <w:kern w:val="0"/>
          <w:sz w:val="32"/>
          <w:szCs w:val="32"/>
          <w:highlight w:val="none"/>
          <w:lang w:val="en-US" w:eastAsia="zh-CN"/>
        </w:rPr>
        <w:t>四是</w:t>
      </w:r>
      <w:r>
        <w:rPr>
          <w:rFonts w:hint="eastAsia" w:ascii="仿宋_GB2312" w:hAnsi="仿宋_GB2312" w:eastAsia="仿宋_GB2312" w:cs="仿宋_GB2312"/>
          <w:color w:val="auto"/>
          <w:kern w:val="0"/>
          <w:sz w:val="32"/>
          <w:szCs w:val="32"/>
          <w:highlight w:val="none"/>
        </w:rPr>
        <w:t>打破惯性思维，</w:t>
      </w:r>
      <w:r>
        <w:rPr>
          <w:rFonts w:hint="eastAsia" w:ascii="仿宋_GB2312" w:hAnsi="仿宋_GB2312" w:eastAsia="仿宋_GB2312" w:cs="仿宋_GB2312"/>
          <w:color w:val="auto"/>
          <w:kern w:val="0"/>
          <w:sz w:val="32"/>
          <w:szCs w:val="32"/>
          <w:highlight w:val="none"/>
          <w:lang w:val="en-US" w:eastAsia="zh-CN"/>
        </w:rPr>
        <w:t>拓宽宣传渠道</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通过传统媒体和新媒体的力量向群众讲解老旧小区改造的目的、必要性和可行性，展示改造后小区的规划蓝图，</w:t>
      </w:r>
      <w:r>
        <w:rPr>
          <w:rFonts w:hint="eastAsia" w:ascii="仿宋_GB2312" w:hAnsi="仿宋_GB2312" w:eastAsia="仿宋_GB2312" w:cs="仿宋_GB2312"/>
          <w:color w:val="auto"/>
          <w:kern w:val="0"/>
          <w:sz w:val="32"/>
          <w:szCs w:val="32"/>
          <w:highlight w:val="none"/>
        </w:rPr>
        <w:t>鼓励引导社会各方</w:t>
      </w:r>
      <w:r>
        <w:rPr>
          <w:rFonts w:hint="eastAsia" w:ascii="仿宋_GB2312" w:hAnsi="仿宋_GB2312" w:eastAsia="仿宋_GB2312" w:cs="仿宋_GB2312"/>
          <w:color w:val="auto"/>
          <w:kern w:val="0"/>
          <w:sz w:val="32"/>
          <w:szCs w:val="32"/>
          <w:highlight w:val="none"/>
          <w:lang w:eastAsia="zh-CN"/>
        </w:rPr>
        <w:t>力量</w:t>
      </w:r>
      <w:r>
        <w:rPr>
          <w:rFonts w:hint="eastAsia" w:ascii="仿宋_GB2312" w:hAnsi="仿宋_GB2312" w:eastAsia="仿宋_GB2312" w:cs="仿宋_GB2312"/>
          <w:color w:val="auto"/>
          <w:kern w:val="0"/>
          <w:sz w:val="32"/>
          <w:szCs w:val="32"/>
          <w:highlight w:val="none"/>
        </w:rPr>
        <w:t>支持</w:t>
      </w:r>
      <w:r>
        <w:rPr>
          <w:rFonts w:hint="eastAsia" w:ascii="仿宋_GB2312" w:hAnsi="仿宋_GB2312" w:eastAsia="仿宋_GB2312" w:cs="仿宋_GB2312"/>
          <w:color w:val="auto"/>
          <w:kern w:val="0"/>
          <w:sz w:val="32"/>
          <w:szCs w:val="32"/>
          <w:highlight w:val="none"/>
          <w:lang w:val="en-US" w:eastAsia="zh-CN"/>
        </w:rPr>
        <w:t>或监督</w:t>
      </w:r>
      <w:r>
        <w:rPr>
          <w:rFonts w:hint="eastAsia" w:ascii="仿宋_GB2312" w:hAnsi="仿宋_GB2312" w:eastAsia="仿宋_GB2312" w:cs="仿宋_GB2312"/>
          <w:color w:val="auto"/>
          <w:kern w:val="0"/>
          <w:sz w:val="32"/>
          <w:szCs w:val="32"/>
          <w:highlight w:val="none"/>
        </w:rPr>
        <w:t>改造工作</w:t>
      </w:r>
      <w:r>
        <w:rPr>
          <w:rFonts w:hint="eastAsia" w:ascii="仿宋_GB2312" w:hAnsi="仿宋_GB2312" w:eastAsia="仿宋_GB2312" w:cs="仿宋_GB2312"/>
          <w:color w:val="auto"/>
          <w:kern w:val="0"/>
          <w:sz w:val="32"/>
          <w:szCs w:val="32"/>
          <w:highlight w:val="none"/>
          <w:lang w:eastAsia="zh-CN"/>
        </w:rPr>
        <w:t>。</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2" w:firstLineChars="200"/>
        <w:textAlignment w:val="auto"/>
        <w:rPr>
          <w:rFonts w:hint="eastAsia" w:ascii="仿宋_GB2312" w:hAnsi="仿宋_GB2312" w:eastAsia="仿宋_GB2312" w:cs="仿宋_GB2312"/>
          <w:color w:val="auto"/>
          <w:kern w:val="0"/>
          <w:sz w:val="32"/>
          <w:szCs w:val="32"/>
          <w:highlight w:val="none"/>
        </w:rPr>
      </w:pPr>
      <w:r>
        <w:rPr>
          <w:rFonts w:hint="eastAsia" w:hAnsi="宋体" w:eastAsia="楷体_GB2312" w:asciiTheme="minorHAnsi" w:cstheme="minorBidi"/>
          <w:b/>
          <w:bCs/>
          <w:color w:val="auto"/>
          <w:kern w:val="44"/>
          <w:sz w:val="32"/>
          <w:szCs w:val="44"/>
          <w:highlight w:val="none"/>
          <w:lang w:eastAsia="zh-CN"/>
        </w:rPr>
        <w:t>（</w:t>
      </w:r>
      <w:r>
        <w:rPr>
          <w:rFonts w:hint="eastAsia" w:hAnsi="宋体" w:eastAsia="楷体_GB2312" w:asciiTheme="minorHAnsi" w:cstheme="minorBidi"/>
          <w:b/>
          <w:bCs/>
          <w:color w:val="auto"/>
          <w:kern w:val="44"/>
          <w:sz w:val="32"/>
          <w:szCs w:val="44"/>
          <w:highlight w:val="none"/>
          <w:lang w:val="en-US" w:eastAsia="zh-CN"/>
        </w:rPr>
        <w:t>四</w:t>
      </w:r>
      <w:r>
        <w:rPr>
          <w:rFonts w:hint="eastAsia" w:hAnsi="宋体" w:eastAsia="楷体_GB2312" w:asciiTheme="minorHAnsi" w:cstheme="minorBidi"/>
          <w:b/>
          <w:bCs/>
          <w:color w:val="auto"/>
          <w:kern w:val="44"/>
          <w:sz w:val="32"/>
          <w:szCs w:val="44"/>
          <w:highlight w:val="none"/>
          <w:lang w:eastAsia="zh-CN"/>
        </w:rPr>
        <w:t>）</w:t>
      </w:r>
      <w:r>
        <w:rPr>
          <w:rFonts w:hint="eastAsia" w:hAnsi="宋体" w:eastAsia="楷体_GB2312"/>
          <w:b/>
          <w:bCs/>
          <w:color w:val="auto"/>
          <w:kern w:val="44"/>
          <w:sz w:val="32"/>
          <w:szCs w:val="44"/>
          <w:highlight w:val="none"/>
        </w:rPr>
        <w:t>坚持</w:t>
      </w:r>
      <w:r>
        <w:rPr>
          <w:rFonts w:hint="eastAsia" w:hAnsi="宋体" w:eastAsia="楷体_GB2312"/>
          <w:b/>
          <w:bCs/>
          <w:color w:val="auto"/>
          <w:kern w:val="44"/>
          <w:sz w:val="32"/>
          <w:szCs w:val="44"/>
          <w:highlight w:val="none"/>
          <w:lang w:val="en-US" w:eastAsia="zh-CN"/>
        </w:rPr>
        <w:t>以人为本</w:t>
      </w:r>
      <w:r>
        <w:rPr>
          <w:rFonts w:hint="eastAsia" w:hAnsi="宋体" w:eastAsia="楷体_GB2312"/>
          <w:b/>
          <w:bCs/>
          <w:color w:val="auto"/>
          <w:kern w:val="44"/>
          <w:sz w:val="32"/>
          <w:szCs w:val="44"/>
          <w:highlight w:val="none"/>
        </w:rPr>
        <w:t>，</w:t>
      </w:r>
      <w:r>
        <w:rPr>
          <w:rFonts w:hint="eastAsia" w:hAnsi="宋体" w:eastAsia="楷体_GB2312"/>
          <w:b/>
          <w:bCs/>
          <w:color w:val="auto"/>
          <w:kern w:val="44"/>
          <w:sz w:val="32"/>
          <w:szCs w:val="44"/>
          <w:highlight w:val="none"/>
          <w:lang w:val="en-US" w:eastAsia="zh-CN"/>
        </w:rPr>
        <w:t>提高居民</w:t>
      </w:r>
      <w:r>
        <w:rPr>
          <w:rFonts w:hint="eastAsia" w:hAnsi="宋体" w:eastAsia="楷体_GB2312"/>
          <w:b/>
          <w:bCs/>
          <w:color w:val="auto"/>
          <w:kern w:val="44"/>
          <w:sz w:val="32"/>
          <w:szCs w:val="44"/>
          <w:highlight w:val="none"/>
        </w:rPr>
        <w:t>参与积极性</w:t>
      </w:r>
      <w:r>
        <w:rPr>
          <w:rFonts w:hint="eastAsia" w:ascii="仿宋_GB2312" w:hAnsi="仿宋_GB2312" w:eastAsia="仿宋_GB2312" w:cs="仿宋_GB2312"/>
          <w:color w:val="auto"/>
          <w:kern w:val="0"/>
          <w:sz w:val="32"/>
          <w:szCs w:val="32"/>
          <w:highlight w:val="none"/>
        </w:rPr>
        <w:t>。</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2" w:firstLineChars="200"/>
        <w:textAlignment w:val="auto"/>
        <w:rPr>
          <w:rFonts w:hint="eastAsia"/>
          <w:lang w:val="en-US" w:eastAsia="zh-CN"/>
        </w:rPr>
      </w:pPr>
      <w:r>
        <w:rPr>
          <w:rFonts w:hint="eastAsia" w:ascii="仿宋_GB2312" w:hAnsi="仿宋_GB2312" w:eastAsia="仿宋_GB2312" w:cs="仿宋_GB2312"/>
          <w:b/>
          <w:bCs/>
          <w:color w:val="auto"/>
          <w:kern w:val="0"/>
          <w:sz w:val="32"/>
          <w:szCs w:val="32"/>
          <w:highlight w:val="none"/>
          <w:lang w:val="en-US" w:eastAsia="zh-CN"/>
        </w:rPr>
        <w:t>一是</w:t>
      </w:r>
      <w:r>
        <w:rPr>
          <w:rFonts w:hint="eastAsia" w:ascii="仿宋_GB2312" w:hAnsi="仿宋_GB2312" w:eastAsia="仿宋_GB2312" w:cs="仿宋_GB2312"/>
          <w:color w:val="auto"/>
          <w:kern w:val="0"/>
          <w:sz w:val="32"/>
          <w:szCs w:val="32"/>
          <w:highlight w:val="none"/>
        </w:rPr>
        <w:t>加强党建引领，</w:t>
      </w:r>
      <w:r>
        <w:rPr>
          <w:rFonts w:hint="eastAsia" w:ascii="仿宋_GB2312" w:hAnsi="仿宋_GB2312" w:eastAsia="仿宋_GB2312" w:cs="仿宋_GB2312"/>
          <w:color w:val="auto"/>
          <w:kern w:val="0"/>
          <w:sz w:val="32"/>
          <w:szCs w:val="32"/>
          <w:highlight w:val="none"/>
          <w:lang w:val="en-US" w:eastAsia="zh-CN"/>
        </w:rPr>
        <w:t>积极推动老旧小区党组织、业主委员会的建设，</w:t>
      </w:r>
      <w:r>
        <w:rPr>
          <w:rFonts w:hint="eastAsia" w:ascii="仿宋_GB2312" w:hAnsi="仿宋_GB2312" w:eastAsia="仿宋_GB2312" w:cs="仿宋_GB2312"/>
          <w:color w:val="auto"/>
          <w:kern w:val="0"/>
          <w:sz w:val="32"/>
          <w:szCs w:val="32"/>
          <w:highlight w:val="none"/>
        </w:rPr>
        <w:t>充分发挥基层党组织力量，</w:t>
      </w:r>
      <w:r>
        <w:rPr>
          <w:rFonts w:hint="eastAsia" w:ascii="仿宋_GB2312" w:hAnsi="仿宋_GB2312" w:eastAsia="仿宋_GB2312" w:cs="仿宋_GB2312"/>
          <w:color w:val="auto"/>
          <w:kern w:val="0"/>
          <w:sz w:val="32"/>
          <w:szCs w:val="32"/>
          <w:highlight w:val="none"/>
          <w:lang w:val="en-US" w:eastAsia="zh-CN"/>
        </w:rPr>
        <w:t>一方面</w:t>
      </w:r>
      <w:r>
        <w:rPr>
          <w:rFonts w:hint="eastAsia" w:ascii="仿宋_GB2312" w:hAnsi="仿宋_GB2312" w:eastAsia="仿宋_GB2312" w:cs="仿宋_GB2312"/>
          <w:color w:val="auto"/>
          <w:kern w:val="0"/>
          <w:sz w:val="32"/>
          <w:szCs w:val="32"/>
          <w:highlight w:val="none"/>
        </w:rPr>
        <w:t>让党员成为推动</w:t>
      </w:r>
      <w:r>
        <w:rPr>
          <w:rFonts w:hint="eastAsia" w:ascii="仿宋_GB2312" w:hAnsi="仿宋_GB2312" w:eastAsia="仿宋_GB2312" w:cs="仿宋_GB2312"/>
          <w:color w:val="auto"/>
          <w:kern w:val="0"/>
          <w:sz w:val="32"/>
          <w:szCs w:val="32"/>
          <w:highlight w:val="none"/>
          <w:lang w:val="en-US" w:eastAsia="zh-CN"/>
        </w:rPr>
        <w:t>老旧</w:t>
      </w:r>
      <w:r>
        <w:rPr>
          <w:rFonts w:hint="eastAsia" w:ascii="仿宋_GB2312" w:hAnsi="仿宋_GB2312" w:eastAsia="仿宋_GB2312" w:cs="仿宋_GB2312"/>
          <w:color w:val="auto"/>
          <w:kern w:val="0"/>
          <w:sz w:val="32"/>
          <w:szCs w:val="32"/>
          <w:highlight w:val="none"/>
        </w:rPr>
        <w:t>小区改造的主力军，</w:t>
      </w:r>
      <w:r>
        <w:rPr>
          <w:rFonts w:hint="eastAsia" w:ascii="仿宋_GB2312" w:hAnsi="仿宋_GB2312" w:eastAsia="仿宋_GB2312" w:cs="仿宋_GB2312"/>
          <w:color w:val="auto"/>
          <w:kern w:val="0"/>
          <w:sz w:val="32"/>
          <w:szCs w:val="32"/>
          <w:highlight w:val="none"/>
          <w:lang w:val="en-US" w:eastAsia="zh-CN"/>
        </w:rPr>
        <w:t>通过主动入户、宣传动员等方式带动居民共同参与；另一方面小区党员更了解居民所需，</w:t>
      </w:r>
      <w:r>
        <w:rPr>
          <w:rFonts w:hint="eastAsia" w:ascii="仿宋_GB2312" w:hAnsi="仿宋_GB2312" w:eastAsia="仿宋_GB2312" w:cs="仿宋_GB2312"/>
          <w:color w:val="auto"/>
          <w:kern w:val="0"/>
          <w:sz w:val="32"/>
          <w:szCs w:val="32"/>
          <w:highlight w:val="none"/>
        </w:rPr>
        <w:t>做好民意调研，尊重居民意愿制定改造方案</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二</w:t>
      </w:r>
      <w:r>
        <w:rPr>
          <w:rFonts w:hint="eastAsia" w:ascii="仿宋_GB2312" w:hAnsi="仿宋_GB2312" w:eastAsia="仿宋_GB2312" w:cs="仿宋_GB2312"/>
          <w:b/>
          <w:bCs/>
          <w:color w:val="auto"/>
          <w:kern w:val="0"/>
          <w:sz w:val="32"/>
          <w:szCs w:val="32"/>
          <w:highlight w:val="none"/>
          <w:lang w:val="en-US" w:eastAsia="zh-CN"/>
        </w:rPr>
        <w:t>是</w:t>
      </w:r>
      <w:r>
        <w:rPr>
          <w:rFonts w:hint="eastAsia" w:ascii="仿宋_GB2312" w:hAnsi="仿宋_GB2312" w:eastAsia="仿宋_GB2312" w:cs="仿宋_GB2312"/>
          <w:b w:val="0"/>
          <w:bCs w:val="0"/>
          <w:color w:val="auto"/>
          <w:kern w:val="0"/>
          <w:sz w:val="32"/>
          <w:szCs w:val="32"/>
          <w:highlight w:val="none"/>
          <w:lang w:val="en-US" w:eastAsia="zh-CN"/>
        </w:rPr>
        <w:t>加强沟通交流，</w:t>
      </w:r>
      <w:r>
        <w:rPr>
          <w:rFonts w:hint="eastAsia" w:ascii="仿宋_GB2312" w:hAnsi="仿宋_GB2312" w:eastAsia="仿宋_GB2312" w:cs="仿宋_GB2312"/>
          <w:color w:val="auto"/>
          <w:kern w:val="0"/>
          <w:sz w:val="32"/>
          <w:szCs w:val="32"/>
          <w:highlight w:val="none"/>
        </w:rPr>
        <w:t>尊重民意需求</w:t>
      </w:r>
      <w:r>
        <w:rPr>
          <w:rFonts w:hint="eastAsia" w:ascii="仿宋_GB2312" w:hAnsi="仿宋_GB2312" w:eastAsia="仿宋_GB2312" w:cs="仿宋_GB2312"/>
          <w:b w:val="0"/>
          <w:bCs w:val="0"/>
          <w:color w:val="auto"/>
          <w:kern w:val="0"/>
          <w:sz w:val="32"/>
          <w:szCs w:val="32"/>
          <w:highlight w:val="none"/>
          <w:lang w:val="en-US" w:eastAsia="zh-CN"/>
        </w:rPr>
        <w:t>。政府在老旧小区改造项目的前中后期都应开展座谈会和征求意见会，实时了解居民诉求，合理制订改造方案，接受群众监督，并将改造内容向居民公示，以推动小区改造工作的顺利开展。同时可以在</w:t>
      </w:r>
      <w:r>
        <w:rPr>
          <w:rFonts w:hint="eastAsia" w:ascii="仿宋_GB2312" w:hAnsi="仿宋_GB2312" w:eastAsia="仿宋_GB2312" w:cs="仿宋_GB2312"/>
          <w:color w:val="auto"/>
          <w:kern w:val="0"/>
          <w:sz w:val="32"/>
          <w:szCs w:val="32"/>
          <w:highlight w:val="none"/>
          <w:lang w:val="en-US" w:eastAsia="zh-CN"/>
        </w:rPr>
        <w:t>政府开发的</w:t>
      </w:r>
      <w:r>
        <w:rPr>
          <w:rFonts w:hint="eastAsia" w:ascii="仿宋_GB2312" w:hAnsi="仿宋_GB2312" w:eastAsia="仿宋_GB2312" w:cs="仿宋_GB2312"/>
          <w:color w:val="auto"/>
          <w:kern w:val="0"/>
          <w:sz w:val="32"/>
          <w:szCs w:val="32"/>
          <w:highlight w:val="none"/>
        </w:rPr>
        <w:t>社区网络办事平台</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小区业主微信群等及时发布消息，利用网络平台</w:t>
      </w:r>
      <w:r>
        <w:rPr>
          <w:rFonts w:hint="eastAsia" w:ascii="仿宋_GB2312" w:hAnsi="仿宋_GB2312" w:eastAsia="仿宋_GB2312" w:cs="仿宋_GB2312"/>
          <w:color w:val="auto"/>
          <w:kern w:val="0"/>
          <w:sz w:val="32"/>
          <w:szCs w:val="32"/>
          <w:highlight w:val="none"/>
        </w:rPr>
        <w:t>提升居民的参与积极性与办事便捷性</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通过共同协商解决切身利益问题</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形成信息化、智慧化的社区治理模式。</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2" w:firstLineChars="200"/>
        <w:textAlignment w:val="auto"/>
        <w:rPr>
          <w:rFonts w:hint="eastAsia" w:ascii="仿宋_GB2312" w:hAnsi="仿宋_GB2312" w:eastAsia="仿宋_GB2312" w:cs="仿宋_GB2312"/>
          <w:color w:val="auto"/>
          <w:kern w:val="0"/>
          <w:sz w:val="32"/>
          <w:szCs w:val="32"/>
          <w:highlight w:val="none"/>
        </w:rPr>
      </w:pPr>
      <w:r>
        <w:rPr>
          <w:rFonts w:hint="eastAsia" w:hAnsi="宋体" w:eastAsia="楷体_GB2312" w:cstheme="minorBidi"/>
          <w:b/>
          <w:bCs/>
          <w:color w:val="auto"/>
          <w:kern w:val="44"/>
          <w:sz w:val="32"/>
          <w:szCs w:val="44"/>
          <w:highlight w:val="none"/>
          <w:lang w:val="en-US" w:eastAsia="zh-CN"/>
        </w:rPr>
        <w:t>（五）健全长效管养机制</w:t>
      </w:r>
      <w:r>
        <w:rPr>
          <w:rFonts w:hint="eastAsia" w:hAnsi="宋体" w:eastAsia="楷体_GB2312"/>
          <w:b/>
          <w:bCs/>
          <w:color w:val="auto"/>
          <w:kern w:val="44"/>
          <w:sz w:val="32"/>
          <w:szCs w:val="44"/>
          <w:highlight w:val="none"/>
          <w:lang w:eastAsia="zh-CN"/>
        </w:rPr>
        <w:t>，</w:t>
      </w:r>
      <w:r>
        <w:rPr>
          <w:rFonts w:hint="eastAsia" w:hAnsi="宋体" w:eastAsia="楷体_GB2312"/>
          <w:b/>
          <w:bCs/>
          <w:color w:val="auto"/>
          <w:kern w:val="44"/>
          <w:sz w:val="32"/>
          <w:szCs w:val="44"/>
          <w:highlight w:val="none"/>
          <w:lang w:val="en-US" w:eastAsia="zh-CN"/>
        </w:rPr>
        <w:t>推动小区发展</w:t>
      </w:r>
      <w:r>
        <w:rPr>
          <w:rFonts w:hint="eastAsia" w:hAnsi="宋体" w:eastAsia="楷体_GB2312"/>
          <w:b/>
          <w:bCs/>
          <w:color w:val="auto"/>
          <w:kern w:val="44"/>
          <w:sz w:val="32"/>
          <w:szCs w:val="44"/>
          <w:highlight w:val="none"/>
        </w:rPr>
        <w:t>可持续。</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640" w:firstLineChars="200"/>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完善</w:t>
      </w:r>
      <w:r>
        <w:rPr>
          <w:rFonts w:hint="eastAsia" w:ascii="仿宋_GB2312" w:hAnsi="仿宋_GB2312" w:eastAsia="仿宋_GB2312" w:cs="仿宋_GB2312"/>
          <w:b w:val="0"/>
          <w:bCs w:val="0"/>
          <w:color w:val="auto"/>
          <w:kern w:val="0"/>
          <w:sz w:val="32"/>
          <w:szCs w:val="32"/>
          <w:highlight w:val="none"/>
        </w:rPr>
        <w:t>老旧小区改造后续管养机制、实现内生性“自我造血”是巩固改造成果</w:t>
      </w:r>
      <w:r>
        <w:rPr>
          <w:rFonts w:hint="eastAsia" w:ascii="仿宋_GB2312" w:hAnsi="仿宋_GB2312" w:eastAsia="仿宋_GB2312" w:cs="仿宋_GB2312"/>
          <w:b w:val="0"/>
          <w:bCs w:val="0"/>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lang w:val="en-US" w:eastAsia="zh-CN"/>
        </w:rPr>
        <w:t>推动改造小区可持续发展</w:t>
      </w:r>
      <w:r>
        <w:rPr>
          <w:rFonts w:hint="eastAsia" w:ascii="仿宋_GB2312" w:hAnsi="仿宋_GB2312" w:eastAsia="仿宋_GB2312" w:cs="仿宋_GB2312"/>
          <w:b w:val="0"/>
          <w:bCs w:val="0"/>
          <w:color w:val="auto"/>
          <w:kern w:val="0"/>
          <w:sz w:val="32"/>
          <w:szCs w:val="32"/>
          <w:highlight w:val="none"/>
        </w:rPr>
        <w:t>的关键。</w:t>
      </w:r>
      <w:r>
        <w:rPr>
          <w:rFonts w:hint="eastAsia" w:ascii="仿宋_GB2312" w:hAnsi="仿宋_GB2312" w:eastAsia="仿宋_GB2312" w:cs="仿宋_GB2312"/>
          <w:b/>
          <w:bCs/>
          <w:color w:val="auto"/>
          <w:kern w:val="0"/>
          <w:sz w:val="32"/>
          <w:szCs w:val="32"/>
          <w:highlight w:val="none"/>
        </w:rPr>
        <w:t>一是</w:t>
      </w:r>
      <w:r>
        <w:rPr>
          <w:rFonts w:hint="eastAsia" w:ascii="仿宋_GB2312" w:hAnsi="仿宋_GB2312" w:eastAsia="仿宋_GB2312" w:cs="仿宋_GB2312"/>
          <w:color w:val="auto"/>
          <w:kern w:val="0"/>
          <w:sz w:val="32"/>
          <w:szCs w:val="32"/>
          <w:highlight w:val="none"/>
        </w:rPr>
        <w:t>因地制宜</w:t>
      </w:r>
      <w:r>
        <w:rPr>
          <w:rFonts w:hint="eastAsia" w:ascii="仿宋_GB2312" w:hAnsi="仿宋_GB2312" w:eastAsia="仿宋_GB2312" w:cs="仿宋_GB2312"/>
          <w:color w:val="auto"/>
          <w:kern w:val="0"/>
          <w:sz w:val="32"/>
          <w:szCs w:val="32"/>
          <w:highlight w:val="none"/>
          <w:lang w:val="en-US" w:eastAsia="zh-CN"/>
        </w:rPr>
        <w:t>探索后续管养模式</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例如</w:t>
      </w:r>
      <w:r>
        <w:rPr>
          <w:rFonts w:hint="eastAsia" w:ascii="仿宋_GB2312" w:hAnsi="仿宋_GB2312" w:eastAsia="仿宋_GB2312" w:cs="仿宋_GB2312"/>
          <w:color w:val="auto"/>
          <w:kern w:val="0"/>
          <w:sz w:val="32"/>
          <w:szCs w:val="32"/>
          <w:highlight w:val="none"/>
        </w:rPr>
        <w:t>连片存在的老旧小区，可以探索“业务分包模式”，将</w:t>
      </w:r>
      <w:r>
        <w:rPr>
          <w:rFonts w:hint="eastAsia" w:ascii="仿宋_GB2312" w:hAnsi="仿宋_GB2312" w:eastAsia="仿宋_GB2312" w:cs="仿宋_GB2312"/>
          <w:color w:val="auto"/>
          <w:kern w:val="0"/>
          <w:sz w:val="32"/>
          <w:szCs w:val="32"/>
          <w:highlight w:val="none"/>
          <w:lang w:val="en-US" w:eastAsia="zh-CN"/>
        </w:rPr>
        <w:t>整片小区</w:t>
      </w:r>
      <w:r>
        <w:rPr>
          <w:rFonts w:hint="eastAsia" w:ascii="仿宋_GB2312" w:hAnsi="仿宋_GB2312" w:eastAsia="仿宋_GB2312" w:cs="仿宋_GB2312"/>
          <w:color w:val="auto"/>
          <w:kern w:val="0"/>
          <w:sz w:val="32"/>
          <w:szCs w:val="32"/>
          <w:highlight w:val="none"/>
        </w:rPr>
        <w:t>各类基础维护委托给安保公司、保洁公司、电梯维保公司</w:t>
      </w:r>
      <w:r>
        <w:rPr>
          <w:rFonts w:hint="eastAsia" w:ascii="仿宋_GB2312" w:hAnsi="仿宋_GB2312" w:eastAsia="仿宋_GB2312" w:cs="仿宋_GB2312"/>
          <w:color w:val="auto"/>
          <w:kern w:val="0"/>
          <w:sz w:val="32"/>
          <w:szCs w:val="32"/>
          <w:highlight w:val="none"/>
          <w:lang w:val="en-US" w:eastAsia="zh-CN"/>
        </w:rPr>
        <w:t>等</w:t>
      </w:r>
      <w:r>
        <w:rPr>
          <w:rFonts w:hint="eastAsia" w:ascii="仿宋_GB2312" w:hAnsi="仿宋_GB2312" w:eastAsia="仿宋_GB2312" w:cs="仿宋_GB2312"/>
          <w:color w:val="auto"/>
          <w:kern w:val="0"/>
          <w:sz w:val="32"/>
          <w:szCs w:val="32"/>
          <w:highlight w:val="none"/>
          <w:lang w:eastAsia="zh-CN"/>
        </w:rPr>
        <w:t>。地理位置优越、居民经济基础较好的小区，</w:t>
      </w:r>
      <w:r>
        <w:rPr>
          <w:rFonts w:hint="eastAsia" w:ascii="仿宋_GB2312" w:hAnsi="仿宋_GB2312" w:eastAsia="仿宋_GB2312" w:cs="仿宋_GB2312"/>
          <w:color w:val="auto"/>
          <w:kern w:val="0"/>
          <w:sz w:val="32"/>
          <w:szCs w:val="32"/>
          <w:highlight w:val="none"/>
          <w:lang w:val="en-US" w:eastAsia="zh-CN"/>
        </w:rPr>
        <w:t>可以</w:t>
      </w:r>
      <w:r>
        <w:rPr>
          <w:rFonts w:hint="eastAsia" w:ascii="仿宋_GB2312" w:hAnsi="仿宋_GB2312" w:eastAsia="仿宋_GB2312" w:cs="仿宋_GB2312"/>
          <w:color w:val="auto"/>
          <w:kern w:val="0"/>
          <w:sz w:val="32"/>
          <w:szCs w:val="32"/>
          <w:highlight w:val="none"/>
          <w:lang w:eastAsia="zh-CN"/>
        </w:rPr>
        <w:t>引入高品质物业团队，</w:t>
      </w:r>
      <w:r>
        <w:rPr>
          <w:rFonts w:hint="eastAsia" w:ascii="仿宋_GB2312" w:hAnsi="仿宋_GB2312" w:eastAsia="仿宋_GB2312" w:cs="仿宋_GB2312"/>
          <w:color w:val="auto"/>
          <w:kern w:val="0"/>
          <w:sz w:val="32"/>
          <w:szCs w:val="32"/>
          <w:highlight w:val="none"/>
          <w:lang w:val="en-US" w:eastAsia="zh-CN"/>
        </w:rPr>
        <w:t>针对小区特点量身定做物业管理模式；而</w:t>
      </w:r>
      <w:r>
        <w:rPr>
          <w:rFonts w:hint="eastAsia" w:ascii="仿宋_GB2312" w:hAnsi="仿宋_GB2312" w:eastAsia="仿宋_GB2312" w:cs="仿宋_GB2312"/>
          <w:color w:val="auto"/>
          <w:kern w:val="0"/>
          <w:sz w:val="32"/>
          <w:szCs w:val="32"/>
          <w:highlight w:val="none"/>
        </w:rPr>
        <w:t>居民消费水平低、公共区域盈利性差</w:t>
      </w:r>
      <w:r>
        <w:rPr>
          <w:rFonts w:hint="eastAsia" w:ascii="仿宋_GB2312" w:hAnsi="仿宋_GB2312" w:eastAsia="仿宋_GB2312" w:cs="仿宋_GB2312"/>
          <w:color w:val="auto"/>
          <w:kern w:val="0"/>
          <w:sz w:val="32"/>
          <w:szCs w:val="32"/>
          <w:highlight w:val="none"/>
          <w:lang w:val="en-US" w:eastAsia="zh-CN"/>
        </w:rPr>
        <w:t>的老旧小区</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可以聘用</w:t>
      </w:r>
      <w:r>
        <w:rPr>
          <w:rFonts w:hint="eastAsia" w:ascii="仿宋_GB2312" w:hAnsi="仿宋_GB2312" w:eastAsia="仿宋_GB2312" w:cs="仿宋_GB2312"/>
          <w:color w:val="auto"/>
          <w:kern w:val="0"/>
          <w:sz w:val="32"/>
          <w:szCs w:val="32"/>
          <w:highlight w:val="none"/>
        </w:rPr>
        <w:t>本小区内低保低收入群体、退休职工</w:t>
      </w:r>
      <w:r>
        <w:rPr>
          <w:rFonts w:hint="eastAsia" w:ascii="仿宋_GB2312" w:hAnsi="仿宋_GB2312" w:eastAsia="仿宋_GB2312" w:cs="仿宋_GB2312"/>
          <w:color w:val="auto"/>
          <w:kern w:val="0"/>
          <w:sz w:val="32"/>
          <w:szCs w:val="32"/>
          <w:highlight w:val="none"/>
          <w:lang w:val="en-US" w:eastAsia="zh-CN"/>
        </w:rPr>
        <w:t>等进行</w:t>
      </w:r>
      <w:r>
        <w:rPr>
          <w:rFonts w:hint="eastAsia" w:ascii="仿宋_GB2312" w:hAnsi="仿宋_GB2312" w:eastAsia="仿宋_GB2312" w:cs="仿宋_GB2312"/>
          <w:color w:val="auto"/>
          <w:kern w:val="0"/>
          <w:sz w:val="32"/>
          <w:szCs w:val="32"/>
          <w:highlight w:val="none"/>
        </w:rPr>
        <w:t>清洁、安保</w:t>
      </w:r>
      <w:r>
        <w:rPr>
          <w:rFonts w:hint="eastAsia" w:ascii="仿宋_GB2312" w:hAnsi="仿宋_GB2312" w:eastAsia="仿宋_GB2312" w:cs="仿宋_GB2312"/>
          <w:color w:val="auto"/>
          <w:kern w:val="0"/>
          <w:sz w:val="32"/>
          <w:szCs w:val="32"/>
          <w:highlight w:val="none"/>
          <w:lang w:val="en-US" w:eastAsia="zh-CN"/>
        </w:rPr>
        <w:t>等基础性工作</w:t>
      </w:r>
      <w:r>
        <w:rPr>
          <w:rFonts w:hint="eastAsia" w:ascii="仿宋_GB2312" w:hAnsi="仿宋_GB2312" w:eastAsia="仿宋_GB2312" w:cs="仿宋_GB2312"/>
          <w:color w:val="auto"/>
          <w:kern w:val="0"/>
          <w:sz w:val="32"/>
          <w:szCs w:val="32"/>
          <w:highlight w:val="none"/>
        </w:rPr>
        <w:t>，代替昂贵的物业机构。</w:t>
      </w:r>
      <w:r>
        <w:rPr>
          <w:rFonts w:hint="eastAsia" w:ascii="仿宋_GB2312" w:hAnsi="仿宋_GB2312" w:eastAsia="仿宋_GB2312" w:cs="仿宋_GB2312"/>
          <w:b/>
          <w:bCs/>
          <w:color w:val="auto"/>
          <w:kern w:val="0"/>
          <w:sz w:val="32"/>
          <w:szCs w:val="32"/>
          <w:highlight w:val="none"/>
        </w:rPr>
        <w:t>二是</w:t>
      </w:r>
      <w:r>
        <w:rPr>
          <w:rFonts w:hint="eastAsia" w:ascii="仿宋_GB2312" w:hAnsi="仿宋_GB2312" w:eastAsia="仿宋_GB2312" w:cs="仿宋_GB2312"/>
          <w:color w:val="auto"/>
          <w:kern w:val="0"/>
          <w:sz w:val="32"/>
          <w:szCs w:val="32"/>
          <w:highlight w:val="none"/>
        </w:rPr>
        <w:t>探索国企发挥社会担当参与到城镇老旧小区改造、管养、维护、运营，按街道为单位统筹连片物业管理，通过引入生活性服务产业链条成熟的企业，提供社区照料、协助就诊等服务，既可让居民享受优质服务资源，也可持续增强小区自我造血能力，促进小区改造更新迈进良性循环轨道。</w:t>
      </w:r>
    </w:p>
    <w:p>
      <w:pPr>
        <w:keepNext w:val="0"/>
        <w:keepLines w:val="0"/>
        <w:pageBreakBefore w:val="0"/>
        <w:numPr>
          <w:ilvl w:val="0"/>
          <w:numId w:val="0"/>
        </w:numPr>
        <w:kinsoku/>
        <w:wordWrap/>
        <w:overflowPunct/>
        <w:topLinePunct w:val="0"/>
        <w:autoSpaceDE/>
        <w:autoSpaceDN/>
        <w:bidi w:val="0"/>
        <w:adjustRightInd/>
        <w:snapToGrid w:val="0"/>
        <w:spacing w:line="600" w:lineRule="atLeast"/>
        <w:ind w:right="-105" w:rightChars="-50" w:firstLine="0" w:firstLineChars="0"/>
        <w:textAlignment w:val="auto"/>
        <w:rPr>
          <w:rFonts w:hint="default"/>
          <w:color w:val="auto"/>
          <w:highlight w:val="none"/>
          <w:lang w:val="en-US" w:eastAsia="zh-CN"/>
        </w:rPr>
      </w:pPr>
    </w:p>
    <w:p>
      <w:pPr>
        <w:pStyle w:val="7"/>
        <w:keepNext w:val="0"/>
        <w:keepLines w:val="0"/>
        <w:pageBreakBefore w:val="0"/>
        <w:kinsoku/>
        <w:wordWrap/>
        <w:overflowPunct/>
        <w:topLinePunct w:val="0"/>
        <w:autoSpaceDE/>
        <w:autoSpaceDN/>
        <w:bidi w:val="0"/>
        <w:adjustRightInd/>
        <w:snapToGrid w:val="0"/>
        <w:spacing w:line="600" w:lineRule="atLeast"/>
        <w:ind w:right="-105" w:rightChars="-50"/>
        <w:textAlignment w:val="auto"/>
        <w:rPr>
          <w:rFonts w:hint="default"/>
          <w:color w:val="auto"/>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val="0"/>
        <w:spacing w:line="600" w:lineRule="atLeast"/>
        <w:ind w:left="1278" w:leftChars="304" w:right="-105" w:rightChars="-50" w:hanging="640" w:hanging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附件：1.2023年中央财政城镇保障性安居工程补助资金        （老旧小区改造）绩效评价指标表</w:t>
      </w:r>
    </w:p>
    <w:p>
      <w:pPr>
        <w:pStyle w:val="7"/>
        <w:keepNext w:val="0"/>
        <w:keepLines w:val="0"/>
        <w:pageBreakBefore w:val="0"/>
        <w:kinsoku/>
        <w:wordWrap/>
        <w:overflowPunct/>
        <w:topLinePunct w:val="0"/>
        <w:autoSpaceDE/>
        <w:autoSpaceDN/>
        <w:bidi w:val="0"/>
        <w:adjustRightInd/>
        <w:snapToGrid w:val="0"/>
        <w:spacing w:line="600" w:lineRule="atLeast"/>
        <w:ind w:leftChars="600" w:right="-105" w:rightChars="-5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2.2023年中央财政城镇保障性安居工程补助资金（老旧小区改造）计划项目资金情况汇总表</w:t>
      </w:r>
    </w:p>
    <w:p>
      <w:pPr>
        <w:pStyle w:val="7"/>
        <w:keepNext w:val="0"/>
        <w:keepLines w:val="0"/>
        <w:pageBreakBefore w:val="0"/>
        <w:kinsoku/>
        <w:wordWrap/>
        <w:overflowPunct/>
        <w:topLinePunct w:val="0"/>
        <w:autoSpaceDE/>
        <w:autoSpaceDN/>
        <w:bidi w:val="0"/>
        <w:adjustRightInd/>
        <w:snapToGrid w:val="0"/>
        <w:spacing w:line="600" w:lineRule="atLeast"/>
        <w:ind w:leftChars="600" w:right="-105" w:rightChars="-50"/>
        <w:textAlignment w:val="auto"/>
        <w:rPr>
          <w:rFonts w:hint="default" w:ascii="仿宋_GB2312" w:hAnsi="仿宋_GB2312" w:eastAsia="仿宋_GB2312" w:cs="仿宋_GB2312"/>
          <w:color w:val="auto"/>
          <w:kern w:val="0"/>
          <w:sz w:val="32"/>
          <w:szCs w:val="32"/>
          <w:highlight w:val="none"/>
          <w:lang w:val="en-US" w:eastAsia="zh-CN"/>
        </w:rPr>
      </w:pPr>
      <w:r>
        <w:rPr>
          <w:rFonts w:hint="default" w:ascii="仿宋_GB2312" w:hAnsi="仿宋_GB2312" w:eastAsia="仿宋_GB2312" w:cs="仿宋_GB2312"/>
          <w:color w:val="auto"/>
          <w:kern w:val="0"/>
          <w:sz w:val="32"/>
          <w:szCs w:val="32"/>
          <w:highlight w:val="none"/>
          <w:lang w:val="en-US" w:eastAsia="zh-CN"/>
        </w:rPr>
        <w:t>3.2023年中央财政城镇保障性安居工程补助资金（老旧小区改造）计划项目完成情况汇总表</w:t>
      </w:r>
    </w:p>
    <w:p>
      <w:pPr>
        <w:pStyle w:val="7"/>
        <w:keepNext w:val="0"/>
        <w:keepLines w:val="0"/>
        <w:pageBreakBefore w:val="0"/>
        <w:kinsoku/>
        <w:wordWrap/>
        <w:overflowPunct/>
        <w:topLinePunct w:val="0"/>
        <w:autoSpaceDE/>
        <w:autoSpaceDN/>
        <w:bidi w:val="0"/>
        <w:adjustRightInd/>
        <w:snapToGrid w:val="0"/>
        <w:spacing w:line="600" w:lineRule="atLeast"/>
        <w:ind w:leftChars="600" w:right="-105" w:rightChars="-50"/>
        <w:textAlignment w:val="auto"/>
        <w:rPr>
          <w:rFonts w:hint="default" w:ascii="仿宋_GB2312" w:hAnsi="仿宋_GB2312" w:eastAsia="仿宋_GB2312" w:cs="仿宋_GB2312"/>
          <w:color w:val="auto"/>
          <w:kern w:val="0"/>
          <w:sz w:val="32"/>
          <w:szCs w:val="32"/>
          <w:highlight w:val="none"/>
          <w:lang w:val="en-US" w:eastAsia="zh-CN"/>
        </w:rPr>
      </w:pPr>
      <w:r>
        <w:rPr>
          <w:rFonts w:hint="default" w:ascii="仿宋_GB2312" w:hAnsi="仿宋_GB2312" w:eastAsia="仿宋_GB2312" w:cs="仿宋_GB2312"/>
          <w:color w:val="auto"/>
          <w:kern w:val="0"/>
          <w:sz w:val="32"/>
          <w:szCs w:val="32"/>
          <w:highlight w:val="none"/>
          <w:lang w:val="en-US" w:eastAsia="zh-CN"/>
        </w:rPr>
        <w:t>4.2023年中央财政城镇保障性安居工程补助资金（老旧小区改造）计划项目绩效评价补充信息汇总表</w:t>
      </w:r>
    </w:p>
    <w:p>
      <w:pPr>
        <w:pStyle w:val="7"/>
        <w:keepNext w:val="0"/>
        <w:keepLines w:val="0"/>
        <w:pageBreakBefore w:val="0"/>
        <w:kinsoku/>
        <w:wordWrap/>
        <w:overflowPunct/>
        <w:topLinePunct w:val="0"/>
        <w:autoSpaceDE/>
        <w:autoSpaceDN/>
        <w:bidi w:val="0"/>
        <w:adjustRightInd/>
        <w:snapToGrid w:val="0"/>
        <w:spacing w:line="600" w:lineRule="atLeast"/>
        <w:ind w:leftChars="600" w:right="-105" w:rightChars="-50"/>
        <w:textAlignment w:val="auto"/>
        <w:rPr>
          <w:rFonts w:hint="default" w:ascii="仿宋_GB2312" w:hAnsi="仿宋_GB2312" w:eastAsia="仿宋_GB2312" w:cs="仿宋_GB2312"/>
          <w:color w:val="auto"/>
          <w:kern w:val="0"/>
          <w:sz w:val="32"/>
          <w:szCs w:val="32"/>
          <w:highlight w:val="none"/>
          <w:lang w:val="en-US" w:eastAsia="zh-CN"/>
        </w:rPr>
      </w:pPr>
      <w:r>
        <w:rPr>
          <w:rFonts w:hint="default" w:ascii="仿宋_GB2312" w:hAnsi="仿宋_GB2312" w:eastAsia="仿宋_GB2312" w:cs="仿宋_GB2312"/>
          <w:color w:val="auto"/>
          <w:kern w:val="0"/>
          <w:sz w:val="32"/>
          <w:szCs w:val="32"/>
          <w:highlight w:val="none"/>
          <w:lang w:val="en-US" w:eastAsia="zh-CN"/>
        </w:rPr>
        <w:t>5.2023年中央财政城镇保障性安居工程补助资金（老旧小区改造）绩效评价佐证材料清单</w:t>
      </w:r>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创艺简黑体">
    <w:altName w:val="黑体"/>
    <w:panose1 w:val="00000000000000000000"/>
    <w:charset w:val="86"/>
    <w:family w:val="auto"/>
    <w:pitch w:val="default"/>
    <w:sig w:usb0="00000000" w:usb1="00000000" w:usb2="0000001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Consolas">
    <w:altName w:val="Noto Sans Mono"/>
    <w:panose1 w:val="020B0609020204030204"/>
    <w:charset w:val="00"/>
    <w:family w:val="auto"/>
    <w:pitch w:val="default"/>
    <w:sig w:usb0="00000000" w:usb1="00000000" w:usb2="00000001" w:usb3="00000000" w:csb0="6000019F" w:csb1="DFD70000"/>
  </w:font>
  <w:font w:name="Arial Unicode MS">
    <w:altName w:val="Times New Roman"/>
    <w:panose1 w:val="020B0604020202020204"/>
    <w:charset w:val="86"/>
    <w:family w:val="auto"/>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仿宋">
    <w:altName w:val="宋体"/>
    <w:panose1 w:val="02010609060101010101"/>
    <w:charset w:val="86"/>
    <w:family w:val="auto"/>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Noto Sans Mono">
    <w:panose1 w:val="020B0509040504020204"/>
    <w:charset w:val="00"/>
    <w:family w:val="auto"/>
    <w:pitch w:val="default"/>
    <w:sig w:usb0="E00002FF" w:usb1="4200FCFF" w:usb2="08000039" w:usb3="00100000" w:csb0="0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仿宋" w:hAnsi="仿宋" w:eastAsia="仿宋" w:cs="仿宋"/>
                              <w:sz w:val="28"/>
                              <w:szCs w:val="28"/>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lang w:eastAsia="zh-CN"/>
                            </w:rPr>
                            <w:t>- 2 -</w:t>
                          </w:r>
                          <w:r>
                            <w:rPr>
                              <w:rFonts w:hint="eastAsia" w:ascii="仿宋" w:hAnsi="仿宋" w:eastAsia="仿宋" w:cs="仿宋"/>
                              <w:sz w:val="28"/>
                              <w:szCs w:val="28"/>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8"/>
                      <w:rPr>
                        <w:rFonts w:hint="eastAsia" w:ascii="仿宋" w:hAnsi="仿宋" w:eastAsia="仿宋" w:cs="仿宋"/>
                        <w:sz w:val="28"/>
                        <w:szCs w:val="28"/>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lang w:eastAsia="zh-CN"/>
                      </w:rPr>
                      <w:t>- 2 -</w:t>
                    </w:r>
                    <w:r>
                      <w:rPr>
                        <w:rFonts w:hint="eastAsia" w:ascii="仿宋" w:hAnsi="仿宋" w:eastAsia="仿宋" w:cs="仿宋"/>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0"/>
    <w:multiLevelType w:val="multilevel"/>
    <w:tmpl w:val="00000010"/>
    <w:lvl w:ilvl="0" w:tentative="0">
      <w:start w:val="1"/>
      <w:numFmt w:val="chineseCountingThousand"/>
      <w:suff w:val="nothing"/>
      <w:lvlText w:val="第%1篇"/>
      <w:lvlJc w:val="left"/>
      <w:pPr>
        <w:ind w:left="210" w:firstLine="0"/>
      </w:pPr>
      <w:rPr>
        <w:rFonts w:hint="eastAsia" w:ascii="黑体" w:eastAsia="黑体"/>
        <w:b/>
        <w:i w:val="0"/>
        <w:sz w:val="32"/>
      </w:rPr>
    </w:lvl>
    <w:lvl w:ilvl="1" w:tentative="0">
      <w:start w:val="1"/>
      <w:numFmt w:val="chineseCountingThousand"/>
      <w:suff w:val="nothing"/>
      <w:lvlText w:val="第%2章"/>
      <w:lvlJc w:val="left"/>
      <w:pPr>
        <w:ind w:left="210" w:firstLine="0"/>
      </w:pPr>
      <w:rPr>
        <w:rFonts w:hint="eastAsia" w:ascii="黑体" w:eastAsia="黑体"/>
        <w:b/>
        <w:i w:val="0"/>
        <w:kern w:val="0"/>
        <w:sz w:val="30"/>
      </w:rPr>
    </w:lvl>
    <w:lvl w:ilvl="2" w:tentative="0">
      <w:start w:val="1"/>
      <w:numFmt w:val="chineseCountingThousand"/>
      <w:pStyle w:val="4"/>
      <w:suff w:val="nothing"/>
      <w:lvlText w:val="第%3节"/>
      <w:lvlJc w:val="left"/>
      <w:pPr>
        <w:ind w:left="210" w:firstLine="0"/>
      </w:pPr>
      <w:rPr>
        <w:rFonts w:hint="eastAsia" w:ascii="黑体" w:eastAsia="黑体"/>
        <w:b/>
        <w:i w:val="0"/>
        <w:kern w:val="0"/>
        <w:sz w:val="28"/>
      </w:rPr>
    </w:lvl>
    <w:lvl w:ilvl="3" w:tentative="0">
      <w:start w:val="1"/>
      <w:numFmt w:val="chineseCountingThousand"/>
      <w:suff w:val="nothing"/>
      <w:lvlText w:val="%4、"/>
      <w:lvlJc w:val="left"/>
      <w:pPr>
        <w:ind w:left="210" w:firstLine="0"/>
      </w:pPr>
      <w:rPr>
        <w:rFonts w:hint="eastAsia" w:ascii="黑体" w:eastAsia="黑体"/>
        <w:b w:val="0"/>
        <w:i w:val="0"/>
        <w:caps w:val="0"/>
        <w:strike w:val="0"/>
        <w:dstrike w:val="0"/>
        <w:vanish w:val="0"/>
        <w:color w:val="auto"/>
        <w:sz w:val="28"/>
        <w:vertAlign w:val="baseline"/>
      </w:rPr>
    </w:lvl>
    <w:lvl w:ilvl="4" w:tentative="0">
      <w:start w:val="1"/>
      <w:numFmt w:val="chineseCountingThousand"/>
      <w:suff w:val="nothing"/>
      <w:lvlText w:val="%5、"/>
      <w:lvlJc w:val="left"/>
      <w:pPr>
        <w:ind w:left="210" w:firstLine="0"/>
      </w:pPr>
      <w:rPr>
        <w:rFonts w:hint="eastAsia" w:ascii="黑体" w:eastAsia="黑体"/>
        <w:b/>
        <w:i w:val="0"/>
        <w:spacing w:val="0"/>
        <w:position w:val="0"/>
        <w:sz w:val="24"/>
      </w:rPr>
    </w:lvl>
    <w:lvl w:ilvl="5" w:tentative="0">
      <w:start w:val="1"/>
      <w:numFmt w:val="decimal"/>
      <w:suff w:val="nothing"/>
      <w:lvlText w:val="%6."/>
      <w:lvlJc w:val="left"/>
      <w:pPr>
        <w:ind w:left="210" w:firstLine="0"/>
      </w:pPr>
      <w:rPr>
        <w:rFonts w:hint="eastAsia" w:ascii="黑体" w:eastAsia="黑体"/>
        <w:b/>
        <w:i w:val="0"/>
        <w:sz w:val="24"/>
      </w:rPr>
    </w:lvl>
    <w:lvl w:ilvl="6" w:tentative="0">
      <w:start w:val="1"/>
      <w:numFmt w:val="decimal"/>
      <w:suff w:val="nothing"/>
      <w:lvlText w:val="(%7)"/>
      <w:lvlJc w:val="left"/>
      <w:pPr>
        <w:ind w:left="210" w:firstLine="0"/>
      </w:pPr>
      <w:rPr>
        <w:rFonts w:hint="eastAsia" w:ascii="宋体" w:eastAsia="宋体"/>
        <w:b w:val="0"/>
        <w:i w:val="0"/>
        <w:sz w:val="24"/>
      </w:rPr>
    </w:lvl>
    <w:lvl w:ilvl="7" w:tentative="0">
      <w:start w:val="1"/>
      <w:numFmt w:val="chineseCountingThousand"/>
      <w:suff w:val="nothing"/>
      <w:lvlText w:val="（%8）"/>
      <w:lvlJc w:val="left"/>
      <w:pPr>
        <w:ind w:left="210" w:firstLine="0"/>
      </w:pPr>
      <w:rPr>
        <w:rFonts w:hint="eastAsia"/>
      </w:rPr>
    </w:lvl>
    <w:lvl w:ilvl="8" w:tentative="0">
      <w:start w:val="1"/>
      <w:numFmt w:val="none"/>
      <w:suff w:val="nothing"/>
      <w:lvlText w:val=""/>
      <w:lvlJc w:val="left"/>
      <w:pPr>
        <w:ind w:left="21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lN2M3MWFiMzkzMTMyZWQyZjhjMzlkNWQwYjNjNmUifQ=="/>
  </w:docVars>
  <w:rsids>
    <w:rsidRoot w:val="22B428EE"/>
    <w:rsid w:val="00153F17"/>
    <w:rsid w:val="00166F35"/>
    <w:rsid w:val="0046576B"/>
    <w:rsid w:val="004D4BDB"/>
    <w:rsid w:val="006D5DB4"/>
    <w:rsid w:val="00842736"/>
    <w:rsid w:val="00D743B5"/>
    <w:rsid w:val="00F96441"/>
    <w:rsid w:val="01A30770"/>
    <w:rsid w:val="01AD392B"/>
    <w:rsid w:val="01B001D3"/>
    <w:rsid w:val="01B06207"/>
    <w:rsid w:val="01E03D46"/>
    <w:rsid w:val="01E6792B"/>
    <w:rsid w:val="01EE04AE"/>
    <w:rsid w:val="02175F22"/>
    <w:rsid w:val="021954FD"/>
    <w:rsid w:val="022C3913"/>
    <w:rsid w:val="025F31D8"/>
    <w:rsid w:val="027B2B16"/>
    <w:rsid w:val="02C97D12"/>
    <w:rsid w:val="02CD036A"/>
    <w:rsid w:val="02D90C51"/>
    <w:rsid w:val="02EA4E31"/>
    <w:rsid w:val="03134B19"/>
    <w:rsid w:val="03180A93"/>
    <w:rsid w:val="033E696D"/>
    <w:rsid w:val="034E3FE2"/>
    <w:rsid w:val="035F141D"/>
    <w:rsid w:val="036E771B"/>
    <w:rsid w:val="039205C0"/>
    <w:rsid w:val="039772CD"/>
    <w:rsid w:val="03AB046B"/>
    <w:rsid w:val="03AC683A"/>
    <w:rsid w:val="040265A6"/>
    <w:rsid w:val="043951A7"/>
    <w:rsid w:val="04504B4B"/>
    <w:rsid w:val="04A57737"/>
    <w:rsid w:val="04CF7307"/>
    <w:rsid w:val="04FF6B55"/>
    <w:rsid w:val="05082E32"/>
    <w:rsid w:val="050A246E"/>
    <w:rsid w:val="050E1438"/>
    <w:rsid w:val="05233248"/>
    <w:rsid w:val="054447EA"/>
    <w:rsid w:val="056E51B4"/>
    <w:rsid w:val="05940DA6"/>
    <w:rsid w:val="05B20F4D"/>
    <w:rsid w:val="05C855D7"/>
    <w:rsid w:val="05C8568A"/>
    <w:rsid w:val="060A23D1"/>
    <w:rsid w:val="06170297"/>
    <w:rsid w:val="066673AC"/>
    <w:rsid w:val="06C21802"/>
    <w:rsid w:val="06C51CC1"/>
    <w:rsid w:val="06F3009D"/>
    <w:rsid w:val="06FE4433"/>
    <w:rsid w:val="071F2378"/>
    <w:rsid w:val="07322863"/>
    <w:rsid w:val="0758025E"/>
    <w:rsid w:val="075F1F22"/>
    <w:rsid w:val="076079BF"/>
    <w:rsid w:val="07613623"/>
    <w:rsid w:val="079B5B3A"/>
    <w:rsid w:val="07A27C00"/>
    <w:rsid w:val="07B47A8D"/>
    <w:rsid w:val="07BE3529"/>
    <w:rsid w:val="07BF7676"/>
    <w:rsid w:val="07F715E7"/>
    <w:rsid w:val="08282D07"/>
    <w:rsid w:val="086132E0"/>
    <w:rsid w:val="0867146E"/>
    <w:rsid w:val="08A0309A"/>
    <w:rsid w:val="08D57437"/>
    <w:rsid w:val="09012917"/>
    <w:rsid w:val="094B01EF"/>
    <w:rsid w:val="096B3DBA"/>
    <w:rsid w:val="09FD0252"/>
    <w:rsid w:val="0A251C84"/>
    <w:rsid w:val="0A2A19F9"/>
    <w:rsid w:val="0A3374D0"/>
    <w:rsid w:val="0A387402"/>
    <w:rsid w:val="0AC0026B"/>
    <w:rsid w:val="0ACB4A0E"/>
    <w:rsid w:val="0B064525"/>
    <w:rsid w:val="0B8D3BC7"/>
    <w:rsid w:val="0BD0592B"/>
    <w:rsid w:val="0BDF1202"/>
    <w:rsid w:val="0BFD70DA"/>
    <w:rsid w:val="0C772D6A"/>
    <w:rsid w:val="0C9717B0"/>
    <w:rsid w:val="0CAC2972"/>
    <w:rsid w:val="0D0B5B12"/>
    <w:rsid w:val="0D281F93"/>
    <w:rsid w:val="0D32553B"/>
    <w:rsid w:val="0D4D290F"/>
    <w:rsid w:val="0D893793"/>
    <w:rsid w:val="0DA223C5"/>
    <w:rsid w:val="0DCC5CE7"/>
    <w:rsid w:val="0DDA6377"/>
    <w:rsid w:val="0E2302F7"/>
    <w:rsid w:val="0E2F3B4C"/>
    <w:rsid w:val="0E3962A2"/>
    <w:rsid w:val="0E42668B"/>
    <w:rsid w:val="0E642DBB"/>
    <w:rsid w:val="0ED96277"/>
    <w:rsid w:val="0EE37C7F"/>
    <w:rsid w:val="0F3020DD"/>
    <w:rsid w:val="0F3E4653"/>
    <w:rsid w:val="0F684EC2"/>
    <w:rsid w:val="0FED48B8"/>
    <w:rsid w:val="101243DC"/>
    <w:rsid w:val="103A2CC2"/>
    <w:rsid w:val="104224CE"/>
    <w:rsid w:val="1142651D"/>
    <w:rsid w:val="114514FD"/>
    <w:rsid w:val="115044F8"/>
    <w:rsid w:val="115715C6"/>
    <w:rsid w:val="11861B94"/>
    <w:rsid w:val="118B71DE"/>
    <w:rsid w:val="11C73D0C"/>
    <w:rsid w:val="11FA0869"/>
    <w:rsid w:val="120941B5"/>
    <w:rsid w:val="123E3EFC"/>
    <w:rsid w:val="127C300E"/>
    <w:rsid w:val="12952174"/>
    <w:rsid w:val="12CE04EE"/>
    <w:rsid w:val="12E9069E"/>
    <w:rsid w:val="131E0186"/>
    <w:rsid w:val="13650781"/>
    <w:rsid w:val="13B03034"/>
    <w:rsid w:val="13E851F1"/>
    <w:rsid w:val="13F278EE"/>
    <w:rsid w:val="14101C60"/>
    <w:rsid w:val="143A5748"/>
    <w:rsid w:val="147D0F37"/>
    <w:rsid w:val="14992CD5"/>
    <w:rsid w:val="14AF6094"/>
    <w:rsid w:val="14CE3B89"/>
    <w:rsid w:val="14DB0E5A"/>
    <w:rsid w:val="155A3CF9"/>
    <w:rsid w:val="156D105A"/>
    <w:rsid w:val="158742DA"/>
    <w:rsid w:val="15BE2056"/>
    <w:rsid w:val="15DB6772"/>
    <w:rsid w:val="15FE6A06"/>
    <w:rsid w:val="16183EDF"/>
    <w:rsid w:val="16584C58"/>
    <w:rsid w:val="16B25250"/>
    <w:rsid w:val="16BF1B07"/>
    <w:rsid w:val="16D17208"/>
    <w:rsid w:val="16F25613"/>
    <w:rsid w:val="17087C07"/>
    <w:rsid w:val="170C1450"/>
    <w:rsid w:val="17365E81"/>
    <w:rsid w:val="17B27B66"/>
    <w:rsid w:val="17C12F49"/>
    <w:rsid w:val="185C38DF"/>
    <w:rsid w:val="18652AAD"/>
    <w:rsid w:val="18716A45"/>
    <w:rsid w:val="18802709"/>
    <w:rsid w:val="18835462"/>
    <w:rsid w:val="18941A97"/>
    <w:rsid w:val="18A91CB0"/>
    <w:rsid w:val="1922362F"/>
    <w:rsid w:val="194E7133"/>
    <w:rsid w:val="19A325CF"/>
    <w:rsid w:val="19DB7F94"/>
    <w:rsid w:val="19F52BC6"/>
    <w:rsid w:val="1A136F63"/>
    <w:rsid w:val="1A6B70F8"/>
    <w:rsid w:val="1A7A6E5A"/>
    <w:rsid w:val="1A7C5940"/>
    <w:rsid w:val="1AA478A7"/>
    <w:rsid w:val="1AE81694"/>
    <w:rsid w:val="1B652214"/>
    <w:rsid w:val="1BB5667C"/>
    <w:rsid w:val="1C7A6810"/>
    <w:rsid w:val="1C9B0E64"/>
    <w:rsid w:val="1CA27FD0"/>
    <w:rsid w:val="1CF644A0"/>
    <w:rsid w:val="1D1218DD"/>
    <w:rsid w:val="1D134776"/>
    <w:rsid w:val="1D523525"/>
    <w:rsid w:val="1D952165"/>
    <w:rsid w:val="1D954C94"/>
    <w:rsid w:val="1DC72FB7"/>
    <w:rsid w:val="1DCD5BBE"/>
    <w:rsid w:val="1DDF750E"/>
    <w:rsid w:val="1DE20EA7"/>
    <w:rsid w:val="1DF0665E"/>
    <w:rsid w:val="1DF1646A"/>
    <w:rsid w:val="1E277136"/>
    <w:rsid w:val="1E420371"/>
    <w:rsid w:val="1E4944B6"/>
    <w:rsid w:val="1E4A0457"/>
    <w:rsid w:val="1E5A3070"/>
    <w:rsid w:val="1E5A6FA3"/>
    <w:rsid w:val="1E5B7EFD"/>
    <w:rsid w:val="1ECC54B7"/>
    <w:rsid w:val="1EDB29C7"/>
    <w:rsid w:val="1F3051FC"/>
    <w:rsid w:val="1F430568"/>
    <w:rsid w:val="1F4F3621"/>
    <w:rsid w:val="1F52137F"/>
    <w:rsid w:val="1FD40C1A"/>
    <w:rsid w:val="1FE93153"/>
    <w:rsid w:val="20104BC8"/>
    <w:rsid w:val="20112C70"/>
    <w:rsid w:val="20410489"/>
    <w:rsid w:val="204B11B4"/>
    <w:rsid w:val="204B473A"/>
    <w:rsid w:val="204D16DD"/>
    <w:rsid w:val="206E52B8"/>
    <w:rsid w:val="207C6D7B"/>
    <w:rsid w:val="20A419F4"/>
    <w:rsid w:val="20D37B82"/>
    <w:rsid w:val="20E63E37"/>
    <w:rsid w:val="20F02865"/>
    <w:rsid w:val="20F34AA9"/>
    <w:rsid w:val="20F91794"/>
    <w:rsid w:val="21215B8F"/>
    <w:rsid w:val="212577A2"/>
    <w:rsid w:val="217F367D"/>
    <w:rsid w:val="219008C9"/>
    <w:rsid w:val="21CB18BC"/>
    <w:rsid w:val="21F32DCB"/>
    <w:rsid w:val="22335472"/>
    <w:rsid w:val="224275CA"/>
    <w:rsid w:val="2243172C"/>
    <w:rsid w:val="22A85759"/>
    <w:rsid w:val="22B428EE"/>
    <w:rsid w:val="22BC1E84"/>
    <w:rsid w:val="231F4B91"/>
    <w:rsid w:val="23251001"/>
    <w:rsid w:val="23353BD0"/>
    <w:rsid w:val="236B62E1"/>
    <w:rsid w:val="237779EF"/>
    <w:rsid w:val="23A91A88"/>
    <w:rsid w:val="23F7362A"/>
    <w:rsid w:val="24125AD3"/>
    <w:rsid w:val="2438689F"/>
    <w:rsid w:val="244D6DB1"/>
    <w:rsid w:val="245A6ECC"/>
    <w:rsid w:val="24AC75F7"/>
    <w:rsid w:val="255E6EA9"/>
    <w:rsid w:val="258E70E1"/>
    <w:rsid w:val="25957582"/>
    <w:rsid w:val="25A67039"/>
    <w:rsid w:val="25D92EEE"/>
    <w:rsid w:val="26050EBB"/>
    <w:rsid w:val="26281DF3"/>
    <w:rsid w:val="26343834"/>
    <w:rsid w:val="26563200"/>
    <w:rsid w:val="26977C64"/>
    <w:rsid w:val="27160F25"/>
    <w:rsid w:val="271B74CF"/>
    <w:rsid w:val="274A3283"/>
    <w:rsid w:val="27853811"/>
    <w:rsid w:val="278C564A"/>
    <w:rsid w:val="27D24F96"/>
    <w:rsid w:val="27E10D23"/>
    <w:rsid w:val="27E814F1"/>
    <w:rsid w:val="27EA7BCB"/>
    <w:rsid w:val="27EF7A05"/>
    <w:rsid w:val="2808287A"/>
    <w:rsid w:val="282A7747"/>
    <w:rsid w:val="286A228A"/>
    <w:rsid w:val="287B406E"/>
    <w:rsid w:val="28941337"/>
    <w:rsid w:val="28AE2CEF"/>
    <w:rsid w:val="29031C28"/>
    <w:rsid w:val="292C49EE"/>
    <w:rsid w:val="295F4176"/>
    <w:rsid w:val="29BF2DAA"/>
    <w:rsid w:val="2A385D68"/>
    <w:rsid w:val="2A420778"/>
    <w:rsid w:val="2A5A5CF7"/>
    <w:rsid w:val="2A6C6696"/>
    <w:rsid w:val="2A6E1A93"/>
    <w:rsid w:val="2A750BA8"/>
    <w:rsid w:val="2A9071FF"/>
    <w:rsid w:val="2A987924"/>
    <w:rsid w:val="2AFF3EB4"/>
    <w:rsid w:val="2B2C7A37"/>
    <w:rsid w:val="2B603BD7"/>
    <w:rsid w:val="2B6B79B1"/>
    <w:rsid w:val="2B915808"/>
    <w:rsid w:val="2C0C5CE2"/>
    <w:rsid w:val="2C31056E"/>
    <w:rsid w:val="2C3F1808"/>
    <w:rsid w:val="2C853793"/>
    <w:rsid w:val="2C85392E"/>
    <w:rsid w:val="2C994A91"/>
    <w:rsid w:val="2CFA3C14"/>
    <w:rsid w:val="2CFE6E4D"/>
    <w:rsid w:val="2D035D1F"/>
    <w:rsid w:val="2D326C3D"/>
    <w:rsid w:val="2D3879E9"/>
    <w:rsid w:val="2DA2331A"/>
    <w:rsid w:val="2DA76D39"/>
    <w:rsid w:val="2DB71F47"/>
    <w:rsid w:val="2DE7182C"/>
    <w:rsid w:val="2DF854C2"/>
    <w:rsid w:val="2E075AD3"/>
    <w:rsid w:val="2E093941"/>
    <w:rsid w:val="2E9E6BE3"/>
    <w:rsid w:val="2EA64400"/>
    <w:rsid w:val="2EA80B15"/>
    <w:rsid w:val="2ECD6933"/>
    <w:rsid w:val="2EE93382"/>
    <w:rsid w:val="2F141827"/>
    <w:rsid w:val="2F200198"/>
    <w:rsid w:val="2F23566F"/>
    <w:rsid w:val="2F566F0D"/>
    <w:rsid w:val="2FE07DC9"/>
    <w:rsid w:val="2FF50339"/>
    <w:rsid w:val="3026112F"/>
    <w:rsid w:val="303F61FD"/>
    <w:rsid w:val="304335C4"/>
    <w:rsid w:val="30774F3C"/>
    <w:rsid w:val="30777F0E"/>
    <w:rsid w:val="30A85ECF"/>
    <w:rsid w:val="30C10E08"/>
    <w:rsid w:val="314E26A7"/>
    <w:rsid w:val="31662A68"/>
    <w:rsid w:val="3185039F"/>
    <w:rsid w:val="31C747C2"/>
    <w:rsid w:val="31CE7EC4"/>
    <w:rsid w:val="32163AB9"/>
    <w:rsid w:val="32264399"/>
    <w:rsid w:val="324C65B9"/>
    <w:rsid w:val="32A73338"/>
    <w:rsid w:val="32B07ED2"/>
    <w:rsid w:val="32D556C1"/>
    <w:rsid w:val="33445CAB"/>
    <w:rsid w:val="33663D4D"/>
    <w:rsid w:val="33F47AD8"/>
    <w:rsid w:val="33FB3E4A"/>
    <w:rsid w:val="33FC660D"/>
    <w:rsid w:val="3410544E"/>
    <w:rsid w:val="342D6F8D"/>
    <w:rsid w:val="342E5821"/>
    <w:rsid w:val="344E257E"/>
    <w:rsid w:val="345B0D40"/>
    <w:rsid w:val="347C2FF1"/>
    <w:rsid w:val="348846D8"/>
    <w:rsid w:val="34B0194F"/>
    <w:rsid w:val="34B41361"/>
    <w:rsid w:val="35760A6B"/>
    <w:rsid w:val="362E7A13"/>
    <w:rsid w:val="36420CDA"/>
    <w:rsid w:val="36651A24"/>
    <w:rsid w:val="36707E5F"/>
    <w:rsid w:val="36866665"/>
    <w:rsid w:val="36E91883"/>
    <w:rsid w:val="36F06495"/>
    <w:rsid w:val="3701788F"/>
    <w:rsid w:val="370277B6"/>
    <w:rsid w:val="37427820"/>
    <w:rsid w:val="382F44FB"/>
    <w:rsid w:val="383A4458"/>
    <w:rsid w:val="384C6363"/>
    <w:rsid w:val="38516F67"/>
    <w:rsid w:val="3855077D"/>
    <w:rsid w:val="38806FD1"/>
    <w:rsid w:val="3887669F"/>
    <w:rsid w:val="38A55956"/>
    <w:rsid w:val="38BE47F0"/>
    <w:rsid w:val="38DA4C7C"/>
    <w:rsid w:val="38F0133D"/>
    <w:rsid w:val="39210985"/>
    <w:rsid w:val="39712C5B"/>
    <w:rsid w:val="397615D9"/>
    <w:rsid w:val="39874112"/>
    <w:rsid w:val="399926C7"/>
    <w:rsid w:val="39EE59F7"/>
    <w:rsid w:val="3A6E03EA"/>
    <w:rsid w:val="3A930B9D"/>
    <w:rsid w:val="3AAF4DCB"/>
    <w:rsid w:val="3AD2215F"/>
    <w:rsid w:val="3B2327B4"/>
    <w:rsid w:val="3B2F459B"/>
    <w:rsid w:val="3B36041A"/>
    <w:rsid w:val="3B4B5729"/>
    <w:rsid w:val="3B911029"/>
    <w:rsid w:val="3B9D4328"/>
    <w:rsid w:val="3BA245EC"/>
    <w:rsid w:val="3BE80BA7"/>
    <w:rsid w:val="3BE95060"/>
    <w:rsid w:val="3BFF1F44"/>
    <w:rsid w:val="3C3D70D7"/>
    <w:rsid w:val="3C5907F4"/>
    <w:rsid w:val="3C797AF3"/>
    <w:rsid w:val="3C85293C"/>
    <w:rsid w:val="3C8B4AF4"/>
    <w:rsid w:val="3D0E7579"/>
    <w:rsid w:val="3D18737A"/>
    <w:rsid w:val="3D2C54B2"/>
    <w:rsid w:val="3D430BBA"/>
    <w:rsid w:val="3D5B547D"/>
    <w:rsid w:val="3D6919F4"/>
    <w:rsid w:val="3D786656"/>
    <w:rsid w:val="3D904EBD"/>
    <w:rsid w:val="3E5D2C31"/>
    <w:rsid w:val="3EAD5395"/>
    <w:rsid w:val="3EC66741"/>
    <w:rsid w:val="3F0110BB"/>
    <w:rsid w:val="3F24617A"/>
    <w:rsid w:val="3F3F3440"/>
    <w:rsid w:val="3F40748E"/>
    <w:rsid w:val="3F417F1C"/>
    <w:rsid w:val="3FBF01F2"/>
    <w:rsid w:val="3FBF03BD"/>
    <w:rsid w:val="3FEC4515"/>
    <w:rsid w:val="3FF22E3C"/>
    <w:rsid w:val="40345529"/>
    <w:rsid w:val="404623E2"/>
    <w:rsid w:val="4081675F"/>
    <w:rsid w:val="408A2B6F"/>
    <w:rsid w:val="408D2D57"/>
    <w:rsid w:val="40B30B18"/>
    <w:rsid w:val="40FD5F5F"/>
    <w:rsid w:val="41120516"/>
    <w:rsid w:val="411D06EF"/>
    <w:rsid w:val="412B3471"/>
    <w:rsid w:val="412E0ABA"/>
    <w:rsid w:val="41D30497"/>
    <w:rsid w:val="41FE4B63"/>
    <w:rsid w:val="422B298A"/>
    <w:rsid w:val="422C5607"/>
    <w:rsid w:val="42454094"/>
    <w:rsid w:val="4274524B"/>
    <w:rsid w:val="427C2F84"/>
    <w:rsid w:val="4280222A"/>
    <w:rsid w:val="42841F35"/>
    <w:rsid w:val="429268CF"/>
    <w:rsid w:val="42D32DB8"/>
    <w:rsid w:val="431326C3"/>
    <w:rsid w:val="431431D4"/>
    <w:rsid w:val="43217E9C"/>
    <w:rsid w:val="43327303"/>
    <w:rsid w:val="43383EA0"/>
    <w:rsid w:val="43507313"/>
    <w:rsid w:val="43574986"/>
    <w:rsid w:val="435E6200"/>
    <w:rsid w:val="43FB2100"/>
    <w:rsid w:val="44700173"/>
    <w:rsid w:val="44AE681A"/>
    <w:rsid w:val="44C72117"/>
    <w:rsid w:val="44D31250"/>
    <w:rsid w:val="44D975BB"/>
    <w:rsid w:val="45225E26"/>
    <w:rsid w:val="452B429C"/>
    <w:rsid w:val="453E5D7D"/>
    <w:rsid w:val="45482B33"/>
    <w:rsid w:val="457C59D5"/>
    <w:rsid w:val="459645A6"/>
    <w:rsid w:val="45AD5DA8"/>
    <w:rsid w:val="45C42767"/>
    <w:rsid w:val="45DC4A74"/>
    <w:rsid w:val="461B273A"/>
    <w:rsid w:val="461B33C5"/>
    <w:rsid w:val="461E02FB"/>
    <w:rsid w:val="4666432D"/>
    <w:rsid w:val="466A44B5"/>
    <w:rsid w:val="46C8272C"/>
    <w:rsid w:val="47234C15"/>
    <w:rsid w:val="4727411C"/>
    <w:rsid w:val="47430DCF"/>
    <w:rsid w:val="47CC210A"/>
    <w:rsid w:val="484C6A03"/>
    <w:rsid w:val="485B7B58"/>
    <w:rsid w:val="48DD592A"/>
    <w:rsid w:val="49271A4C"/>
    <w:rsid w:val="49722646"/>
    <w:rsid w:val="497E2BEC"/>
    <w:rsid w:val="49F14B1B"/>
    <w:rsid w:val="4A0979E1"/>
    <w:rsid w:val="4A195C5D"/>
    <w:rsid w:val="4A1B7AC6"/>
    <w:rsid w:val="4A220E27"/>
    <w:rsid w:val="4A7D14A9"/>
    <w:rsid w:val="4AC43B1A"/>
    <w:rsid w:val="4AC54EC0"/>
    <w:rsid w:val="4AD4683C"/>
    <w:rsid w:val="4ADD1881"/>
    <w:rsid w:val="4AED1442"/>
    <w:rsid w:val="4B075259"/>
    <w:rsid w:val="4B240856"/>
    <w:rsid w:val="4B683341"/>
    <w:rsid w:val="4BE3778A"/>
    <w:rsid w:val="4BE6298B"/>
    <w:rsid w:val="4BF75138"/>
    <w:rsid w:val="4C2618C2"/>
    <w:rsid w:val="4C365338"/>
    <w:rsid w:val="4C4D3B90"/>
    <w:rsid w:val="4C561D5D"/>
    <w:rsid w:val="4C923FD2"/>
    <w:rsid w:val="4CCE1D7B"/>
    <w:rsid w:val="4D0D22CC"/>
    <w:rsid w:val="4D16380C"/>
    <w:rsid w:val="4D2770F7"/>
    <w:rsid w:val="4D3328CC"/>
    <w:rsid w:val="4D545A21"/>
    <w:rsid w:val="4DD058AE"/>
    <w:rsid w:val="4E054B87"/>
    <w:rsid w:val="4E621CF8"/>
    <w:rsid w:val="4E717B12"/>
    <w:rsid w:val="4E9C7427"/>
    <w:rsid w:val="4EC9149A"/>
    <w:rsid w:val="4ED6317E"/>
    <w:rsid w:val="4EE44943"/>
    <w:rsid w:val="4EE73FC3"/>
    <w:rsid w:val="4EE8372B"/>
    <w:rsid w:val="4EEC4B6F"/>
    <w:rsid w:val="4EFB083B"/>
    <w:rsid w:val="4F0F751B"/>
    <w:rsid w:val="4F4562B5"/>
    <w:rsid w:val="4F600788"/>
    <w:rsid w:val="4F603530"/>
    <w:rsid w:val="4F627019"/>
    <w:rsid w:val="4FC43DC4"/>
    <w:rsid w:val="50362B57"/>
    <w:rsid w:val="50416372"/>
    <w:rsid w:val="50AE6ABE"/>
    <w:rsid w:val="50BF5FB2"/>
    <w:rsid w:val="50D106D2"/>
    <w:rsid w:val="50D81C6D"/>
    <w:rsid w:val="511B12A6"/>
    <w:rsid w:val="513941A5"/>
    <w:rsid w:val="514E7D51"/>
    <w:rsid w:val="51774E4B"/>
    <w:rsid w:val="51A54DFD"/>
    <w:rsid w:val="51AD170C"/>
    <w:rsid w:val="525664B8"/>
    <w:rsid w:val="527C6D3C"/>
    <w:rsid w:val="52DA5028"/>
    <w:rsid w:val="532423D6"/>
    <w:rsid w:val="538F3C48"/>
    <w:rsid w:val="53BC614D"/>
    <w:rsid w:val="54085ED4"/>
    <w:rsid w:val="541505F1"/>
    <w:rsid w:val="542163CA"/>
    <w:rsid w:val="54437FCE"/>
    <w:rsid w:val="54471A18"/>
    <w:rsid w:val="54643B32"/>
    <w:rsid w:val="5468285F"/>
    <w:rsid w:val="54A86D6F"/>
    <w:rsid w:val="54B10FEB"/>
    <w:rsid w:val="54BB4C07"/>
    <w:rsid w:val="54C150DF"/>
    <w:rsid w:val="54E67E67"/>
    <w:rsid w:val="55102C10"/>
    <w:rsid w:val="552327EE"/>
    <w:rsid w:val="554B791C"/>
    <w:rsid w:val="556E4983"/>
    <w:rsid w:val="557F55A3"/>
    <w:rsid w:val="559A30BC"/>
    <w:rsid w:val="559E0F31"/>
    <w:rsid w:val="55AF59F9"/>
    <w:rsid w:val="55BD7D30"/>
    <w:rsid w:val="55CB6B05"/>
    <w:rsid w:val="5634700C"/>
    <w:rsid w:val="5685359D"/>
    <w:rsid w:val="56DC07B3"/>
    <w:rsid w:val="573148E0"/>
    <w:rsid w:val="573643E0"/>
    <w:rsid w:val="573C752C"/>
    <w:rsid w:val="5746213C"/>
    <w:rsid w:val="57923212"/>
    <w:rsid w:val="579315C7"/>
    <w:rsid w:val="57C540DC"/>
    <w:rsid w:val="57C87729"/>
    <w:rsid w:val="580D2309"/>
    <w:rsid w:val="585260C7"/>
    <w:rsid w:val="58883033"/>
    <w:rsid w:val="591365FF"/>
    <w:rsid w:val="598E4988"/>
    <w:rsid w:val="59933B24"/>
    <w:rsid w:val="59EC6471"/>
    <w:rsid w:val="59F4182F"/>
    <w:rsid w:val="59FF2D1D"/>
    <w:rsid w:val="5A295D82"/>
    <w:rsid w:val="5A4B2826"/>
    <w:rsid w:val="5A582698"/>
    <w:rsid w:val="5A82403D"/>
    <w:rsid w:val="5AE406A1"/>
    <w:rsid w:val="5B1742D4"/>
    <w:rsid w:val="5B4478D0"/>
    <w:rsid w:val="5B6D5BE2"/>
    <w:rsid w:val="5B7A7E2A"/>
    <w:rsid w:val="5B9916BB"/>
    <w:rsid w:val="5BA75F0B"/>
    <w:rsid w:val="5BE7274E"/>
    <w:rsid w:val="5C073369"/>
    <w:rsid w:val="5C3100CA"/>
    <w:rsid w:val="5C382143"/>
    <w:rsid w:val="5C480373"/>
    <w:rsid w:val="5C4A5B73"/>
    <w:rsid w:val="5C4E25C2"/>
    <w:rsid w:val="5CA43431"/>
    <w:rsid w:val="5CB34546"/>
    <w:rsid w:val="5CD66444"/>
    <w:rsid w:val="5CEC2F5D"/>
    <w:rsid w:val="5D1D7B60"/>
    <w:rsid w:val="5D436F75"/>
    <w:rsid w:val="5D56550E"/>
    <w:rsid w:val="5D7052FE"/>
    <w:rsid w:val="5D83659C"/>
    <w:rsid w:val="5DC23D49"/>
    <w:rsid w:val="5DF8793F"/>
    <w:rsid w:val="5E537F72"/>
    <w:rsid w:val="5E596E1B"/>
    <w:rsid w:val="5EB15584"/>
    <w:rsid w:val="5EF80146"/>
    <w:rsid w:val="5F013C4C"/>
    <w:rsid w:val="5F2F1CD4"/>
    <w:rsid w:val="5F353617"/>
    <w:rsid w:val="5F385DC0"/>
    <w:rsid w:val="5F3D1EAB"/>
    <w:rsid w:val="5F5A0C98"/>
    <w:rsid w:val="5F5E2B0C"/>
    <w:rsid w:val="5F886BF1"/>
    <w:rsid w:val="5F900F81"/>
    <w:rsid w:val="5FBE733D"/>
    <w:rsid w:val="5FC642FC"/>
    <w:rsid w:val="5FF502A2"/>
    <w:rsid w:val="60472591"/>
    <w:rsid w:val="60BE6CA3"/>
    <w:rsid w:val="60F74BF5"/>
    <w:rsid w:val="611D2B4B"/>
    <w:rsid w:val="612C1B6A"/>
    <w:rsid w:val="614B3B50"/>
    <w:rsid w:val="615C0620"/>
    <w:rsid w:val="618E558D"/>
    <w:rsid w:val="61BB351A"/>
    <w:rsid w:val="61EA4E6B"/>
    <w:rsid w:val="61FE4473"/>
    <w:rsid w:val="62332E7A"/>
    <w:rsid w:val="62457613"/>
    <w:rsid w:val="626302CA"/>
    <w:rsid w:val="62715ABE"/>
    <w:rsid w:val="627661ED"/>
    <w:rsid w:val="62D91AD8"/>
    <w:rsid w:val="62EE244C"/>
    <w:rsid w:val="63340F61"/>
    <w:rsid w:val="63B3425D"/>
    <w:rsid w:val="63C24BE9"/>
    <w:rsid w:val="63DF3789"/>
    <w:rsid w:val="63F8665E"/>
    <w:rsid w:val="64304329"/>
    <w:rsid w:val="64652A03"/>
    <w:rsid w:val="64850BEA"/>
    <w:rsid w:val="65152F79"/>
    <w:rsid w:val="65601678"/>
    <w:rsid w:val="65EF2D48"/>
    <w:rsid w:val="65F84527"/>
    <w:rsid w:val="65F94546"/>
    <w:rsid w:val="66C8504F"/>
    <w:rsid w:val="66CF23EE"/>
    <w:rsid w:val="673A72C8"/>
    <w:rsid w:val="673F09A8"/>
    <w:rsid w:val="677D5E69"/>
    <w:rsid w:val="678A05A5"/>
    <w:rsid w:val="67C71BA3"/>
    <w:rsid w:val="67C72F8D"/>
    <w:rsid w:val="67CD16EE"/>
    <w:rsid w:val="6804655B"/>
    <w:rsid w:val="68273FF7"/>
    <w:rsid w:val="683602EC"/>
    <w:rsid w:val="683A01CF"/>
    <w:rsid w:val="683F2E59"/>
    <w:rsid w:val="68587E50"/>
    <w:rsid w:val="686C30E3"/>
    <w:rsid w:val="68817792"/>
    <w:rsid w:val="68971F7B"/>
    <w:rsid w:val="68BA1E05"/>
    <w:rsid w:val="68C842A8"/>
    <w:rsid w:val="68D86BAF"/>
    <w:rsid w:val="68D973F4"/>
    <w:rsid w:val="68F77A8F"/>
    <w:rsid w:val="690E0C53"/>
    <w:rsid w:val="69340CF6"/>
    <w:rsid w:val="69722E90"/>
    <w:rsid w:val="69A51491"/>
    <w:rsid w:val="69A912B3"/>
    <w:rsid w:val="69B7077C"/>
    <w:rsid w:val="69BC2AA9"/>
    <w:rsid w:val="69D45A0A"/>
    <w:rsid w:val="69EF3FA1"/>
    <w:rsid w:val="6A211437"/>
    <w:rsid w:val="6A551979"/>
    <w:rsid w:val="6A854623"/>
    <w:rsid w:val="6AC30431"/>
    <w:rsid w:val="6AD541DF"/>
    <w:rsid w:val="6ADF0B16"/>
    <w:rsid w:val="6AEC7A63"/>
    <w:rsid w:val="6AED1528"/>
    <w:rsid w:val="6AEF34F2"/>
    <w:rsid w:val="6B301415"/>
    <w:rsid w:val="6B3C14AA"/>
    <w:rsid w:val="6B3F5E44"/>
    <w:rsid w:val="6B4D55ED"/>
    <w:rsid w:val="6B53513B"/>
    <w:rsid w:val="6B7E3E65"/>
    <w:rsid w:val="6B957BB9"/>
    <w:rsid w:val="6BA647CD"/>
    <w:rsid w:val="6BC66EA3"/>
    <w:rsid w:val="6CA87429"/>
    <w:rsid w:val="6CB450FD"/>
    <w:rsid w:val="6CBC315F"/>
    <w:rsid w:val="6CC02341"/>
    <w:rsid w:val="6D0E24FF"/>
    <w:rsid w:val="6D1D50E8"/>
    <w:rsid w:val="6D3C4D14"/>
    <w:rsid w:val="6D774270"/>
    <w:rsid w:val="6DB93CBE"/>
    <w:rsid w:val="6DDD2798"/>
    <w:rsid w:val="6DFC5E62"/>
    <w:rsid w:val="6E1A73E2"/>
    <w:rsid w:val="6E5069DD"/>
    <w:rsid w:val="6E8767CA"/>
    <w:rsid w:val="6EDB5132"/>
    <w:rsid w:val="6EF915DE"/>
    <w:rsid w:val="6F2433C3"/>
    <w:rsid w:val="6F2F761B"/>
    <w:rsid w:val="6F570614"/>
    <w:rsid w:val="6F776151"/>
    <w:rsid w:val="6FA32AFD"/>
    <w:rsid w:val="6FFEAC8A"/>
    <w:rsid w:val="702F13E2"/>
    <w:rsid w:val="702F29DA"/>
    <w:rsid w:val="703715E4"/>
    <w:rsid w:val="706F348B"/>
    <w:rsid w:val="70813E31"/>
    <w:rsid w:val="70D56CE6"/>
    <w:rsid w:val="70D834FE"/>
    <w:rsid w:val="70DC7DEA"/>
    <w:rsid w:val="713301D7"/>
    <w:rsid w:val="714C1F50"/>
    <w:rsid w:val="7196487C"/>
    <w:rsid w:val="719A4B87"/>
    <w:rsid w:val="71A0798B"/>
    <w:rsid w:val="71D838EB"/>
    <w:rsid w:val="7201710A"/>
    <w:rsid w:val="721640B6"/>
    <w:rsid w:val="722D477B"/>
    <w:rsid w:val="723E08BB"/>
    <w:rsid w:val="726363D2"/>
    <w:rsid w:val="7289399B"/>
    <w:rsid w:val="729D5913"/>
    <w:rsid w:val="72A20C37"/>
    <w:rsid w:val="72A66B8C"/>
    <w:rsid w:val="72B92EB4"/>
    <w:rsid w:val="72D17EBB"/>
    <w:rsid w:val="72D413DD"/>
    <w:rsid w:val="72D82400"/>
    <w:rsid w:val="73312E2A"/>
    <w:rsid w:val="735D2FC3"/>
    <w:rsid w:val="7365121C"/>
    <w:rsid w:val="73877667"/>
    <w:rsid w:val="73A11102"/>
    <w:rsid w:val="73A15B75"/>
    <w:rsid w:val="73B9194E"/>
    <w:rsid w:val="73C846D6"/>
    <w:rsid w:val="73D232C3"/>
    <w:rsid w:val="73D72D76"/>
    <w:rsid w:val="74205DF3"/>
    <w:rsid w:val="742C41C0"/>
    <w:rsid w:val="74455C41"/>
    <w:rsid w:val="746B3D75"/>
    <w:rsid w:val="746C450B"/>
    <w:rsid w:val="747E66E9"/>
    <w:rsid w:val="74B005BA"/>
    <w:rsid w:val="74E122F7"/>
    <w:rsid w:val="753E0028"/>
    <w:rsid w:val="75430A0D"/>
    <w:rsid w:val="76092BE1"/>
    <w:rsid w:val="7619259E"/>
    <w:rsid w:val="76194B60"/>
    <w:rsid w:val="76B43A38"/>
    <w:rsid w:val="76F81761"/>
    <w:rsid w:val="76FA276E"/>
    <w:rsid w:val="77093988"/>
    <w:rsid w:val="771129F1"/>
    <w:rsid w:val="777C372C"/>
    <w:rsid w:val="77840675"/>
    <w:rsid w:val="778F2B43"/>
    <w:rsid w:val="779C5E07"/>
    <w:rsid w:val="779D7E32"/>
    <w:rsid w:val="77FC67B9"/>
    <w:rsid w:val="780F0B33"/>
    <w:rsid w:val="783052B3"/>
    <w:rsid w:val="783629F5"/>
    <w:rsid w:val="7865614F"/>
    <w:rsid w:val="78673DEA"/>
    <w:rsid w:val="78800C8C"/>
    <w:rsid w:val="78DF13CD"/>
    <w:rsid w:val="79420AE6"/>
    <w:rsid w:val="794627BC"/>
    <w:rsid w:val="79492D38"/>
    <w:rsid w:val="794B50E9"/>
    <w:rsid w:val="794C645A"/>
    <w:rsid w:val="795453E1"/>
    <w:rsid w:val="797E20B4"/>
    <w:rsid w:val="79DA48DD"/>
    <w:rsid w:val="7A040D49"/>
    <w:rsid w:val="7A205F95"/>
    <w:rsid w:val="7A3031E0"/>
    <w:rsid w:val="7A41252F"/>
    <w:rsid w:val="7A4615FD"/>
    <w:rsid w:val="7A594F26"/>
    <w:rsid w:val="7A763B8C"/>
    <w:rsid w:val="7A877E2C"/>
    <w:rsid w:val="7ACC5069"/>
    <w:rsid w:val="7AD410D3"/>
    <w:rsid w:val="7AFB7886"/>
    <w:rsid w:val="7B1D4F2A"/>
    <w:rsid w:val="7B2C10FC"/>
    <w:rsid w:val="7B5D34E7"/>
    <w:rsid w:val="7B6E328D"/>
    <w:rsid w:val="7B85302B"/>
    <w:rsid w:val="7BA30236"/>
    <w:rsid w:val="7BC03AF0"/>
    <w:rsid w:val="7BC1622C"/>
    <w:rsid w:val="7BD45938"/>
    <w:rsid w:val="7BE54367"/>
    <w:rsid w:val="7BEE07DF"/>
    <w:rsid w:val="7C8021FC"/>
    <w:rsid w:val="7CBA580B"/>
    <w:rsid w:val="7CC25786"/>
    <w:rsid w:val="7CC43CCD"/>
    <w:rsid w:val="7CC57D7F"/>
    <w:rsid w:val="7CD62DD9"/>
    <w:rsid w:val="7CF84F1D"/>
    <w:rsid w:val="7D177394"/>
    <w:rsid w:val="7D32498B"/>
    <w:rsid w:val="7D7B2DBF"/>
    <w:rsid w:val="7DC07DDF"/>
    <w:rsid w:val="7DDB4D3D"/>
    <w:rsid w:val="7DE78EC6"/>
    <w:rsid w:val="7E632A2D"/>
    <w:rsid w:val="7E85323F"/>
    <w:rsid w:val="7E906162"/>
    <w:rsid w:val="7EC942D9"/>
    <w:rsid w:val="7EE32F8B"/>
    <w:rsid w:val="7EF9A2BC"/>
    <w:rsid w:val="7EFC18E2"/>
    <w:rsid w:val="7F0319CC"/>
    <w:rsid w:val="7F062761"/>
    <w:rsid w:val="7F2C4199"/>
    <w:rsid w:val="7F6A5034"/>
    <w:rsid w:val="7F971492"/>
    <w:rsid w:val="7F9D1381"/>
    <w:rsid w:val="7FC33907"/>
    <w:rsid w:val="7FF63F2C"/>
    <w:rsid w:val="7FF82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unhideWhenUsed/>
    <w:qFormat/>
    <w:uiPriority w:val="0"/>
    <w:pPr>
      <w:keepNext/>
      <w:keepLines/>
      <w:numPr>
        <w:ilvl w:val="2"/>
        <w:numId w:val="1"/>
      </w:numPr>
      <w:jc w:val="center"/>
      <w:outlineLvl w:val="2"/>
    </w:pPr>
    <w:rPr>
      <w:rFonts w:ascii="创艺简黑体" w:eastAsia="创艺简黑体"/>
      <w:b/>
      <w:snapToGrid w:val="0"/>
      <w:kern w:val="0"/>
      <w:sz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qFormat/>
    <w:uiPriority w:val="99"/>
    <w:pPr>
      <w:widowControl w:val="0"/>
      <w:spacing w:after="120"/>
      <w:jc w:val="both"/>
    </w:pPr>
    <w:rPr>
      <w:rFonts w:ascii="Times New Roman" w:hAnsi="Times New Roman" w:eastAsia="宋体" w:cs="Times New Roman"/>
      <w:kern w:val="2"/>
      <w:sz w:val="21"/>
      <w:lang w:val="en-US" w:eastAsia="zh-CN"/>
    </w:rPr>
  </w:style>
  <w:style w:type="paragraph" w:styleId="7">
    <w:name w:val="Body Text Indent 2"/>
    <w:basedOn w:val="1"/>
    <w:qFormat/>
    <w:uiPriority w:val="0"/>
    <w:pPr>
      <w:spacing w:after="120" w:afterLines="0" w:line="480" w:lineRule="auto"/>
      <w:ind w:left="420" w:leftChars="2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Subtitle"/>
    <w:basedOn w:val="1"/>
    <w:next w:val="1"/>
    <w:qFormat/>
    <w:uiPriority w:val="11"/>
    <w:pPr>
      <w:spacing w:before="240" w:after="60" w:line="312" w:lineRule="auto"/>
      <w:jc w:val="center"/>
      <w:outlineLvl w:val="1"/>
    </w:pPr>
    <w:rPr>
      <w:rFonts w:ascii="等线 Light" w:hAnsi="等线 Light" w:cs="Times New Roman"/>
      <w:b/>
      <w:bCs/>
      <w:kern w:val="28"/>
      <w:sz w:val="32"/>
    </w:rPr>
  </w:style>
  <w:style w:type="paragraph" w:styleId="11">
    <w:name w:val="toc 2"/>
    <w:basedOn w:val="1"/>
    <w:next w:val="1"/>
    <w:unhideWhenUsed/>
    <w:qFormat/>
    <w:uiPriority w:val="39"/>
    <w:pPr>
      <w:ind w:left="420" w:leftChars="200"/>
    </w:pPr>
  </w:style>
  <w:style w:type="paragraph" w:styleId="12">
    <w:name w:val="Normal (Web)"/>
    <w:basedOn w:val="1"/>
    <w:qFormat/>
    <w:uiPriority w:val="0"/>
    <w:pPr>
      <w:spacing w:before="0" w:beforeAutospacing="0" w:after="0" w:afterAutospacing="1"/>
      <w:ind w:left="0" w:right="0"/>
      <w:jc w:val="left"/>
    </w:pPr>
    <w:rPr>
      <w:kern w:val="0"/>
      <w:sz w:val="24"/>
      <w:lang w:val="en-US" w:eastAsia="zh-CN" w:bidi="ar"/>
    </w:rPr>
  </w:style>
  <w:style w:type="paragraph" w:styleId="13">
    <w:name w:val="Title"/>
    <w:basedOn w:val="1"/>
    <w:next w:val="1"/>
    <w:qFormat/>
    <w:uiPriority w:val="10"/>
    <w:pPr>
      <w:spacing w:before="240" w:after="60"/>
      <w:jc w:val="center"/>
      <w:outlineLvl w:val="0"/>
    </w:pPr>
    <w:rPr>
      <w:rFonts w:ascii="等线 Light" w:hAnsi="等线 Light" w:cs="Times New Roman"/>
      <w:b/>
      <w:bCs/>
      <w:sz w:val="32"/>
    </w:rPr>
  </w:style>
  <w:style w:type="character" w:styleId="16">
    <w:name w:val="Strong"/>
    <w:basedOn w:val="15"/>
    <w:qFormat/>
    <w:uiPriority w:val="0"/>
    <w:rPr>
      <w:b/>
    </w:rPr>
  </w:style>
  <w:style w:type="character" w:styleId="17">
    <w:name w:val="FollowedHyperlink"/>
    <w:basedOn w:val="15"/>
    <w:qFormat/>
    <w:uiPriority w:val="0"/>
    <w:rPr>
      <w:color w:val="161616"/>
      <w:u w:val="none"/>
    </w:rPr>
  </w:style>
  <w:style w:type="character" w:styleId="18">
    <w:name w:val="Hyperlink"/>
    <w:basedOn w:val="15"/>
    <w:qFormat/>
    <w:uiPriority w:val="0"/>
    <w:rPr>
      <w:color w:val="161616"/>
      <w:u w:val="none"/>
    </w:rPr>
  </w:style>
  <w:style w:type="character" w:styleId="19">
    <w:name w:val="HTML Code"/>
    <w:basedOn w:val="15"/>
    <w:qFormat/>
    <w:uiPriority w:val="0"/>
    <w:rPr>
      <w:rFonts w:hint="default" w:ascii="Consolas" w:hAnsi="Consolas" w:eastAsia="Consolas" w:cs="Consolas"/>
      <w:color w:val="E83E8C"/>
      <w:sz w:val="21"/>
      <w:szCs w:val="21"/>
    </w:rPr>
  </w:style>
  <w:style w:type="character" w:styleId="20">
    <w:name w:val="HTML Keyboard"/>
    <w:basedOn w:val="15"/>
    <w:qFormat/>
    <w:uiPriority w:val="0"/>
    <w:rPr>
      <w:rFonts w:ascii="Consolas" w:hAnsi="Consolas" w:eastAsia="Consolas" w:cs="Consolas"/>
      <w:color w:val="FFFFFF"/>
      <w:sz w:val="21"/>
      <w:szCs w:val="21"/>
      <w:shd w:val="clear" w:fill="212529"/>
    </w:rPr>
  </w:style>
  <w:style w:type="character" w:styleId="21">
    <w:name w:val="HTML Sample"/>
    <w:basedOn w:val="15"/>
    <w:qFormat/>
    <w:uiPriority w:val="0"/>
    <w:rPr>
      <w:rFonts w:hint="default" w:ascii="Consolas" w:hAnsi="Consolas" w:eastAsia="Consolas" w:cs="Consolas"/>
      <w:sz w:val="21"/>
      <w:szCs w:val="21"/>
    </w:rPr>
  </w:style>
  <w:style w:type="paragraph" w:customStyle="1" w:styleId="22">
    <w:name w:val="reader-word-layer reader-word-s46-2"/>
    <w:basedOn w:val="1"/>
    <w:next w:val="23"/>
    <w:qFormat/>
    <w:uiPriority w:val="0"/>
    <w:pPr>
      <w:widowControl/>
      <w:spacing w:before="280" w:beforeLines="0" w:after="280" w:afterLines="0"/>
    </w:pPr>
    <w:rPr>
      <w:rFonts w:hint="eastAsia" w:ascii="宋体"/>
      <w:sz w:val="24"/>
    </w:rPr>
  </w:style>
  <w:style w:type="paragraph" w:customStyle="1" w:styleId="23">
    <w:name w:val="xl35"/>
    <w:basedOn w:val="1"/>
    <w:next w:val="1"/>
    <w:qFormat/>
    <w:uiPriority w:val="0"/>
    <w:pPr>
      <w:widowControl/>
      <w:shd w:val="clear" w:color="FFFFFF" w:fill="FFFFFF"/>
      <w:spacing w:before="280" w:beforeLines="0" w:after="280" w:afterLines="0"/>
    </w:pPr>
    <w:rPr>
      <w:rFonts w:hint="eastAsia" w:ascii="Arial Unicode MS" w:eastAsia="Arial Unicode MS"/>
      <w:sz w:val="24"/>
    </w:rPr>
  </w:style>
  <w:style w:type="character" w:customStyle="1" w:styleId="24">
    <w:name w:val="disabled"/>
    <w:basedOn w:val="15"/>
    <w:qFormat/>
    <w:uiPriority w:val="0"/>
    <w:rPr>
      <w:color w:val="BFBFBF"/>
    </w:rPr>
  </w:style>
  <w:style w:type="character" w:customStyle="1" w:styleId="25">
    <w:name w:val="current"/>
    <w:basedOn w:val="15"/>
    <w:qFormat/>
    <w:uiPriority w:val="0"/>
    <w:rPr>
      <w:color w:val="FFFFFF"/>
      <w:shd w:val="clear" w:fill="428BCA"/>
    </w:rPr>
  </w:style>
  <w:style w:type="character" w:customStyle="1" w:styleId="26">
    <w:name w:val="hover39"/>
    <w:basedOn w:val="15"/>
    <w:qFormat/>
    <w:uiPriority w:val="0"/>
    <w:rPr>
      <w:color w:val="111111"/>
      <w:shd w:val="clear" w:fill="E9ECEF"/>
    </w:rPr>
  </w:style>
  <w:style w:type="character" w:customStyle="1" w:styleId="27">
    <w:name w:val="hover41"/>
    <w:basedOn w:val="15"/>
    <w:qFormat/>
    <w:uiPriority w:val="0"/>
    <w:rPr>
      <w:color w:val="111111"/>
      <w:shd w:val="clear" w:fill="E9ECEF"/>
    </w:rPr>
  </w:style>
  <w:style w:type="character" w:customStyle="1" w:styleId="28">
    <w:name w:val="current5"/>
    <w:basedOn w:val="15"/>
    <w:qFormat/>
    <w:uiPriority w:val="0"/>
    <w:rPr>
      <w:color w:val="FFFFFF"/>
      <w:shd w:val="clear" w:fill="428BCA"/>
    </w:rPr>
  </w:style>
  <w:style w:type="character" w:customStyle="1" w:styleId="29">
    <w:name w:val="disabled2"/>
    <w:basedOn w:val="15"/>
    <w:qFormat/>
    <w:uiPriority w:val="0"/>
    <w:rPr>
      <w:color w:val="BFBFBF"/>
    </w:rPr>
  </w:style>
  <w:style w:type="character" w:customStyle="1" w:styleId="30">
    <w:name w:val="current6"/>
    <w:basedOn w:val="15"/>
    <w:qFormat/>
    <w:uiPriority w:val="0"/>
    <w:rPr>
      <w:color w:val="FFFFFF"/>
      <w:shd w:val="clear" w:fill="428BCA"/>
    </w:rPr>
  </w:style>
  <w:style w:type="paragraph" w:customStyle="1" w:styleId="31">
    <w:name w:val="p0"/>
    <w:basedOn w:val="1"/>
    <w:qFormat/>
    <w:uiPriority w:val="0"/>
    <w:pPr>
      <w:widowControl/>
    </w:pPr>
    <w:rPr>
      <w:rFonts w:ascii="Calibri" w:hAnsi="Calibri" w:eastAsia="宋体" w:cs="宋体"/>
      <w:kern w:val="0"/>
      <w:sz w:val="21"/>
      <w:szCs w:val="21"/>
    </w:rPr>
  </w:style>
  <w:style w:type="character" w:customStyle="1" w:styleId="32">
    <w:name w:val="font01"/>
    <w:basedOn w:val="15"/>
    <w:qFormat/>
    <w:uiPriority w:val="0"/>
    <w:rPr>
      <w:rFonts w:hint="default" w:ascii="仿宋_GB2312" w:eastAsia="仿宋_GB2312" w:cs="仿宋_GB2312"/>
      <w:color w:val="FF0000"/>
      <w:sz w:val="24"/>
      <w:szCs w:val="24"/>
      <w:u w:val="none"/>
    </w:rPr>
  </w:style>
  <w:style w:type="character" w:customStyle="1" w:styleId="33">
    <w:name w:val="font11"/>
    <w:basedOn w:val="15"/>
    <w:qFormat/>
    <w:uiPriority w:val="0"/>
    <w:rPr>
      <w:rFonts w:hint="default" w:ascii="仿宋_GB2312" w:eastAsia="仿宋_GB2312" w:cs="仿宋_GB2312"/>
      <w:color w:val="000000"/>
      <w:sz w:val="24"/>
      <w:szCs w:val="24"/>
      <w:u w:val="none"/>
    </w:rPr>
  </w:style>
  <w:style w:type="character" w:customStyle="1" w:styleId="34">
    <w:name w:val="font21"/>
    <w:basedOn w:val="15"/>
    <w:qFormat/>
    <w:uiPriority w:val="0"/>
    <w:rPr>
      <w:rFonts w:hint="default" w:ascii="仿宋_GB2312" w:eastAsia="仿宋_GB2312" w:cs="仿宋_GB2312"/>
      <w:color w:val="000000"/>
      <w:sz w:val="24"/>
      <w:szCs w:val="24"/>
      <w:u w:val="none"/>
    </w:rPr>
  </w:style>
  <w:style w:type="paragraph" w:customStyle="1" w:styleId="3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7983</Words>
  <Characters>8586</Characters>
  <Lines>0</Lines>
  <Paragraphs>0</Paragraphs>
  <TotalTime>14</TotalTime>
  <ScaleCrop>false</ScaleCrop>
  <LinksUpToDate>false</LinksUpToDate>
  <CharactersWithSpaces>8605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2021-02-08T00:24:00Z</dcterms:created>
  <dc:creator>蓝风樱花</dc:creator>
  <cp:lastModifiedBy>szj</cp:lastModifiedBy>
  <dcterms:modified xsi:type="dcterms:W3CDTF">2024-07-08T10:35:22Z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95BD9E744D50471182B6ED554E3B9625_13</vt:lpwstr>
  </property>
</Properties>
</file>