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480" w:firstLineChars="150"/>
        <w:rPr>
          <w:rFonts w:ascii="仿宋_GB2312" w:eastAsia="仿宋_GB2312"/>
          <w:sz w:val="32"/>
          <w:szCs w:val="32"/>
        </w:rPr>
      </w:pPr>
    </w:p>
    <w:p>
      <w:pPr>
        <w:spacing w:line="600" w:lineRule="exact"/>
        <w:ind w:firstLine="480" w:firstLineChars="150"/>
        <w:rPr>
          <w:rFonts w:ascii="仿宋_GB2312" w:eastAsia="仿宋_GB2312"/>
          <w:sz w:val="32"/>
          <w:szCs w:val="32"/>
        </w:rPr>
      </w:pPr>
    </w:p>
    <w:p>
      <w:pPr>
        <w:spacing w:line="600" w:lineRule="exact"/>
        <w:ind w:firstLine="480" w:firstLineChars="150"/>
        <w:rPr>
          <w:rFonts w:ascii="仿宋_GB2312" w:eastAsia="仿宋_GB2312"/>
          <w:sz w:val="32"/>
          <w:szCs w:val="32"/>
        </w:rPr>
      </w:pPr>
    </w:p>
    <w:p>
      <w:pPr>
        <w:spacing w:line="600" w:lineRule="exact"/>
        <w:ind w:firstLine="480" w:firstLineChars="150"/>
        <w:rPr>
          <w:rFonts w:ascii="仿宋_GB2312" w:eastAsia="仿宋_GB2312"/>
          <w:sz w:val="32"/>
          <w:szCs w:val="32"/>
        </w:rPr>
      </w:pPr>
    </w:p>
    <w:p>
      <w:pPr>
        <w:spacing w:line="600" w:lineRule="exact"/>
        <w:jc w:val="center"/>
        <w:rPr>
          <w:rFonts w:ascii="黑体" w:hAnsi="黑体" w:eastAsia="黑体"/>
          <w:sz w:val="44"/>
          <w:szCs w:val="44"/>
        </w:rPr>
      </w:pPr>
      <w:r>
        <w:rPr>
          <w:rFonts w:hint="eastAsia" w:ascii="黑体" w:hAnsi="黑体" w:eastAsia="黑体"/>
          <w:sz w:val="44"/>
          <w:szCs w:val="44"/>
        </w:rPr>
        <w:t>部门整体支出绩效自评报告</w:t>
      </w:r>
    </w:p>
    <w:p>
      <w:pPr>
        <w:spacing w:line="600" w:lineRule="exact"/>
        <w:ind w:firstLine="450" w:firstLineChars="150"/>
        <w:rPr>
          <w:rFonts w:ascii="仿宋_GB2312" w:eastAsia="仿宋_GB2312"/>
          <w:sz w:val="30"/>
          <w:szCs w:val="30"/>
        </w:rPr>
      </w:pPr>
    </w:p>
    <w:p>
      <w:pPr>
        <w:spacing w:line="600" w:lineRule="exact"/>
        <w:ind w:firstLine="450" w:firstLineChars="150"/>
        <w:rPr>
          <w:rFonts w:ascii="仿宋_GB2312" w:eastAsia="仿宋_GB2312"/>
          <w:sz w:val="30"/>
          <w:szCs w:val="30"/>
        </w:rPr>
      </w:pPr>
    </w:p>
    <w:p>
      <w:pPr>
        <w:spacing w:line="600" w:lineRule="exact"/>
        <w:ind w:firstLine="450" w:firstLineChars="150"/>
        <w:rPr>
          <w:rFonts w:ascii="仿宋_GB2312" w:eastAsia="仿宋_GB2312"/>
          <w:sz w:val="30"/>
          <w:szCs w:val="30"/>
        </w:rPr>
      </w:pPr>
    </w:p>
    <w:p>
      <w:pPr>
        <w:spacing w:line="600" w:lineRule="exact"/>
        <w:ind w:firstLine="450" w:firstLineChars="150"/>
        <w:rPr>
          <w:rFonts w:ascii="仿宋_GB2312" w:eastAsia="仿宋_GB2312"/>
          <w:sz w:val="30"/>
          <w:szCs w:val="30"/>
        </w:rPr>
      </w:pPr>
    </w:p>
    <w:p>
      <w:pPr>
        <w:spacing w:line="600" w:lineRule="exact"/>
        <w:ind w:firstLine="450" w:firstLineChars="150"/>
        <w:rPr>
          <w:rFonts w:ascii="仿宋_GB2312" w:eastAsia="仿宋_GB2312"/>
          <w:sz w:val="30"/>
          <w:szCs w:val="30"/>
        </w:rPr>
      </w:pPr>
    </w:p>
    <w:p>
      <w:pPr>
        <w:spacing w:line="600" w:lineRule="exact"/>
        <w:ind w:firstLine="450" w:firstLineChars="150"/>
        <w:rPr>
          <w:rFonts w:ascii="仿宋_GB2312" w:eastAsia="仿宋_GB2312"/>
          <w:sz w:val="30"/>
          <w:szCs w:val="30"/>
        </w:rPr>
      </w:pPr>
    </w:p>
    <w:p>
      <w:pPr>
        <w:spacing w:line="600" w:lineRule="exact"/>
        <w:ind w:firstLine="450" w:firstLineChars="150"/>
        <w:rPr>
          <w:rFonts w:ascii="仿宋_GB2312" w:eastAsia="仿宋_GB2312"/>
          <w:sz w:val="30"/>
          <w:szCs w:val="30"/>
        </w:rPr>
      </w:pPr>
    </w:p>
    <w:p>
      <w:pPr>
        <w:spacing w:line="600" w:lineRule="exact"/>
        <w:ind w:firstLine="450" w:firstLineChars="150"/>
        <w:rPr>
          <w:rFonts w:ascii="仿宋_GB2312" w:eastAsia="仿宋_GB2312"/>
          <w:sz w:val="30"/>
          <w:szCs w:val="30"/>
        </w:rPr>
      </w:pPr>
    </w:p>
    <w:p>
      <w:pPr>
        <w:spacing w:line="600" w:lineRule="exact"/>
        <w:ind w:firstLine="450" w:firstLineChars="150"/>
        <w:rPr>
          <w:rFonts w:ascii="仿宋_GB2312" w:eastAsia="仿宋_GB2312"/>
          <w:sz w:val="30"/>
          <w:szCs w:val="30"/>
        </w:rPr>
      </w:pPr>
    </w:p>
    <w:p>
      <w:pPr>
        <w:spacing w:line="600" w:lineRule="exact"/>
        <w:rPr>
          <w:rFonts w:ascii="仿宋_GB2312" w:eastAsia="仿宋_GB2312"/>
          <w:sz w:val="32"/>
          <w:szCs w:val="32"/>
        </w:rPr>
      </w:pPr>
    </w:p>
    <w:p>
      <w:pPr>
        <w:snapToGrid w:val="0"/>
        <w:spacing w:line="600" w:lineRule="exact"/>
        <w:rPr>
          <w:rFonts w:ascii="黑体" w:hAnsi="黑体" w:eastAsia="黑体"/>
          <w:sz w:val="32"/>
          <w:szCs w:val="32"/>
        </w:rPr>
      </w:pPr>
      <w:r>
        <w:rPr>
          <w:rFonts w:hint="eastAsia" w:ascii="黑体" w:hAnsi="黑体" w:eastAsia="黑体"/>
          <w:sz w:val="32"/>
          <w:szCs w:val="32"/>
        </w:rPr>
        <w:t>部门名称：（公章）</w:t>
      </w:r>
      <w:r>
        <w:rPr>
          <w:rFonts w:ascii="黑体" w:hAnsi="黑体" w:eastAsia="黑体"/>
          <w:sz w:val="32"/>
          <w:szCs w:val="32"/>
        </w:rPr>
        <w:t>广东省住房和城乡建设厅</w:t>
      </w:r>
    </w:p>
    <w:p>
      <w:pPr>
        <w:snapToGrid w:val="0"/>
        <w:spacing w:line="600" w:lineRule="exact"/>
        <w:rPr>
          <w:rFonts w:ascii="黑体" w:hAnsi="黑体" w:eastAsia="黑体"/>
          <w:sz w:val="32"/>
          <w:szCs w:val="32"/>
        </w:rPr>
      </w:pPr>
      <w:r>
        <w:rPr>
          <w:rFonts w:hint="eastAsia" w:ascii="黑体" w:hAnsi="黑体" w:eastAsia="黑体"/>
          <w:sz w:val="32"/>
          <w:szCs w:val="32"/>
        </w:rPr>
        <w:t>预算单位数量：2</w:t>
      </w:r>
    </w:p>
    <w:p>
      <w:pPr>
        <w:snapToGrid w:val="0"/>
        <w:spacing w:line="600" w:lineRule="exact"/>
        <w:rPr>
          <w:rStyle w:val="13"/>
          <w:rFonts w:ascii="黑体" w:hAnsi="黑体" w:eastAsia="黑体"/>
          <w:szCs w:val="32"/>
        </w:rPr>
      </w:pPr>
      <w:r>
        <w:rPr>
          <w:rStyle w:val="13"/>
          <w:rFonts w:ascii="黑体" w:hAnsi="黑体" w:eastAsia="黑体"/>
          <w:szCs w:val="32"/>
        </w:rPr>
        <w:t>填报人：</w:t>
      </w:r>
      <w:r>
        <w:rPr>
          <w:rStyle w:val="13"/>
          <w:rFonts w:hint="eastAsia" w:ascii="黑体" w:hAnsi="黑体" w:eastAsia="黑体"/>
          <w:szCs w:val="32"/>
        </w:rPr>
        <w:t>陈凯亭</w:t>
      </w:r>
    </w:p>
    <w:p>
      <w:pPr>
        <w:snapToGrid w:val="0"/>
        <w:spacing w:line="600" w:lineRule="exact"/>
        <w:rPr>
          <w:rStyle w:val="13"/>
          <w:rFonts w:ascii="黑体" w:hAnsi="黑体" w:eastAsia="黑体"/>
          <w:szCs w:val="32"/>
        </w:rPr>
      </w:pPr>
      <w:r>
        <w:rPr>
          <w:rStyle w:val="13"/>
          <w:rFonts w:ascii="黑体" w:hAnsi="黑体" w:eastAsia="黑体"/>
          <w:szCs w:val="32"/>
        </w:rPr>
        <w:t>联系电话：83133533</w:t>
      </w:r>
    </w:p>
    <w:p>
      <w:pPr>
        <w:snapToGrid w:val="0"/>
        <w:spacing w:line="600" w:lineRule="exact"/>
        <w:rPr>
          <w:rStyle w:val="13"/>
          <w:rFonts w:hint="default" w:ascii="黑体" w:hAnsi="黑体" w:eastAsia="黑体"/>
          <w:szCs w:val="32"/>
          <w:lang w:val="en-US"/>
        </w:rPr>
      </w:pPr>
      <w:r>
        <w:rPr>
          <w:rStyle w:val="13"/>
          <w:rFonts w:ascii="黑体" w:hAnsi="黑体" w:eastAsia="黑体"/>
          <w:szCs w:val="32"/>
        </w:rPr>
        <w:t>填报日期：</w:t>
      </w:r>
      <w:r>
        <w:rPr>
          <w:rStyle w:val="13"/>
          <w:rFonts w:hint="eastAsia" w:ascii="黑体" w:hAnsi="黑体" w:eastAsia="黑体"/>
          <w:szCs w:val="32"/>
          <w:lang w:val="en-US"/>
        </w:rPr>
        <w:t>2024年6月19日</w:t>
      </w:r>
    </w:p>
    <w:p>
      <w:pPr>
        <w:snapToGrid w:val="0"/>
        <w:spacing w:line="600" w:lineRule="exact"/>
        <w:rPr>
          <w:rFonts w:hint="eastAsia" w:ascii="黑体" w:hAnsi="黑体" w:eastAsia="黑体" w:cs="黑体"/>
          <w:sz w:val="32"/>
          <w:szCs w:val="32"/>
        </w:rPr>
      </w:pPr>
    </w:p>
    <w:p>
      <w:pPr>
        <w:pStyle w:val="2"/>
        <w:rPr>
          <w:rFonts w:hint="eastAsia" w:ascii="黑体" w:hAnsi="黑体" w:eastAsia="黑体"/>
        </w:rPr>
      </w:pPr>
    </w:p>
    <w:p>
      <w:pPr>
        <w:pStyle w:val="3"/>
      </w:pPr>
    </w:p>
    <w:p>
      <w:pPr>
        <w:snapToGrid w:val="0"/>
        <w:spacing w:line="560" w:lineRule="exact"/>
        <w:ind w:firstLine="562" w:firstLineChars="200"/>
        <w:rPr>
          <w:rFonts w:ascii="仿宋" w:hAnsi="仿宋" w:eastAsia="仿宋" w:cs="黑体"/>
          <w:b/>
          <w:sz w:val="28"/>
          <w:szCs w:val="28"/>
        </w:rPr>
      </w:pPr>
      <w:r>
        <w:rPr>
          <w:rFonts w:hint="eastAsia" w:ascii="仿宋" w:hAnsi="仿宋" w:eastAsia="仿宋" w:cs="黑体"/>
          <w:b/>
          <w:sz w:val="28"/>
          <w:szCs w:val="28"/>
        </w:rPr>
        <w:t>一、部门基本情况</w:t>
      </w:r>
    </w:p>
    <w:p>
      <w:pPr>
        <w:snapToGrid w:val="0"/>
        <w:spacing w:line="560" w:lineRule="exact"/>
        <w:ind w:firstLine="562" w:firstLineChars="200"/>
        <w:rPr>
          <w:rFonts w:ascii="仿宋" w:hAnsi="仿宋" w:eastAsia="仿宋" w:cs="黑体"/>
          <w:b/>
          <w:sz w:val="28"/>
          <w:szCs w:val="28"/>
        </w:rPr>
      </w:pPr>
      <w:r>
        <w:rPr>
          <w:rFonts w:hint="eastAsia" w:ascii="仿宋" w:hAnsi="仿宋" w:eastAsia="仿宋" w:cs="黑体"/>
          <w:b/>
          <w:sz w:val="28"/>
          <w:szCs w:val="28"/>
        </w:rPr>
        <w:t>（一）部门职能</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广东省住房和城乡建设厅本部内设办公室、法规处、计划财务处、住房发展与房地产市场监管处、住房保障处、住房公积金监管处、城市建设处、村镇建设处、建筑市场监管处、工程质量安全监管处、科技信息处、建筑节能处、行政许可管理处、人事处、机关党委办公室、城市管理综合执法监督处等16个机构。下设1个二级预算单位为：广东省建设工程标准定额站（下称“标定站”)，负责全省工程建设定额和造价管理制度的编制。</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主要职责：</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1.贯彻执行国家和省有关住房和城乡建设工作的方针政策和法律法规，组织起草有关地方性法规、规章草案，组织编制相关规划和年度计划，拟订相关政策、标准并指导和监督实施。</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2.承担推进住房改革与发展和保障城镇低收入家庭住房的责任。指导全省住房制度改革工作，会同有关部门做好省级财政廉租住房保障资金安排并监督各地组织实施。</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3.负责住房公积金监督管理，确保公积金的有效使用和安全。会同有关部门拟订住房公积金政策并组织实施，制定住房公积金缴存、使用、管理和监督制度，监督全省住房公积金和其他住房资金的管理、使用和安全。</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4.承担规范房地产市场秩序、监督管理房地产市场的责任。指导城镇土地使用权有偿转让和开发利用工作，提出全省房地产行业发展规划和产业政策。</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5.承担指导城市建设的责任。指导城市供水、节水、燃气、污水和生活垃圾处理等市政公用设施的建设、安全和应急管理，会同文物行政部门负责历史文化名城（镇、村）保护的监督管理工作。</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6.承担规范、指导村镇建设的责任。指导村镇建设和农村住房建设，指导小城镇和村庄人居环境的改善工作。</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7.监督管理建筑市场，规范建筑市场各方主体行为。指导全省工程建设、建筑业的行业改革发展，组织拟订建设工程全省统一定额、工期定额等建设工程计价依据和工程造价技术标准并监督管理和指导执行。</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8.承担建筑工程质量安全监管的责任。负责全省工程质量和安全生产工作的指导和监督检查，指导编制工程质量安全事故应急救援预案，组织或参与重大工程质量安全事故调查和处理；承担人防工程建设质量监管管理相关职责；负责石油化工建设工程质量监管职责。</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9.承担绿色建材、散装水泥、预拌混凝土、预拌砂浆等发展应用的监督管理及监管标准体系的建设；推动装配式建筑的发展。</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10.承担人防工程建设质量监督管理相关职责。负责结建式人防工程从施工报建至竣工验收阶段的质量监督管理，即施工图审查、施工许可、质量安全监督、竣工验收备案；会同省委军民融合办研究制定结建式人防工程土建、排水防涝、环境卫生等的日常维护管理；负责人防工程设计资质认定和监理资质认定工作；指导建设工程消防设计审查验收工作。</w:t>
      </w:r>
    </w:p>
    <w:p>
      <w:pPr>
        <w:snapToGrid w:val="0"/>
        <w:spacing w:line="560" w:lineRule="exact"/>
        <w:ind w:firstLine="560" w:firstLineChars="200"/>
        <w:rPr>
          <w:rFonts w:ascii="仿宋" w:hAnsi="仿宋" w:eastAsia="仿宋" w:cs="黑体"/>
          <w:bCs/>
          <w:sz w:val="28"/>
          <w:szCs w:val="28"/>
        </w:rPr>
      </w:pPr>
      <w:r>
        <w:rPr>
          <w:rFonts w:ascii="仿宋" w:hAnsi="仿宋" w:eastAsia="仿宋" w:cs="黑体"/>
          <w:bCs/>
          <w:sz w:val="28"/>
          <w:szCs w:val="28"/>
        </w:rPr>
        <w:t>11.</w:t>
      </w:r>
      <w:r>
        <w:rPr>
          <w:rFonts w:hint="eastAsia" w:ascii="仿宋" w:hAnsi="仿宋" w:eastAsia="仿宋" w:cs="黑体"/>
          <w:bCs/>
          <w:sz w:val="28"/>
          <w:szCs w:val="28"/>
        </w:rPr>
        <w:t>开展住房和城乡建设方面的对外经济技术交流与合作。</w:t>
      </w:r>
    </w:p>
    <w:p>
      <w:pPr>
        <w:snapToGrid w:val="0"/>
        <w:spacing w:line="560" w:lineRule="exact"/>
        <w:ind w:firstLine="560" w:firstLineChars="200"/>
        <w:rPr>
          <w:rFonts w:ascii="仿宋" w:hAnsi="仿宋" w:eastAsia="仿宋" w:cs="黑体"/>
          <w:bCs/>
          <w:sz w:val="28"/>
          <w:szCs w:val="28"/>
        </w:rPr>
      </w:pPr>
      <w:r>
        <w:rPr>
          <w:rFonts w:ascii="仿宋" w:hAnsi="仿宋" w:eastAsia="仿宋" w:cs="黑体"/>
          <w:bCs/>
          <w:sz w:val="28"/>
          <w:szCs w:val="28"/>
        </w:rPr>
        <w:t>12</w:t>
      </w:r>
      <w:r>
        <w:rPr>
          <w:rFonts w:hint="eastAsia" w:ascii="仿宋" w:hAnsi="仿宋" w:eastAsia="仿宋" w:cs="黑体"/>
          <w:bCs/>
          <w:sz w:val="28"/>
          <w:szCs w:val="28"/>
        </w:rPr>
        <w:t>.承办省人民政府与住房和城乡建设部交办的其他事项。</w:t>
      </w:r>
    </w:p>
    <w:p>
      <w:pPr>
        <w:snapToGrid w:val="0"/>
        <w:spacing w:line="560" w:lineRule="exact"/>
        <w:ind w:firstLine="562" w:firstLineChars="200"/>
        <w:rPr>
          <w:rFonts w:ascii="仿宋" w:hAnsi="仿宋" w:eastAsia="仿宋" w:cs="黑体"/>
          <w:b/>
          <w:sz w:val="28"/>
          <w:szCs w:val="28"/>
        </w:rPr>
      </w:pPr>
      <w:r>
        <w:rPr>
          <w:rFonts w:hint="eastAsia" w:ascii="仿宋" w:hAnsi="仿宋" w:eastAsia="仿宋" w:cs="黑体"/>
          <w:b/>
          <w:sz w:val="28"/>
          <w:szCs w:val="28"/>
        </w:rPr>
        <w:t>（二）年度总体工作和重点工作任务</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2023年，省住房城乡建设厅认真学习领会习近平总书记重要指示精神，落实李强总理等中央领导同志的批示要求，按照省委常委会（扩大）会议、省政府党组会议部署，切实增强风险意识、忧患意识，强化极限思维、底线思维，以对人民极端负责的态度，保持“时时放心不下”的责任感，切实加强安全隐患排查治理，毫不放松抓好住房城乡建设领域各项安全工作。</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今年年度总体工作和重点工作任务具体如下：</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一是全力稳定市场预期。坚持“房住不炒”定位，因城施策、精准施策，增强调控政策协调性精准性，促进房地产业良性循环和健康发展。健全市场运行监测评估机制，加强预期引导，指导各地及时完善房地产政策。强化风险防范化解。以“保交楼、保民生、保稳定”为首要目标，稳妥处置个别头部房地产企业债务风险，防范房地产领域社会矛盾向其他领域传导。大力促进转型升级。支持房地产企业转变“高负债、高杠杆、高周转”经营方式，推动房地产业向新发展模式平稳过渡。</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二是聚焦住有所居，完善住房保障体系。积极探索住房保障新模式，稳步提升住房保障水平。增强保障性租赁住房有效供应，推进住房保障精准供给，积极发挥住房公积金作用。</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三是聚焦功能提升，推动城市生态能级跃升。要聚焦居民所思所盼所急，持续在解决突出民生难题、创造高品质生活上下更大力气、花更大功夫。完善生态基础设施。抓好住建领域中央生态环境保护督察整改，确保按时完成整改任务。</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四是聚焦宜居、韧性、智慧，推进城市更新行动提标提速。党的二十大提出，打造宜居、韧性、智慧城市，为我们做好城市更新工作指明了方向、提供了根本遵循。</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五是聚焦综合治理，提升城市管理科学化、精细化、智能化水平。坚持为人民管好城市，推进城市管理现代化，让城市运行更有序。</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六是聚焦区域平衡，建设宜居宜业和美乡村。积极投身“百县千镇万村高质量发展工程”，统筹推进县域县城建设。</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七是聚焦建筑品质，促进建筑业高质量发展。建筑业是重要的实体经济，为经济社会发展提供重要支撑。要守住为社会提供高品质建筑产品的初心，落实好适用、经济、绿色、美观的新时期建筑方针。</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八是聚焦守住底线，统筹行业发展和安全。把安全发展理念贯穿住建工作各领域和全过程，进一步健全各项安全工作长效机制，护航高质量发展。</w:t>
      </w:r>
    </w:p>
    <w:p>
      <w:pPr>
        <w:snapToGrid w:val="0"/>
        <w:spacing w:line="560" w:lineRule="exact"/>
        <w:ind w:firstLine="560" w:firstLineChars="200"/>
        <w:rPr>
          <w:rFonts w:ascii="仿宋" w:hAnsi="仿宋" w:eastAsia="仿宋" w:cs="黑体"/>
          <w:bCs/>
          <w:sz w:val="28"/>
          <w:szCs w:val="28"/>
        </w:rPr>
      </w:pPr>
      <w:r>
        <w:rPr>
          <w:rFonts w:ascii="仿宋" w:hAnsi="仿宋" w:eastAsia="仿宋" w:cs="黑体"/>
          <w:bCs/>
          <w:sz w:val="28"/>
          <w:szCs w:val="28"/>
        </w:rPr>
        <w:t>九是聚焦内生动力，完善行业治理体系提升治理能力。坚持人才是第一资源，创新是第一动力，优化法治环境，推进制度完善，不断培育壮大住建事业发展新动能。</w:t>
      </w:r>
    </w:p>
    <w:p>
      <w:pPr>
        <w:snapToGrid w:val="0"/>
        <w:spacing w:line="560" w:lineRule="exact"/>
        <w:ind w:firstLine="562" w:firstLineChars="200"/>
        <w:rPr>
          <w:rFonts w:ascii="仿宋" w:hAnsi="仿宋" w:eastAsia="仿宋" w:cs="黑体"/>
          <w:b/>
          <w:sz w:val="28"/>
          <w:szCs w:val="28"/>
        </w:rPr>
      </w:pPr>
      <w:r>
        <w:rPr>
          <w:rFonts w:hint="eastAsia" w:ascii="仿宋" w:hAnsi="仿宋" w:eastAsia="仿宋" w:cs="黑体"/>
          <w:b/>
          <w:sz w:val="28"/>
          <w:szCs w:val="28"/>
        </w:rPr>
        <w:t>（三）部门整体支出绩效目标</w:t>
      </w:r>
    </w:p>
    <w:p>
      <w:pPr>
        <w:snapToGrid w:val="0"/>
        <w:spacing w:line="560" w:lineRule="exact"/>
        <w:ind w:firstLine="560" w:firstLineChars="200"/>
        <w:rPr>
          <w:rFonts w:ascii="仿宋" w:hAnsi="仿宋" w:eastAsia="仿宋" w:cs="黑体"/>
          <w:bCs/>
          <w:sz w:val="28"/>
          <w:szCs w:val="28"/>
        </w:rPr>
      </w:pPr>
      <w:r>
        <w:rPr>
          <w:rFonts w:hint="eastAsia" w:ascii="仿宋" w:hAnsi="仿宋" w:eastAsia="仿宋" w:cs="黑体"/>
          <w:bCs/>
          <w:sz w:val="28"/>
          <w:szCs w:val="28"/>
        </w:rPr>
        <w:t>纳入部门预算中的重点项目的绩效目标情况如下：</w:t>
      </w:r>
    </w:p>
    <w:p>
      <w:pPr>
        <w:pStyle w:val="2"/>
        <w:spacing w:after="0" w:line="560" w:lineRule="exact"/>
        <w:ind w:left="0" w:leftChars="0" w:firstLine="560" w:firstLineChars="200"/>
        <w:rPr>
          <w:rFonts w:ascii="仿宋" w:hAnsi="仿宋" w:eastAsia="仿宋" w:cs="仿宋_GB2312"/>
          <w:sz w:val="28"/>
          <w:szCs w:val="28"/>
        </w:rPr>
      </w:pPr>
      <w:r>
        <w:rPr>
          <w:rFonts w:hint="eastAsia" w:ascii="仿宋" w:hAnsi="仿宋" w:eastAsia="仿宋" w:cs="仿宋_GB2312"/>
          <w:sz w:val="28"/>
          <w:szCs w:val="28"/>
        </w:rPr>
        <w:t>1、推动15个地市开展地下燃气管道普查及隐患整治工作，进一步巩固全省城镇燃气安全排查整治成效提升全省城镇燃气安全水平，以及用于提升城市体检评估质量、启动2个城市管理相关重点信息系统开发建设。</w:t>
      </w:r>
    </w:p>
    <w:p>
      <w:pPr>
        <w:pStyle w:val="4"/>
        <w:widowControl w:val="0"/>
        <w:spacing w:before="0" w:after="0" w:line="560" w:lineRule="exact"/>
        <w:ind w:firstLine="560" w:firstLineChars="200"/>
        <w:rPr>
          <w:rFonts w:hint="default" w:ascii="仿宋" w:hAnsi="仿宋" w:eastAsia="仿宋" w:cs="仿宋_GB2312"/>
          <w:sz w:val="28"/>
          <w:szCs w:val="28"/>
        </w:rPr>
      </w:pPr>
      <w:r>
        <w:rPr>
          <w:rFonts w:ascii="仿宋" w:hAnsi="仿宋" w:eastAsia="仿宋"/>
          <w:sz w:val="28"/>
          <w:szCs w:val="28"/>
        </w:rPr>
        <w:t>2、开展城市生活垃圾分类奖补项目，支持粤东西北地区和江门、肇庆、惠州等15个</w:t>
      </w:r>
      <w:r>
        <w:rPr>
          <w:rFonts w:ascii="仿宋" w:hAnsi="仿宋" w:eastAsia="仿宋" w:cs="仿宋_GB2312"/>
          <w:sz w:val="28"/>
          <w:szCs w:val="28"/>
        </w:rPr>
        <w:t>地级市做好垃圾分类宣传动员，完善分类投放、收集、运输、处理等配套设施，建立分类投放、分类收集、分类运输、分类处理的生活垃圾处理系统；</w:t>
      </w:r>
      <w:r>
        <w:rPr>
          <w:rFonts w:ascii="仿宋" w:hAnsi="仿宋" w:eastAsia="仿宋"/>
          <w:sz w:val="28"/>
          <w:szCs w:val="28"/>
        </w:rPr>
        <w:t>开展生活垃圾无害化处理设施建设运营管理补助项目，</w:t>
      </w:r>
      <w:r>
        <w:rPr>
          <w:rFonts w:ascii="仿宋" w:hAnsi="仿宋" w:eastAsia="仿宋" w:cs="仿宋_GB2312"/>
          <w:sz w:val="28"/>
          <w:szCs w:val="28"/>
        </w:rPr>
        <w:t>建立完善生活垃圾处理设施运营管理机制，推动生活垃圾处理设施规范化运营，不断提高生活垃圾无害化处理能力，不断提升生活垃圾处理水平。</w:t>
      </w:r>
    </w:p>
    <w:p>
      <w:pPr>
        <w:pStyle w:val="4"/>
        <w:widowControl w:val="0"/>
        <w:spacing w:before="0" w:after="0" w:line="560" w:lineRule="exact"/>
        <w:ind w:firstLine="560" w:firstLineChars="200"/>
        <w:rPr>
          <w:rFonts w:hint="default" w:ascii="仿宋" w:hAnsi="仿宋" w:eastAsia="仿宋" w:cs="仿宋_GB2312"/>
          <w:sz w:val="28"/>
          <w:szCs w:val="28"/>
        </w:rPr>
      </w:pPr>
      <w:r>
        <w:rPr>
          <w:rFonts w:hint="eastAsia" w:ascii="仿宋" w:hAnsi="仿宋" w:eastAsia="仿宋"/>
          <w:sz w:val="28"/>
          <w:szCs w:val="28"/>
          <w:lang w:val="en-US" w:eastAsia="zh-CN"/>
        </w:rPr>
        <w:t>3</w:t>
      </w:r>
      <w:r>
        <w:rPr>
          <w:rFonts w:ascii="仿宋" w:hAnsi="仿宋" w:eastAsia="仿宋"/>
          <w:sz w:val="28"/>
          <w:szCs w:val="28"/>
        </w:rPr>
        <w:t>、持续加强城市排水管网运行维护，充分发挥已建排水管网运行效能，进一步加强污水收集、缓解城市内涝，落实城市排水设施巡查、维护、隐患排查工作；对排查出来的黑臭水体逐一完成治理；开展省级海绵城市建设示范城市工作</w:t>
      </w:r>
      <w:r>
        <w:rPr>
          <w:rFonts w:ascii="仿宋" w:hAnsi="仿宋" w:eastAsia="仿宋" w:cs="仿宋_GB2312"/>
          <w:sz w:val="28"/>
          <w:szCs w:val="28"/>
        </w:rPr>
        <w:t>。</w:t>
      </w:r>
    </w:p>
    <w:p>
      <w:pPr>
        <w:spacing w:line="560" w:lineRule="exact"/>
        <w:ind w:firstLine="560" w:firstLineChars="200"/>
        <w:rPr>
          <w:rFonts w:ascii="仿宋" w:hAnsi="仿宋" w:eastAsia="仿宋" w:cs="仿宋_GB2312"/>
          <w:sz w:val="28"/>
          <w:szCs w:val="28"/>
        </w:rPr>
      </w:pPr>
      <w:r>
        <w:rPr>
          <w:rFonts w:hint="eastAsia" w:ascii="仿宋" w:hAnsi="仿宋" w:eastAsia="仿宋"/>
          <w:sz w:val="28"/>
          <w:szCs w:val="28"/>
        </w:rPr>
        <w:t>4、加强对城镇保障性安居工程的补贴和奖励支持，统筹用于纳入国家、省城镇棚改、公租房、保障性租赁住房、共有产权住房、租赁补贴等相关支出，改善住房困难家庭的居住条件，满足其居住需求。</w:t>
      </w:r>
    </w:p>
    <w:p>
      <w:pPr>
        <w:spacing w:line="560" w:lineRule="exact"/>
        <w:ind w:firstLine="560" w:firstLineChars="200"/>
        <w:rPr>
          <w:rFonts w:ascii="仿宋" w:hAnsi="仿宋" w:eastAsia="仿宋" w:cs="仿宋_GB2312"/>
          <w:sz w:val="28"/>
          <w:szCs w:val="28"/>
        </w:rPr>
      </w:pPr>
      <w:r>
        <w:rPr>
          <w:rFonts w:hint="eastAsia" w:ascii="仿宋" w:hAnsi="仿宋" w:eastAsia="仿宋" w:cs="仿宋_GB2312"/>
          <w:sz w:val="28"/>
          <w:szCs w:val="28"/>
        </w:rPr>
        <w:t>5、对申报城镇老旧小区改造计划任务的城市中，沿海经济带东西两翼和北部生态发展区和江门、肇庆、惠州15个地级市进行补助。主要用于小区内水电路气等配套基础设施和公共服务设施建设改造，小区内房屋公共区域修缮、建筑节能改造。</w:t>
      </w:r>
    </w:p>
    <w:p>
      <w:pPr>
        <w:pStyle w:val="2"/>
        <w:spacing w:after="0" w:line="560" w:lineRule="exact"/>
        <w:ind w:left="0" w:leftChars="0" w:firstLine="560" w:firstLineChars="200"/>
        <w:rPr>
          <w:rFonts w:ascii="仿宋" w:hAnsi="仿宋" w:eastAsia="仿宋" w:cs="仿宋_GB2312"/>
          <w:sz w:val="28"/>
          <w:szCs w:val="28"/>
        </w:rPr>
      </w:pPr>
      <w:r>
        <w:rPr>
          <w:rFonts w:hint="eastAsia" w:ascii="仿宋" w:hAnsi="仿宋" w:eastAsia="仿宋" w:cs="仿宋_GB2312"/>
          <w:sz w:val="28"/>
          <w:szCs w:val="28"/>
        </w:rPr>
        <w:t>6、全年完成一星级以上绿色建筑示范项目2个以上，完成建筑能耗监测项目1个以上，完成既有建筑节能改造项目1个以上，完成绿色建筑相关技术研究和标准制订1个以上，完成碳达峰碳中和等相关工作研究及推进项目1个以上，完成新增节能建筑面积超过1亿平方米、完成新增绿色建筑面积超过1亿平方米、促进我省建筑节能与绿色建筑发展水平量质齐升，减少二氧化碳排放、持续节约能源资源。</w:t>
      </w:r>
    </w:p>
    <w:p>
      <w:pPr>
        <w:pStyle w:val="3"/>
        <w:widowControl w:val="0"/>
        <w:spacing w:before="0" w:after="0" w:line="560" w:lineRule="exact"/>
        <w:ind w:firstLine="560" w:firstLineChars="200"/>
        <w:rPr>
          <w:rFonts w:hint="default" w:ascii="仿宋" w:hAnsi="仿宋" w:eastAsia="仿宋" w:cs="仿宋_GB2312"/>
          <w:sz w:val="28"/>
          <w:szCs w:val="28"/>
        </w:rPr>
      </w:pPr>
      <w:r>
        <w:rPr>
          <w:rFonts w:ascii="仿宋" w:hAnsi="仿宋" w:eastAsia="仿宋" w:cs="仿宋_GB2312"/>
          <w:sz w:val="28"/>
          <w:szCs w:val="28"/>
        </w:rPr>
        <w:t>7、通过支持我省欠发达地区建设社区体育公园，提高体育设施覆盖率、公共服务水平，实现加强构建宜居舒适生活环境，提升城乡社区空间品质；通过重点补助历史文化名城、名镇、名村和街区人居环境改善与历史风貌提升项目及历史文化资源排查、历史建筑测绘建档、加固修缮及活化利用项目，使城乡历史文脉、历史文化资源得到保护与传承。</w:t>
      </w:r>
    </w:p>
    <w:p>
      <w:pPr>
        <w:adjustRightInd w:val="0"/>
        <w:snapToGrid w:val="0"/>
        <w:spacing w:line="560" w:lineRule="exact"/>
        <w:ind w:firstLine="562" w:firstLineChars="200"/>
        <w:rPr>
          <w:rFonts w:ascii="仿宋" w:hAnsi="仿宋" w:eastAsia="仿宋" w:cs="楷体_GB2312"/>
          <w:b/>
          <w:bCs/>
          <w:sz w:val="28"/>
          <w:szCs w:val="28"/>
        </w:rPr>
      </w:pPr>
      <w:r>
        <w:rPr>
          <w:rFonts w:hint="eastAsia" w:ascii="仿宋" w:hAnsi="仿宋" w:eastAsia="仿宋" w:cs="楷体_GB2312"/>
          <w:b/>
          <w:bCs/>
          <w:sz w:val="28"/>
          <w:szCs w:val="28"/>
        </w:rPr>
        <w:t>（四）部门整体支出情况</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根据《广东省财政厅关于批复2023年省级部门预算的通知》（粤财预〔2023〕6 号）、</w:t>
      </w:r>
      <w:r>
        <w:rPr>
          <w:rFonts w:ascii="仿宋" w:hAnsi="仿宋" w:eastAsia="仿宋" w:cs="楷体_GB2312"/>
          <w:sz w:val="28"/>
          <w:szCs w:val="28"/>
        </w:rPr>
        <w:t>202</w:t>
      </w:r>
      <w:r>
        <w:rPr>
          <w:rFonts w:hint="eastAsia" w:ascii="仿宋" w:hAnsi="仿宋" w:eastAsia="仿宋" w:cs="楷体_GB2312"/>
          <w:sz w:val="28"/>
          <w:szCs w:val="28"/>
        </w:rPr>
        <w:t>3年部门决算报表（收入支出决算总表），部门整体收支情况如下：</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1.部门整体收入</w:t>
      </w:r>
    </w:p>
    <w:p>
      <w:pPr>
        <w:adjustRightInd w:val="0"/>
        <w:snapToGrid w:val="0"/>
        <w:spacing w:line="560" w:lineRule="exact"/>
        <w:ind w:firstLine="560" w:firstLineChars="200"/>
        <w:rPr>
          <w:rFonts w:ascii="仿宋" w:hAnsi="仿宋" w:eastAsia="仿宋" w:cs="楷体_GB2312"/>
          <w:sz w:val="28"/>
          <w:szCs w:val="28"/>
        </w:rPr>
      </w:pPr>
      <w:r>
        <w:rPr>
          <w:rFonts w:ascii="仿宋" w:hAnsi="仿宋" w:eastAsia="仿宋" w:cs="楷体_GB2312"/>
          <w:sz w:val="28"/>
          <w:szCs w:val="28"/>
        </w:rPr>
        <w:t>202</w:t>
      </w:r>
      <w:r>
        <w:rPr>
          <w:rFonts w:hint="eastAsia" w:ascii="仿宋" w:hAnsi="仿宋" w:eastAsia="仿宋" w:cs="楷体_GB2312"/>
          <w:sz w:val="28"/>
          <w:szCs w:val="28"/>
        </w:rPr>
        <w:t>3年</w:t>
      </w:r>
      <w:r>
        <w:rPr>
          <w:rFonts w:ascii="仿宋" w:hAnsi="仿宋" w:eastAsia="仿宋" w:cs="楷体_GB2312"/>
          <w:sz w:val="28"/>
          <w:szCs w:val="28"/>
        </w:rPr>
        <w:t>省住房城乡建设厅</w:t>
      </w:r>
      <w:r>
        <w:rPr>
          <w:rFonts w:hint="eastAsia" w:ascii="仿宋" w:hAnsi="仿宋" w:eastAsia="仿宋" w:cs="楷体_GB2312"/>
          <w:sz w:val="28"/>
          <w:szCs w:val="28"/>
        </w:rPr>
        <w:t>部门整体总收入合计</w:t>
      </w:r>
      <w:r>
        <w:rPr>
          <w:rFonts w:ascii="仿宋" w:hAnsi="仿宋" w:eastAsia="仿宋" w:cs="楷体_GB2312"/>
          <w:sz w:val="28"/>
          <w:szCs w:val="28"/>
        </w:rPr>
        <w:t>27,154.74</w:t>
      </w:r>
      <w:r>
        <w:rPr>
          <w:rFonts w:hint="eastAsia" w:ascii="仿宋" w:hAnsi="仿宋" w:eastAsia="仿宋" w:cs="楷体_GB2312"/>
          <w:sz w:val="28"/>
          <w:szCs w:val="28"/>
        </w:rPr>
        <w:t>万元，收入来源是财政拨款收入</w:t>
      </w:r>
      <w:r>
        <w:rPr>
          <w:rFonts w:ascii="仿宋" w:hAnsi="仿宋" w:eastAsia="仿宋" w:cs="楷体_GB2312"/>
          <w:sz w:val="28"/>
          <w:szCs w:val="28"/>
        </w:rPr>
        <w:t>25,868.50</w:t>
      </w:r>
      <w:r>
        <w:rPr>
          <w:rFonts w:hint="eastAsia" w:ascii="仿宋" w:hAnsi="仿宋" w:eastAsia="仿宋" w:cs="楷体_GB2312"/>
          <w:sz w:val="28"/>
          <w:szCs w:val="28"/>
        </w:rPr>
        <w:t>万元，年初结转和结余</w:t>
      </w:r>
      <w:r>
        <w:rPr>
          <w:rFonts w:ascii="仿宋" w:hAnsi="仿宋" w:eastAsia="仿宋" w:cs="楷体_GB2312"/>
          <w:sz w:val="28"/>
          <w:szCs w:val="28"/>
        </w:rPr>
        <w:t>1,286.24</w:t>
      </w:r>
      <w:r>
        <w:rPr>
          <w:rFonts w:hint="eastAsia" w:ascii="仿宋" w:hAnsi="仿宋" w:eastAsia="仿宋" w:cs="楷体_GB2312"/>
          <w:sz w:val="28"/>
          <w:szCs w:val="28"/>
        </w:rPr>
        <w:t>万元。</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2.部门整体支出</w:t>
      </w:r>
    </w:p>
    <w:p>
      <w:pPr>
        <w:adjustRightInd w:val="0"/>
        <w:snapToGrid w:val="0"/>
        <w:spacing w:line="560" w:lineRule="exact"/>
        <w:ind w:firstLine="560" w:firstLineChars="200"/>
        <w:rPr>
          <w:rFonts w:ascii="仿宋" w:hAnsi="仿宋" w:eastAsia="仿宋" w:cs="楷体_GB2312"/>
          <w:sz w:val="28"/>
          <w:szCs w:val="28"/>
        </w:rPr>
      </w:pPr>
      <w:r>
        <w:rPr>
          <w:rFonts w:ascii="仿宋" w:hAnsi="仿宋" w:eastAsia="仿宋" w:cs="楷体_GB2312"/>
          <w:sz w:val="28"/>
          <w:szCs w:val="28"/>
        </w:rPr>
        <w:t>202</w:t>
      </w:r>
      <w:r>
        <w:rPr>
          <w:rFonts w:hint="eastAsia" w:ascii="仿宋" w:hAnsi="仿宋" w:eastAsia="仿宋" w:cs="楷体_GB2312"/>
          <w:sz w:val="28"/>
          <w:szCs w:val="28"/>
        </w:rPr>
        <w:t>3年</w:t>
      </w:r>
      <w:r>
        <w:rPr>
          <w:rFonts w:ascii="仿宋" w:hAnsi="仿宋" w:eastAsia="仿宋" w:cs="楷体_GB2312"/>
          <w:sz w:val="28"/>
          <w:szCs w:val="28"/>
        </w:rPr>
        <w:t>省住房城乡建设厅</w:t>
      </w:r>
      <w:r>
        <w:rPr>
          <w:rFonts w:hint="eastAsia" w:ascii="仿宋" w:hAnsi="仿宋" w:eastAsia="仿宋" w:cs="楷体_GB2312"/>
          <w:sz w:val="28"/>
          <w:szCs w:val="28"/>
        </w:rPr>
        <w:t>部门整体支出合计</w:t>
      </w:r>
      <w:r>
        <w:rPr>
          <w:rFonts w:ascii="仿宋" w:hAnsi="仿宋" w:eastAsia="仿宋" w:cs="楷体_GB2312"/>
          <w:sz w:val="28"/>
          <w:szCs w:val="28"/>
        </w:rPr>
        <w:t>26,119.87</w:t>
      </w:r>
      <w:r>
        <w:rPr>
          <w:rFonts w:hint="eastAsia" w:ascii="仿宋" w:hAnsi="仿宋" w:eastAsia="仿宋" w:cs="楷体_GB2312"/>
          <w:sz w:val="28"/>
          <w:szCs w:val="28"/>
        </w:rPr>
        <w:t>万元，实际支出率达</w:t>
      </w:r>
      <w:r>
        <w:rPr>
          <w:rFonts w:ascii="仿宋" w:hAnsi="仿宋" w:eastAsia="仿宋" w:cs="楷体_GB2312"/>
          <w:sz w:val="28"/>
          <w:szCs w:val="28"/>
        </w:rPr>
        <w:t>96.19%</w:t>
      </w:r>
      <w:r>
        <w:rPr>
          <w:rFonts w:hint="eastAsia" w:ascii="仿宋" w:hAnsi="仿宋" w:eastAsia="仿宋" w:cs="楷体_GB2312"/>
          <w:sz w:val="28"/>
          <w:szCs w:val="28"/>
        </w:rPr>
        <w:t>。其中：工资福利支出</w:t>
      </w:r>
      <w:r>
        <w:rPr>
          <w:rFonts w:ascii="仿宋" w:hAnsi="仿宋" w:eastAsia="仿宋" w:cs="楷体_GB2312"/>
          <w:sz w:val="28"/>
          <w:szCs w:val="28"/>
        </w:rPr>
        <w:t>7,998.5</w:t>
      </w:r>
      <w:r>
        <w:rPr>
          <w:rFonts w:hint="eastAsia" w:ascii="仿宋" w:hAnsi="仿宋" w:eastAsia="仿宋" w:cs="楷体_GB2312"/>
          <w:sz w:val="28"/>
          <w:szCs w:val="28"/>
        </w:rPr>
        <w:t>9万元，占总支出的</w:t>
      </w:r>
      <w:r>
        <w:rPr>
          <w:rFonts w:ascii="仿宋" w:hAnsi="仿宋" w:eastAsia="仿宋" w:cs="楷体_GB2312"/>
          <w:sz w:val="28"/>
          <w:szCs w:val="28"/>
        </w:rPr>
        <w:t>30.62%</w:t>
      </w:r>
      <w:r>
        <w:rPr>
          <w:rFonts w:hint="eastAsia" w:ascii="仿宋" w:hAnsi="仿宋" w:eastAsia="仿宋" w:cs="楷体_GB2312"/>
          <w:sz w:val="28"/>
          <w:szCs w:val="28"/>
        </w:rPr>
        <w:t>；商品和服务支出</w:t>
      </w:r>
      <w:r>
        <w:rPr>
          <w:rFonts w:ascii="仿宋" w:hAnsi="仿宋" w:eastAsia="仿宋" w:cs="楷体_GB2312"/>
          <w:sz w:val="28"/>
          <w:szCs w:val="28"/>
        </w:rPr>
        <w:t>14,962.04</w:t>
      </w:r>
      <w:r>
        <w:rPr>
          <w:rFonts w:hint="eastAsia" w:ascii="仿宋" w:hAnsi="仿宋" w:eastAsia="仿宋" w:cs="楷体_GB2312"/>
          <w:sz w:val="28"/>
          <w:szCs w:val="28"/>
        </w:rPr>
        <w:t>万元，占总支出的</w:t>
      </w:r>
      <w:r>
        <w:rPr>
          <w:rFonts w:ascii="仿宋" w:hAnsi="仿宋" w:eastAsia="仿宋" w:cs="楷体_GB2312"/>
          <w:sz w:val="28"/>
          <w:szCs w:val="28"/>
        </w:rPr>
        <w:t>57.28%</w:t>
      </w:r>
      <w:r>
        <w:rPr>
          <w:rFonts w:hint="eastAsia" w:ascii="仿宋" w:hAnsi="仿宋" w:eastAsia="仿宋" w:cs="楷体_GB2312"/>
          <w:sz w:val="28"/>
          <w:szCs w:val="28"/>
        </w:rPr>
        <w:t>；对个人和家庭的补助支出</w:t>
      </w:r>
      <w:r>
        <w:rPr>
          <w:rFonts w:ascii="仿宋" w:hAnsi="仿宋" w:eastAsia="仿宋" w:cs="楷体_GB2312"/>
          <w:sz w:val="28"/>
          <w:szCs w:val="28"/>
        </w:rPr>
        <w:t>1,694.29</w:t>
      </w:r>
      <w:r>
        <w:rPr>
          <w:rFonts w:hint="eastAsia" w:ascii="仿宋" w:hAnsi="仿宋" w:eastAsia="仿宋" w:cs="楷体_GB2312"/>
          <w:sz w:val="28"/>
          <w:szCs w:val="28"/>
        </w:rPr>
        <w:t>万元，占总支出的</w:t>
      </w:r>
      <w:r>
        <w:rPr>
          <w:rFonts w:ascii="仿宋" w:hAnsi="仿宋" w:eastAsia="仿宋" w:cs="楷体_GB2312"/>
          <w:sz w:val="28"/>
          <w:szCs w:val="28"/>
        </w:rPr>
        <w:t>6.49%</w:t>
      </w:r>
      <w:r>
        <w:rPr>
          <w:rFonts w:hint="eastAsia" w:ascii="仿宋" w:hAnsi="仿宋" w:eastAsia="仿宋" w:cs="楷体_GB2312"/>
          <w:sz w:val="28"/>
          <w:szCs w:val="28"/>
        </w:rPr>
        <w:t>；资本性支出</w:t>
      </w:r>
      <w:r>
        <w:rPr>
          <w:rFonts w:ascii="仿宋" w:hAnsi="仿宋" w:eastAsia="仿宋" w:cs="楷体_GB2312"/>
          <w:sz w:val="28"/>
          <w:szCs w:val="28"/>
        </w:rPr>
        <w:t>1,464.96</w:t>
      </w:r>
      <w:r>
        <w:rPr>
          <w:rFonts w:hint="eastAsia" w:ascii="仿宋" w:hAnsi="仿宋" w:eastAsia="仿宋" w:cs="楷体_GB2312"/>
          <w:sz w:val="28"/>
          <w:szCs w:val="28"/>
        </w:rPr>
        <w:t>万元，占总支出的</w:t>
      </w:r>
      <w:r>
        <w:rPr>
          <w:rFonts w:ascii="仿宋" w:hAnsi="仿宋" w:eastAsia="仿宋" w:cs="楷体_GB2312"/>
          <w:sz w:val="28"/>
          <w:szCs w:val="28"/>
        </w:rPr>
        <w:t>5.61%</w:t>
      </w:r>
      <w:r>
        <w:rPr>
          <w:rFonts w:hint="eastAsia" w:ascii="仿宋" w:hAnsi="仿宋" w:eastAsia="仿宋" w:cs="楷体_GB2312"/>
          <w:sz w:val="28"/>
          <w:szCs w:val="28"/>
        </w:rPr>
        <w:t>。</w:t>
      </w:r>
    </w:p>
    <w:p>
      <w:pPr>
        <w:pStyle w:val="6"/>
        <w:spacing w:line="600" w:lineRule="exact"/>
        <w:ind w:left="0" w:firstLine="560" w:firstLineChars="200"/>
        <w:jc w:val="right"/>
        <w:rPr>
          <w:rFonts w:ascii="仿宋" w:hAnsi="仿宋" w:eastAsia="仿宋" w:cs="黑体"/>
          <w:kern w:val="2"/>
          <w:sz w:val="28"/>
          <w:szCs w:val="28"/>
          <w:lang w:eastAsia="zh-CN"/>
        </w:rPr>
      </w:pPr>
      <w:r>
        <w:rPr>
          <w:rFonts w:hint="eastAsia" w:ascii="仿宋" w:hAnsi="仿宋" w:eastAsia="仿宋" w:cs="黑体"/>
          <w:kern w:val="2"/>
          <w:sz w:val="28"/>
          <w:szCs w:val="28"/>
          <w:lang w:eastAsia="zh-CN"/>
        </w:rPr>
        <w:t>单位：万元</w:t>
      </w:r>
    </w:p>
    <w:tbl>
      <w:tblPr>
        <w:tblStyle w:val="11"/>
        <w:tblW w:w="5000" w:type="pct"/>
        <w:tblInd w:w="0" w:type="dxa"/>
        <w:tblLayout w:type="autofit"/>
        <w:tblCellMar>
          <w:top w:w="15" w:type="dxa"/>
          <w:left w:w="15" w:type="dxa"/>
          <w:bottom w:w="15" w:type="dxa"/>
          <w:right w:w="15" w:type="dxa"/>
        </w:tblCellMar>
      </w:tblPr>
      <w:tblGrid>
        <w:gridCol w:w="2932"/>
        <w:gridCol w:w="2110"/>
        <w:gridCol w:w="2110"/>
        <w:gridCol w:w="1904"/>
      </w:tblGrid>
      <w:tr>
        <w:tblPrEx>
          <w:tblCellMar>
            <w:top w:w="15" w:type="dxa"/>
            <w:left w:w="15" w:type="dxa"/>
            <w:bottom w:w="15" w:type="dxa"/>
            <w:right w:w="15" w:type="dxa"/>
          </w:tblCellMar>
        </w:tblPrEx>
        <w:trPr>
          <w:trHeight w:val="165" w:hRule="atLeast"/>
        </w:trPr>
        <w:tc>
          <w:tcPr>
            <w:tcW w:w="1619"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 w:hAnsi="仿宋" w:eastAsia="仿宋" w:cs="黑体"/>
                <w:sz w:val="28"/>
                <w:szCs w:val="28"/>
              </w:rPr>
            </w:pPr>
            <w:r>
              <w:rPr>
                <w:rFonts w:hint="eastAsia" w:ascii="仿宋" w:hAnsi="仿宋" w:eastAsia="仿宋" w:cs="黑体"/>
                <w:sz w:val="28"/>
                <w:szCs w:val="28"/>
              </w:rPr>
              <w:t>项目</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黑体"/>
                <w:sz w:val="28"/>
                <w:szCs w:val="28"/>
              </w:rPr>
            </w:pPr>
            <w:r>
              <w:rPr>
                <w:rFonts w:hint="eastAsia" w:ascii="仿宋" w:hAnsi="仿宋" w:eastAsia="仿宋" w:cs="黑体"/>
                <w:sz w:val="28"/>
                <w:szCs w:val="28"/>
              </w:rPr>
              <w:t>年初预算数</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黑体"/>
                <w:sz w:val="28"/>
                <w:szCs w:val="28"/>
              </w:rPr>
            </w:pPr>
            <w:r>
              <w:rPr>
                <w:rFonts w:hint="eastAsia" w:ascii="仿宋" w:hAnsi="仿宋" w:eastAsia="仿宋" w:cs="黑体"/>
                <w:sz w:val="28"/>
                <w:szCs w:val="28"/>
              </w:rPr>
              <w:t>预算调整数</w:t>
            </w:r>
          </w:p>
        </w:tc>
        <w:tc>
          <w:tcPr>
            <w:tcW w:w="105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 w:hAnsi="仿宋" w:eastAsia="仿宋" w:cs="黑体"/>
                <w:sz w:val="28"/>
                <w:szCs w:val="28"/>
              </w:rPr>
            </w:pPr>
            <w:r>
              <w:rPr>
                <w:rFonts w:hint="eastAsia" w:ascii="仿宋" w:hAnsi="仿宋" w:eastAsia="仿宋" w:cs="黑体"/>
                <w:sz w:val="28"/>
                <w:szCs w:val="28"/>
              </w:rPr>
              <w:t>决算数</w:t>
            </w:r>
          </w:p>
        </w:tc>
      </w:tr>
      <w:tr>
        <w:tblPrEx>
          <w:tblCellMar>
            <w:top w:w="15" w:type="dxa"/>
            <w:left w:w="15" w:type="dxa"/>
            <w:bottom w:w="15" w:type="dxa"/>
            <w:right w:w="15" w:type="dxa"/>
          </w:tblCellMar>
        </w:tblPrEx>
        <w:trPr>
          <w:trHeight w:val="165" w:hRule="atLeast"/>
        </w:trPr>
        <w:tc>
          <w:tcPr>
            <w:tcW w:w="16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left"/>
              <w:rPr>
                <w:rFonts w:ascii="仿宋" w:hAnsi="仿宋" w:eastAsia="仿宋" w:cs="黑体"/>
                <w:sz w:val="28"/>
                <w:szCs w:val="28"/>
              </w:rPr>
            </w:pPr>
            <w:r>
              <w:rPr>
                <w:rFonts w:hint="eastAsia" w:ascii="仿宋" w:hAnsi="仿宋" w:eastAsia="仿宋" w:cs="黑体"/>
                <w:sz w:val="28"/>
                <w:szCs w:val="28"/>
              </w:rPr>
              <w:t>一、基本支出</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10,586.92</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10,538.94</w:t>
            </w:r>
          </w:p>
        </w:tc>
        <w:tc>
          <w:tcPr>
            <w:tcW w:w="105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10,538.74</w:t>
            </w:r>
          </w:p>
        </w:tc>
      </w:tr>
      <w:tr>
        <w:tblPrEx>
          <w:tblCellMar>
            <w:top w:w="15" w:type="dxa"/>
            <w:left w:w="15" w:type="dxa"/>
            <w:bottom w:w="15" w:type="dxa"/>
            <w:right w:w="15" w:type="dxa"/>
          </w:tblCellMar>
        </w:tblPrEx>
        <w:trPr>
          <w:trHeight w:val="165" w:hRule="atLeast"/>
        </w:trPr>
        <w:tc>
          <w:tcPr>
            <w:tcW w:w="16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left"/>
              <w:rPr>
                <w:rFonts w:ascii="仿宋" w:hAnsi="仿宋" w:eastAsia="仿宋" w:cs="黑体"/>
                <w:sz w:val="28"/>
                <w:szCs w:val="28"/>
              </w:rPr>
            </w:pPr>
            <w:r>
              <w:rPr>
                <w:rFonts w:hint="eastAsia" w:ascii="仿宋" w:hAnsi="仿宋" w:eastAsia="仿宋" w:cs="黑体"/>
                <w:sz w:val="28"/>
                <w:szCs w:val="28"/>
              </w:rPr>
              <w:t>其中</w:t>
            </w:r>
            <w:r>
              <w:rPr>
                <w:rFonts w:ascii="仿宋" w:hAnsi="仿宋" w:eastAsia="仿宋" w:cs="黑体"/>
                <w:sz w:val="28"/>
                <w:szCs w:val="28"/>
              </w:rPr>
              <w:t>：</w:t>
            </w:r>
            <w:r>
              <w:rPr>
                <w:rFonts w:hint="eastAsia" w:ascii="仿宋" w:hAnsi="仿宋" w:eastAsia="仿宋" w:cs="黑体"/>
                <w:sz w:val="28"/>
                <w:szCs w:val="28"/>
              </w:rPr>
              <w:t>人员经费</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9,752.34</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9,692.88</w:t>
            </w:r>
          </w:p>
        </w:tc>
        <w:tc>
          <w:tcPr>
            <w:tcW w:w="105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9,692.88</w:t>
            </w:r>
          </w:p>
        </w:tc>
      </w:tr>
      <w:tr>
        <w:tblPrEx>
          <w:tblCellMar>
            <w:top w:w="15" w:type="dxa"/>
            <w:left w:w="15" w:type="dxa"/>
            <w:bottom w:w="15" w:type="dxa"/>
            <w:right w:w="15" w:type="dxa"/>
          </w:tblCellMar>
        </w:tblPrEx>
        <w:trPr>
          <w:trHeight w:val="165" w:hRule="atLeast"/>
        </w:trPr>
        <w:tc>
          <w:tcPr>
            <w:tcW w:w="16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left"/>
              <w:rPr>
                <w:rFonts w:ascii="仿宋" w:hAnsi="仿宋" w:eastAsia="仿宋" w:cs="黑体"/>
                <w:sz w:val="28"/>
                <w:szCs w:val="28"/>
              </w:rPr>
            </w:pPr>
            <w:r>
              <w:rPr>
                <w:rFonts w:hint="eastAsia" w:ascii="仿宋" w:hAnsi="仿宋" w:eastAsia="仿宋" w:cs="黑体"/>
                <w:sz w:val="28"/>
                <w:szCs w:val="28"/>
              </w:rPr>
              <w:t>公用经费</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834.58</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846.06</w:t>
            </w:r>
          </w:p>
        </w:tc>
        <w:tc>
          <w:tcPr>
            <w:tcW w:w="105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845.86</w:t>
            </w:r>
          </w:p>
        </w:tc>
      </w:tr>
      <w:tr>
        <w:tblPrEx>
          <w:tblCellMar>
            <w:top w:w="15" w:type="dxa"/>
            <w:left w:w="15" w:type="dxa"/>
            <w:bottom w:w="15" w:type="dxa"/>
            <w:right w:w="15" w:type="dxa"/>
          </w:tblCellMar>
        </w:tblPrEx>
        <w:trPr>
          <w:trHeight w:val="165" w:hRule="atLeast"/>
        </w:trPr>
        <w:tc>
          <w:tcPr>
            <w:tcW w:w="16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left"/>
              <w:rPr>
                <w:rFonts w:ascii="仿宋" w:hAnsi="仿宋" w:eastAsia="仿宋" w:cs="黑体"/>
                <w:sz w:val="28"/>
                <w:szCs w:val="28"/>
              </w:rPr>
            </w:pPr>
            <w:r>
              <w:rPr>
                <w:rFonts w:hint="eastAsia" w:ascii="仿宋" w:hAnsi="仿宋" w:eastAsia="仿宋" w:cs="黑体"/>
                <w:sz w:val="28"/>
                <w:szCs w:val="28"/>
              </w:rPr>
              <w:t>二、项目支出</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12,850.33</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16,615.72</w:t>
            </w:r>
          </w:p>
        </w:tc>
        <w:tc>
          <w:tcPr>
            <w:tcW w:w="105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15,581.14</w:t>
            </w:r>
          </w:p>
        </w:tc>
      </w:tr>
      <w:tr>
        <w:tblPrEx>
          <w:tblCellMar>
            <w:top w:w="15" w:type="dxa"/>
            <w:left w:w="15" w:type="dxa"/>
            <w:bottom w:w="15" w:type="dxa"/>
            <w:right w:w="15" w:type="dxa"/>
          </w:tblCellMar>
        </w:tblPrEx>
        <w:trPr>
          <w:trHeight w:val="165" w:hRule="atLeast"/>
        </w:trPr>
        <w:tc>
          <w:tcPr>
            <w:tcW w:w="16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left"/>
              <w:rPr>
                <w:rFonts w:ascii="仿宋" w:hAnsi="仿宋" w:eastAsia="仿宋" w:cs="黑体"/>
                <w:sz w:val="28"/>
                <w:szCs w:val="28"/>
              </w:rPr>
            </w:pPr>
            <w:r>
              <w:rPr>
                <w:rFonts w:hint="eastAsia" w:ascii="仿宋" w:hAnsi="仿宋" w:eastAsia="仿宋" w:cs="黑体"/>
                <w:sz w:val="28"/>
                <w:szCs w:val="28"/>
              </w:rPr>
              <w:t>三、经营支出</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10,586.92</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10,538.94</w:t>
            </w:r>
          </w:p>
        </w:tc>
        <w:tc>
          <w:tcPr>
            <w:tcW w:w="105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10,538.74</w:t>
            </w:r>
          </w:p>
        </w:tc>
      </w:tr>
      <w:tr>
        <w:tblPrEx>
          <w:tblCellMar>
            <w:top w:w="15" w:type="dxa"/>
            <w:left w:w="15" w:type="dxa"/>
            <w:bottom w:w="15" w:type="dxa"/>
            <w:right w:w="15" w:type="dxa"/>
          </w:tblCellMar>
        </w:tblPrEx>
        <w:trPr>
          <w:trHeight w:val="165" w:hRule="atLeast"/>
        </w:trPr>
        <w:tc>
          <w:tcPr>
            <w:tcW w:w="1619"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center"/>
              <w:rPr>
                <w:rFonts w:ascii="仿宋" w:hAnsi="仿宋" w:eastAsia="仿宋" w:cs="黑体"/>
                <w:sz w:val="28"/>
                <w:szCs w:val="28"/>
              </w:rPr>
            </w:pPr>
            <w:r>
              <w:rPr>
                <w:rFonts w:hint="eastAsia" w:ascii="仿宋" w:hAnsi="仿宋" w:eastAsia="仿宋" w:cs="黑体"/>
                <w:sz w:val="28"/>
                <w:szCs w:val="28"/>
              </w:rPr>
              <w:t>本年合计</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23,437.25</w:t>
            </w:r>
          </w:p>
        </w:tc>
        <w:tc>
          <w:tcPr>
            <w:tcW w:w="1165"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27,154.65</w:t>
            </w:r>
          </w:p>
        </w:tc>
        <w:tc>
          <w:tcPr>
            <w:tcW w:w="1051"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600" w:lineRule="exact"/>
              <w:jc w:val="right"/>
              <w:rPr>
                <w:rFonts w:ascii="仿宋" w:hAnsi="仿宋" w:eastAsia="仿宋" w:cs="黑体"/>
                <w:sz w:val="28"/>
                <w:szCs w:val="28"/>
              </w:rPr>
            </w:pPr>
            <w:r>
              <w:rPr>
                <w:rFonts w:ascii="仿宋" w:hAnsi="仿宋" w:eastAsia="仿宋" w:cs="黑体"/>
                <w:sz w:val="28"/>
                <w:szCs w:val="28"/>
              </w:rPr>
              <w:t>26,119.88</w:t>
            </w:r>
          </w:p>
        </w:tc>
      </w:tr>
    </w:tbl>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3.经济分类科目情况</w:t>
      </w:r>
    </w:p>
    <w:p>
      <w:pPr>
        <w:adjustRightInd w:val="0"/>
        <w:snapToGrid w:val="0"/>
        <w:spacing w:line="560" w:lineRule="exact"/>
        <w:ind w:firstLine="560" w:firstLineChars="200"/>
        <w:rPr>
          <w:rFonts w:hint="eastAsia" w:ascii="仿宋" w:hAnsi="仿宋" w:eastAsia="仿宋" w:cs="楷体_GB2312"/>
          <w:sz w:val="28"/>
          <w:szCs w:val="28"/>
        </w:rPr>
      </w:pPr>
      <w:r>
        <w:rPr>
          <w:rFonts w:ascii="仿宋" w:hAnsi="仿宋" w:eastAsia="仿宋" w:cs="楷体_GB2312"/>
          <w:sz w:val="28"/>
          <w:szCs w:val="28"/>
        </w:rPr>
        <w:t>一是“三公”经费支出情况。2023年一般公共预算财政拨款“三公”经费支出合计69.33万元，比年初预算88.52万元减少了19.19万元，比上年决算增加10.52万元，其中：</w:t>
      </w:r>
    </w:p>
    <w:p>
      <w:pPr>
        <w:adjustRightInd w:val="0"/>
        <w:snapToGrid w:val="0"/>
        <w:spacing w:line="560" w:lineRule="exact"/>
        <w:ind w:firstLine="560" w:firstLineChars="200"/>
        <w:rPr>
          <w:rFonts w:hint="eastAsia" w:ascii="仿宋" w:hAnsi="仿宋" w:eastAsia="仿宋" w:cs="楷体_GB2312"/>
          <w:sz w:val="28"/>
          <w:szCs w:val="28"/>
        </w:rPr>
      </w:pPr>
      <w:r>
        <w:rPr>
          <w:rFonts w:ascii="仿宋" w:hAnsi="仿宋" w:eastAsia="仿宋" w:cs="楷体_GB2312"/>
          <w:sz w:val="28"/>
          <w:szCs w:val="28"/>
        </w:rPr>
        <w:t>（1）因公出国（境）费支出16.49万元，比预算减少4.53万元，比上年决算增加16.49万元；主要增加原因是2022年因新冠病毒疫情影响，无因公出国、出境活动，2023年已恢复正常。</w:t>
      </w:r>
    </w:p>
    <w:p>
      <w:pPr>
        <w:adjustRightInd w:val="0"/>
        <w:snapToGrid w:val="0"/>
        <w:spacing w:line="560" w:lineRule="exact"/>
        <w:ind w:firstLine="560" w:firstLineChars="200"/>
        <w:rPr>
          <w:rFonts w:hint="eastAsia" w:ascii="仿宋" w:hAnsi="仿宋" w:eastAsia="仿宋" w:cs="楷体_GB2312"/>
          <w:sz w:val="28"/>
          <w:szCs w:val="28"/>
        </w:rPr>
      </w:pPr>
      <w:r>
        <w:rPr>
          <w:rFonts w:ascii="仿宋" w:hAnsi="仿宋" w:eastAsia="仿宋" w:cs="楷体_GB2312"/>
          <w:sz w:val="28"/>
          <w:szCs w:val="28"/>
        </w:rPr>
        <w:t>（2）公务用车购置及运行维护费支出44.62万元，其中公务用车购置费17.98万元，公务用车运行维护费26.64万元，比预算减少15.38万元，比上年决算减少12.69万元，主要增加原因是2023年住建厅按照有关规定程序购置公务用车一台，2022年新增购入两台，2023年公务用车购置费有所减少。</w:t>
      </w:r>
    </w:p>
    <w:p>
      <w:pPr>
        <w:adjustRightInd w:val="0"/>
        <w:snapToGrid w:val="0"/>
        <w:spacing w:line="560" w:lineRule="exact"/>
        <w:ind w:firstLine="560" w:firstLineChars="200"/>
        <w:rPr>
          <w:rFonts w:ascii="仿宋" w:hAnsi="仿宋" w:eastAsia="仿宋" w:cs="楷体_GB2312"/>
          <w:sz w:val="28"/>
          <w:szCs w:val="28"/>
        </w:rPr>
      </w:pPr>
      <w:r>
        <w:rPr>
          <w:rFonts w:ascii="仿宋" w:hAnsi="仿宋" w:eastAsia="仿宋" w:cs="楷体_GB2312"/>
          <w:sz w:val="28"/>
          <w:szCs w:val="28"/>
        </w:rPr>
        <w:t>（3）公务接待费支出8.22万元，比预算增加0.72万元，比上年决算增加6.72万元，主要减少原因是因2022年受新冠病毒疫情影响，省内外单位来住建厅开展调研工作较少，2023年因省内外单位来住建厅开展调研工作批次及人次增加，以及住房城乡建设部年中布置了外事接待任务，相应公务接待费有所增加。</w:t>
      </w:r>
    </w:p>
    <w:p>
      <w:pPr>
        <w:adjustRightInd w:val="0"/>
        <w:snapToGrid w:val="0"/>
        <w:spacing w:line="560" w:lineRule="exact"/>
        <w:ind w:firstLine="560" w:firstLineChars="200"/>
        <w:rPr>
          <w:rFonts w:ascii="仿宋" w:hAnsi="仿宋" w:eastAsia="仿宋" w:cs="楷体_GB2312"/>
          <w:sz w:val="28"/>
          <w:szCs w:val="28"/>
        </w:rPr>
      </w:pPr>
      <w:r>
        <w:rPr>
          <w:rFonts w:ascii="仿宋" w:hAnsi="仿宋" w:eastAsia="仿宋" w:cs="楷体_GB2312"/>
          <w:sz w:val="28"/>
          <w:szCs w:val="28"/>
        </w:rPr>
        <w:t>二是会议费支出情况。2023年会议费支出38.35万元，比预算减少109.18万元，比上年决算增加34.55万元，主要减少原因是2022年因新冠病毒疫情影响和业务工作需要，召开会议次数较少，且部分会议采取视频会议形式，会议费开支较少，2023年因会议业务开展需求增加，相应支出增加。</w:t>
      </w:r>
    </w:p>
    <w:p>
      <w:pPr>
        <w:adjustRightInd w:val="0"/>
        <w:snapToGrid w:val="0"/>
        <w:spacing w:line="560" w:lineRule="exact"/>
        <w:ind w:firstLine="560" w:firstLineChars="200"/>
        <w:rPr>
          <w:rFonts w:ascii="仿宋" w:hAnsi="仿宋" w:eastAsia="仿宋" w:cs="楷体_GB2312"/>
          <w:sz w:val="28"/>
          <w:szCs w:val="28"/>
        </w:rPr>
      </w:pPr>
      <w:r>
        <w:rPr>
          <w:rFonts w:ascii="仿宋" w:hAnsi="仿宋" w:eastAsia="仿宋" w:cs="楷体_GB2312"/>
          <w:sz w:val="28"/>
          <w:szCs w:val="28"/>
        </w:rPr>
        <w:t>三是培训费支出情况。2023年培训费支出38.16万元，比预算增加27.29万元，比上年决算增加18.91万元，增加主要增加原因是2023年住建厅根据新增“百千万工程”等重大任务安排，加大了培训工作力度。</w:t>
      </w:r>
    </w:p>
    <w:p>
      <w:pPr>
        <w:adjustRightInd w:val="0"/>
        <w:snapToGrid w:val="0"/>
        <w:spacing w:line="560" w:lineRule="exact"/>
        <w:ind w:firstLine="562" w:firstLineChars="200"/>
        <w:rPr>
          <w:rFonts w:ascii="仿宋" w:hAnsi="仿宋" w:eastAsia="仿宋" w:cs="楷体_GB2312"/>
          <w:b/>
          <w:bCs/>
          <w:sz w:val="28"/>
          <w:szCs w:val="28"/>
        </w:rPr>
      </w:pPr>
      <w:r>
        <w:rPr>
          <w:rFonts w:hint="eastAsia" w:ascii="仿宋" w:hAnsi="仿宋" w:eastAsia="仿宋" w:cs="楷体_GB2312"/>
          <w:b/>
          <w:bCs/>
          <w:sz w:val="28"/>
          <w:szCs w:val="28"/>
        </w:rPr>
        <w:t>二、绩效自评情况</w:t>
      </w:r>
    </w:p>
    <w:p>
      <w:pPr>
        <w:adjustRightInd w:val="0"/>
        <w:snapToGrid w:val="0"/>
        <w:spacing w:line="560" w:lineRule="exact"/>
        <w:ind w:firstLine="562" w:firstLineChars="200"/>
        <w:rPr>
          <w:rFonts w:ascii="仿宋" w:hAnsi="仿宋" w:eastAsia="仿宋" w:cs="楷体_GB2312"/>
          <w:b/>
          <w:bCs/>
          <w:sz w:val="28"/>
          <w:szCs w:val="28"/>
        </w:rPr>
      </w:pPr>
      <w:r>
        <w:rPr>
          <w:rFonts w:hint="eastAsia" w:ascii="仿宋" w:hAnsi="仿宋" w:eastAsia="仿宋" w:cs="楷体_GB2312"/>
          <w:b/>
          <w:bCs/>
          <w:sz w:val="28"/>
          <w:szCs w:val="28"/>
        </w:rPr>
        <w:t>（一）自评结论</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按照《部门整体支出绩效自评指标评分表》的评分指标，</w:t>
      </w:r>
      <w:r>
        <w:rPr>
          <w:rFonts w:ascii="仿宋" w:hAnsi="仿宋" w:eastAsia="仿宋" w:cs="楷体_GB2312"/>
          <w:sz w:val="28"/>
          <w:szCs w:val="28"/>
        </w:rPr>
        <w:t>省住房城乡建设厅</w:t>
      </w:r>
      <w:r>
        <w:rPr>
          <w:rFonts w:hint="eastAsia" w:ascii="仿宋" w:hAnsi="仿宋" w:eastAsia="仿宋" w:cs="楷体_GB2312"/>
          <w:sz w:val="28"/>
          <w:szCs w:val="28"/>
        </w:rPr>
        <w:t>进行了认真的自评分析，经研究，厅</w:t>
      </w:r>
      <w:r>
        <w:rPr>
          <w:rFonts w:ascii="仿宋" w:hAnsi="仿宋" w:eastAsia="仿宋" w:cs="楷体_GB2312"/>
          <w:sz w:val="28"/>
          <w:szCs w:val="28"/>
        </w:rPr>
        <w:t>202</w:t>
      </w:r>
      <w:r>
        <w:rPr>
          <w:rFonts w:hint="eastAsia" w:ascii="仿宋" w:hAnsi="仿宋" w:eastAsia="仿宋" w:cs="楷体_GB2312"/>
          <w:sz w:val="28"/>
          <w:szCs w:val="28"/>
        </w:rPr>
        <w:t>3年部门整体支出绩效评价得分为</w:t>
      </w:r>
      <w:r>
        <w:rPr>
          <w:rFonts w:hint="eastAsia" w:ascii="仿宋" w:hAnsi="仿宋" w:eastAsia="仿宋" w:cs="楷体_GB2312"/>
          <w:sz w:val="28"/>
          <w:szCs w:val="28"/>
          <w:lang w:val="en-US" w:eastAsia="zh-CN"/>
        </w:rPr>
        <w:t>98.52</w:t>
      </w:r>
      <w:r>
        <w:rPr>
          <w:rFonts w:hint="eastAsia" w:ascii="仿宋" w:hAnsi="仿宋" w:eastAsia="仿宋" w:cs="楷体_GB2312"/>
          <w:sz w:val="28"/>
          <w:szCs w:val="28"/>
        </w:rPr>
        <w:t>分，绩效等级为“优”。各指标得分情况详见附件2-1。</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省住房城乡建设厅在2</w:t>
      </w:r>
      <w:r>
        <w:rPr>
          <w:rFonts w:ascii="仿宋" w:hAnsi="仿宋" w:eastAsia="仿宋" w:cs="楷体_GB2312"/>
          <w:sz w:val="28"/>
          <w:szCs w:val="28"/>
        </w:rPr>
        <w:t>02</w:t>
      </w:r>
      <w:r>
        <w:rPr>
          <w:rFonts w:hint="eastAsia" w:ascii="仿宋" w:hAnsi="仿宋" w:eastAsia="仿宋" w:cs="楷体_GB2312"/>
          <w:sz w:val="28"/>
          <w:szCs w:val="28"/>
        </w:rPr>
        <w:t>3年的整体绩效管理情况良好，在项目开展前，能够针对各个重点项目设置客观的与可实施的绩效目标，有效提升了专项资金的使用水平，并且各项目的绩效目标的完成情况良好，基本都能按时完成指标；预算执行有效合理，厉行节约，严控“三公经费”，</w:t>
      </w:r>
      <w:r>
        <w:rPr>
          <w:rFonts w:ascii="仿宋" w:hAnsi="仿宋" w:eastAsia="仿宋" w:cs="楷体_GB2312"/>
          <w:sz w:val="28"/>
          <w:szCs w:val="28"/>
        </w:rPr>
        <w:t>2022</w:t>
      </w:r>
      <w:r>
        <w:rPr>
          <w:rFonts w:hint="eastAsia" w:ascii="仿宋" w:hAnsi="仿宋" w:eastAsia="仿宋" w:cs="楷体_GB2312"/>
          <w:sz w:val="28"/>
          <w:szCs w:val="28"/>
        </w:rPr>
        <w:t>年“三公经费”的实际支出在预算范围内，基本支出和项目支出结转结余小于上年，圆满完成了对部门的预算管理、执行及监督监管等。但是部分专项资金拨付进度较低，导致个别项目绩效目标未完成，应加大资金拨付的督促力度，推进项目的实施进度。</w:t>
      </w:r>
    </w:p>
    <w:p>
      <w:pPr>
        <w:adjustRightInd w:val="0"/>
        <w:snapToGrid w:val="0"/>
        <w:spacing w:line="560" w:lineRule="exact"/>
        <w:ind w:firstLine="562" w:firstLineChars="200"/>
        <w:rPr>
          <w:rFonts w:ascii="仿宋" w:hAnsi="仿宋" w:eastAsia="仿宋" w:cs="楷体_GB2312"/>
          <w:b/>
          <w:bCs/>
          <w:sz w:val="28"/>
          <w:szCs w:val="28"/>
        </w:rPr>
      </w:pPr>
      <w:r>
        <w:rPr>
          <w:rFonts w:hint="eastAsia" w:ascii="仿宋" w:hAnsi="仿宋" w:eastAsia="仿宋" w:cs="楷体_GB2312"/>
          <w:b/>
          <w:bCs/>
          <w:sz w:val="28"/>
          <w:szCs w:val="28"/>
        </w:rPr>
        <w:t>（二）履职效能分析</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1.整体效能</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该二级指标下设有“部门整体绩效目标产出指标完成情况”“部门整体绩效目标效益指标完成情况”及“部门预算资金支出率”等3个三级指标。</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（1）部门整体绩效目标产出指标完成情况</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该项指标反映部门年度预算编报时确定的部门整体预算绩效目标中产出指标完成情况。指标分值10分，评价得9.88分。</w:t>
      </w:r>
    </w:p>
    <w:p>
      <w:pPr>
        <w:adjustRightInd w:val="0"/>
        <w:snapToGrid w:val="0"/>
        <w:spacing w:line="560" w:lineRule="exact"/>
        <w:ind w:firstLine="560" w:firstLineChars="200"/>
        <w:rPr>
          <w:rFonts w:ascii="仿宋" w:hAnsi="仿宋" w:eastAsia="仿宋" w:cs="楷体_GB2312"/>
          <w:sz w:val="28"/>
          <w:szCs w:val="28"/>
        </w:rPr>
      </w:pPr>
      <w:r>
        <w:rPr>
          <w:rFonts w:ascii="仿宋" w:hAnsi="仿宋" w:eastAsia="仿宋" w:cs="楷体_GB2312"/>
          <w:sz w:val="28"/>
          <w:szCs w:val="28"/>
        </w:rPr>
        <w:t>省住房城乡建设厅</w:t>
      </w:r>
      <w:r>
        <w:rPr>
          <w:rFonts w:hint="eastAsia" w:ascii="仿宋" w:hAnsi="仿宋" w:eastAsia="仿宋" w:cs="楷体_GB2312"/>
          <w:sz w:val="28"/>
          <w:szCs w:val="28"/>
        </w:rPr>
        <w:t>2023年绩效目标产出指标完成情况如下：</w:t>
      </w:r>
    </w:p>
    <w:p>
      <w:pPr>
        <w:adjustRightInd w:val="0"/>
        <w:snapToGrid w:val="0"/>
        <w:spacing w:line="560" w:lineRule="exact"/>
        <w:ind w:firstLine="560" w:firstLineChars="200"/>
        <w:rPr>
          <w:rFonts w:ascii="仿宋" w:hAnsi="仿宋" w:eastAsia="仿宋" w:cs="楷体_GB2312"/>
          <w:sz w:val="28"/>
          <w:szCs w:val="28"/>
        </w:rPr>
      </w:pPr>
      <w:r>
        <w:rPr>
          <w:rFonts w:ascii="仿宋" w:hAnsi="仿宋" w:eastAsia="仿宋" w:cs="楷体_GB2312"/>
          <w:sz w:val="28"/>
          <w:szCs w:val="28"/>
        </w:rPr>
        <w:t>1、新建设棚户区改造安置住房384套。</w:t>
      </w:r>
    </w:p>
    <w:p>
      <w:pPr>
        <w:adjustRightInd w:val="0"/>
        <w:snapToGrid w:val="0"/>
        <w:spacing w:line="560" w:lineRule="exact"/>
        <w:ind w:firstLine="560" w:firstLineChars="200"/>
        <w:rPr>
          <w:rFonts w:ascii="仿宋" w:hAnsi="仿宋" w:eastAsia="仿宋" w:cs="楷体_GB2312"/>
          <w:sz w:val="28"/>
          <w:szCs w:val="28"/>
        </w:rPr>
      </w:pPr>
      <w:r>
        <w:rPr>
          <w:rFonts w:ascii="仿宋" w:hAnsi="仿宋" w:eastAsia="仿宋" w:cs="楷体_GB2312"/>
          <w:sz w:val="28"/>
          <w:szCs w:val="28"/>
        </w:rPr>
        <w:t>2、新筹建设公共租房9313套。</w:t>
      </w:r>
    </w:p>
    <w:p>
      <w:pPr>
        <w:adjustRightInd w:val="0"/>
        <w:snapToGrid w:val="0"/>
        <w:spacing w:line="560" w:lineRule="exact"/>
        <w:ind w:firstLine="560" w:firstLineChars="200"/>
        <w:rPr>
          <w:rFonts w:hint="eastAsia" w:ascii="仿宋" w:hAnsi="仿宋" w:eastAsia="仿宋" w:cs="楷体_GB2312"/>
          <w:sz w:val="28"/>
          <w:szCs w:val="28"/>
          <w:lang w:val="en-US" w:eastAsia="zh-CN"/>
        </w:rPr>
      </w:pPr>
      <w:r>
        <w:rPr>
          <w:rFonts w:hint="eastAsia" w:ascii="仿宋" w:hAnsi="仿宋" w:eastAsia="仿宋" w:cs="楷体_GB2312"/>
          <w:sz w:val="28"/>
          <w:szCs w:val="28"/>
        </w:rPr>
        <w:t>3、筹建保障性租赁住房86531套</w:t>
      </w:r>
      <w:r>
        <w:rPr>
          <w:rFonts w:hint="eastAsia" w:ascii="仿宋" w:hAnsi="仿宋" w:eastAsia="仿宋" w:cs="楷体_GB2312"/>
          <w:sz w:val="28"/>
          <w:szCs w:val="28"/>
          <w:lang w:eastAsia="zh-CN"/>
        </w:rPr>
        <w:t>。</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4、开工改造小区数724个。</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5、2023年小区垃圾分类投放设施数量珠三角地区实际完成1.43万个；粤东西北地区和江门、肇庆、惠州等15个地级市实际完成1.89万个，共计完成3.32万个，完成率144.35%。</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6、2023年全省新建或改建社区体育公园等设施数量17个。</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7、社区体育公园等设施增加面积13.51公顷。</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8、2023年城市生活污水集中收集率均值为56.31%。</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9、2023年全省城市污水处理率为96.36%。</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10、2023年全省县城污水处理率为96.16%。</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11、城市体检覆盖率100%。</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12、2023年我省共有110处历史文化街区，110处全部完成挂牌保护。</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13、棚改、公租房、保障性租赁住房等项目开工（筹集）率100%。</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产出指标完成情况综合计算得分9.88分。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（2）部门整体绩效目标效益指标完成情况</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该项指标反映部门年度预算编报时确定的部门预算整体绩效目标中效益指标完成情况。指标分值10分，评价得10分。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以下为</w:t>
      </w:r>
      <w:r>
        <w:rPr>
          <w:rFonts w:ascii="仿宋" w:hAnsi="仿宋" w:eastAsia="仿宋" w:cs="楷体_GB2312"/>
          <w:sz w:val="28"/>
          <w:szCs w:val="28"/>
        </w:rPr>
        <w:t>省住房城乡建设厅</w:t>
      </w:r>
      <w:r>
        <w:rPr>
          <w:rFonts w:hint="eastAsia" w:ascii="仿宋" w:hAnsi="仿宋" w:eastAsia="仿宋" w:cs="楷体_GB2312"/>
          <w:sz w:val="28"/>
          <w:szCs w:val="28"/>
        </w:rPr>
        <w:t>2023年绩效目标效益完成情况：</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1、2023年我省历史建筑累计确定4495处，其中挂牌保护4332处，挂牌率96.37%。</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2、2023年我省共有110处历史文化街区，110处全部完成挂牌保护，挂牌率100%。</w:t>
      </w:r>
    </w:p>
    <w:p>
      <w:pPr>
        <w:adjustRightInd w:val="0"/>
        <w:snapToGrid w:val="0"/>
        <w:spacing w:line="560" w:lineRule="exact"/>
        <w:ind w:firstLine="560" w:firstLineChars="200"/>
        <w:rPr>
          <w:rFonts w:ascii="仿宋" w:hAnsi="仿宋" w:eastAsia="仿宋" w:cs="楷体_GB2312"/>
          <w:sz w:val="28"/>
          <w:szCs w:val="28"/>
        </w:rPr>
      </w:pPr>
      <w:r>
        <w:rPr>
          <w:rFonts w:ascii="仿宋" w:hAnsi="仿宋" w:eastAsia="仿宋" w:cs="楷体_GB2312"/>
          <w:sz w:val="28"/>
          <w:szCs w:val="28"/>
        </w:rPr>
        <w:t>3、城镇老旧小区改造省级专项资金支持粤东西北地区15个地市完成开工改造建筑面积1641.59万平方米，改造户数155139户。</w:t>
      </w:r>
    </w:p>
    <w:p>
      <w:pPr>
        <w:adjustRightInd w:val="0"/>
        <w:snapToGrid w:val="0"/>
        <w:spacing w:line="560" w:lineRule="exact"/>
        <w:ind w:firstLine="560" w:firstLineChars="200"/>
        <w:rPr>
          <w:rFonts w:ascii="仿宋" w:hAnsi="仿宋" w:eastAsia="仿宋" w:cs="楷体_GB2312"/>
          <w:sz w:val="28"/>
          <w:szCs w:val="28"/>
        </w:rPr>
      </w:pPr>
      <w:r>
        <w:rPr>
          <w:rFonts w:ascii="仿宋" w:hAnsi="仿宋" w:eastAsia="仿宋" w:cs="楷体_GB2312"/>
          <w:sz w:val="28"/>
          <w:szCs w:val="28"/>
        </w:rPr>
        <w:t>4、进一步加大保障性住房供给，使更多住房困难群众受益，群众居住条件进一步得到改善，为解决住房困难问题发挥积极作用。</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5、城市建设管理矛盾得到进一步缓解。</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6、全省城市生活垃圾无害化处理率为99.98%</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7、2023年我省县级城市建成区范围内黑臭水体消除比例为45%。</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8、完成新增绿色建筑面积超过1亿平方米。</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9、星级绿色建筑面积占比大于20%。</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10、一是指导各城市完善公租房的申请受理渠道、审核准入程序，以及工作服的租金定价机制，动态调整租金。二是指导有关城市建立健全保障性租赁住房制度，出台保障性租赁住房管理办法。三是建立有效的调研督导制度，印发《广东省住房和城乡建设厅关于开展2023年度全省保障性安居工程实地调研核查工作的通知》，组织第三方专家团队对各市保障性安居工程项目进行全面督促检查，全面落实工作任务和各项政策措施。</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11、城市历史文脉、历史文化资源得到保护与传承较2022年效果有所增长。</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效益指标完成情况综合计算得分10分。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（3）部门预算资金支出率</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该项指标反映部门预算资金支出进度。指标分值5分，评价得5分。根据广东省财政厅关于省级单位预算执行支出进度情况的通报，</w:t>
      </w:r>
      <w:r>
        <w:rPr>
          <w:rFonts w:ascii="仿宋" w:hAnsi="仿宋" w:eastAsia="仿宋" w:cs="楷体_GB2312"/>
          <w:sz w:val="28"/>
          <w:szCs w:val="28"/>
        </w:rPr>
        <w:t>省住房城乡建设厅</w:t>
      </w:r>
      <w:r>
        <w:rPr>
          <w:rFonts w:hint="eastAsia" w:ascii="仿宋" w:hAnsi="仿宋" w:eastAsia="仿宋" w:cs="楷体_GB2312"/>
          <w:sz w:val="28"/>
          <w:szCs w:val="28"/>
          <w:lang w:val="en-US" w:eastAsia="zh-CN"/>
        </w:rPr>
        <w:t>2023</w:t>
      </w:r>
      <w:r>
        <w:rPr>
          <w:rFonts w:hint="eastAsia" w:ascii="仿宋" w:hAnsi="仿宋" w:eastAsia="仿宋" w:cs="楷体_GB2312"/>
          <w:sz w:val="28"/>
          <w:szCs w:val="28"/>
        </w:rPr>
        <w:t>年第一季度至第四季度分别是</w:t>
      </w:r>
      <w:r>
        <w:rPr>
          <w:rFonts w:ascii="仿宋" w:hAnsi="仿宋" w:eastAsia="仿宋" w:cs="楷体_GB2312"/>
          <w:sz w:val="28"/>
          <w:szCs w:val="28"/>
        </w:rPr>
        <w:t>35.67%</w:t>
      </w:r>
      <w:r>
        <w:rPr>
          <w:rFonts w:hint="eastAsia" w:ascii="仿宋" w:hAnsi="仿宋" w:eastAsia="仿宋" w:cs="楷体_GB2312"/>
          <w:sz w:val="28"/>
          <w:szCs w:val="28"/>
        </w:rPr>
        <w:t>、</w:t>
      </w:r>
      <w:r>
        <w:rPr>
          <w:rFonts w:ascii="仿宋" w:hAnsi="仿宋" w:eastAsia="仿宋" w:cs="楷体_GB2312"/>
          <w:sz w:val="28"/>
          <w:szCs w:val="28"/>
        </w:rPr>
        <w:t>65.85%</w:t>
      </w:r>
      <w:r>
        <w:rPr>
          <w:rFonts w:hint="eastAsia" w:ascii="仿宋" w:hAnsi="仿宋" w:eastAsia="仿宋" w:cs="楷体_GB2312"/>
          <w:sz w:val="28"/>
          <w:szCs w:val="28"/>
        </w:rPr>
        <w:t>、</w:t>
      </w:r>
      <w:r>
        <w:rPr>
          <w:rFonts w:ascii="仿宋" w:hAnsi="仿宋" w:eastAsia="仿宋" w:cs="楷体_GB2312"/>
          <w:sz w:val="28"/>
          <w:szCs w:val="28"/>
        </w:rPr>
        <w:t>84.71%</w:t>
      </w:r>
      <w:r>
        <w:rPr>
          <w:rFonts w:hint="eastAsia" w:ascii="仿宋" w:hAnsi="仿宋" w:eastAsia="仿宋" w:cs="楷体_GB2312"/>
          <w:sz w:val="28"/>
          <w:szCs w:val="28"/>
        </w:rPr>
        <w:t>和</w:t>
      </w:r>
      <w:r>
        <w:rPr>
          <w:rFonts w:ascii="仿宋" w:hAnsi="仿宋" w:eastAsia="仿宋" w:cs="楷体_GB2312"/>
          <w:sz w:val="28"/>
          <w:szCs w:val="28"/>
        </w:rPr>
        <w:t>94.56%</w:t>
      </w:r>
      <w:r>
        <w:rPr>
          <w:rFonts w:hint="eastAsia" w:ascii="仿宋" w:hAnsi="仿宋" w:eastAsia="仿宋" w:cs="楷体_GB2312"/>
          <w:sz w:val="28"/>
          <w:szCs w:val="28"/>
        </w:rPr>
        <w:t>，平均支出进度</w:t>
      </w:r>
      <w:r>
        <w:rPr>
          <w:rFonts w:ascii="仿宋" w:hAnsi="仿宋" w:eastAsia="仿宋" w:cs="楷体_GB2312"/>
          <w:sz w:val="28"/>
          <w:szCs w:val="28"/>
        </w:rPr>
        <w:t>70.20%</w:t>
      </w:r>
      <w:r>
        <w:rPr>
          <w:rFonts w:hint="eastAsia" w:ascii="仿宋" w:hAnsi="仿宋" w:eastAsia="仿宋" w:cs="楷体_GB2312"/>
          <w:sz w:val="28"/>
          <w:szCs w:val="28"/>
        </w:rPr>
        <w:t>。</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部门预算资金平均支出率大于62.5%，按要求得满分5分。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2.专项效能</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该二级指标下设有“专项资金绩效完成情况”“专项资金支出率”等2个三级指标。</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（1）专项资金绩效完成情况</w:t>
      </w:r>
    </w:p>
    <w:p>
      <w:pPr>
        <w:adjustRightInd w:val="0"/>
        <w:snapToGrid w:val="0"/>
        <w:spacing w:line="560" w:lineRule="exact"/>
        <w:ind w:firstLine="560" w:firstLineChars="200"/>
        <w:rPr>
          <w:rFonts w:hint="eastAsia" w:ascii="仿宋" w:hAnsi="仿宋" w:eastAsia="仿宋" w:cs="楷体_GB2312"/>
          <w:sz w:val="28"/>
          <w:szCs w:val="28"/>
          <w:lang w:val="en-US" w:eastAsia="zh-CN"/>
        </w:rPr>
      </w:pPr>
      <w:r>
        <w:rPr>
          <w:rFonts w:hint="eastAsia" w:ascii="仿宋" w:hAnsi="仿宋" w:eastAsia="仿宋" w:cs="楷体_GB2312"/>
          <w:sz w:val="28"/>
          <w:szCs w:val="28"/>
        </w:rPr>
        <w:t>该项指标反映部门专项资金绩效目标的完成情况。指标分值20分，评价得19.0</w:t>
      </w:r>
      <w:r>
        <w:rPr>
          <w:rFonts w:ascii="仿宋" w:hAnsi="仿宋" w:eastAsia="仿宋" w:cs="楷体_GB2312"/>
          <w:sz w:val="28"/>
          <w:szCs w:val="28"/>
        </w:rPr>
        <w:t>8</w:t>
      </w:r>
      <w:r>
        <w:rPr>
          <w:rFonts w:hint="eastAsia" w:ascii="仿宋" w:hAnsi="仿宋" w:eastAsia="仿宋" w:cs="楷体_GB2312"/>
          <w:sz w:val="28"/>
          <w:szCs w:val="28"/>
        </w:rPr>
        <w:t>分。</w:t>
      </w:r>
      <w:r>
        <w:rPr>
          <w:rFonts w:hint="eastAsia" w:ascii="仿宋" w:hAnsi="仿宋" w:eastAsia="仿宋" w:cs="楷体_GB2312"/>
          <w:sz w:val="28"/>
          <w:szCs w:val="28"/>
          <w:lang w:val="en-US" w:eastAsia="zh-CN"/>
        </w:rPr>
        <w:t>2023</w:t>
      </w:r>
      <w:r>
        <w:rPr>
          <w:rFonts w:hint="eastAsia" w:ascii="仿宋" w:hAnsi="仿宋" w:eastAsia="仿宋" w:cs="楷体_GB2312"/>
          <w:sz w:val="28"/>
          <w:szCs w:val="28"/>
        </w:rPr>
        <w:t>年</w:t>
      </w:r>
      <w:r>
        <w:rPr>
          <w:rFonts w:ascii="仿宋" w:hAnsi="仿宋" w:eastAsia="仿宋" w:cs="楷体_GB2312"/>
          <w:sz w:val="28"/>
          <w:szCs w:val="28"/>
        </w:rPr>
        <w:t>省住房城乡建设厅</w:t>
      </w:r>
      <w:r>
        <w:rPr>
          <w:rFonts w:hint="eastAsia" w:ascii="仿宋" w:hAnsi="仿宋" w:eastAsia="仿宋" w:cs="楷体_GB2312"/>
          <w:sz w:val="28"/>
          <w:szCs w:val="28"/>
        </w:rPr>
        <w:t>专项资金包括城市管理与地下基础设施建设更新改造、生活垃圾分类、城市水环境治理、保障性安居工程、城镇老旧小区改造、城乡社区设施补短板及历史文化保护项目和城乡绿色发展建设共7项</w:t>
      </w:r>
      <w:r>
        <w:rPr>
          <w:rFonts w:ascii="仿宋" w:hAnsi="仿宋" w:eastAsia="仿宋" w:cs="楷体_GB2312"/>
          <w:sz w:val="28"/>
          <w:szCs w:val="28"/>
        </w:rPr>
        <w:t>，</w:t>
      </w:r>
      <w:r>
        <w:rPr>
          <w:rFonts w:hint="eastAsia" w:ascii="仿宋" w:hAnsi="仿宋" w:eastAsia="仿宋" w:cs="楷体_GB2312"/>
          <w:sz w:val="28"/>
          <w:szCs w:val="28"/>
        </w:rPr>
        <w:t>各项目自评得分分别为</w:t>
      </w:r>
      <w:r>
        <w:rPr>
          <w:rFonts w:ascii="仿宋" w:hAnsi="仿宋" w:eastAsia="仿宋" w:cs="楷体_GB2312"/>
          <w:sz w:val="28"/>
          <w:szCs w:val="28"/>
        </w:rPr>
        <w:t>97.59</w:t>
      </w:r>
      <w:r>
        <w:rPr>
          <w:rFonts w:hint="eastAsia" w:ascii="仿宋" w:hAnsi="仿宋" w:eastAsia="仿宋" w:cs="楷体_GB2312"/>
          <w:sz w:val="28"/>
          <w:szCs w:val="28"/>
        </w:rPr>
        <w:t>、</w:t>
      </w:r>
      <w:r>
        <w:rPr>
          <w:rFonts w:ascii="仿宋" w:hAnsi="仿宋" w:eastAsia="仿宋" w:cs="楷体_GB2312"/>
          <w:sz w:val="28"/>
          <w:szCs w:val="28"/>
        </w:rPr>
        <w:t>91.45</w:t>
      </w:r>
      <w:r>
        <w:rPr>
          <w:rFonts w:hint="eastAsia" w:ascii="仿宋" w:hAnsi="仿宋" w:eastAsia="仿宋" w:cs="楷体_GB2312"/>
          <w:sz w:val="28"/>
          <w:szCs w:val="28"/>
        </w:rPr>
        <w:t>、</w:t>
      </w:r>
      <w:r>
        <w:rPr>
          <w:rFonts w:ascii="仿宋" w:hAnsi="仿宋" w:eastAsia="仿宋" w:cs="楷体_GB2312"/>
          <w:sz w:val="28"/>
          <w:szCs w:val="28"/>
        </w:rPr>
        <w:t>92.95</w:t>
      </w:r>
      <w:r>
        <w:rPr>
          <w:rFonts w:hint="eastAsia" w:ascii="仿宋" w:hAnsi="仿宋" w:eastAsia="仿宋" w:cs="楷体_GB2312"/>
          <w:sz w:val="28"/>
          <w:szCs w:val="28"/>
        </w:rPr>
        <w:t>、</w:t>
      </w:r>
      <w:r>
        <w:rPr>
          <w:rFonts w:ascii="仿宋" w:hAnsi="仿宋" w:eastAsia="仿宋" w:cs="楷体_GB2312"/>
          <w:sz w:val="28"/>
          <w:szCs w:val="28"/>
        </w:rPr>
        <w:t>99.7</w:t>
      </w:r>
      <w:r>
        <w:rPr>
          <w:rFonts w:hint="eastAsia" w:ascii="仿宋" w:hAnsi="仿宋" w:eastAsia="仿宋" w:cs="楷体_GB2312"/>
          <w:sz w:val="28"/>
          <w:szCs w:val="28"/>
        </w:rPr>
        <w:t>、</w:t>
      </w:r>
      <w:r>
        <w:rPr>
          <w:rFonts w:ascii="仿宋" w:hAnsi="仿宋" w:eastAsia="仿宋" w:cs="楷体_GB2312"/>
          <w:sz w:val="28"/>
          <w:szCs w:val="28"/>
        </w:rPr>
        <w:t>96.32</w:t>
      </w:r>
      <w:r>
        <w:rPr>
          <w:rFonts w:hint="eastAsia" w:ascii="仿宋" w:hAnsi="仿宋" w:eastAsia="仿宋" w:cs="楷体_GB2312"/>
          <w:sz w:val="28"/>
          <w:szCs w:val="28"/>
        </w:rPr>
        <w:t>、</w:t>
      </w:r>
      <w:r>
        <w:rPr>
          <w:rFonts w:ascii="仿宋" w:hAnsi="仿宋" w:eastAsia="仿宋" w:cs="楷体_GB2312"/>
          <w:sz w:val="28"/>
          <w:szCs w:val="28"/>
        </w:rPr>
        <w:t>92.66</w:t>
      </w:r>
      <w:r>
        <w:rPr>
          <w:rFonts w:hint="eastAsia" w:ascii="仿宋" w:hAnsi="仿宋" w:eastAsia="仿宋" w:cs="楷体_GB2312"/>
          <w:sz w:val="28"/>
          <w:szCs w:val="28"/>
        </w:rPr>
        <w:t>和</w:t>
      </w:r>
      <w:r>
        <w:rPr>
          <w:rFonts w:ascii="仿宋" w:hAnsi="仿宋" w:eastAsia="仿宋" w:cs="楷体_GB2312"/>
          <w:sz w:val="28"/>
          <w:szCs w:val="28"/>
        </w:rPr>
        <w:t>97.12</w:t>
      </w:r>
      <w:r>
        <w:rPr>
          <w:rFonts w:hint="eastAsia" w:ascii="仿宋" w:hAnsi="仿宋" w:eastAsia="仿宋" w:cs="楷体_GB2312"/>
          <w:sz w:val="28"/>
          <w:szCs w:val="28"/>
          <w:lang w:eastAsia="zh-CN"/>
        </w:rPr>
        <w:t>。</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专项资金绩效完成情况综合计算得分19.0</w:t>
      </w:r>
      <w:r>
        <w:rPr>
          <w:rFonts w:ascii="仿宋" w:hAnsi="仿宋" w:eastAsia="仿宋" w:cs="楷体_GB2312"/>
          <w:sz w:val="28"/>
          <w:szCs w:val="28"/>
        </w:rPr>
        <w:t>8</w:t>
      </w:r>
      <w:r>
        <w:rPr>
          <w:rFonts w:hint="eastAsia" w:ascii="仿宋" w:hAnsi="仿宋" w:eastAsia="仿宋" w:cs="楷体_GB2312"/>
          <w:sz w:val="28"/>
          <w:szCs w:val="28"/>
        </w:rPr>
        <w:t>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（2）部门主管转移支付资金支出率</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主管转移支付资金（一般公共预算）到年底的实际支出使用进度。指标分值5分，评价得5分。根据财政部门通报的部门主管转移资金（一般公共预算）支出进度，2023年的部门主管转移支付资金支出率为100%。</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按评分规则，省住房城乡建设厅专项资金支出率得分率为100%，本指标得分=100%×5=5分。</w:t>
      </w:r>
    </w:p>
    <w:p>
      <w:pPr>
        <w:adjustRightInd w:val="0"/>
        <w:snapToGrid w:val="0"/>
        <w:spacing w:line="560" w:lineRule="exact"/>
        <w:ind w:firstLine="562" w:firstLineChars="200"/>
        <w:rPr>
          <w:rFonts w:ascii="仿宋" w:hAnsi="仿宋" w:eastAsia="仿宋" w:cs="楷体_GB2312"/>
          <w:b/>
          <w:bCs/>
          <w:sz w:val="28"/>
          <w:szCs w:val="28"/>
        </w:rPr>
      </w:pPr>
      <w:r>
        <w:rPr>
          <w:rFonts w:hint="eastAsia" w:ascii="仿宋" w:hAnsi="仿宋" w:eastAsia="仿宋" w:cs="楷体_GB2312"/>
          <w:b/>
          <w:bCs/>
          <w:sz w:val="28"/>
          <w:szCs w:val="28"/>
        </w:rPr>
        <w:t>（三）管理效率分析</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 xml:space="preserve">1．预算编制 </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该二级指标下设有“项目入库率”“储备的二级项目使用率”及“新增预算项目事前绩效评估”等3个三级指标。</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（1）项目入库率</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该项指标反映部门预算编制项目入库情况。指标分值2分，评价得2分。根据专项资金二级项目入库情况表显示</w:t>
      </w:r>
      <w:r>
        <w:rPr>
          <w:rFonts w:ascii="仿宋" w:hAnsi="仿宋" w:eastAsia="仿宋" w:cs="楷体_GB2312"/>
          <w:sz w:val="28"/>
          <w:szCs w:val="28"/>
        </w:rPr>
        <w:t>，</w:t>
      </w:r>
      <w:r>
        <w:rPr>
          <w:rFonts w:hint="eastAsia" w:ascii="仿宋" w:hAnsi="仿宋" w:eastAsia="仿宋" w:cs="楷体_GB2312"/>
          <w:sz w:val="28"/>
          <w:szCs w:val="28"/>
        </w:rPr>
        <w:t>项目入库率为100%</w:t>
      </w:r>
      <w:r>
        <w:rPr>
          <w:rFonts w:ascii="仿宋" w:hAnsi="仿宋" w:eastAsia="仿宋" w:cs="楷体_GB2312"/>
          <w:sz w:val="28"/>
          <w:szCs w:val="28"/>
        </w:rPr>
        <w:t>。</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项目入库率得分率为100%，</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本指标得分=2×100%=2分。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（2）储备的二级项目使用率</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该项指标反映部门预算编制专项资金规划和项目准备的准确性情况。指标分值2分，评价得2分。根据专项资金二级项目入库情况</w:t>
      </w:r>
      <w:r>
        <w:rPr>
          <w:rFonts w:ascii="仿宋" w:hAnsi="仿宋" w:eastAsia="仿宋" w:cs="楷体_GB2312"/>
          <w:sz w:val="28"/>
          <w:szCs w:val="28"/>
        </w:rPr>
        <w:t>，</w:t>
      </w:r>
      <w:r>
        <w:rPr>
          <w:rFonts w:hint="eastAsia" w:ascii="仿宋" w:hAnsi="仿宋" w:eastAsia="仿宋" w:cs="楷体_GB2312"/>
          <w:sz w:val="28"/>
          <w:szCs w:val="28"/>
        </w:rPr>
        <w:t>二级项目使用率符合要求</w:t>
      </w:r>
      <w:r>
        <w:rPr>
          <w:rFonts w:ascii="仿宋" w:hAnsi="仿宋" w:eastAsia="仿宋" w:cs="楷体_GB2312"/>
          <w:sz w:val="28"/>
          <w:szCs w:val="28"/>
        </w:rPr>
        <w:t>。</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储备的二级项目使用率得分率为100%，本指标得分=2×100%=2分。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（3）新增预算项目事前绩效评估</w:t>
      </w:r>
    </w:p>
    <w:p>
      <w:pPr>
        <w:pStyle w:val="10"/>
        <w:keepNext w:val="0"/>
        <w:keepLines w:val="0"/>
        <w:widowControl/>
        <w:suppressLineNumbers w:val="0"/>
        <w:spacing w:before="0" w:beforeAutospacing="0" w:after="0" w:afterAutospacing="0"/>
        <w:ind w:left="0" w:right="0" w:firstLine="0"/>
        <w:jc w:val="left"/>
        <w:rPr>
          <w:rFonts w:hint="eastAsia" w:ascii="仿宋" w:hAnsi="仿宋" w:eastAsia="仿宋" w:cs="楷体_GB2312"/>
          <w:sz w:val="28"/>
          <w:szCs w:val="28"/>
        </w:rPr>
      </w:pPr>
      <w:r>
        <w:rPr>
          <w:rFonts w:hint="eastAsia" w:ascii="仿宋" w:hAnsi="仿宋" w:eastAsia="仿宋" w:cs="楷体_GB2312"/>
          <w:sz w:val="28"/>
          <w:szCs w:val="28"/>
        </w:rPr>
        <w:t>该项指标反映部门对申请新增预算的入库项目开展事前绩效评估工作的落实情况。指标分值1分，评价得1分。</w:t>
      </w:r>
      <w:r>
        <w:rPr>
          <w:rFonts w:ascii="仿宋" w:hAnsi="仿宋" w:eastAsia="仿宋" w:cs="楷体_GB2312"/>
          <w:sz w:val="28"/>
          <w:szCs w:val="28"/>
        </w:rPr>
        <w:t>省住房城乡建设厅</w:t>
      </w:r>
      <w:r>
        <w:rPr>
          <w:rFonts w:hint="eastAsia" w:ascii="仿宋" w:hAnsi="仿宋" w:eastAsia="仿宋" w:cs="楷体_GB2312"/>
          <w:sz w:val="28"/>
          <w:szCs w:val="28"/>
        </w:rPr>
        <w:t>2023年度新增500万以上的专项资金项目</w:t>
      </w:r>
      <w:r>
        <w:rPr>
          <w:rFonts w:hint="eastAsia" w:ascii="仿宋" w:hAnsi="仿宋" w:eastAsia="仿宋" w:cs="楷体_GB2312"/>
          <w:sz w:val="28"/>
          <w:szCs w:val="28"/>
          <w:lang w:val="en-US" w:eastAsia="zh-CN"/>
        </w:rPr>
        <w:t>11</w:t>
      </w:r>
      <w:r>
        <w:rPr>
          <w:rFonts w:hint="eastAsia" w:ascii="仿宋" w:hAnsi="仿宋" w:eastAsia="仿宋" w:cs="楷体_GB2312"/>
          <w:sz w:val="28"/>
          <w:szCs w:val="28"/>
        </w:rPr>
        <w:t>个，分别是县级城市黑臭水体治理和城市排水防涝体系建设</w:t>
      </w:r>
      <w:r>
        <w:rPr>
          <w:rFonts w:hint="eastAsia" w:ascii="仿宋" w:hAnsi="仿宋" w:eastAsia="仿宋" w:cs="楷体_GB2312"/>
          <w:sz w:val="28"/>
          <w:szCs w:val="28"/>
          <w:lang w:eastAsia="zh-CN"/>
        </w:rPr>
        <w:t>、</w:t>
      </w:r>
      <w:r>
        <w:rPr>
          <w:rFonts w:hint="eastAsia" w:ascii="仿宋" w:hAnsi="仿宋" w:eastAsia="仿宋" w:cs="楷体_GB2312"/>
          <w:sz w:val="28"/>
          <w:szCs w:val="28"/>
        </w:rPr>
        <w:t>生活垃圾分类</w:t>
      </w:r>
      <w:r>
        <w:rPr>
          <w:rFonts w:hint="eastAsia" w:ascii="仿宋" w:hAnsi="仿宋" w:eastAsia="仿宋" w:cs="楷体_GB2312"/>
          <w:sz w:val="28"/>
          <w:szCs w:val="28"/>
          <w:lang w:eastAsia="zh-CN"/>
        </w:rPr>
        <w:t>、</w:t>
      </w:r>
      <w:r>
        <w:rPr>
          <w:rFonts w:hint="eastAsia" w:ascii="仿宋" w:hAnsi="仿宋" w:eastAsia="仿宋" w:cs="楷体_GB2312"/>
          <w:sz w:val="28"/>
          <w:szCs w:val="28"/>
        </w:rPr>
        <w:t>保障性安居工程</w:t>
      </w:r>
      <w:r>
        <w:rPr>
          <w:rFonts w:hint="eastAsia" w:ascii="仿宋" w:hAnsi="仿宋" w:eastAsia="仿宋" w:cs="楷体_GB2312"/>
          <w:sz w:val="28"/>
          <w:szCs w:val="28"/>
          <w:lang w:eastAsia="zh-CN"/>
        </w:rPr>
        <w:t>、</w:t>
      </w:r>
      <w:r>
        <w:rPr>
          <w:rFonts w:hint="eastAsia" w:ascii="仿宋" w:hAnsi="仿宋" w:eastAsia="仿宋" w:cs="楷体_GB2312"/>
          <w:sz w:val="28"/>
          <w:szCs w:val="28"/>
        </w:rPr>
        <w:t>历史文化保护与社区设施补短板</w:t>
      </w:r>
      <w:r>
        <w:rPr>
          <w:rFonts w:hint="eastAsia" w:ascii="仿宋" w:hAnsi="仿宋" w:eastAsia="仿宋" w:cs="楷体_GB2312"/>
          <w:sz w:val="28"/>
          <w:szCs w:val="28"/>
          <w:lang w:eastAsia="zh-CN"/>
        </w:rPr>
        <w:t>、</w:t>
      </w:r>
      <w:r>
        <w:rPr>
          <w:rFonts w:hint="eastAsia" w:ascii="仿宋" w:hAnsi="仿宋" w:eastAsia="仿宋" w:cs="楷体_GB2312"/>
          <w:sz w:val="28"/>
          <w:szCs w:val="28"/>
        </w:rPr>
        <w:t>农村削坡建房地质灾害隐患排查整治</w:t>
      </w:r>
      <w:r>
        <w:rPr>
          <w:rFonts w:hint="eastAsia" w:ascii="仿宋" w:hAnsi="仿宋" w:eastAsia="仿宋" w:cs="楷体_GB2312"/>
          <w:sz w:val="28"/>
          <w:szCs w:val="28"/>
          <w:lang w:eastAsia="zh-CN"/>
        </w:rPr>
        <w:t>、</w:t>
      </w:r>
      <w:r>
        <w:rPr>
          <w:rFonts w:hint="eastAsia" w:ascii="仿宋" w:hAnsi="仿宋" w:eastAsia="仿宋" w:cs="楷体_GB2312"/>
          <w:sz w:val="28"/>
          <w:szCs w:val="28"/>
        </w:rPr>
        <w:t>城市管理与地下基础设施建设更新改造</w:t>
      </w:r>
      <w:r>
        <w:rPr>
          <w:rFonts w:hint="eastAsia" w:ascii="仿宋" w:hAnsi="仿宋" w:eastAsia="仿宋" w:cs="楷体_GB2312"/>
          <w:sz w:val="28"/>
          <w:szCs w:val="28"/>
          <w:lang w:eastAsia="zh-CN"/>
        </w:rPr>
        <w:t>、</w:t>
      </w:r>
      <w:r>
        <w:rPr>
          <w:rFonts w:hint="eastAsia" w:ascii="仿宋" w:hAnsi="仿宋" w:eastAsia="仿宋" w:cs="楷体_GB2312"/>
          <w:sz w:val="28"/>
          <w:szCs w:val="28"/>
        </w:rPr>
        <w:t>城市燃气管道老化更新改造</w:t>
      </w:r>
      <w:r>
        <w:rPr>
          <w:rFonts w:hint="eastAsia" w:ascii="仿宋" w:hAnsi="仿宋" w:eastAsia="仿宋" w:cs="楷体_GB2312"/>
          <w:sz w:val="28"/>
          <w:szCs w:val="28"/>
          <w:lang w:eastAsia="zh-CN"/>
        </w:rPr>
        <w:t>、</w:t>
      </w:r>
      <w:r>
        <w:rPr>
          <w:rFonts w:hint="eastAsia" w:ascii="仿宋" w:hAnsi="仿宋" w:eastAsia="仿宋" w:cs="楷体_GB2312"/>
          <w:sz w:val="28"/>
          <w:szCs w:val="28"/>
        </w:rPr>
        <w:t>自建房房屋安全专项排查工作</w:t>
      </w:r>
      <w:r>
        <w:rPr>
          <w:rFonts w:hint="eastAsia" w:ascii="仿宋" w:hAnsi="仿宋" w:eastAsia="仿宋" w:cs="楷体_GB2312"/>
          <w:sz w:val="28"/>
          <w:szCs w:val="28"/>
          <w:lang w:eastAsia="zh-CN"/>
        </w:rPr>
        <w:t>、</w:t>
      </w:r>
      <w:r>
        <w:rPr>
          <w:rFonts w:hint="eastAsia" w:ascii="仿宋" w:hAnsi="仿宋" w:eastAsia="仿宋" w:cs="楷体_GB2312"/>
          <w:sz w:val="28"/>
          <w:szCs w:val="28"/>
        </w:rPr>
        <w:t>广东省建筑起重机械安全监管补助</w:t>
      </w:r>
      <w:r>
        <w:rPr>
          <w:rFonts w:hint="eastAsia" w:ascii="仿宋" w:hAnsi="仿宋" w:eastAsia="仿宋" w:cs="楷体_GB2312"/>
          <w:sz w:val="28"/>
          <w:szCs w:val="28"/>
          <w:lang w:eastAsia="zh-CN"/>
        </w:rPr>
        <w:t>、</w:t>
      </w:r>
      <w:r>
        <w:rPr>
          <w:rFonts w:hint="eastAsia" w:ascii="仿宋" w:hAnsi="仿宋" w:eastAsia="仿宋" w:cs="楷体_GB2312"/>
          <w:sz w:val="28"/>
          <w:szCs w:val="28"/>
        </w:rPr>
        <w:t>广东省城建工作专家委员会工作经费</w:t>
      </w:r>
      <w:r>
        <w:rPr>
          <w:rFonts w:hint="eastAsia" w:ascii="仿宋" w:hAnsi="仿宋" w:eastAsia="仿宋" w:cs="楷体_GB2312"/>
          <w:sz w:val="28"/>
          <w:szCs w:val="28"/>
          <w:lang w:eastAsia="zh-CN"/>
        </w:rPr>
        <w:t>、</w:t>
      </w:r>
      <w:r>
        <w:rPr>
          <w:rFonts w:hint="eastAsia" w:ascii="仿宋" w:hAnsi="仿宋" w:eastAsia="仿宋" w:cs="楷体_GB2312"/>
          <w:sz w:val="28"/>
          <w:szCs w:val="28"/>
        </w:rPr>
        <w:t>省住房城乡建设厅“三库一平台”管理信息服务系统运营</w:t>
      </w:r>
      <w:r>
        <w:rPr>
          <w:rFonts w:hint="eastAsia" w:ascii="仿宋" w:hAnsi="仿宋" w:eastAsia="仿宋" w:cs="楷体_GB2312"/>
          <w:sz w:val="28"/>
          <w:szCs w:val="28"/>
          <w:lang w:eastAsia="zh-CN"/>
        </w:rPr>
        <w:t>等</w:t>
      </w:r>
      <w:r>
        <w:rPr>
          <w:rFonts w:hint="eastAsia" w:ascii="仿宋" w:hAnsi="仿宋" w:eastAsia="仿宋" w:cs="楷体_GB2312"/>
          <w:sz w:val="28"/>
          <w:szCs w:val="28"/>
          <w:lang w:val="en-US" w:eastAsia="zh-CN"/>
        </w:rPr>
        <w:t>11</w:t>
      </w:r>
      <w:r>
        <w:rPr>
          <w:rFonts w:hint="eastAsia" w:ascii="仿宋" w:hAnsi="仿宋" w:eastAsia="仿宋" w:cs="楷体_GB2312"/>
          <w:sz w:val="28"/>
          <w:szCs w:val="28"/>
        </w:rPr>
        <w:t>个项目都在项目开展前都出具了项目可行性分析报告。</w:t>
      </w:r>
    </w:p>
    <w:p>
      <w:pPr>
        <w:pStyle w:val="10"/>
        <w:keepNext w:val="0"/>
        <w:keepLines w:val="0"/>
        <w:widowControl/>
        <w:suppressLineNumbers w:val="0"/>
        <w:spacing w:before="0" w:beforeAutospacing="0" w:after="0" w:afterAutospacing="0"/>
        <w:ind w:left="0" w:right="0" w:firstLine="560" w:firstLineChars="200"/>
        <w:jc w:val="left"/>
        <w:rPr>
          <w:rFonts w:hint="eastAsia" w:ascii="仿宋" w:hAnsi="仿宋" w:eastAsia="仿宋" w:cs="楷体_GB2312"/>
          <w:sz w:val="28"/>
          <w:szCs w:val="28"/>
        </w:rPr>
      </w:pPr>
      <w:r>
        <w:rPr>
          <w:rFonts w:hint="eastAsia" w:ascii="仿宋" w:hAnsi="仿宋" w:eastAsia="仿宋" w:cs="楷体_GB2312"/>
          <w:sz w:val="28"/>
          <w:szCs w:val="28"/>
        </w:rPr>
        <w:t>按评分规则，省住房城乡建设厅新增预算项目事前绩效评估得分率为100%，本指标得分=1×100%=1分。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2.预算执行</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该二级指标下设有“预算编制约束性”“资金下达合规性”及“财务管理合规性”等3个三级指标。</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（1）预算编制约束性</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该项指标反映部门预算的调剂、年中追加资金情况。指标分值1分，评价得0.97分。本年度下达总金额为</w:t>
      </w:r>
      <w:r>
        <w:rPr>
          <w:rFonts w:ascii="仿宋" w:hAnsi="仿宋" w:eastAsia="仿宋" w:cs="楷体_GB2312"/>
          <w:sz w:val="28"/>
          <w:szCs w:val="28"/>
        </w:rPr>
        <w:t>123,846.00</w:t>
      </w:r>
      <w:r>
        <w:rPr>
          <w:rFonts w:hint="eastAsia" w:ascii="仿宋" w:hAnsi="仿宋" w:eastAsia="仿宋" w:cs="楷体_GB2312"/>
          <w:sz w:val="28"/>
          <w:szCs w:val="28"/>
        </w:rPr>
        <w:t>万元，预算调剂金额</w:t>
      </w:r>
      <w:r>
        <w:rPr>
          <w:rFonts w:ascii="仿宋" w:hAnsi="仿宋" w:eastAsia="仿宋" w:cs="楷体_GB2312"/>
          <w:sz w:val="28"/>
          <w:szCs w:val="28"/>
        </w:rPr>
        <w:t>3,817.00</w:t>
      </w:r>
      <w:r>
        <w:rPr>
          <w:rFonts w:hint="eastAsia" w:ascii="仿宋" w:hAnsi="仿宋" w:eastAsia="仿宋" w:cs="楷体_GB2312"/>
          <w:sz w:val="28"/>
          <w:szCs w:val="28"/>
        </w:rPr>
        <w:t>万元，调剂发生率为3.08%；年初预算资金为</w:t>
      </w:r>
      <w:r>
        <w:rPr>
          <w:rFonts w:ascii="仿宋" w:hAnsi="仿宋" w:eastAsia="仿宋" w:cs="楷体_GB2312"/>
          <w:sz w:val="28"/>
          <w:szCs w:val="28"/>
        </w:rPr>
        <w:t>3,289.03</w:t>
      </w:r>
      <w:r>
        <w:rPr>
          <w:rFonts w:hint="eastAsia" w:ascii="仿宋" w:hAnsi="仿宋" w:eastAsia="仿宋" w:cs="楷体_GB2312"/>
          <w:sz w:val="28"/>
          <w:szCs w:val="28"/>
        </w:rPr>
        <w:t>万元，年终追加资金情况。</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预算编制约束性得分得分=（1-3.08%）×60%+（1-3.12%）×40%=0.97分。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（2）资金下达合规性</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主管资金提前下达比率、资金下达合法性情况。指标分值1分，评价得1分。根据《广东省住房和城乡建设厅关于2023年省级专项资金目录清单和主管省级财政资金分配方案、绩效目标的公示》（粤建公示〔2022〕29号）所示</w:t>
      </w:r>
      <w:r>
        <w:rPr>
          <w:rFonts w:ascii="仿宋" w:hAnsi="仿宋" w:eastAsia="仿宋" w:cs="楷体_GB2312"/>
          <w:sz w:val="28"/>
          <w:szCs w:val="28"/>
        </w:rPr>
        <w:t>，</w:t>
      </w:r>
      <w:r>
        <w:rPr>
          <w:rFonts w:hint="eastAsia" w:ascii="仿宋" w:hAnsi="仿宋" w:eastAsia="仿宋" w:cs="楷体_GB2312"/>
          <w:sz w:val="28"/>
          <w:szCs w:val="28"/>
        </w:rPr>
        <w:t>省住房城乡建设厅在规定时间内对相关资金制定分配方案并向省财政厅申请提前下达</w:t>
      </w:r>
      <w:r>
        <w:rPr>
          <w:rFonts w:ascii="仿宋" w:hAnsi="仿宋" w:eastAsia="仿宋" w:cs="楷体_GB2312"/>
          <w:sz w:val="28"/>
          <w:szCs w:val="28"/>
        </w:rPr>
        <w:t>，</w:t>
      </w:r>
      <w:r>
        <w:rPr>
          <w:rFonts w:hint="eastAsia" w:ascii="仿宋" w:hAnsi="仿宋" w:eastAsia="仿宋" w:cs="楷体_GB2312"/>
          <w:sz w:val="28"/>
          <w:szCs w:val="28"/>
        </w:rPr>
        <w:t>省财政厅于</w:t>
      </w:r>
      <w:r>
        <w:rPr>
          <w:rFonts w:ascii="仿宋" w:hAnsi="仿宋" w:eastAsia="仿宋" w:cs="楷体_GB2312"/>
          <w:sz w:val="28"/>
          <w:szCs w:val="28"/>
        </w:rPr>
        <w:t>202</w:t>
      </w:r>
      <w:r>
        <w:rPr>
          <w:rFonts w:hint="eastAsia" w:ascii="仿宋" w:hAnsi="仿宋" w:eastAsia="仿宋" w:cs="楷体_GB2312"/>
          <w:sz w:val="28"/>
          <w:szCs w:val="28"/>
        </w:rPr>
        <w:t>2年</w:t>
      </w:r>
      <w:r>
        <w:rPr>
          <w:rFonts w:ascii="仿宋" w:hAnsi="仿宋" w:eastAsia="仿宋" w:cs="楷体_GB2312"/>
          <w:sz w:val="28"/>
          <w:szCs w:val="28"/>
        </w:rPr>
        <w:t>1</w:t>
      </w:r>
      <w:r>
        <w:rPr>
          <w:rFonts w:hint="eastAsia" w:ascii="仿宋" w:hAnsi="仿宋" w:eastAsia="仿宋" w:cs="楷体_GB2312"/>
          <w:sz w:val="28"/>
          <w:szCs w:val="28"/>
        </w:rPr>
        <w:t>1月09日</w:t>
      </w:r>
      <w:r>
        <w:rPr>
          <w:rFonts w:ascii="仿宋" w:hAnsi="仿宋" w:eastAsia="仿宋" w:cs="楷体_GB2312"/>
          <w:sz w:val="28"/>
          <w:szCs w:val="28"/>
        </w:rPr>
        <w:t>下达专项资金</w:t>
      </w:r>
      <w:r>
        <w:rPr>
          <w:rFonts w:hint="eastAsia" w:ascii="仿宋" w:hAnsi="仿宋" w:eastAsia="仿宋" w:cs="楷体_GB2312"/>
          <w:sz w:val="28"/>
          <w:szCs w:val="28"/>
        </w:rPr>
        <w:t>13.0707亿元</w:t>
      </w:r>
      <w:r>
        <w:rPr>
          <w:rFonts w:ascii="仿宋" w:hAnsi="仿宋" w:eastAsia="仿宋" w:cs="楷体_GB2312"/>
          <w:sz w:val="28"/>
          <w:szCs w:val="28"/>
        </w:rPr>
        <w:t>。</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资金下达合规性得分率为100%，本指标得分=1×100%=1分。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 xml:space="preserve">（3）财务管理合规性  </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该项指标反映部门财务管理的规范性情况。指标分值2分，评价得2分。经抽查</w:t>
      </w:r>
      <w:r>
        <w:rPr>
          <w:rFonts w:ascii="仿宋" w:hAnsi="仿宋" w:eastAsia="仿宋" w:cs="楷体_GB2312"/>
          <w:sz w:val="28"/>
          <w:szCs w:val="28"/>
        </w:rPr>
        <w:t>省住房城乡建设厅202</w:t>
      </w:r>
      <w:r>
        <w:rPr>
          <w:rFonts w:hint="eastAsia" w:ascii="仿宋" w:hAnsi="仿宋" w:eastAsia="仿宋" w:cs="楷体_GB2312"/>
          <w:sz w:val="28"/>
          <w:szCs w:val="28"/>
        </w:rPr>
        <w:t>3年度相关会计凭证，</w:t>
      </w:r>
      <w:r>
        <w:rPr>
          <w:rFonts w:ascii="仿宋" w:hAnsi="仿宋" w:eastAsia="仿宋" w:cs="楷体_GB2312"/>
          <w:sz w:val="28"/>
          <w:szCs w:val="28"/>
        </w:rPr>
        <w:t>省住房城乡建设厅</w:t>
      </w:r>
      <w:r>
        <w:rPr>
          <w:rFonts w:hint="eastAsia" w:ascii="仿宋" w:hAnsi="仿宋" w:eastAsia="仿宋" w:cs="楷体_GB2312"/>
          <w:sz w:val="28"/>
          <w:szCs w:val="28"/>
        </w:rPr>
        <w:t>财务工作规范</w:t>
      </w:r>
      <w:r>
        <w:rPr>
          <w:rFonts w:ascii="仿宋" w:hAnsi="仿宋" w:eastAsia="仿宋" w:cs="楷体_GB2312"/>
          <w:sz w:val="28"/>
          <w:szCs w:val="28"/>
        </w:rPr>
        <w:t>，</w:t>
      </w:r>
      <w:r>
        <w:rPr>
          <w:rFonts w:hint="eastAsia" w:ascii="仿宋" w:hAnsi="仿宋" w:eastAsia="仿宋" w:cs="楷体_GB2312"/>
          <w:sz w:val="28"/>
          <w:szCs w:val="28"/>
        </w:rPr>
        <w:t>支付范围、程序、用途、核算符合有关制度规定，资金收支情况体现清晰，财务报销手续齐全，未发现资金套取、冒领、挪用等情况。</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财务管理合规性得分率为100%，本指标得分=</w:t>
      </w:r>
      <w:r>
        <w:rPr>
          <w:rFonts w:ascii="仿宋" w:hAnsi="仿宋" w:eastAsia="仿宋" w:cs="楷体_GB2312"/>
          <w:sz w:val="28"/>
          <w:szCs w:val="28"/>
        </w:rPr>
        <w:t>2</w:t>
      </w:r>
      <w:r>
        <w:rPr>
          <w:rFonts w:hint="eastAsia" w:ascii="仿宋" w:hAnsi="仿宋" w:eastAsia="仿宋" w:cs="楷体_GB2312"/>
          <w:sz w:val="28"/>
          <w:szCs w:val="28"/>
        </w:rPr>
        <w:t>×100%=</w:t>
      </w:r>
      <w:r>
        <w:rPr>
          <w:rFonts w:ascii="仿宋" w:hAnsi="仿宋" w:eastAsia="仿宋" w:cs="楷体_GB2312"/>
          <w:sz w:val="28"/>
          <w:szCs w:val="28"/>
        </w:rPr>
        <w:t>2</w:t>
      </w:r>
      <w:r>
        <w:rPr>
          <w:rFonts w:hint="eastAsia" w:ascii="仿宋" w:hAnsi="仿宋" w:eastAsia="仿宋" w:cs="楷体_GB2312"/>
          <w:sz w:val="28"/>
          <w:szCs w:val="28"/>
        </w:rPr>
        <w:t>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3.信息公开</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该二级指标下设有“预决算公开合规性”“绩效信息公开情况”等2个三级指标。</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（1）预决算公开合规性</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该项指标反映部门预算决算公开执行到位情况。指标分值2分，评价得</w:t>
      </w:r>
      <w:r>
        <w:rPr>
          <w:rFonts w:ascii="仿宋" w:hAnsi="仿宋" w:eastAsia="仿宋" w:cs="楷体_GB2312"/>
          <w:sz w:val="28"/>
          <w:szCs w:val="28"/>
        </w:rPr>
        <w:t>2</w:t>
      </w:r>
      <w:r>
        <w:rPr>
          <w:rFonts w:hint="eastAsia" w:ascii="仿宋" w:hAnsi="仿宋" w:eastAsia="仿宋" w:cs="楷体_GB2312"/>
          <w:sz w:val="28"/>
          <w:szCs w:val="28"/>
        </w:rPr>
        <w:t>分。截止本自评报告完成日</w:t>
      </w:r>
      <w:r>
        <w:rPr>
          <w:rFonts w:ascii="仿宋" w:hAnsi="仿宋" w:eastAsia="仿宋" w:cs="楷体_GB2312"/>
          <w:sz w:val="28"/>
          <w:szCs w:val="28"/>
        </w:rPr>
        <w:t>，</w:t>
      </w:r>
      <w:r>
        <w:rPr>
          <w:rFonts w:hint="eastAsia" w:ascii="仿宋" w:hAnsi="仿宋" w:eastAsia="仿宋" w:cs="楷体_GB2312"/>
          <w:sz w:val="28"/>
          <w:szCs w:val="28"/>
        </w:rPr>
        <w:t>2023年度决算尚未通过省人大批复，未到公开的时间节点。因此本次仅对2023年部门预算公开情况进行评价，原对部门决算的评价分值，调整至对部门预算评价。根据</w:t>
      </w:r>
      <w:r>
        <w:rPr>
          <w:rFonts w:ascii="仿宋" w:hAnsi="仿宋" w:eastAsia="仿宋" w:cs="楷体_GB2312"/>
          <w:sz w:val="28"/>
          <w:szCs w:val="28"/>
        </w:rPr>
        <w:t>广东省住房和城乡建设厅</w:t>
      </w:r>
      <w:r>
        <w:rPr>
          <w:rFonts w:hint="eastAsia" w:ascii="仿宋" w:hAnsi="仿宋" w:eastAsia="仿宋" w:cs="楷体_GB2312"/>
          <w:sz w:val="28"/>
          <w:szCs w:val="28"/>
        </w:rPr>
        <w:t>网站信息公开公示公告板块显示</w:t>
      </w:r>
      <w:r>
        <w:rPr>
          <w:rFonts w:ascii="仿宋" w:hAnsi="仿宋" w:eastAsia="仿宋" w:cs="楷体_GB2312"/>
          <w:sz w:val="28"/>
          <w:szCs w:val="28"/>
        </w:rPr>
        <w:t>，省住房城乡建设厅</w:t>
      </w:r>
      <w:r>
        <w:rPr>
          <w:rFonts w:hint="eastAsia" w:ascii="仿宋" w:hAnsi="仿宋" w:eastAsia="仿宋" w:cs="楷体_GB2312"/>
          <w:sz w:val="28"/>
          <w:szCs w:val="28"/>
        </w:rPr>
        <w:t>于</w:t>
      </w:r>
      <w:r>
        <w:rPr>
          <w:rFonts w:ascii="仿宋" w:hAnsi="仿宋" w:eastAsia="仿宋" w:cs="楷体_GB2312"/>
          <w:sz w:val="28"/>
          <w:szCs w:val="28"/>
        </w:rPr>
        <w:t>202</w:t>
      </w:r>
      <w:r>
        <w:rPr>
          <w:rFonts w:hint="eastAsia" w:ascii="仿宋" w:hAnsi="仿宋" w:eastAsia="仿宋" w:cs="楷体_GB2312"/>
          <w:sz w:val="28"/>
          <w:szCs w:val="28"/>
        </w:rPr>
        <w:t>3年2月13日（预算批复后20日内）在部门门户网站上公开了</w:t>
      </w:r>
      <w:r>
        <w:rPr>
          <w:rFonts w:ascii="仿宋" w:hAnsi="仿宋" w:eastAsia="仿宋" w:cs="楷体_GB2312"/>
          <w:sz w:val="28"/>
          <w:szCs w:val="28"/>
        </w:rPr>
        <w:t>202</w:t>
      </w:r>
      <w:r>
        <w:rPr>
          <w:rFonts w:hint="eastAsia" w:ascii="仿宋" w:hAnsi="仿宋" w:eastAsia="仿宋" w:cs="楷体_GB2312"/>
          <w:sz w:val="28"/>
          <w:szCs w:val="28"/>
        </w:rPr>
        <w:t>3年度预算信息，包括12张报表和相关情况说明，预算公开完整</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预决算公开合规性得分率为</w:t>
      </w:r>
      <w:r>
        <w:rPr>
          <w:rFonts w:ascii="仿宋" w:hAnsi="仿宋" w:eastAsia="仿宋" w:cs="楷体_GB2312"/>
          <w:sz w:val="28"/>
          <w:szCs w:val="28"/>
        </w:rPr>
        <w:t>100</w:t>
      </w:r>
      <w:r>
        <w:rPr>
          <w:rFonts w:hint="eastAsia" w:ascii="仿宋" w:hAnsi="仿宋" w:eastAsia="仿宋" w:cs="楷体_GB2312"/>
          <w:sz w:val="28"/>
          <w:szCs w:val="28"/>
        </w:rPr>
        <w:t>%，本指标得分=2×</w:t>
      </w:r>
      <w:r>
        <w:rPr>
          <w:rFonts w:ascii="仿宋" w:hAnsi="仿宋" w:eastAsia="仿宋" w:cs="楷体_GB2312"/>
          <w:sz w:val="28"/>
          <w:szCs w:val="28"/>
        </w:rPr>
        <w:t>100</w:t>
      </w:r>
      <w:r>
        <w:rPr>
          <w:rFonts w:hint="eastAsia" w:ascii="仿宋" w:hAnsi="仿宋" w:eastAsia="仿宋" w:cs="楷体_GB2312"/>
          <w:sz w:val="28"/>
          <w:szCs w:val="28"/>
        </w:rPr>
        <w:t>%=</w:t>
      </w:r>
      <w:r>
        <w:rPr>
          <w:rFonts w:ascii="仿宋" w:hAnsi="仿宋" w:eastAsia="仿宋" w:cs="楷体_GB2312"/>
          <w:sz w:val="28"/>
          <w:szCs w:val="28"/>
        </w:rPr>
        <w:t>2</w:t>
      </w:r>
      <w:r>
        <w:rPr>
          <w:rFonts w:hint="eastAsia" w:ascii="仿宋" w:hAnsi="仿宋" w:eastAsia="仿宋" w:cs="楷体_GB2312"/>
          <w:sz w:val="28"/>
          <w:szCs w:val="28"/>
        </w:rPr>
        <w:t>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（2）绩效信息公开情况</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该项指标反映部门绩效信息公开执行到位情况。指标分值1分，评价得1分。根据</w:t>
      </w:r>
      <w:r>
        <w:rPr>
          <w:rFonts w:ascii="仿宋" w:hAnsi="仿宋" w:eastAsia="仿宋" w:cs="楷体_GB2312"/>
          <w:sz w:val="28"/>
          <w:szCs w:val="28"/>
        </w:rPr>
        <w:t>广东省住房和城乡建设厅</w:t>
      </w:r>
      <w:r>
        <w:rPr>
          <w:rFonts w:hint="eastAsia" w:ascii="仿宋" w:hAnsi="仿宋" w:eastAsia="仿宋" w:cs="楷体_GB2312"/>
          <w:sz w:val="28"/>
          <w:szCs w:val="28"/>
        </w:rPr>
        <w:t>网站信息公开公示公告板块显示</w:t>
      </w:r>
      <w:r>
        <w:rPr>
          <w:rFonts w:ascii="仿宋" w:hAnsi="仿宋" w:eastAsia="仿宋" w:cs="楷体_GB2312"/>
          <w:sz w:val="28"/>
          <w:szCs w:val="28"/>
        </w:rPr>
        <w:t>，省住房城乡建设厅</w:t>
      </w:r>
      <w:r>
        <w:rPr>
          <w:rFonts w:hint="eastAsia" w:ascii="仿宋" w:hAnsi="仿宋" w:eastAsia="仿宋" w:cs="楷体_GB2312"/>
          <w:sz w:val="28"/>
          <w:szCs w:val="28"/>
        </w:rPr>
        <w:t>于</w:t>
      </w:r>
      <w:r>
        <w:rPr>
          <w:rFonts w:ascii="仿宋" w:hAnsi="仿宋" w:eastAsia="仿宋" w:cs="楷体_GB2312"/>
          <w:sz w:val="28"/>
          <w:szCs w:val="28"/>
        </w:rPr>
        <w:t>2023</w:t>
      </w:r>
      <w:r>
        <w:rPr>
          <w:rFonts w:hint="eastAsia" w:ascii="仿宋" w:hAnsi="仿宋" w:eastAsia="仿宋" w:cs="楷体_GB2312"/>
          <w:sz w:val="28"/>
          <w:szCs w:val="28"/>
        </w:rPr>
        <w:t>年10月</w:t>
      </w:r>
      <w:r>
        <w:rPr>
          <w:rFonts w:ascii="仿宋" w:hAnsi="仿宋" w:eastAsia="仿宋" w:cs="楷体_GB2312"/>
          <w:sz w:val="28"/>
          <w:szCs w:val="28"/>
        </w:rPr>
        <w:t>18</w:t>
      </w:r>
      <w:r>
        <w:rPr>
          <w:rFonts w:hint="eastAsia" w:ascii="仿宋" w:hAnsi="仿宋" w:eastAsia="仿宋" w:cs="楷体_GB2312"/>
          <w:sz w:val="28"/>
          <w:szCs w:val="28"/>
        </w:rPr>
        <w:t>日发布</w:t>
      </w:r>
      <w:r>
        <w:rPr>
          <w:rFonts w:ascii="仿宋" w:hAnsi="仿宋" w:eastAsia="仿宋" w:cs="楷体_GB2312"/>
          <w:sz w:val="28"/>
          <w:szCs w:val="28"/>
        </w:rPr>
        <w:t>《</w:t>
      </w:r>
      <w:r>
        <w:rPr>
          <w:rFonts w:hint="eastAsia" w:ascii="仿宋" w:hAnsi="仿宋" w:eastAsia="仿宋" w:cs="楷体_GB2312"/>
          <w:sz w:val="28"/>
          <w:szCs w:val="28"/>
        </w:rPr>
        <w:t>广东省住房和城乡建设厅2023年省级财政资金绩效自评报告公开通告</w:t>
      </w:r>
      <w:r>
        <w:rPr>
          <w:rFonts w:ascii="仿宋" w:hAnsi="仿宋" w:eastAsia="仿宋" w:cs="楷体_GB2312"/>
          <w:sz w:val="28"/>
          <w:szCs w:val="28"/>
        </w:rPr>
        <w:t>》</w:t>
      </w:r>
      <w:r>
        <w:rPr>
          <w:rFonts w:hint="eastAsia" w:ascii="仿宋" w:hAnsi="仿宋" w:eastAsia="仿宋" w:cs="楷体_GB2312"/>
          <w:sz w:val="28"/>
          <w:szCs w:val="28"/>
        </w:rPr>
        <w:t>，其中将</w:t>
      </w:r>
      <w:r>
        <w:rPr>
          <w:rFonts w:ascii="仿宋" w:hAnsi="仿宋" w:eastAsia="仿宋" w:cs="楷体_GB2312"/>
          <w:sz w:val="28"/>
          <w:szCs w:val="28"/>
        </w:rPr>
        <w:t>202</w:t>
      </w:r>
      <w:r>
        <w:rPr>
          <w:rFonts w:hint="eastAsia" w:ascii="仿宋" w:hAnsi="仿宋" w:eastAsia="仿宋" w:cs="楷体_GB2312"/>
          <w:sz w:val="28"/>
          <w:szCs w:val="28"/>
        </w:rPr>
        <w:t>2年度部门整体支出绩效自评结果进行公示。</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绩效信息公开情况得分率为100%，本指标得分=1×100%=1分。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4.绩效管理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该二级指标下设有“绩效管理制度建设”“绩效结果应用”及“绩效管理制度执行”等3个三级指标。</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（1）绩效管理制度建设</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该项指标反映部门对机关和下属单位、专项资金等绩效目标管理、绩效运行监控、绩效评价管理和评价结果应用等预算绩效管理制度的建设和执行情况。指标分值5分，评价得5分。</w:t>
      </w:r>
      <w:r>
        <w:rPr>
          <w:rFonts w:ascii="仿宋" w:hAnsi="仿宋" w:eastAsia="仿宋" w:cs="楷体_GB2312"/>
          <w:sz w:val="28"/>
          <w:szCs w:val="28"/>
        </w:rPr>
        <w:t>省住房城乡建设厅</w:t>
      </w:r>
      <w:r>
        <w:rPr>
          <w:rFonts w:hint="eastAsia" w:ascii="仿宋" w:hAnsi="仿宋" w:eastAsia="仿宋" w:cs="楷体_GB2312"/>
          <w:sz w:val="28"/>
          <w:szCs w:val="28"/>
        </w:rPr>
        <w:t>在绩效管理制度建设方面制定了《</w:t>
      </w:r>
      <w:r>
        <w:rPr>
          <w:rFonts w:ascii="仿宋" w:hAnsi="仿宋" w:eastAsia="仿宋" w:cs="楷体_GB2312"/>
          <w:sz w:val="28"/>
          <w:szCs w:val="28"/>
        </w:rPr>
        <w:t>广东省住房和城乡建设厅</w:t>
      </w:r>
      <w:r>
        <w:rPr>
          <w:rFonts w:hint="eastAsia" w:ascii="仿宋" w:hAnsi="仿宋" w:eastAsia="仿宋" w:cs="楷体_GB2312"/>
          <w:sz w:val="28"/>
          <w:szCs w:val="28"/>
        </w:rPr>
        <w:t>预算绩效管理办法》和《</w:t>
      </w:r>
      <w:r>
        <w:rPr>
          <w:rFonts w:ascii="仿宋" w:hAnsi="仿宋" w:eastAsia="仿宋" w:cs="楷体_GB2312"/>
          <w:sz w:val="28"/>
          <w:szCs w:val="28"/>
        </w:rPr>
        <w:t>广东省住房和城乡建设厅</w:t>
      </w:r>
      <w:r>
        <w:rPr>
          <w:rFonts w:hint="eastAsia" w:ascii="仿宋" w:hAnsi="仿宋" w:eastAsia="仿宋" w:cs="楷体_GB2312"/>
          <w:sz w:val="28"/>
          <w:szCs w:val="28"/>
        </w:rPr>
        <w:t>省级财政预算绩效目标管理办法》，对机关和下属单位、专项资金等绩效目标管理、绩效运行监控、绩效评价管理和评价结果应用等预算绩效管理制度的建设和执行情况进行监督管理。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绩效管理制度建设得分率为100%，本指标得分=5×100%=5分。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（2）绩效结果应用</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该项指标反映部门对监控预警结果处理、绩效自评结果和重点评价意见等的整改应用情况。指标分值3分，评价得3分。</w:t>
      </w:r>
      <w:r>
        <w:rPr>
          <w:rFonts w:ascii="仿宋" w:hAnsi="仿宋" w:eastAsia="仿宋" w:cs="楷体_GB2312"/>
          <w:sz w:val="28"/>
          <w:szCs w:val="28"/>
        </w:rPr>
        <w:t>202</w:t>
      </w:r>
      <w:r>
        <w:rPr>
          <w:rFonts w:hint="eastAsia" w:ascii="仿宋" w:hAnsi="仿宋" w:eastAsia="仿宋" w:cs="楷体_GB2312"/>
          <w:sz w:val="28"/>
          <w:szCs w:val="28"/>
        </w:rPr>
        <w:t>3年</w:t>
      </w:r>
      <w:r>
        <w:rPr>
          <w:rFonts w:ascii="仿宋" w:hAnsi="仿宋" w:eastAsia="仿宋" w:cs="楷体_GB2312"/>
          <w:sz w:val="28"/>
          <w:szCs w:val="28"/>
        </w:rPr>
        <w:t>省住房城乡建设厅</w:t>
      </w:r>
      <w:r>
        <w:rPr>
          <w:rFonts w:hint="eastAsia" w:ascii="仿宋" w:hAnsi="仿宋" w:eastAsia="仿宋" w:cs="楷体_GB2312"/>
          <w:sz w:val="28"/>
          <w:szCs w:val="28"/>
        </w:rPr>
        <w:t>先后开展部门整体支出绩效自评以及7项专项资金绩效自评的绩效评价工作，过程符合</w:t>
      </w:r>
      <w:r>
        <w:rPr>
          <w:rFonts w:ascii="仿宋" w:hAnsi="仿宋" w:eastAsia="仿宋" w:cs="楷体_GB2312"/>
          <w:sz w:val="28"/>
          <w:szCs w:val="28"/>
        </w:rPr>
        <w:t>《</w:t>
      </w:r>
      <w:r>
        <w:rPr>
          <w:rFonts w:hint="eastAsia" w:ascii="仿宋" w:hAnsi="仿宋" w:eastAsia="仿宋" w:cs="楷体_GB2312"/>
          <w:sz w:val="28"/>
          <w:szCs w:val="28"/>
        </w:rPr>
        <w:t>中共中央 国务院关于全面实施预算绩效管理的意见</w:t>
      </w:r>
      <w:r>
        <w:rPr>
          <w:rFonts w:ascii="仿宋" w:hAnsi="仿宋" w:eastAsia="仿宋" w:cs="楷体_GB2312"/>
          <w:sz w:val="28"/>
          <w:szCs w:val="28"/>
        </w:rPr>
        <w:t>》（</w:t>
      </w:r>
      <w:r>
        <w:rPr>
          <w:rFonts w:hint="eastAsia" w:ascii="仿宋" w:hAnsi="仿宋" w:eastAsia="仿宋" w:cs="楷体_GB2312"/>
          <w:sz w:val="28"/>
          <w:szCs w:val="28"/>
        </w:rPr>
        <w:t>中发〔20</w:t>
      </w:r>
      <w:r>
        <w:rPr>
          <w:rFonts w:ascii="仿宋" w:hAnsi="仿宋" w:eastAsia="仿宋" w:cs="楷体_GB2312"/>
          <w:sz w:val="28"/>
          <w:szCs w:val="28"/>
        </w:rPr>
        <w:t>18</w:t>
      </w:r>
      <w:r>
        <w:rPr>
          <w:rFonts w:hint="eastAsia" w:ascii="仿宋" w:hAnsi="仿宋" w:eastAsia="仿宋" w:cs="楷体_GB2312"/>
          <w:sz w:val="28"/>
          <w:szCs w:val="28"/>
        </w:rPr>
        <w:t>〕34号</w:t>
      </w:r>
      <w:r>
        <w:rPr>
          <w:rFonts w:ascii="仿宋" w:hAnsi="仿宋" w:eastAsia="仿宋" w:cs="楷体_GB2312"/>
          <w:sz w:val="28"/>
          <w:szCs w:val="28"/>
        </w:rPr>
        <w:t>）、</w:t>
      </w:r>
      <w:r>
        <w:rPr>
          <w:rFonts w:hint="eastAsia" w:ascii="仿宋" w:hAnsi="仿宋" w:eastAsia="仿宋" w:cs="楷体_GB2312"/>
          <w:sz w:val="28"/>
          <w:szCs w:val="28"/>
        </w:rPr>
        <w:t>《中共广东省委广东省人民政府关于全面实施预算绩效管理的若干意见》（粤发〔2019〕5 号</w:t>
      </w:r>
      <w:r>
        <w:rPr>
          <w:rFonts w:ascii="仿宋" w:hAnsi="仿宋" w:eastAsia="仿宋" w:cs="楷体_GB2312"/>
          <w:sz w:val="28"/>
          <w:szCs w:val="28"/>
        </w:rPr>
        <w:t>）</w:t>
      </w:r>
      <w:r>
        <w:rPr>
          <w:rFonts w:hint="eastAsia" w:ascii="仿宋" w:hAnsi="仿宋" w:eastAsia="仿宋" w:cs="楷体_GB2312"/>
          <w:sz w:val="28"/>
          <w:szCs w:val="28"/>
        </w:rPr>
        <w:t>以及本单位绩效管理内部控制制度等文件的要求</w:t>
      </w:r>
      <w:r>
        <w:rPr>
          <w:rFonts w:ascii="仿宋" w:hAnsi="仿宋" w:eastAsia="仿宋" w:cs="楷体_GB2312"/>
          <w:sz w:val="28"/>
          <w:szCs w:val="28"/>
        </w:rPr>
        <w:t>，</w:t>
      </w:r>
      <w:r>
        <w:rPr>
          <w:rFonts w:hint="eastAsia" w:ascii="仿宋" w:hAnsi="仿宋" w:eastAsia="仿宋" w:cs="楷体_GB2312"/>
          <w:sz w:val="28"/>
          <w:szCs w:val="28"/>
        </w:rPr>
        <w:t>未发生监控预警提醒。</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绩效结果应用得分率为100%，本指标得分=3×100%=3分。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（3）绩效管理制度执行</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该项指标反映部门对机关和下属单位、专项资金等绩效目标管理、绩效运行监控、绩效评价管理和评价结果应用等预算绩效管理制度的建设和执行情况。指标分值7分，评价得6.96分。</w:t>
      </w:r>
      <w:r>
        <w:rPr>
          <w:rFonts w:ascii="仿宋" w:hAnsi="仿宋" w:eastAsia="仿宋" w:cs="楷体_GB2312"/>
          <w:sz w:val="28"/>
          <w:szCs w:val="28"/>
        </w:rPr>
        <w:t>202</w:t>
      </w:r>
      <w:r>
        <w:rPr>
          <w:rFonts w:hint="eastAsia" w:ascii="仿宋" w:hAnsi="仿宋" w:eastAsia="仿宋" w:cs="楷体_GB2312"/>
          <w:sz w:val="28"/>
          <w:szCs w:val="28"/>
        </w:rPr>
        <w:t>3年省级部门整体预算绩效目标共37项</w:t>
      </w:r>
      <w:r>
        <w:rPr>
          <w:rFonts w:ascii="仿宋" w:hAnsi="仿宋" w:eastAsia="仿宋" w:cs="楷体_GB2312"/>
          <w:sz w:val="28"/>
          <w:szCs w:val="28"/>
        </w:rPr>
        <w:t>，</w:t>
      </w:r>
      <w:r>
        <w:rPr>
          <w:rFonts w:hint="eastAsia" w:ascii="仿宋" w:hAnsi="仿宋" w:eastAsia="仿宋" w:cs="楷体_GB2312"/>
          <w:sz w:val="28"/>
          <w:szCs w:val="28"/>
        </w:rPr>
        <w:t>平均指标完成率99.43%。</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绩效管理制度执行得分=7×99.43%=6.96分。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5.采购管理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该二级指标下设有“采购意向公开合规性”“采购内控制度建设”“采购活动合规性”“采购合同签订时效性”“合同备案时效性”“采购政策效能”等</w:t>
      </w:r>
      <w:r>
        <w:rPr>
          <w:rFonts w:ascii="仿宋" w:hAnsi="仿宋" w:eastAsia="仿宋" w:cs="楷体_GB2312"/>
          <w:sz w:val="28"/>
          <w:szCs w:val="28"/>
        </w:rPr>
        <w:t>6</w:t>
      </w:r>
      <w:r>
        <w:rPr>
          <w:rFonts w:hint="eastAsia" w:ascii="仿宋" w:hAnsi="仿宋" w:eastAsia="仿宋" w:cs="楷体_GB2312"/>
          <w:sz w:val="28"/>
          <w:szCs w:val="28"/>
        </w:rPr>
        <w:t>个三级指标。</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（1）采购意向公开合规性</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该项指标反映部门采购意向公开完整性、及时性情况。指标分值</w:t>
      </w:r>
      <w:r>
        <w:rPr>
          <w:rFonts w:ascii="仿宋" w:hAnsi="仿宋" w:eastAsia="仿宋" w:cs="楷体_GB2312"/>
          <w:sz w:val="28"/>
          <w:szCs w:val="28"/>
        </w:rPr>
        <w:t>2</w:t>
      </w:r>
      <w:r>
        <w:rPr>
          <w:rFonts w:hint="eastAsia" w:ascii="仿宋" w:hAnsi="仿宋" w:eastAsia="仿宋" w:cs="楷体_GB2312"/>
          <w:sz w:val="28"/>
          <w:szCs w:val="28"/>
        </w:rPr>
        <w:t>分，评价得2分。根据广东省政府采购网公开信息显示，</w:t>
      </w:r>
      <w:r>
        <w:rPr>
          <w:rFonts w:ascii="仿宋" w:hAnsi="仿宋" w:eastAsia="仿宋" w:cs="楷体_GB2312"/>
          <w:sz w:val="28"/>
          <w:szCs w:val="28"/>
        </w:rPr>
        <w:t>省住房城乡建设厅</w:t>
      </w:r>
      <w:r>
        <w:rPr>
          <w:rFonts w:hint="eastAsia" w:ascii="仿宋" w:hAnsi="仿宋" w:eastAsia="仿宋" w:cs="楷体_GB2312"/>
          <w:sz w:val="28"/>
          <w:szCs w:val="28"/>
        </w:rPr>
        <w:t>能够按《财政部关于开展政府采购意向公开工作的通知》（财库〔2020〕10号）等有关规定</w:t>
      </w:r>
      <w:r>
        <w:rPr>
          <w:rFonts w:ascii="仿宋" w:hAnsi="仿宋" w:eastAsia="仿宋" w:cs="楷体_GB2312"/>
          <w:sz w:val="28"/>
          <w:szCs w:val="28"/>
        </w:rPr>
        <w:t>，</w:t>
      </w:r>
      <w:r>
        <w:rPr>
          <w:rFonts w:hint="eastAsia" w:ascii="仿宋" w:hAnsi="仿宋" w:eastAsia="仿宋" w:cs="楷体_GB2312"/>
          <w:sz w:val="28"/>
          <w:szCs w:val="28"/>
        </w:rPr>
        <w:t>及时在政府采购网公开采购意向。</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采购合规性得分率为</w:t>
      </w:r>
      <w:r>
        <w:rPr>
          <w:rFonts w:ascii="仿宋" w:hAnsi="仿宋" w:eastAsia="仿宋" w:cs="楷体_GB2312"/>
          <w:sz w:val="28"/>
          <w:szCs w:val="28"/>
        </w:rPr>
        <w:t>100</w:t>
      </w:r>
      <w:r>
        <w:rPr>
          <w:rFonts w:hint="eastAsia" w:ascii="仿宋" w:hAnsi="仿宋" w:eastAsia="仿宋" w:cs="楷体_GB2312"/>
          <w:sz w:val="28"/>
          <w:szCs w:val="28"/>
        </w:rPr>
        <w:t>%，本指标得分=</w:t>
      </w:r>
      <w:r>
        <w:rPr>
          <w:rFonts w:ascii="仿宋" w:hAnsi="仿宋" w:eastAsia="仿宋" w:cs="楷体_GB2312"/>
          <w:sz w:val="28"/>
          <w:szCs w:val="28"/>
        </w:rPr>
        <w:t>2</w:t>
      </w:r>
      <w:r>
        <w:rPr>
          <w:rFonts w:hint="eastAsia" w:ascii="仿宋" w:hAnsi="仿宋" w:eastAsia="仿宋" w:cs="楷体_GB2312"/>
          <w:sz w:val="28"/>
          <w:szCs w:val="28"/>
        </w:rPr>
        <w:t>×</w:t>
      </w:r>
      <w:r>
        <w:rPr>
          <w:rFonts w:ascii="仿宋" w:hAnsi="仿宋" w:eastAsia="仿宋" w:cs="楷体_GB2312"/>
          <w:sz w:val="28"/>
          <w:szCs w:val="28"/>
        </w:rPr>
        <w:t>100</w:t>
      </w:r>
      <w:r>
        <w:rPr>
          <w:rFonts w:hint="eastAsia" w:ascii="仿宋" w:hAnsi="仿宋" w:eastAsia="仿宋" w:cs="楷体_GB2312"/>
          <w:sz w:val="28"/>
          <w:szCs w:val="28"/>
        </w:rPr>
        <w:t>%=2分。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（2）采购内控制度建设</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该项指标反映部门政府建立采购内部控制管理制度。指标分值</w:t>
      </w:r>
      <w:r>
        <w:rPr>
          <w:rFonts w:ascii="仿宋" w:hAnsi="仿宋" w:eastAsia="仿宋" w:cs="楷体_GB2312"/>
          <w:sz w:val="28"/>
          <w:szCs w:val="28"/>
        </w:rPr>
        <w:t>1</w:t>
      </w:r>
      <w:r>
        <w:rPr>
          <w:rFonts w:hint="eastAsia" w:ascii="仿宋" w:hAnsi="仿宋" w:eastAsia="仿宋" w:cs="楷体_GB2312"/>
          <w:sz w:val="28"/>
          <w:szCs w:val="28"/>
        </w:rPr>
        <w:t>分，评价得1分。根据</w:t>
      </w:r>
      <w:r>
        <w:rPr>
          <w:rFonts w:ascii="仿宋" w:hAnsi="仿宋" w:eastAsia="仿宋" w:cs="楷体_GB2312"/>
          <w:sz w:val="28"/>
          <w:szCs w:val="28"/>
        </w:rPr>
        <w:t>《广东省住房和城乡建设厅</w:t>
      </w:r>
      <w:r>
        <w:rPr>
          <w:rFonts w:hint="eastAsia" w:ascii="仿宋" w:hAnsi="仿宋" w:eastAsia="仿宋" w:cs="楷体_GB2312"/>
          <w:sz w:val="28"/>
          <w:szCs w:val="28"/>
        </w:rPr>
        <w:t>关于印发</w:t>
      </w:r>
      <w:r>
        <w:rPr>
          <w:rFonts w:ascii="仿宋" w:hAnsi="仿宋" w:eastAsia="仿宋" w:cs="楷体_GB2312"/>
          <w:sz w:val="28"/>
          <w:szCs w:val="28"/>
        </w:rPr>
        <w:t>&lt;广东省住房和城乡建设厅</w:t>
      </w:r>
      <w:r>
        <w:rPr>
          <w:rFonts w:hint="eastAsia" w:ascii="仿宋" w:hAnsi="仿宋" w:eastAsia="仿宋" w:cs="楷体_GB2312"/>
          <w:sz w:val="28"/>
          <w:szCs w:val="28"/>
        </w:rPr>
        <w:t>机关政府采购管理办法（2020年修订）</w:t>
      </w:r>
      <w:r>
        <w:rPr>
          <w:rFonts w:ascii="仿宋" w:hAnsi="仿宋" w:eastAsia="仿宋" w:cs="楷体_GB2312"/>
          <w:sz w:val="28"/>
          <w:szCs w:val="28"/>
        </w:rPr>
        <w:t>&gt;</w:t>
      </w:r>
      <w:r>
        <w:rPr>
          <w:rFonts w:hint="eastAsia" w:ascii="仿宋" w:hAnsi="仿宋" w:eastAsia="仿宋" w:cs="楷体_GB2312"/>
          <w:sz w:val="28"/>
          <w:szCs w:val="28"/>
        </w:rPr>
        <w:t>的通知</w:t>
      </w:r>
      <w:r>
        <w:rPr>
          <w:rFonts w:ascii="仿宋" w:hAnsi="仿宋" w:eastAsia="仿宋" w:cs="楷体_GB2312"/>
          <w:sz w:val="28"/>
          <w:szCs w:val="28"/>
        </w:rPr>
        <w:t>》</w:t>
      </w:r>
      <w:r>
        <w:rPr>
          <w:rFonts w:hint="eastAsia" w:ascii="仿宋" w:hAnsi="仿宋" w:eastAsia="仿宋" w:cs="楷体_GB2312"/>
          <w:sz w:val="28"/>
          <w:szCs w:val="28"/>
        </w:rPr>
        <w:t>（粤建计〔2020〕152号），</w:t>
      </w:r>
      <w:r>
        <w:rPr>
          <w:rFonts w:ascii="仿宋" w:hAnsi="仿宋" w:eastAsia="仿宋" w:cs="楷体_GB2312"/>
          <w:sz w:val="28"/>
          <w:szCs w:val="28"/>
        </w:rPr>
        <w:t>省住房城乡建设厅</w:t>
      </w:r>
      <w:r>
        <w:rPr>
          <w:rFonts w:hint="eastAsia" w:ascii="仿宋" w:hAnsi="仿宋" w:eastAsia="仿宋" w:cs="楷体_GB2312"/>
          <w:sz w:val="28"/>
          <w:szCs w:val="28"/>
        </w:rPr>
        <w:t>建立了完善的采购内部控制制度。</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采购内控制度建设得分率为100%，本指标得分=</w:t>
      </w:r>
      <w:r>
        <w:rPr>
          <w:rFonts w:ascii="仿宋" w:hAnsi="仿宋" w:eastAsia="仿宋" w:cs="楷体_GB2312"/>
          <w:sz w:val="28"/>
          <w:szCs w:val="28"/>
        </w:rPr>
        <w:t>1</w:t>
      </w:r>
      <w:r>
        <w:rPr>
          <w:rFonts w:hint="eastAsia" w:ascii="仿宋" w:hAnsi="仿宋" w:eastAsia="仿宋" w:cs="楷体_GB2312"/>
          <w:sz w:val="28"/>
          <w:szCs w:val="28"/>
        </w:rPr>
        <w:t>×100%=</w:t>
      </w:r>
      <w:r>
        <w:rPr>
          <w:rFonts w:ascii="仿宋" w:hAnsi="仿宋" w:eastAsia="仿宋" w:cs="楷体_GB2312"/>
          <w:sz w:val="28"/>
          <w:szCs w:val="28"/>
        </w:rPr>
        <w:t>1</w:t>
      </w:r>
      <w:r>
        <w:rPr>
          <w:rFonts w:hint="eastAsia" w:ascii="仿宋" w:hAnsi="仿宋" w:eastAsia="仿宋" w:cs="楷体_GB2312"/>
          <w:sz w:val="28"/>
          <w:szCs w:val="28"/>
        </w:rPr>
        <w:t>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w:t>
      </w:r>
      <w:r>
        <w:rPr>
          <w:rFonts w:ascii="仿宋" w:hAnsi="仿宋" w:eastAsia="仿宋" w:cs="楷体_GB2312"/>
          <w:sz w:val="28"/>
          <w:szCs w:val="28"/>
        </w:rPr>
        <w:t>3</w:t>
      </w:r>
      <w:r>
        <w:rPr>
          <w:rFonts w:hint="eastAsia" w:ascii="仿宋" w:hAnsi="仿宋" w:eastAsia="仿宋" w:cs="楷体_GB2312"/>
          <w:sz w:val="28"/>
          <w:szCs w:val="28"/>
        </w:rPr>
        <w:t>）采购活动合规性</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该指标反映部门政府采购活动合法合规性情况。指标分值2分，评价得2分。</w:t>
      </w:r>
      <w:r>
        <w:rPr>
          <w:rFonts w:ascii="仿宋" w:hAnsi="仿宋" w:eastAsia="仿宋" w:cs="楷体_GB2312"/>
          <w:sz w:val="28"/>
          <w:szCs w:val="28"/>
        </w:rPr>
        <w:t>省住房城乡建设厅202</w:t>
      </w:r>
      <w:r>
        <w:rPr>
          <w:rFonts w:hint="eastAsia" w:ascii="仿宋" w:hAnsi="仿宋" w:eastAsia="仿宋" w:cs="楷体_GB2312"/>
          <w:sz w:val="28"/>
          <w:szCs w:val="28"/>
        </w:rPr>
        <w:t>3年度能按照</w:t>
      </w:r>
      <w:r>
        <w:rPr>
          <w:rFonts w:ascii="仿宋" w:hAnsi="仿宋" w:eastAsia="仿宋" w:cs="楷体_GB2312"/>
          <w:sz w:val="28"/>
          <w:szCs w:val="28"/>
        </w:rPr>
        <w:t>《</w:t>
      </w:r>
      <w:r>
        <w:rPr>
          <w:rFonts w:hint="eastAsia" w:ascii="仿宋" w:hAnsi="仿宋" w:eastAsia="仿宋" w:cs="楷体_GB2312"/>
          <w:sz w:val="28"/>
          <w:szCs w:val="28"/>
        </w:rPr>
        <w:t>中华人民共和国政府采购法</w:t>
      </w:r>
      <w:r>
        <w:rPr>
          <w:rFonts w:ascii="仿宋" w:hAnsi="仿宋" w:eastAsia="仿宋" w:cs="楷体_GB2312"/>
          <w:sz w:val="28"/>
          <w:szCs w:val="28"/>
        </w:rPr>
        <w:t>》、《</w:t>
      </w:r>
      <w:r>
        <w:rPr>
          <w:rFonts w:hint="eastAsia" w:ascii="仿宋" w:hAnsi="仿宋" w:eastAsia="仿宋" w:cs="楷体_GB2312"/>
          <w:sz w:val="28"/>
          <w:szCs w:val="28"/>
        </w:rPr>
        <w:t>中华人民共和国政府采购</w:t>
      </w:r>
      <w:r>
        <w:rPr>
          <w:rFonts w:hint="eastAsia" w:ascii="仿宋" w:hAnsi="仿宋" w:eastAsia="仿宋" w:cs="楷体_GB2312"/>
          <w:sz w:val="28"/>
          <w:szCs w:val="28"/>
          <w:lang w:eastAsia="zh-CN"/>
        </w:rPr>
        <w:t>法</w:t>
      </w:r>
      <w:r>
        <w:rPr>
          <w:rFonts w:hint="eastAsia" w:ascii="仿宋" w:hAnsi="仿宋" w:eastAsia="仿宋" w:cs="楷体_GB2312"/>
          <w:sz w:val="28"/>
          <w:szCs w:val="28"/>
        </w:rPr>
        <w:t>实施条例</w:t>
      </w:r>
      <w:r>
        <w:rPr>
          <w:rFonts w:ascii="仿宋" w:hAnsi="仿宋" w:eastAsia="仿宋" w:cs="楷体_GB2312"/>
          <w:sz w:val="28"/>
          <w:szCs w:val="28"/>
        </w:rPr>
        <w:t>》、《</w:t>
      </w:r>
      <w:r>
        <w:rPr>
          <w:rFonts w:hint="eastAsia" w:ascii="仿宋" w:hAnsi="仿宋" w:eastAsia="仿宋" w:cs="楷体_GB2312"/>
          <w:sz w:val="28"/>
          <w:szCs w:val="28"/>
        </w:rPr>
        <w:t>广东省财政厅关于印发</w:t>
      </w:r>
      <w:r>
        <w:rPr>
          <w:rFonts w:ascii="仿宋" w:hAnsi="仿宋" w:eastAsia="仿宋" w:cs="楷体_GB2312"/>
          <w:sz w:val="28"/>
          <w:szCs w:val="28"/>
        </w:rPr>
        <w:t>&lt;</w:t>
      </w:r>
      <w:r>
        <w:rPr>
          <w:rFonts w:hint="eastAsia" w:ascii="仿宋" w:hAnsi="仿宋" w:eastAsia="仿宋" w:cs="楷体_GB2312"/>
          <w:sz w:val="28"/>
          <w:szCs w:val="28"/>
        </w:rPr>
        <w:t>省级集中采购机构采购项目实施规范</w:t>
      </w:r>
      <w:r>
        <w:rPr>
          <w:rFonts w:ascii="仿宋" w:hAnsi="仿宋" w:eastAsia="仿宋" w:cs="楷体_GB2312"/>
          <w:sz w:val="28"/>
          <w:szCs w:val="28"/>
        </w:rPr>
        <w:t>&gt;</w:t>
      </w:r>
      <w:r>
        <w:rPr>
          <w:rFonts w:hint="eastAsia" w:ascii="仿宋" w:hAnsi="仿宋" w:eastAsia="仿宋" w:cs="楷体_GB2312"/>
          <w:sz w:val="28"/>
          <w:szCs w:val="28"/>
        </w:rPr>
        <w:t>的通知》以及本单位采购内部控制制度等文件要求规范采购行为</w:t>
      </w:r>
      <w:r>
        <w:rPr>
          <w:rFonts w:ascii="仿宋" w:hAnsi="仿宋" w:eastAsia="仿宋" w:cs="楷体_GB2312"/>
          <w:sz w:val="28"/>
          <w:szCs w:val="28"/>
        </w:rPr>
        <w:t>，</w:t>
      </w:r>
      <w:r>
        <w:rPr>
          <w:rFonts w:hint="eastAsia" w:ascii="仿宋" w:hAnsi="仿宋" w:eastAsia="仿宋" w:cs="楷体_GB2312"/>
          <w:sz w:val="28"/>
          <w:szCs w:val="28"/>
        </w:rPr>
        <w:t>采购活动未发生投诉事项。</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采购活动合规性得分率为100%，本指标得分=</w:t>
      </w:r>
      <w:r>
        <w:rPr>
          <w:rFonts w:ascii="仿宋" w:hAnsi="仿宋" w:eastAsia="仿宋" w:cs="楷体_GB2312"/>
          <w:sz w:val="28"/>
          <w:szCs w:val="28"/>
        </w:rPr>
        <w:t>2</w:t>
      </w:r>
      <w:r>
        <w:rPr>
          <w:rFonts w:hint="eastAsia" w:ascii="仿宋" w:hAnsi="仿宋" w:eastAsia="仿宋" w:cs="楷体_GB2312"/>
          <w:sz w:val="28"/>
          <w:szCs w:val="28"/>
        </w:rPr>
        <w:t>×100%=</w:t>
      </w:r>
      <w:r>
        <w:rPr>
          <w:rFonts w:ascii="仿宋" w:hAnsi="仿宋" w:eastAsia="仿宋" w:cs="楷体_GB2312"/>
          <w:sz w:val="28"/>
          <w:szCs w:val="28"/>
        </w:rPr>
        <w:t>2</w:t>
      </w:r>
      <w:r>
        <w:rPr>
          <w:rFonts w:hint="eastAsia" w:ascii="仿宋" w:hAnsi="仿宋" w:eastAsia="仿宋" w:cs="楷体_GB2312"/>
          <w:sz w:val="28"/>
          <w:szCs w:val="28"/>
        </w:rPr>
        <w:t>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w:t>
      </w:r>
      <w:r>
        <w:rPr>
          <w:rFonts w:ascii="仿宋" w:hAnsi="仿宋" w:eastAsia="仿宋" w:cs="楷体_GB2312"/>
          <w:sz w:val="28"/>
          <w:szCs w:val="28"/>
        </w:rPr>
        <w:t>4</w:t>
      </w:r>
      <w:r>
        <w:rPr>
          <w:rFonts w:hint="eastAsia" w:ascii="仿宋" w:hAnsi="仿宋" w:eastAsia="仿宋" w:cs="楷体_GB2312"/>
          <w:sz w:val="28"/>
          <w:szCs w:val="28"/>
        </w:rPr>
        <w:t>）采购活动签订时效性</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该指标反映政府采购合同签订及时性情况，指标分值</w:t>
      </w:r>
      <w:r>
        <w:rPr>
          <w:rFonts w:ascii="仿宋" w:hAnsi="仿宋" w:eastAsia="仿宋" w:cs="楷体_GB2312"/>
          <w:sz w:val="28"/>
          <w:szCs w:val="28"/>
        </w:rPr>
        <w:t>3</w:t>
      </w:r>
      <w:r>
        <w:rPr>
          <w:rFonts w:hint="eastAsia" w:ascii="仿宋" w:hAnsi="仿宋" w:eastAsia="仿宋" w:cs="楷体_GB2312"/>
          <w:sz w:val="28"/>
          <w:szCs w:val="28"/>
        </w:rPr>
        <w:t>分，评价得</w:t>
      </w:r>
      <w:r>
        <w:rPr>
          <w:rFonts w:ascii="仿宋" w:hAnsi="仿宋" w:eastAsia="仿宋" w:cs="楷体_GB2312"/>
          <w:sz w:val="28"/>
          <w:szCs w:val="28"/>
        </w:rPr>
        <w:t>3</w:t>
      </w:r>
      <w:r>
        <w:rPr>
          <w:rFonts w:hint="eastAsia" w:ascii="仿宋" w:hAnsi="仿宋" w:eastAsia="仿宋" w:cs="楷体_GB2312"/>
          <w:sz w:val="28"/>
          <w:szCs w:val="28"/>
        </w:rPr>
        <w:t>分。随机抽取</w:t>
      </w:r>
      <w:r>
        <w:rPr>
          <w:rFonts w:ascii="仿宋" w:hAnsi="仿宋" w:eastAsia="仿宋" w:cs="楷体_GB2312"/>
          <w:sz w:val="28"/>
          <w:szCs w:val="28"/>
        </w:rPr>
        <w:t>14</w:t>
      </w:r>
      <w:r>
        <w:rPr>
          <w:rFonts w:hint="eastAsia" w:ascii="仿宋" w:hAnsi="仿宋" w:eastAsia="仿宋" w:cs="楷体_GB2312"/>
          <w:sz w:val="28"/>
          <w:szCs w:val="28"/>
        </w:rPr>
        <w:t>份</w:t>
      </w:r>
      <w:r>
        <w:rPr>
          <w:rFonts w:ascii="仿宋" w:hAnsi="仿宋" w:eastAsia="仿宋" w:cs="楷体_GB2312"/>
          <w:sz w:val="28"/>
          <w:szCs w:val="28"/>
        </w:rPr>
        <w:t>省住房城乡建设厅</w:t>
      </w:r>
      <w:r>
        <w:rPr>
          <w:rFonts w:hint="eastAsia" w:ascii="仿宋" w:hAnsi="仿宋" w:eastAsia="仿宋" w:cs="楷体_GB2312"/>
          <w:sz w:val="28"/>
          <w:szCs w:val="28"/>
        </w:rPr>
        <w:t>在广东省政府采购网备案公开的政府采购合同以及其对应的中标公告并进行检查</w:t>
      </w:r>
      <w:r>
        <w:rPr>
          <w:rFonts w:ascii="仿宋" w:hAnsi="仿宋" w:eastAsia="仿宋" w:cs="楷体_GB2312"/>
          <w:sz w:val="28"/>
          <w:szCs w:val="28"/>
        </w:rPr>
        <w:t>，省住房城乡建设厅</w:t>
      </w:r>
      <w:r>
        <w:rPr>
          <w:rFonts w:hint="eastAsia" w:ascii="仿宋" w:hAnsi="仿宋" w:eastAsia="仿宋" w:cs="楷体_GB2312"/>
          <w:sz w:val="28"/>
          <w:szCs w:val="28"/>
        </w:rPr>
        <w:t>能够按相关规定在中标、成交通知书发出之日起3</w:t>
      </w:r>
      <w:r>
        <w:rPr>
          <w:rFonts w:ascii="仿宋" w:hAnsi="仿宋" w:eastAsia="仿宋" w:cs="楷体_GB2312"/>
          <w:sz w:val="28"/>
          <w:szCs w:val="28"/>
        </w:rPr>
        <w:t>0</w:t>
      </w:r>
      <w:r>
        <w:rPr>
          <w:rFonts w:hint="eastAsia" w:ascii="仿宋" w:hAnsi="仿宋" w:eastAsia="仿宋" w:cs="楷体_GB2312"/>
          <w:sz w:val="28"/>
          <w:szCs w:val="28"/>
        </w:rPr>
        <w:t>日内，按照采购文件确定的事项及时与中标</w:t>
      </w:r>
      <w:r>
        <w:rPr>
          <w:rFonts w:ascii="仿宋" w:hAnsi="仿宋" w:eastAsia="仿宋" w:cs="楷体_GB2312"/>
          <w:sz w:val="28"/>
          <w:szCs w:val="28"/>
        </w:rPr>
        <w:t>、</w:t>
      </w:r>
      <w:r>
        <w:rPr>
          <w:rFonts w:hint="eastAsia" w:ascii="仿宋" w:hAnsi="仿宋" w:eastAsia="仿宋" w:cs="楷体_GB2312"/>
          <w:sz w:val="28"/>
          <w:szCs w:val="28"/>
        </w:rPr>
        <w:t>成交供应商签订政府采购合同。</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采购活动签订时效性得分率1</w:t>
      </w:r>
      <w:r>
        <w:rPr>
          <w:rFonts w:ascii="仿宋" w:hAnsi="仿宋" w:eastAsia="仿宋" w:cs="楷体_GB2312"/>
          <w:sz w:val="28"/>
          <w:szCs w:val="28"/>
        </w:rPr>
        <w:t>00</w:t>
      </w:r>
      <w:r>
        <w:rPr>
          <w:rFonts w:hint="eastAsia" w:ascii="仿宋" w:hAnsi="仿宋" w:eastAsia="仿宋" w:cs="楷体_GB2312"/>
          <w:sz w:val="28"/>
          <w:szCs w:val="28"/>
        </w:rPr>
        <w:t>%，本指标得分=</w:t>
      </w:r>
      <w:r>
        <w:rPr>
          <w:rFonts w:ascii="仿宋" w:hAnsi="仿宋" w:eastAsia="仿宋" w:cs="楷体_GB2312"/>
          <w:sz w:val="28"/>
          <w:szCs w:val="28"/>
        </w:rPr>
        <w:t>3</w:t>
      </w:r>
      <w:r>
        <w:rPr>
          <w:rFonts w:hint="eastAsia" w:ascii="仿宋" w:hAnsi="仿宋" w:eastAsia="仿宋" w:cs="楷体_GB2312"/>
          <w:sz w:val="28"/>
          <w:szCs w:val="28"/>
        </w:rPr>
        <w:t>×</w:t>
      </w:r>
      <w:r>
        <w:rPr>
          <w:rFonts w:ascii="仿宋" w:hAnsi="仿宋" w:eastAsia="仿宋" w:cs="楷体_GB2312"/>
          <w:sz w:val="28"/>
          <w:szCs w:val="28"/>
        </w:rPr>
        <w:t>100</w:t>
      </w:r>
      <w:r>
        <w:rPr>
          <w:rFonts w:hint="eastAsia" w:ascii="仿宋" w:hAnsi="仿宋" w:eastAsia="仿宋" w:cs="楷体_GB2312"/>
          <w:sz w:val="28"/>
          <w:szCs w:val="28"/>
        </w:rPr>
        <w:t>%=</w:t>
      </w:r>
      <w:r>
        <w:rPr>
          <w:rFonts w:ascii="仿宋" w:hAnsi="仿宋" w:eastAsia="仿宋" w:cs="楷体_GB2312"/>
          <w:sz w:val="28"/>
          <w:szCs w:val="28"/>
        </w:rPr>
        <w:t>3</w:t>
      </w:r>
      <w:r>
        <w:rPr>
          <w:rFonts w:hint="eastAsia" w:ascii="仿宋" w:hAnsi="仿宋" w:eastAsia="仿宋" w:cs="楷体_GB2312"/>
          <w:sz w:val="28"/>
          <w:szCs w:val="28"/>
        </w:rPr>
        <w:t>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（5）合同备案时效性</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该指标反映采购合同备案及时性情况，指标值1分，评价得1分。根据广东省政府采购网公示的信息显示，抽查</w:t>
      </w:r>
      <w:r>
        <w:rPr>
          <w:rFonts w:ascii="仿宋" w:hAnsi="仿宋" w:eastAsia="仿宋" w:cs="楷体_GB2312"/>
          <w:sz w:val="28"/>
          <w:szCs w:val="28"/>
        </w:rPr>
        <w:t>省住房城乡建设厅</w:t>
      </w:r>
      <w:r>
        <w:rPr>
          <w:rFonts w:hint="eastAsia" w:ascii="仿宋" w:hAnsi="仿宋" w:eastAsia="仿宋" w:cs="楷体_GB2312"/>
          <w:sz w:val="28"/>
          <w:szCs w:val="28"/>
        </w:rPr>
        <w:t>备案公开的</w:t>
      </w:r>
      <w:r>
        <w:rPr>
          <w:rFonts w:ascii="仿宋" w:hAnsi="仿宋" w:eastAsia="仿宋" w:cs="楷体_GB2312"/>
          <w:sz w:val="28"/>
          <w:szCs w:val="28"/>
        </w:rPr>
        <w:t>3</w:t>
      </w:r>
      <w:r>
        <w:rPr>
          <w:rFonts w:hint="eastAsia" w:ascii="仿宋" w:hAnsi="仿宋" w:eastAsia="仿宋" w:cs="楷体_GB2312"/>
          <w:sz w:val="28"/>
          <w:szCs w:val="28"/>
        </w:rPr>
        <w:t>份政府采购合同</w:t>
      </w:r>
      <w:r>
        <w:rPr>
          <w:rFonts w:ascii="仿宋" w:hAnsi="仿宋" w:eastAsia="仿宋" w:cs="楷体_GB2312"/>
          <w:sz w:val="28"/>
          <w:szCs w:val="28"/>
        </w:rPr>
        <w:t>，</w:t>
      </w:r>
      <w:r>
        <w:rPr>
          <w:rFonts w:hint="eastAsia" w:ascii="仿宋" w:hAnsi="仿宋" w:eastAsia="仿宋" w:cs="楷体_GB2312"/>
          <w:sz w:val="28"/>
          <w:szCs w:val="28"/>
        </w:rPr>
        <w:t>签订的合同都能够在规定时间内备案公开，符合相关要求。</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合同备案时效性得分率</w:t>
      </w:r>
      <w:r>
        <w:rPr>
          <w:rFonts w:ascii="仿宋" w:hAnsi="仿宋" w:eastAsia="仿宋" w:cs="楷体_GB2312"/>
          <w:sz w:val="28"/>
          <w:szCs w:val="28"/>
        </w:rPr>
        <w:t>100</w:t>
      </w:r>
      <w:r>
        <w:rPr>
          <w:rFonts w:hint="eastAsia" w:ascii="仿宋" w:hAnsi="仿宋" w:eastAsia="仿宋" w:cs="楷体_GB2312"/>
          <w:sz w:val="28"/>
          <w:szCs w:val="28"/>
        </w:rPr>
        <w:t>%，本指标得分=</w:t>
      </w:r>
      <w:r>
        <w:rPr>
          <w:rFonts w:ascii="仿宋" w:hAnsi="仿宋" w:eastAsia="仿宋" w:cs="楷体_GB2312"/>
          <w:sz w:val="28"/>
          <w:szCs w:val="28"/>
        </w:rPr>
        <w:t>1</w:t>
      </w:r>
      <w:r>
        <w:rPr>
          <w:rFonts w:hint="eastAsia" w:ascii="仿宋" w:hAnsi="仿宋" w:eastAsia="仿宋" w:cs="楷体_GB2312"/>
          <w:sz w:val="28"/>
          <w:szCs w:val="28"/>
        </w:rPr>
        <w:t>×</w:t>
      </w:r>
      <w:r>
        <w:rPr>
          <w:rFonts w:ascii="仿宋" w:hAnsi="仿宋" w:eastAsia="仿宋" w:cs="楷体_GB2312"/>
          <w:sz w:val="28"/>
          <w:szCs w:val="28"/>
        </w:rPr>
        <w:t>100</w:t>
      </w:r>
      <w:r>
        <w:rPr>
          <w:rFonts w:hint="eastAsia" w:ascii="仿宋" w:hAnsi="仿宋" w:eastAsia="仿宋" w:cs="楷体_GB2312"/>
          <w:sz w:val="28"/>
          <w:szCs w:val="28"/>
        </w:rPr>
        <w:t>%=</w:t>
      </w:r>
      <w:r>
        <w:rPr>
          <w:rFonts w:ascii="仿宋" w:hAnsi="仿宋" w:eastAsia="仿宋" w:cs="楷体_GB2312"/>
          <w:sz w:val="28"/>
          <w:szCs w:val="28"/>
        </w:rPr>
        <w:t>1</w:t>
      </w:r>
      <w:r>
        <w:rPr>
          <w:rFonts w:hint="eastAsia" w:ascii="仿宋" w:hAnsi="仿宋" w:eastAsia="仿宋" w:cs="楷体_GB2312"/>
          <w:sz w:val="28"/>
          <w:szCs w:val="28"/>
        </w:rPr>
        <w:t>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（6）采购政策效能</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该指标反映部门采购政策执行的效果情况，指标分值1分，评价得分</w:t>
      </w:r>
      <w:r>
        <w:rPr>
          <w:rFonts w:ascii="仿宋" w:hAnsi="仿宋" w:eastAsia="仿宋" w:cs="楷体_GB2312"/>
          <w:sz w:val="28"/>
          <w:szCs w:val="28"/>
        </w:rPr>
        <w:t>1</w:t>
      </w:r>
      <w:r>
        <w:rPr>
          <w:rFonts w:hint="eastAsia" w:ascii="仿宋" w:hAnsi="仿宋" w:eastAsia="仿宋" w:cs="楷体_GB2312"/>
          <w:sz w:val="28"/>
          <w:szCs w:val="28"/>
        </w:rPr>
        <w:t>分。根据广东省住房和城乡建设厅的决算报表（本级）</w:t>
      </w:r>
      <w:r>
        <w:rPr>
          <w:rFonts w:ascii="仿宋" w:hAnsi="仿宋" w:eastAsia="仿宋" w:cs="楷体_GB2312"/>
          <w:sz w:val="28"/>
          <w:szCs w:val="28"/>
        </w:rPr>
        <w:t>——F03 机构运行信息表(财决附03表)</w:t>
      </w:r>
      <w:r>
        <w:rPr>
          <w:rFonts w:hint="eastAsia" w:ascii="仿宋" w:hAnsi="仿宋" w:eastAsia="仿宋" w:cs="楷体_GB2312"/>
          <w:sz w:val="28"/>
          <w:szCs w:val="28"/>
        </w:rPr>
        <w:t>所示</w:t>
      </w:r>
      <w:r>
        <w:rPr>
          <w:rFonts w:ascii="仿宋" w:hAnsi="仿宋" w:eastAsia="仿宋" w:cs="楷体_GB2312"/>
          <w:sz w:val="28"/>
          <w:szCs w:val="28"/>
        </w:rPr>
        <w:t>，2022</w:t>
      </w:r>
      <w:r>
        <w:rPr>
          <w:rFonts w:hint="eastAsia" w:ascii="仿宋" w:hAnsi="仿宋" w:eastAsia="仿宋" w:cs="楷体_GB2312"/>
          <w:sz w:val="28"/>
          <w:szCs w:val="28"/>
        </w:rPr>
        <w:t>年</w:t>
      </w:r>
      <w:r>
        <w:rPr>
          <w:rFonts w:ascii="仿宋" w:hAnsi="仿宋" w:eastAsia="仿宋" w:cs="楷体_GB2312"/>
          <w:sz w:val="28"/>
          <w:szCs w:val="28"/>
        </w:rPr>
        <w:t>省住房城乡建设厅</w:t>
      </w:r>
      <w:r>
        <w:rPr>
          <w:rFonts w:hint="eastAsia" w:ascii="仿宋" w:hAnsi="仿宋" w:eastAsia="仿宋" w:cs="楷体_GB2312"/>
          <w:sz w:val="28"/>
          <w:szCs w:val="28"/>
        </w:rPr>
        <w:t>政府采购中授予中小企业合同金额合计2,556.32万元</w:t>
      </w:r>
      <w:r>
        <w:rPr>
          <w:rFonts w:ascii="仿宋" w:hAnsi="仿宋" w:eastAsia="仿宋" w:cs="楷体_GB2312"/>
          <w:sz w:val="28"/>
          <w:szCs w:val="28"/>
        </w:rPr>
        <w:t>，</w:t>
      </w:r>
      <w:r>
        <w:rPr>
          <w:rFonts w:hint="eastAsia" w:ascii="仿宋" w:hAnsi="仿宋" w:eastAsia="仿宋" w:cs="楷体_GB2312"/>
          <w:sz w:val="28"/>
          <w:szCs w:val="28"/>
        </w:rPr>
        <w:t>较上年</w:t>
      </w:r>
      <w:r>
        <w:rPr>
          <w:rFonts w:ascii="仿宋" w:hAnsi="仿宋" w:eastAsia="仿宋" w:cs="楷体_GB2312"/>
          <w:sz w:val="28"/>
          <w:szCs w:val="28"/>
        </w:rPr>
        <w:t>1,</w:t>
      </w:r>
      <w:r>
        <w:rPr>
          <w:rFonts w:hint="eastAsia" w:ascii="仿宋" w:hAnsi="仿宋" w:eastAsia="仿宋" w:cs="楷体_GB2312"/>
          <w:sz w:val="28"/>
          <w:szCs w:val="28"/>
        </w:rPr>
        <w:t>262.75万元</w:t>
      </w:r>
      <w:r>
        <w:rPr>
          <w:rFonts w:ascii="仿宋" w:hAnsi="仿宋" w:eastAsia="仿宋" w:cs="楷体_GB2312"/>
          <w:sz w:val="28"/>
          <w:szCs w:val="28"/>
        </w:rPr>
        <w:t>（</w:t>
      </w:r>
      <w:r>
        <w:rPr>
          <w:rFonts w:hint="eastAsia" w:ascii="仿宋" w:hAnsi="仿宋" w:eastAsia="仿宋" w:cs="楷体_GB2312"/>
          <w:sz w:val="28"/>
          <w:szCs w:val="28"/>
        </w:rPr>
        <w:t>该数据为</w:t>
      </w:r>
      <w:r>
        <w:rPr>
          <w:rFonts w:ascii="仿宋" w:hAnsi="仿宋" w:eastAsia="仿宋" w:cs="楷体_GB2312"/>
          <w:sz w:val="28"/>
          <w:szCs w:val="28"/>
        </w:rPr>
        <w:t>预算编制时部门预留金额</w:t>
      </w:r>
      <w:r>
        <w:rPr>
          <w:rFonts w:hint="eastAsia" w:ascii="仿宋" w:hAnsi="仿宋" w:eastAsia="仿宋" w:cs="楷体_GB2312"/>
          <w:sz w:val="28"/>
          <w:szCs w:val="28"/>
        </w:rPr>
        <w:t>基数</w:t>
      </w:r>
      <w:r>
        <w:rPr>
          <w:rFonts w:ascii="仿宋" w:hAnsi="仿宋" w:eastAsia="仿宋" w:cs="楷体_GB2312"/>
          <w:sz w:val="28"/>
          <w:szCs w:val="28"/>
        </w:rPr>
        <w:t>）</w:t>
      </w:r>
      <w:r>
        <w:rPr>
          <w:rFonts w:hint="eastAsia" w:ascii="仿宋" w:hAnsi="仿宋" w:eastAsia="仿宋" w:cs="楷体_GB2312"/>
          <w:sz w:val="28"/>
          <w:szCs w:val="28"/>
        </w:rPr>
        <w:t>增加</w:t>
      </w:r>
      <w:r>
        <w:rPr>
          <w:rFonts w:ascii="仿宋" w:hAnsi="仿宋" w:eastAsia="仿宋" w:cs="楷体_GB2312"/>
          <w:sz w:val="28"/>
          <w:szCs w:val="28"/>
        </w:rPr>
        <w:t>202.44%。</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采购政策效能得分</w:t>
      </w:r>
      <w:r>
        <w:rPr>
          <w:rFonts w:ascii="仿宋" w:hAnsi="仿宋" w:eastAsia="仿宋" w:cs="楷体_GB2312"/>
          <w:sz w:val="28"/>
          <w:szCs w:val="28"/>
        </w:rPr>
        <w:t>=（</w:t>
      </w:r>
      <w:r>
        <w:rPr>
          <w:rFonts w:hint="eastAsia" w:ascii="仿宋" w:hAnsi="仿宋" w:eastAsia="仿宋" w:cs="楷体_GB2312"/>
          <w:sz w:val="28"/>
          <w:szCs w:val="28"/>
        </w:rPr>
        <w:t>2,556.32÷</w:t>
      </w:r>
      <w:r>
        <w:rPr>
          <w:rFonts w:ascii="仿宋" w:hAnsi="仿宋" w:eastAsia="仿宋" w:cs="楷体_GB2312"/>
          <w:sz w:val="28"/>
          <w:szCs w:val="28"/>
        </w:rPr>
        <w:t>1,</w:t>
      </w:r>
      <w:r>
        <w:rPr>
          <w:rFonts w:hint="eastAsia" w:ascii="仿宋" w:hAnsi="仿宋" w:eastAsia="仿宋" w:cs="楷体_GB2312"/>
          <w:sz w:val="28"/>
          <w:szCs w:val="28"/>
        </w:rPr>
        <w:t>262.75</w:t>
      </w:r>
      <w:r>
        <w:rPr>
          <w:rFonts w:ascii="仿宋" w:hAnsi="仿宋" w:eastAsia="仿宋" w:cs="楷体_GB2312"/>
          <w:sz w:val="28"/>
          <w:szCs w:val="28"/>
        </w:rPr>
        <w:t>）</w:t>
      </w:r>
      <w:r>
        <w:rPr>
          <w:rFonts w:hint="eastAsia" w:ascii="仿宋" w:hAnsi="仿宋" w:eastAsia="仿宋" w:cs="楷体_GB2312"/>
          <w:sz w:val="28"/>
          <w:szCs w:val="28"/>
        </w:rPr>
        <w:t>×</w:t>
      </w:r>
      <w:r>
        <w:rPr>
          <w:rFonts w:ascii="仿宋" w:hAnsi="仿宋" w:eastAsia="仿宋" w:cs="楷体_GB2312"/>
          <w:sz w:val="28"/>
          <w:szCs w:val="28"/>
        </w:rPr>
        <w:t>100%</w:t>
      </w:r>
      <w:r>
        <w:rPr>
          <w:rFonts w:hint="eastAsia" w:ascii="仿宋" w:hAnsi="仿宋" w:eastAsia="仿宋" w:cs="楷体_GB2312"/>
          <w:sz w:val="28"/>
          <w:szCs w:val="28"/>
        </w:rPr>
        <w:t>×</w:t>
      </w:r>
      <w:r>
        <w:rPr>
          <w:rFonts w:ascii="仿宋" w:hAnsi="仿宋" w:eastAsia="仿宋" w:cs="楷体_GB2312"/>
          <w:sz w:val="28"/>
          <w:szCs w:val="28"/>
        </w:rPr>
        <w:t>1=202.44%</w:t>
      </w:r>
      <w:r>
        <w:rPr>
          <w:rFonts w:hint="eastAsia" w:ascii="仿宋" w:hAnsi="仿宋" w:eastAsia="仿宋" w:cs="楷体_GB2312"/>
          <w:sz w:val="28"/>
          <w:szCs w:val="28"/>
        </w:rPr>
        <w:t>分大于本指标满分</w:t>
      </w:r>
      <w:r>
        <w:rPr>
          <w:rFonts w:ascii="仿宋" w:hAnsi="仿宋" w:eastAsia="仿宋" w:cs="楷体_GB2312"/>
          <w:sz w:val="28"/>
          <w:szCs w:val="28"/>
        </w:rPr>
        <w:t>1</w:t>
      </w:r>
      <w:r>
        <w:rPr>
          <w:rFonts w:hint="eastAsia" w:ascii="仿宋" w:hAnsi="仿宋" w:eastAsia="仿宋" w:cs="楷体_GB2312"/>
          <w:sz w:val="28"/>
          <w:szCs w:val="28"/>
        </w:rPr>
        <w:t>分</w:t>
      </w:r>
      <w:r>
        <w:rPr>
          <w:rFonts w:ascii="仿宋" w:hAnsi="仿宋" w:eastAsia="仿宋" w:cs="楷体_GB2312"/>
          <w:sz w:val="28"/>
          <w:szCs w:val="28"/>
        </w:rPr>
        <w:t>，</w:t>
      </w:r>
      <w:r>
        <w:rPr>
          <w:rFonts w:hint="eastAsia" w:ascii="仿宋" w:hAnsi="仿宋" w:eastAsia="仿宋" w:cs="楷体_GB2312"/>
          <w:sz w:val="28"/>
          <w:szCs w:val="28"/>
        </w:rPr>
        <w:t>故本指标最终得分为</w:t>
      </w:r>
      <w:r>
        <w:rPr>
          <w:rFonts w:ascii="仿宋" w:hAnsi="仿宋" w:eastAsia="仿宋" w:cs="楷体_GB2312"/>
          <w:sz w:val="28"/>
          <w:szCs w:val="28"/>
        </w:rPr>
        <w:t>1</w:t>
      </w:r>
      <w:r>
        <w:rPr>
          <w:rFonts w:hint="eastAsia" w:ascii="仿宋" w:hAnsi="仿宋" w:eastAsia="仿宋" w:cs="楷体_GB2312"/>
          <w:sz w:val="28"/>
          <w:szCs w:val="28"/>
        </w:rPr>
        <w:t>分</w:t>
      </w:r>
      <w:r>
        <w:rPr>
          <w:rFonts w:ascii="仿宋" w:hAnsi="仿宋" w:eastAsia="仿宋" w:cs="楷体_GB2312"/>
          <w:sz w:val="28"/>
          <w:szCs w:val="28"/>
        </w:rPr>
        <w:t>。</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6.资产管理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该二级指标下设有“资产配置合规性”“资产收益上缴的及时性”“资产盘点情况”“数据质量”“资产管理合规性”及“固定资产利用率”等6个三级指标。</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（1）资产配置合规性</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该项指标反映部门单位办公室面积和办公设备配置是否超过规定标准。指标分值</w:t>
      </w:r>
      <w:r>
        <w:rPr>
          <w:rFonts w:ascii="仿宋" w:hAnsi="仿宋" w:eastAsia="仿宋" w:cs="楷体_GB2312"/>
          <w:sz w:val="28"/>
          <w:szCs w:val="28"/>
        </w:rPr>
        <w:t>2</w:t>
      </w:r>
      <w:r>
        <w:rPr>
          <w:rFonts w:hint="eastAsia" w:ascii="仿宋" w:hAnsi="仿宋" w:eastAsia="仿宋" w:cs="楷体_GB2312"/>
          <w:sz w:val="28"/>
          <w:szCs w:val="28"/>
        </w:rPr>
        <w:t>分，评价得</w:t>
      </w:r>
      <w:r>
        <w:rPr>
          <w:rFonts w:ascii="仿宋" w:hAnsi="仿宋" w:eastAsia="仿宋" w:cs="楷体_GB2312"/>
          <w:sz w:val="28"/>
          <w:szCs w:val="28"/>
        </w:rPr>
        <w:t>2</w:t>
      </w:r>
      <w:r>
        <w:rPr>
          <w:rFonts w:hint="eastAsia" w:ascii="仿宋" w:hAnsi="仿宋" w:eastAsia="仿宋" w:cs="楷体_GB2312"/>
          <w:sz w:val="28"/>
          <w:szCs w:val="28"/>
        </w:rPr>
        <w:t>分。</w:t>
      </w:r>
      <w:r>
        <w:rPr>
          <w:rFonts w:ascii="仿宋" w:hAnsi="仿宋" w:eastAsia="仿宋" w:cs="楷体_GB2312"/>
          <w:sz w:val="28"/>
          <w:szCs w:val="28"/>
        </w:rPr>
        <w:t>（1）</w:t>
      </w:r>
      <w:r>
        <w:rPr>
          <w:rFonts w:hint="eastAsia" w:ascii="仿宋" w:hAnsi="仿宋" w:eastAsia="仿宋" w:cs="楷体_GB2312"/>
          <w:sz w:val="28"/>
          <w:szCs w:val="28"/>
        </w:rPr>
        <w:t>省住房城乡建设厅租用广东省广州市越秀区东风中路483号粤财大厦30-35楼、2楼10个台位的办公区域面积共1.36万平方米。办公用房（包括办公室用房、服务用房、设备用房和附属用房）建筑面积实有数0.97万平方米，其中办公室用房面积为0.25万平方米，按总工作人员数约为300人（含借调、挂职人员）计算，人均办公用房实有数8.33平方米，各级工作人员办公室使用面积能够按照《党政机关办公用房建设标准》等文件执行</w:t>
      </w:r>
      <w:r>
        <w:rPr>
          <w:rFonts w:ascii="仿宋" w:hAnsi="仿宋" w:eastAsia="仿宋" w:cs="楷体_GB2312"/>
          <w:sz w:val="28"/>
          <w:szCs w:val="28"/>
        </w:rPr>
        <w:t>；（2）</w:t>
      </w:r>
      <w:r>
        <w:rPr>
          <w:rFonts w:hint="eastAsia" w:ascii="仿宋" w:hAnsi="仿宋" w:eastAsia="仿宋" w:cs="楷体_GB2312"/>
          <w:sz w:val="28"/>
          <w:szCs w:val="28"/>
        </w:rPr>
        <w:t>省住房城乡建设厅拥有各类设备（主要包括计算机设备、办公设备、车辆、电气设备、通信设备等）共</w:t>
      </w:r>
      <w:r>
        <w:rPr>
          <w:rFonts w:ascii="仿宋" w:hAnsi="仿宋" w:eastAsia="仿宋" w:cs="楷体_GB2312"/>
          <w:sz w:val="28"/>
          <w:szCs w:val="28"/>
        </w:rPr>
        <w:t>2911</w:t>
      </w:r>
      <w:r>
        <w:rPr>
          <w:rFonts w:hint="eastAsia" w:ascii="仿宋" w:hAnsi="仿宋" w:eastAsia="仿宋" w:cs="楷体_GB2312"/>
          <w:sz w:val="28"/>
          <w:szCs w:val="28"/>
        </w:rPr>
        <w:t>台，净值</w:t>
      </w:r>
      <w:r>
        <w:rPr>
          <w:rFonts w:ascii="仿宋" w:hAnsi="仿宋" w:eastAsia="仿宋" w:cs="楷体_GB2312"/>
          <w:sz w:val="28"/>
          <w:szCs w:val="28"/>
        </w:rPr>
        <w:t>7,280.61</w:t>
      </w:r>
      <w:r>
        <w:rPr>
          <w:rFonts w:hint="eastAsia" w:ascii="仿宋" w:hAnsi="仿宋" w:eastAsia="仿宋" w:cs="楷体_GB2312"/>
          <w:sz w:val="28"/>
          <w:szCs w:val="28"/>
        </w:rPr>
        <w:t>万元。其中：车辆7台，净值</w:t>
      </w:r>
      <w:r>
        <w:rPr>
          <w:rFonts w:ascii="仿宋" w:hAnsi="仿宋" w:eastAsia="仿宋" w:cs="楷体_GB2312"/>
          <w:sz w:val="28"/>
          <w:szCs w:val="28"/>
        </w:rPr>
        <w:t>59.72</w:t>
      </w:r>
      <w:r>
        <w:rPr>
          <w:rFonts w:hint="eastAsia" w:ascii="仿宋" w:hAnsi="仿宋" w:eastAsia="仿宋" w:cs="楷体_GB2312"/>
          <w:sz w:val="28"/>
          <w:szCs w:val="28"/>
        </w:rPr>
        <w:t>万元，占设备（净值）的</w:t>
      </w:r>
      <w:r>
        <w:rPr>
          <w:rFonts w:ascii="仿宋" w:hAnsi="仿宋" w:eastAsia="仿宋" w:cs="楷体_GB2312"/>
          <w:sz w:val="28"/>
          <w:szCs w:val="28"/>
        </w:rPr>
        <w:t>0.84%</w:t>
      </w:r>
      <w:r>
        <w:rPr>
          <w:rFonts w:hint="eastAsia" w:ascii="仿宋" w:hAnsi="仿宋" w:eastAsia="仿宋" w:cs="楷体_GB2312"/>
          <w:sz w:val="28"/>
          <w:szCs w:val="28"/>
        </w:rPr>
        <w:t>；</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资产配置合规性得分率为</w:t>
      </w:r>
      <w:r>
        <w:rPr>
          <w:rFonts w:ascii="仿宋" w:hAnsi="仿宋" w:eastAsia="仿宋" w:cs="楷体_GB2312"/>
          <w:sz w:val="28"/>
          <w:szCs w:val="28"/>
        </w:rPr>
        <w:t>100</w:t>
      </w:r>
      <w:r>
        <w:rPr>
          <w:rFonts w:hint="eastAsia" w:ascii="仿宋" w:hAnsi="仿宋" w:eastAsia="仿宋" w:cs="楷体_GB2312"/>
          <w:sz w:val="28"/>
          <w:szCs w:val="28"/>
        </w:rPr>
        <w:t>%，本指标得分=</w:t>
      </w:r>
      <w:r>
        <w:rPr>
          <w:rFonts w:ascii="仿宋" w:hAnsi="仿宋" w:eastAsia="仿宋" w:cs="楷体_GB2312"/>
          <w:sz w:val="28"/>
          <w:szCs w:val="28"/>
        </w:rPr>
        <w:t>2</w:t>
      </w:r>
      <w:r>
        <w:rPr>
          <w:rFonts w:hint="eastAsia" w:ascii="仿宋" w:hAnsi="仿宋" w:eastAsia="仿宋" w:cs="楷体_GB2312"/>
          <w:sz w:val="28"/>
          <w:szCs w:val="28"/>
        </w:rPr>
        <w:t>×</w:t>
      </w:r>
      <w:r>
        <w:rPr>
          <w:rFonts w:ascii="仿宋" w:hAnsi="仿宋" w:eastAsia="仿宋" w:cs="楷体_GB2312"/>
          <w:sz w:val="28"/>
          <w:szCs w:val="28"/>
        </w:rPr>
        <w:t>100</w:t>
      </w:r>
      <w:r>
        <w:rPr>
          <w:rFonts w:hint="eastAsia" w:ascii="仿宋" w:hAnsi="仿宋" w:eastAsia="仿宋" w:cs="楷体_GB2312"/>
          <w:sz w:val="28"/>
          <w:szCs w:val="28"/>
        </w:rPr>
        <w:t>%=</w:t>
      </w:r>
      <w:r>
        <w:rPr>
          <w:rFonts w:ascii="仿宋" w:hAnsi="仿宋" w:eastAsia="仿宋" w:cs="楷体_GB2312"/>
          <w:sz w:val="28"/>
          <w:szCs w:val="28"/>
        </w:rPr>
        <w:t>2</w:t>
      </w:r>
      <w:r>
        <w:rPr>
          <w:rFonts w:hint="eastAsia" w:ascii="仿宋" w:hAnsi="仿宋" w:eastAsia="仿宋" w:cs="楷体_GB2312"/>
          <w:sz w:val="28"/>
          <w:szCs w:val="28"/>
        </w:rPr>
        <w:t>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（2）资产收益上缴的及时性</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该项指标反映部门资产处置和使用收益上缴的及时性。指标分值</w:t>
      </w:r>
      <w:r>
        <w:rPr>
          <w:rFonts w:ascii="仿宋" w:hAnsi="仿宋" w:eastAsia="仿宋" w:cs="楷体_GB2312"/>
          <w:sz w:val="28"/>
          <w:szCs w:val="28"/>
        </w:rPr>
        <w:t>1</w:t>
      </w:r>
      <w:r>
        <w:rPr>
          <w:rFonts w:hint="eastAsia" w:ascii="仿宋" w:hAnsi="仿宋" w:eastAsia="仿宋" w:cs="楷体_GB2312"/>
          <w:sz w:val="28"/>
          <w:szCs w:val="28"/>
        </w:rPr>
        <w:t>分，评价得</w:t>
      </w:r>
      <w:r>
        <w:rPr>
          <w:rFonts w:ascii="仿宋" w:hAnsi="仿宋" w:eastAsia="仿宋" w:cs="楷体_GB2312"/>
          <w:sz w:val="28"/>
          <w:szCs w:val="28"/>
        </w:rPr>
        <w:t>1</w:t>
      </w:r>
      <w:r>
        <w:rPr>
          <w:rFonts w:hint="eastAsia" w:ascii="仿宋" w:hAnsi="仿宋" w:eastAsia="仿宋" w:cs="楷体_GB2312"/>
          <w:sz w:val="28"/>
          <w:szCs w:val="28"/>
        </w:rPr>
        <w:t>分。根据广东省住房和城乡建设厅决算报表（本级）——F04 非税收入征缴情况表(财决附04表)所示，</w:t>
      </w:r>
      <w:r>
        <w:rPr>
          <w:rFonts w:ascii="仿宋" w:hAnsi="仿宋" w:eastAsia="仿宋" w:cs="楷体_GB2312"/>
          <w:sz w:val="28"/>
          <w:szCs w:val="28"/>
        </w:rPr>
        <w:t>0.76</w:t>
      </w:r>
      <w:r>
        <w:rPr>
          <w:rFonts w:hint="eastAsia" w:ascii="仿宋" w:hAnsi="仿宋" w:eastAsia="仿宋" w:cs="楷体_GB2312"/>
          <w:sz w:val="28"/>
          <w:szCs w:val="28"/>
        </w:rPr>
        <w:t>万元国有资产处置收入已及时上缴国库，无租金收入</w:t>
      </w:r>
      <w:r>
        <w:rPr>
          <w:rFonts w:ascii="仿宋" w:hAnsi="仿宋" w:eastAsia="仿宋" w:cs="楷体_GB2312"/>
          <w:sz w:val="28"/>
          <w:szCs w:val="28"/>
        </w:rPr>
        <w:t>，</w:t>
      </w:r>
      <w:r>
        <w:rPr>
          <w:rFonts w:hint="eastAsia" w:ascii="仿宋" w:hAnsi="仿宋" w:eastAsia="仿宋" w:cs="楷体_GB2312"/>
          <w:sz w:val="28"/>
          <w:szCs w:val="28"/>
        </w:rPr>
        <w:t>未发现资产处置和使用收益长期（超过3个月）未上缴的情况。</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资产收益上缴的及时性得分率为100%，本指标得分=</w:t>
      </w:r>
      <w:r>
        <w:rPr>
          <w:rFonts w:ascii="仿宋" w:hAnsi="仿宋" w:eastAsia="仿宋" w:cs="楷体_GB2312"/>
          <w:sz w:val="28"/>
          <w:szCs w:val="28"/>
        </w:rPr>
        <w:t>1</w:t>
      </w:r>
      <w:r>
        <w:rPr>
          <w:rFonts w:hint="eastAsia" w:ascii="仿宋" w:hAnsi="仿宋" w:eastAsia="仿宋" w:cs="楷体_GB2312"/>
          <w:sz w:val="28"/>
          <w:szCs w:val="28"/>
        </w:rPr>
        <w:t>×100%=</w:t>
      </w:r>
      <w:r>
        <w:rPr>
          <w:rFonts w:ascii="仿宋" w:hAnsi="仿宋" w:eastAsia="仿宋" w:cs="楷体_GB2312"/>
          <w:sz w:val="28"/>
          <w:szCs w:val="28"/>
        </w:rPr>
        <w:t>1</w:t>
      </w:r>
      <w:r>
        <w:rPr>
          <w:rFonts w:hint="eastAsia" w:ascii="仿宋" w:hAnsi="仿宋" w:eastAsia="仿宋" w:cs="楷体_GB2312"/>
          <w:sz w:val="28"/>
          <w:szCs w:val="28"/>
        </w:rPr>
        <w:t>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（3）资产盘点情况</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该项指标反映部门是否每年按要求进行资产盘点。指标分值</w:t>
      </w:r>
      <w:r>
        <w:rPr>
          <w:rFonts w:ascii="仿宋" w:hAnsi="仿宋" w:eastAsia="仿宋" w:cs="楷体_GB2312"/>
          <w:sz w:val="28"/>
          <w:szCs w:val="28"/>
        </w:rPr>
        <w:t>1</w:t>
      </w:r>
      <w:r>
        <w:rPr>
          <w:rFonts w:hint="eastAsia" w:ascii="仿宋" w:hAnsi="仿宋" w:eastAsia="仿宋" w:cs="楷体_GB2312"/>
          <w:sz w:val="28"/>
          <w:szCs w:val="28"/>
        </w:rPr>
        <w:t>分，评价得</w:t>
      </w:r>
      <w:r>
        <w:rPr>
          <w:rFonts w:ascii="仿宋" w:hAnsi="仿宋" w:eastAsia="仿宋" w:cs="楷体_GB2312"/>
          <w:sz w:val="28"/>
          <w:szCs w:val="28"/>
        </w:rPr>
        <w:t>1</w:t>
      </w:r>
      <w:r>
        <w:rPr>
          <w:rFonts w:hint="eastAsia" w:ascii="仿宋" w:hAnsi="仿宋" w:eastAsia="仿宋" w:cs="楷体_GB2312"/>
          <w:sz w:val="28"/>
          <w:szCs w:val="28"/>
        </w:rPr>
        <w:t>分。</w:t>
      </w:r>
      <w:r>
        <w:rPr>
          <w:rFonts w:ascii="仿宋" w:hAnsi="仿宋" w:eastAsia="仿宋" w:cs="楷体_GB2312"/>
          <w:sz w:val="28"/>
          <w:szCs w:val="28"/>
        </w:rPr>
        <w:t>2022</w:t>
      </w:r>
      <w:r>
        <w:rPr>
          <w:rFonts w:hint="eastAsia" w:ascii="仿宋" w:hAnsi="仿宋" w:eastAsia="仿宋" w:cs="楷体_GB2312"/>
          <w:sz w:val="28"/>
          <w:szCs w:val="28"/>
        </w:rPr>
        <w:t>年</w:t>
      </w:r>
      <w:r>
        <w:rPr>
          <w:rFonts w:ascii="仿宋" w:hAnsi="仿宋" w:eastAsia="仿宋" w:cs="楷体_GB2312"/>
          <w:sz w:val="28"/>
          <w:szCs w:val="28"/>
        </w:rPr>
        <w:t>省住房城乡建设厅</w:t>
      </w:r>
      <w:r>
        <w:rPr>
          <w:rFonts w:hint="eastAsia" w:ascii="仿宋" w:hAnsi="仿宋" w:eastAsia="仿宋" w:cs="楷体_GB2312"/>
          <w:sz w:val="28"/>
          <w:szCs w:val="28"/>
        </w:rPr>
        <w:t>邀请广州玮铭会计师事务所对截</w:t>
      </w:r>
      <w:r>
        <w:rPr>
          <w:rFonts w:hint="eastAsia" w:ascii="仿宋" w:hAnsi="仿宋" w:eastAsia="仿宋" w:cs="楷体_GB2312"/>
          <w:sz w:val="28"/>
          <w:szCs w:val="28"/>
          <w:lang w:val="en-US" w:eastAsia="zh-CN"/>
        </w:rPr>
        <w:t>至</w:t>
      </w:r>
      <w:bookmarkStart w:id="0" w:name="_GoBack"/>
      <w:bookmarkEnd w:id="0"/>
      <w:r>
        <w:rPr>
          <w:rFonts w:hint="eastAsia" w:ascii="仿宋" w:hAnsi="仿宋" w:eastAsia="仿宋" w:cs="楷体_GB2312"/>
          <w:sz w:val="28"/>
          <w:szCs w:val="28"/>
        </w:rPr>
        <w:t>202</w:t>
      </w:r>
      <w:r>
        <w:rPr>
          <w:rFonts w:ascii="仿宋" w:hAnsi="仿宋" w:eastAsia="仿宋" w:cs="楷体_GB2312"/>
          <w:sz w:val="28"/>
          <w:szCs w:val="28"/>
        </w:rPr>
        <w:t>2</w:t>
      </w:r>
      <w:r>
        <w:rPr>
          <w:rFonts w:hint="eastAsia" w:ascii="仿宋" w:hAnsi="仿宋" w:eastAsia="仿宋" w:cs="楷体_GB2312"/>
          <w:sz w:val="28"/>
          <w:szCs w:val="28"/>
        </w:rPr>
        <w:t>年12月31日的资产进行了资产清查，审计报告于</w:t>
      </w:r>
      <w:r>
        <w:rPr>
          <w:rFonts w:ascii="仿宋" w:hAnsi="仿宋" w:eastAsia="仿宋" w:cs="楷体_GB2312"/>
          <w:sz w:val="28"/>
          <w:szCs w:val="28"/>
        </w:rPr>
        <w:t>2023</w:t>
      </w:r>
      <w:r>
        <w:rPr>
          <w:rFonts w:hint="eastAsia" w:ascii="仿宋" w:hAnsi="仿宋" w:eastAsia="仿宋" w:cs="楷体_GB2312"/>
          <w:sz w:val="28"/>
          <w:szCs w:val="28"/>
        </w:rPr>
        <w:t>年</w:t>
      </w:r>
      <w:r>
        <w:rPr>
          <w:rFonts w:ascii="仿宋" w:hAnsi="仿宋" w:eastAsia="仿宋" w:cs="楷体_GB2312"/>
          <w:sz w:val="28"/>
          <w:szCs w:val="28"/>
        </w:rPr>
        <w:t>8</w:t>
      </w:r>
      <w:r>
        <w:rPr>
          <w:rFonts w:hint="eastAsia" w:ascii="仿宋" w:hAnsi="仿宋" w:eastAsia="仿宋" w:cs="楷体_GB2312"/>
          <w:sz w:val="28"/>
          <w:szCs w:val="28"/>
        </w:rPr>
        <w:t>月</w:t>
      </w:r>
      <w:r>
        <w:rPr>
          <w:rFonts w:ascii="仿宋" w:hAnsi="仿宋" w:eastAsia="仿宋" w:cs="楷体_GB2312"/>
          <w:sz w:val="28"/>
          <w:szCs w:val="28"/>
        </w:rPr>
        <w:t>30</w:t>
      </w:r>
      <w:r>
        <w:rPr>
          <w:rFonts w:hint="eastAsia" w:ascii="仿宋" w:hAnsi="仿宋" w:eastAsia="仿宋" w:cs="楷体_GB2312"/>
          <w:sz w:val="28"/>
          <w:szCs w:val="28"/>
        </w:rPr>
        <w:t>日出具。</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资产盘点情况得分率为100%，本指标得分=1×100%=1分。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（4）数据质量</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该指标反映部门行政事业性国有资产年报数据质量。指标分值</w:t>
      </w:r>
      <w:r>
        <w:rPr>
          <w:rFonts w:ascii="仿宋" w:hAnsi="仿宋" w:eastAsia="仿宋" w:cs="楷体_GB2312"/>
          <w:sz w:val="28"/>
          <w:szCs w:val="28"/>
        </w:rPr>
        <w:t>2</w:t>
      </w:r>
      <w:r>
        <w:rPr>
          <w:rFonts w:hint="eastAsia" w:ascii="仿宋" w:hAnsi="仿宋" w:eastAsia="仿宋" w:cs="楷体_GB2312"/>
          <w:sz w:val="28"/>
          <w:szCs w:val="28"/>
        </w:rPr>
        <w:t>分，评分得</w:t>
      </w:r>
      <w:r>
        <w:rPr>
          <w:rFonts w:ascii="仿宋" w:hAnsi="仿宋" w:eastAsia="仿宋" w:cs="楷体_GB2312"/>
          <w:sz w:val="28"/>
          <w:szCs w:val="28"/>
        </w:rPr>
        <w:t>2</w:t>
      </w:r>
      <w:r>
        <w:rPr>
          <w:rFonts w:hint="eastAsia" w:ascii="仿宋" w:hAnsi="仿宋" w:eastAsia="仿宋" w:cs="楷体_GB2312"/>
          <w:sz w:val="28"/>
          <w:szCs w:val="28"/>
        </w:rPr>
        <w:t>分，得分率为100.00%。根据广东省住房和城乡建设厅的决算报表（本级）</w:t>
      </w:r>
      <w:r>
        <w:rPr>
          <w:rFonts w:ascii="仿宋" w:hAnsi="仿宋" w:eastAsia="仿宋" w:cs="楷体_GB2312"/>
          <w:sz w:val="28"/>
          <w:szCs w:val="28"/>
        </w:rPr>
        <w:t>202</w:t>
      </w:r>
      <w:r>
        <w:rPr>
          <w:rFonts w:hint="eastAsia" w:ascii="仿宋" w:hAnsi="仿宋" w:eastAsia="仿宋" w:cs="楷体_GB2312"/>
          <w:sz w:val="28"/>
          <w:szCs w:val="28"/>
        </w:rPr>
        <w:t>3年度部门决算套表、202</w:t>
      </w:r>
      <w:r>
        <w:rPr>
          <w:rFonts w:ascii="仿宋" w:hAnsi="仿宋" w:eastAsia="仿宋" w:cs="楷体_GB2312"/>
          <w:sz w:val="28"/>
          <w:szCs w:val="28"/>
        </w:rPr>
        <w:t>2</w:t>
      </w:r>
      <w:r>
        <w:rPr>
          <w:rFonts w:hint="eastAsia" w:ascii="仿宋" w:hAnsi="仿宋" w:eastAsia="仿宋" w:cs="楷体_GB2312"/>
          <w:sz w:val="28"/>
          <w:szCs w:val="28"/>
        </w:rPr>
        <w:t>年会计科目余额表及</w:t>
      </w:r>
      <w:r>
        <w:rPr>
          <w:rFonts w:ascii="仿宋" w:hAnsi="仿宋" w:eastAsia="仿宋" w:cs="楷体_GB2312"/>
          <w:sz w:val="28"/>
          <w:szCs w:val="28"/>
        </w:rPr>
        <w:t>202</w:t>
      </w:r>
      <w:r>
        <w:rPr>
          <w:rFonts w:hint="eastAsia" w:ascii="仿宋" w:hAnsi="仿宋" w:eastAsia="仿宋" w:cs="楷体_GB2312"/>
          <w:sz w:val="28"/>
          <w:szCs w:val="28"/>
        </w:rPr>
        <w:t>3年资产明细表，</w:t>
      </w:r>
      <w:r>
        <w:rPr>
          <w:rFonts w:ascii="仿宋" w:hAnsi="仿宋" w:eastAsia="仿宋" w:cs="楷体_GB2312"/>
          <w:sz w:val="28"/>
          <w:szCs w:val="28"/>
        </w:rPr>
        <w:t>省住房城乡建设厅202</w:t>
      </w:r>
      <w:r>
        <w:rPr>
          <w:rFonts w:hint="eastAsia" w:ascii="仿宋" w:hAnsi="仿宋" w:eastAsia="仿宋" w:cs="楷体_GB2312"/>
          <w:sz w:val="28"/>
          <w:szCs w:val="28"/>
        </w:rPr>
        <w:t>3年国有资产年报能准确、完整的反映</w:t>
      </w:r>
      <w:r>
        <w:rPr>
          <w:rFonts w:ascii="仿宋" w:hAnsi="仿宋" w:eastAsia="仿宋" w:cs="楷体_GB2312"/>
          <w:sz w:val="28"/>
          <w:szCs w:val="28"/>
        </w:rPr>
        <w:t>省住房城乡建设厅</w:t>
      </w:r>
      <w:r>
        <w:rPr>
          <w:rFonts w:hint="eastAsia" w:ascii="仿宋" w:hAnsi="仿宋" w:eastAsia="仿宋" w:cs="楷体_GB2312"/>
          <w:sz w:val="28"/>
          <w:szCs w:val="28"/>
        </w:rPr>
        <w:t>行政事业单位资产占有、使用、变动等总体情况以及房屋、土地、车辆、大型设备等重要资产信息，符合《行政事业单位国有资产年度报告管理办法》（财资〔2017〕3号）规定的相关要求。</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数据质量得分率为100%，本指标得分=</w:t>
      </w:r>
      <w:r>
        <w:rPr>
          <w:rFonts w:ascii="仿宋" w:hAnsi="仿宋" w:eastAsia="仿宋" w:cs="楷体_GB2312"/>
          <w:sz w:val="28"/>
          <w:szCs w:val="28"/>
        </w:rPr>
        <w:t>2</w:t>
      </w:r>
      <w:r>
        <w:rPr>
          <w:rFonts w:hint="eastAsia" w:ascii="仿宋" w:hAnsi="仿宋" w:eastAsia="仿宋" w:cs="楷体_GB2312"/>
          <w:sz w:val="28"/>
          <w:szCs w:val="28"/>
        </w:rPr>
        <w:t>×100%=</w:t>
      </w:r>
      <w:r>
        <w:rPr>
          <w:rFonts w:ascii="仿宋" w:hAnsi="仿宋" w:eastAsia="仿宋" w:cs="楷体_GB2312"/>
          <w:sz w:val="28"/>
          <w:szCs w:val="28"/>
        </w:rPr>
        <w:t>2</w:t>
      </w:r>
      <w:r>
        <w:rPr>
          <w:rFonts w:hint="eastAsia" w:ascii="仿宋" w:hAnsi="仿宋" w:eastAsia="仿宋" w:cs="楷体_GB2312"/>
          <w:sz w:val="28"/>
          <w:szCs w:val="28"/>
        </w:rPr>
        <w:t>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（5）资产管理合规性</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该项指标反映部门资产管理是否合规。指标分值</w:t>
      </w:r>
      <w:r>
        <w:rPr>
          <w:rFonts w:ascii="仿宋" w:hAnsi="仿宋" w:eastAsia="仿宋" w:cs="楷体_GB2312"/>
          <w:sz w:val="28"/>
          <w:szCs w:val="28"/>
        </w:rPr>
        <w:t>2</w:t>
      </w:r>
      <w:r>
        <w:rPr>
          <w:rFonts w:hint="eastAsia" w:ascii="仿宋" w:hAnsi="仿宋" w:eastAsia="仿宋" w:cs="楷体_GB2312"/>
          <w:sz w:val="28"/>
          <w:szCs w:val="28"/>
        </w:rPr>
        <w:t>分，评价得</w:t>
      </w:r>
      <w:r>
        <w:rPr>
          <w:rFonts w:ascii="仿宋" w:hAnsi="仿宋" w:eastAsia="仿宋" w:cs="楷体_GB2312"/>
          <w:sz w:val="28"/>
          <w:szCs w:val="28"/>
        </w:rPr>
        <w:t>2</w:t>
      </w:r>
      <w:r>
        <w:rPr>
          <w:rFonts w:hint="eastAsia" w:ascii="仿宋" w:hAnsi="仿宋" w:eastAsia="仿宋" w:cs="楷体_GB2312"/>
          <w:sz w:val="28"/>
          <w:szCs w:val="28"/>
        </w:rPr>
        <w:t>分。</w:t>
      </w:r>
      <w:r>
        <w:rPr>
          <w:rFonts w:ascii="仿宋" w:hAnsi="仿宋" w:eastAsia="仿宋" w:cs="楷体_GB2312"/>
          <w:sz w:val="28"/>
          <w:szCs w:val="28"/>
        </w:rPr>
        <w:t>省住房城乡建设厅</w:t>
      </w:r>
      <w:r>
        <w:rPr>
          <w:rFonts w:hint="eastAsia" w:ascii="仿宋" w:hAnsi="仿宋" w:eastAsia="仿宋" w:cs="楷体_GB2312"/>
          <w:sz w:val="28"/>
          <w:szCs w:val="28"/>
        </w:rPr>
        <w:t>制定了《</w:t>
      </w:r>
      <w:r>
        <w:rPr>
          <w:rFonts w:ascii="仿宋" w:hAnsi="仿宋" w:eastAsia="仿宋" w:cs="楷体_GB2312"/>
          <w:sz w:val="28"/>
          <w:szCs w:val="28"/>
        </w:rPr>
        <w:t>广东省住房和城乡建设厅</w:t>
      </w:r>
      <w:r>
        <w:rPr>
          <w:rFonts w:hint="eastAsia" w:ascii="仿宋" w:hAnsi="仿宋" w:eastAsia="仿宋" w:cs="楷体_GB2312"/>
          <w:sz w:val="28"/>
          <w:szCs w:val="28"/>
        </w:rPr>
        <w:t>机关国有资产管理办法（2020年修订）》，并按照相关规定对国有资产进行管理。国有资产的处置符合规范，无国有资产出租、出借的情况。</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资产管理合规性得分率为</w:t>
      </w:r>
      <w:r>
        <w:rPr>
          <w:rFonts w:ascii="仿宋" w:hAnsi="仿宋" w:eastAsia="仿宋" w:cs="楷体_GB2312"/>
          <w:sz w:val="28"/>
          <w:szCs w:val="28"/>
        </w:rPr>
        <w:t>100</w:t>
      </w:r>
      <w:r>
        <w:rPr>
          <w:rFonts w:hint="eastAsia" w:ascii="仿宋" w:hAnsi="仿宋" w:eastAsia="仿宋" w:cs="楷体_GB2312"/>
          <w:sz w:val="28"/>
          <w:szCs w:val="28"/>
        </w:rPr>
        <w:t>%，本指标得分=</w:t>
      </w:r>
      <w:r>
        <w:rPr>
          <w:rFonts w:ascii="仿宋" w:hAnsi="仿宋" w:eastAsia="仿宋" w:cs="楷体_GB2312"/>
          <w:sz w:val="28"/>
          <w:szCs w:val="28"/>
        </w:rPr>
        <w:t>2</w:t>
      </w:r>
      <w:r>
        <w:rPr>
          <w:rFonts w:hint="eastAsia" w:ascii="仿宋" w:hAnsi="仿宋" w:eastAsia="仿宋" w:cs="楷体_GB2312"/>
          <w:sz w:val="28"/>
          <w:szCs w:val="28"/>
        </w:rPr>
        <w:t>×</w:t>
      </w:r>
      <w:r>
        <w:rPr>
          <w:rFonts w:ascii="仿宋" w:hAnsi="仿宋" w:eastAsia="仿宋" w:cs="楷体_GB2312"/>
          <w:sz w:val="28"/>
          <w:szCs w:val="28"/>
        </w:rPr>
        <w:t>100</w:t>
      </w:r>
      <w:r>
        <w:rPr>
          <w:rFonts w:hint="eastAsia" w:ascii="仿宋" w:hAnsi="仿宋" w:eastAsia="仿宋" w:cs="楷体_GB2312"/>
          <w:sz w:val="28"/>
          <w:szCs w:val="28"/>
        </w:rPr>
        <w:t>%=</w:t>
      </w:r>
      <w:r>
        <w:rPr>
          <w:rFonts w:ascii="仿宋" w:hAnsi="仿宋" w:eastAsia="仿宋" w:cs="楷体_GB2312"/>
          <w:sz w:val="28"/>
          <w:szCs w:val="28"/>
        </w:rPr>
        <w:t>2</w:t>
      </w:r>
      <w:r>
        <w:rPr>
          <w:rFonts w:hint="eastAsia" w:ascii="仿宋" w:hAnsi="仿宋" w:eastAsia="仿宋" w:cs="楷体_GB2312"/>
          <w:sz w:val="28"/>
          <w:szCs w:val="28"/>
        </w:rPr>
        <w:t>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（6）固定资产利用率</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该项指标反映部门固定资产的使用情况。指标分值2分，评价得2分。根据广州玮铭会计师事务所出具的资产清查报告结果显示</w:t>
      </w:r>
      <w:r>
        <w:rPr>
          <w:rFonts w:ascii="仿宋" w:hAnsi="仿宋" w:eastAsia="仿宋" w:cs="楷体_GB2312"/>
          <w:sz w:val="28"/>
          <w:szCs w:val="28"/>
        </w:rPr>
        <w:t>，省住房城乡建设厅</w:t>
      </w:r>
      <w:r>
        <w:rPr>
          <w:rFonts w:hint="eastAsia" w:ascii="仿宋" w:hAnsi="仿宋" w:eastAsia="仿宋" w:cs="楷体_GB2312"/>
          <w:sz w:val="28"/>
          <w:szCs w:val="28"/>
        </w:rPr>
        <w:t>闲置固定资产原值合计</w:t>
      </w:r>
      <w:r>
        <w:rPr>
          <w:rFonts w:ascii="仿宋" w:hAnsi="仿宋" w:eastAsia="仿宋" w:cs="楷体_GB2312"/>
          <w:sz w:val="28"/>
          <w:szCs w:val="28"/>
        </w:rPr>
        <w:t>60</w:t>
      </w:r>
      <w:r>
        <w:rPr>
          <w:rFonts w:hint="eastAsia" w:ascii="仿宋" w:hAnsi="仿宋" w:eastAsia="仿宋" w:cs="楷体_GB2312"/>
          <w:sz w:val="28"/>
          <w:szCs w:val="28"/>
        </w:rPr>
        <w:t>.</w:t>
      </w:r>
      <w:r>
        <w:rPr>
          <w:rFonts w:ascii="仿宋" w:hAnsi="仿宋" w:eastAsia="仿宋" w:cs="楷体_GB2312"/>
          <w:sz w:val="28"/>
          <w:szCs w:val="28"/>
        </w:rPr>
        <w:t>84</w:t>
      </w:r>
      <w:r>
        <w:rPr>
          <w:rFonts w:hint="eastAsia" w:ascii="仿宋" w:hAnsi="仿宋" w:eastAsia="仿宋" w:cs="楷体_GB2312"/>
          <w:sz w:val="28"/>
          <w:szCs w:val="28"/>
        </w:rPr>
        <w:t>万元</w:t>
      </w:r>
      <w:r>
        <w:rPr>
          <w:rFonts w:ascii="仿宋" w:hAnsi="仿宋" w:eastAsia="仿宋" w:cs="楷体_GB2312"/>
          <w:sz w:val="28"/>
          <w:szCs w:val="28"/>
        </w:rPr>
        <w:t>，</w:t>
      </w:r>
      <w:r>
        <w:rPr>
          <w:rFonts w:hint="eastAsia" w:ascii="仿宋" w:hAnsi="仿宋" w:eastAsia="仿宋" w:cs="楷体_GB2312"/>
          <w:sz w:val="28"/>
          <w:szCs w:val="28"/>
        </w:rPr>
        <w:t>经调审计整后的固定资产原值合计</w:t>
      </w:r>
      <w:r>
        <w:rPr>
          <w:rFonts w:ascii="仿宋" w:hAnsi="仿宋" w:eastAsia="仿宋" w:cs="楷体_GB2312"/>
          <w:sz w:val="28"/>
          <w:szCs w:val="28"/>
        </w:rPr>
        <w:t>1597</w:t>
      </w:r>
      <w:r>
        <w:rPr>
          <w:rFonts w:hint="eastAsia" w:ascii="仿宋" w:hAnsi="仿宋" w:eastAsia="仿宋" w:cs="楷体_GB2312"/>
          <w:sz w:val="28"/>
          <w:szCs w:val="28"/>
        </w:rPr>
        <w:t>.</w:t>
      </w:r>
      <w:r>
        <w:rPr>
          <w:rFonts w:ascii="仿宋" w:hAnsi="仿宋" w:eastAsia="仿宋" w:cs="楷体_GB2312"/>
          <w:sz w:val="28"/>
          <w:szCs w:val="28"/>
        </w:rPr>
        <w:t>24</w:t>
      </w:r>
      <w:r>
        <w:rPr>
          <w:rFonts w:hint="eastAsia" w:ascii="仿宋" w:hAnsi="仿宋" w:eastAsia="仿宋" w:cs="楷体_GB2312"/>
          <w:sz w:val="28"/>
          <w:szCs w:val="28"/>
        </w:rPr>
        <w:t>万元</w:t>
      </w:r>
      <w:r>
        <w:rPr>
          <w:rFonts w:ascii="仿宋" w:hAnsi="仿宋" w:eastAsia="仿宋" w:cs="楷体_GB2312"/>
          <w:sz w:val="28"/>
          <w:szCs w:val="28"/>
        </w:rPr>
        <w:t>，</w:t>
      </w:r>
      <w:r>
        <w:rPr>
          <w:rFonts w:hint="eastAsia" w:ascii="仿宋" w:hAnsi="仿宋" w:eastAsia="仿宋" w:cs="楷体_GB2312"/>
          <w:sz w:val="28"/>
          <w:szCs w:val="28"/>
        </w:rPr>
        <w:t>闲置率</w:t>
      </w:r>
      <w:r>
        <w:rPr>
          <w:rFonts w:ascii="仿宋" w:hAnsi="仿宋" w:eastAsia="仿宋" w:cs="楷体_GB2312"/>
          <w:sz w:val="28"/>
          <w:szCs w:val="28"/>
        </w:rPr>
        <w:t>3</w:t>
      </w:r>
      <w:r>
        <w:rPr>
          <w:rFonts w:hint="eastAsia" w:ascii="仿宋" w:hAnsi="仿宋" w:eastAsia="仿宋" w:cs="楷体_GB2312"/>
          <w:sz w:val="28"/>
          <w:szCs w:val="28"/>
        </w:rPr>
        <w:t>.</w:t>
      </w:r>
      <w:r>
        <w:rPr>
          <w:rFonts w:ascii="仿宋" w:hAnsi="仿宋" w:eastAsia="仿宋" w:cs="楷体_GB2312"/>
          <w:sz w:val="28"/>
          <w:szCs w:val="28"/>
        </w:rPr>
        <w:t>81%，资产利用水平较高。</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固定资产利用率得分率为100%，本指标得分=2×100%=2分。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7.运行成本</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该二级指标下设有“经济成本控制情况”“三公”经费控制情况等2个三级指标。</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（1）经济成本控制情况</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该项指标反映部门经济支出分类核算情况，包括对运转成本的控制努力程度和效果、核算精准度和合理性等情况。指标分值2分，评价得</w:t>
      </w:r>
      <w:r>
        <w:rPr>
          <w:rFonts w:ascii="仿宋" w:hAnsi="仿宋" w:eastAsia="仿宋" w:cs="楷体_GB2312"/>
          <w:sz w:val="28"/>
          <w:szCs w:val="28"/>
        </w:rPr>
        <w:t>1.</w:t>
      </w:r>
      <w:r>
        <w:rPr>
          <w:rFonts w:hint="eastAsia" w:ascii="仿宋" w:hAnsi="仿宋" w:eastAsia="仿宋" w:cs="楷体_GB2312"/>
          <w:sz w:val="28"/>
          <w:szCs w:val="28"/>
        </w:rPr>
        <w:t>48分。根据广东住房与城乡建设厅202</w:t>
      </w:r>
      <w:r>
        <w:rPr>
          <w:rFonts w:ascii="仿宋" w:hAnsi="仿宋" w:eastAsia="仿宋" w:cs="楷体_GB2312"/>
          <w:sz w:val="28"/>
          <w:szCs w:val="28"/>
        </w:rPr>
        <w:t>2</w:t>
      </w:r>
      <w:r>
        <w:rPr>
          <w:rFonts w:hint="eastAsia" w:ascii="仿宋" w:hAnsi="仿宋" w:eastAsia="仿宋" w:cs="楷体_GB2312"/>
          <w:sz w:val="28"/>
          <w:szCs w:val="28"/>
        </w:rPr>
        <w:t>年部门经济成本分析自评表，运行成本控制效果、运行成本变化、其他支出合理性三项指标得分自评合计74分。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经济成本自评得分率</w:t>
      </w:r>
      <w:r>
        <w:rPr>
          <w:rFonts w:ascii="仿宋" w:hAnsi="仿宋" w:eastAsia="仿宋" w:cs="楷体_GB2312"/>
          <w:sz w:val="28"/>
          <w:szCs w:val="28"/>
        </w:rPr>
        <w:t>7</w:t>
      </w:r>
      <w:r>
        <w:rPr>
          <w:rFonts w:hint="eastAsia" w:ascii="仿宋" w:hAnsi="仿宋" w:eastAsia="仿宋" w:cs="楷体_GB2312"/>
          <w:sz w:val="28"/>
          <w:szCs w:val="28"/>
        </w:rPr>
        <w:t>4%，本指标得分=2×</w:t>
      </w:r>
      <w:r>
        <w:rPr>
          <w:rFonts w:ascii="仿宋" w:hAnsi="仿宋" w:eastAsia="仿宋" w:cs="楷体_GB2312"/>
          <w:sz w:val="28"/>
          <w:szCs w:val="28"/>
        </w:rPr>
        <w:t>7</w:t>
      </w:r>
      <w:r>
        <w:rPr>
          <w:rFonts w:hint="eastAsia" w:ascii="仿宋" w:hAnsi="仿宋" w:eastAsia="仿宋" w:cs="楷体_GB2312"/>
          <w:sz w:val="28"/>
          <w:szCs w:val="28"/>
        </w:rPr>
        <w:t>4%=1.48分。</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（2）“三公”经费控制情况</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该项指标反映部门对“三公”经费的控制效果。指标分值1分，评价得1分。根据</w:t>
      </w:r>
      <w:r>
        <w:rPr>
          <w:rFonts w:ascii="仿宋" w:hAnsi="仿宋" w:eastAsia="仿宋" w:cs="楷体_GB2312"/>
          <w:sz w:val="28"/>
          <w:szCs w:val="28"/>
        </w:rPr>
        <w:t>广东省住房和城乡建设厅</w:t>
      </w:r>
      <w:r>
        <w:rPr>
          <w:rFonts w:hint="eastAsia" w:ascii="仿宋" w:hAnsi="仿宋" w:eastAsia="仿宋" w:cs="楷体_GB2312"/>
          <w:sz w:val="28"/>
          <w:szCs w:val="28"/>
        </w:rPr>
        <w:t>广东省住房和城乡建设厅的决算报表（本级）</w:t>
      </w:r>
      <w:r>
        <w:rPr>
          <w:rFonts w:ascii="仿宋" w:hAnsi="仿宋" w:eastAsia="仿宋" w:cs="楷体_GB2312"/>
          <w:sz w:val="28"/>
          <w:szCs w:val="28"/>
        </w:rPr>
        <w:t>——Z05支出决算明细表(财决05表)</w:t>
      </w:r>
      <w:r>
        <w:rPr>
          <w:rFonts w:hint="eastAsia" w:ascii="仿宋" w:hAnsi="仿宋" w:eastAsia="仿宋" w:cs="楷体_GB2312"/>
          <w:sz w:val="28"/>
          <w:szCs w:val="28"/>
        </w:rPr>
        <w:t>显示</w:t>
      </w:r>
      <w:r>
        <w:rPr>
          <w:rFonts w:ascii="仿宋" w:hAnsi="仿宋" w:eastAsia="仿宋" w:cs="楷体_GB2312"/>
          <w:sz w:val="28"/>
          <w:szCs w:val="28"/>
        </w:rPr>
        <w:t>，省住房城乡建设厅</w:t>
      </w:r>
      <w:r>
        <w:rPr>
          <w:rFonts w:hint="eastAsia" w:ascii="仿宋" w:hAnsi="仿宋" w:eastAsia="仿宋" w:cs="楷体_GB2312"/>
          <w:sz w:val="28"/>
          <w:szCs w:val="28"/>
        </w:rPr>
        <w:t>2023年“三公”经费支出合计</w:t>
      </w:r>
      <w:r>
        <w:rPr>
          <w:rFonts w:ascii="仿宋" w:hAnsi="仿宋" w:eastAsia="仿宋" w:cs="楷体_GB2312"/>
          <w:sz w:val="28"/>
          <w:szCs w:val="28"/>
        </w:rPr>
        <w:t>69.33</w:t>
      </w:r>
      <w:r>
        <w:rPr>
          <w:rFonts w:hint="eastAsia" w:ascii="仿宋" w:hAnsi="仿宋" w:eastAsia="仿宋" w:cs="楷体_GB2312"/>
          <w:sz w:val="28"/>
          <w:szCs w:val="28"/>
        </w:rPr>
        <w:t>万元，对比预算总额</w:t>
      </w:r>
      <w:r>
        <w:rPr>
          <w:rFonts w:ascii="仿宋" w:hAnsi="仿宋" w:eastAsia="仿宋" w:cs="楷体_GB2312"/>
          <w:sz w:val="28"/>
          <w:szCs w:val="28"/>
        </w:rPr>
        <w:t>88.52</w:t>
      </w:r>
      <w:r>
        <w:rPr>
          <w:rFonts w:hint="eastAsia" w:ascii="仿宋" w:hAnsi="仿宋" w:eastAsia="仿宋" w:cs="楷体_GB2312"/>
          <w:sz w:val="28"/>
          <w:szCs w:val="28"/>
        </w:rPr>
        <w:t>万元压减了</w:t>
      </w:r>
      <w:r>
        <w:rPr>
          <w:rFonts w:ascii="仿宋" w:hAnsi="仿宋" w:eastAsia="仿宋" w:cs="楷体_GB2312"/>
          <w:sz w:val="28"/>
          <w:szCs w:val="28"/>
        </w:rPr>
        <w:t>19.19</w:t>
      </w:r>
      <w:r>
        <w:rPr>
          <w:rFonts w:hint="eastAsia" w:ascii="仿宋" w:hAnsi="仿宋" w:eastAsia="仿宋" w:cs="楷体_GB2312"/>
          <w:sz w:val="28"/>
          <w:szCs w:val="28"/>
        </w:rPr>
        <w:t>万元</w:t>
      </w:r>
      <w:r>
        <w:rPr>
          <w:rFonts w:ascii="仿宋" w:hAnsi="仿宋" w:eastAsia="仿宋" w:cs="楷体_GB2312"/>
          <w:sz w:val="28"/>
          <w:szCs w:val="28"/>
        </w:rPr>
        <w:t>，</w:t>
      </w:r>
      <w:r>
        <w:rPr>
          <w:rFonts w:hint="eastAsia" w:ascii="仿宋" w:hAnsi="仿宋" w:eastAsia="仿宋" w:cs="楷体_GB2312"/>
          <w:sz w:val="28"/>
          <w:szCs w:val="28"/>
        </w:rPr>
        <w:t>压减幅度为</w:t>
      </w:r>
      <w:r>
        <w:rPr>
          <w:rFonts w:ascii="仿宋" w:hAnsi="仿宋" w:eastAsia="仿宋" w:cs="楷体_GB2312"/>
          <w:sz w:val="28"/>
          <w:szCs w:val="28"/>
        </w:rPr>
        <w:t>27.68%</w:t>
      </w:r>
      <w:r>
        <w:rPr>
          <w:rFonts w:hint="eastAsia" w:ascii="仿宋" w:hAnsi="仿宋" w:eastAsia="仿宋" w:cs="楷体_GB2312"/>
          <w:sz w:val="28"/>
          <w:szCs w:val="28"/>
        </w:rPr>
        <w:t>，其中</w:t>
      </w:r>
      <w:r>
        <w:rPr>
          <w:rFonts w:ascii="仿宋" w:hAnsi="仿宋" w:eastAsia="仿宋" w:cs="楷体_GB2312"/>
          <w:sz w:val="28"/>
          <w:szCs w:val="28"/>
        </w:rPr>
        <w:t>：</w:t>
      </w:r>
      <w:r>
        <w:rPr>
          <w:rFonts w:hint="eastAsia" w:ascii="仿宋" w:hAnsi="仿宋" w:eastAsia="仿宋" w:cs="楷体_GB2312"/>
          <w:sz w:val="28"/>
          <w:szCs w:val="28"/>
        </w:rPr>
        <w:t>（1）因公出国（境）费支出</w:t>
      </w:r>
      <w:r>
        <w:rPr>
          <w:rFonts w:ascii="仿宋" w:hAnsi="仿宋" w:eastAsia="仿宋" w:cs="楷体_GB2312"/>
          <w:sz w:val="28"/>
          <w:szCs w:val="28"/>
        </w:rPr>
        <w:t>16.49</w:t>
      </w:r>
      <w:r>
        <w:rPr>
          <w:rFonts w:hint="eastAsia" w:ascii="仿宋" w:hAnsi="仿宋" w:eastAsia="仿宋" w:cs="楷体_GB2312"/>
          <w:sz w:val="28"/>
          <w:szCs w:val="28"/>
        </w:rPr>
        <w:t>万元，比预算减少</w:t>
      </w:r>
      <w:r>
        <w:rPr>
          <w:rFonts w:ascii="仿宋" w:hAnsi="仿宋" w:eastAsia="仿宋" w:cs="楷体_GB2312"/>
          <w:sz w:val="28"/>
          <w:szCs w:val="28"/>
        </w:rPr>
        <w:t>4.53</w:t>
      </w:r>
      <w:r>
        <w:rPr>
          <w:rFonts w:hint="eastAsia" w:ascii="仿宋" w:hAnsi="仿宋" w:eastAsia="仿宋" w:cs="楷体_GB2312"/>
          <w:sz w:val="28"/>
          <w:szCs w:val="28"/>
        </w:rPr>
        <w:t>万元</w:t>
      </w:r>
      <w:r>
        <w:rPr>
          <w:rFonts w:ascii="仿宋" w:hAnsi="仿宋" w:eastAsia="仿宋" w:cs="楷体_GB2312"/>
          <w:sz w:val="28"/>
          <w:szCs w:val="28"/>
        </w:rPr>
        <w:t>；</w:t>
      </w:r>
      <w:r>
        <w:rPr>
          <w:rFonts w:hint="eastAsia" w:ascii="仿宋" w:hAnsi="仿宋" w:eastAsia="仿宋" w:cs="楷体_GB2312"/>
          <w:sz w:val="28"/>
          <w:szCs w:val="28"/>
        </w:rPr>
        <w:t>（2）公务用车购置及运行维护费支出</w:t>
      </w:r>
      <w:r>
        <w:rPr>
          <w:rFonts w:ascii="仿宋" w:hAnsi="仿宋" w:eastAsia="仿宋" w:cs="楷体_GB2312"/>
          <w:sz w:val="28"/>
          <w:szCs w:val="28"/>
        </w:rPr>
        <w:t>44.62</w:t>
      </w:r>
      <w:r>
        <w:rPr>
          <w:rFonts w:hint="eastAsia" w:ascii="仿宋" w:hAnsi="仿宋" w:eastAsia="仿宋" w:cs="楷体_GB2312"/>
          <w:sz w:val="28"/>
          <w:szCs w:val="28"/>
        </w:rPr>
        <w:t>万元，比预算减少</w:t>
      </w:r>
      <w:r>
        <w:rPr>
          <w:rFonts w:ascii="仿宋" w:hAnsi="仿宋" w:eastAsia="仿宋" w:cs="楷体_GB2312"/>
          <w:sz w:val="28"/>
          <w:szCs w:val="28"/>
        </w:rPr>
        <w:t>15.38</w:t>
      </w:r>
      <w:r>
        <w:rPr>
          <w:rFonts w:hint="eastAsia" w:ascii="仿宋" w:hAnsi="仿宋" w:eastAsia="仿宋" w:cs="楷体_GB2312"/>
          <w:sz w:val="28"/>
          <w:szCs w:val="28"/>
        </w:rPr>
        <w:t>万元</w:t>
      </w:r>
      <w:r>
        <w:rPr>
          <w:rFonts w:ascii="仿宋" w:hAnsi="仿宋" w:eastAsia="仿宋" w:cs="楷体_GB2312"/>
          <w:sz w:val="28"/>
          <w:szCs w:val="28"/>
        </w:rPr>
        <w:t>；</w:t>
      </w:r>
      <w:r>
        <w:rPr>
          <w:rFonts w:hint="eastAsia" w:ascii="仿宋" w:hAnsi="仿宋" w:eastAsia="仿宋" w:cs="楷体_GB2312"/>
          <w:sz w:val="28"/>
          <w:szCs w:val="28"/>
        </w:rPr>
        <w:t>（3）公务接待费支出</w:t>
      </w:r>
      <w:r>
        <w:rPr>
          <w:rFonts w:ascii="仿宋" w:hAnsi="仿宋" w:eastAsia="仿宋" w:cs="楷体_GB2312"/>
          <w:sz w:val="28"/>
          <w:szCs w:val="28"/>
        </w:rPr>
        <w:t>8.22</w:t>
      </w:r>
      <w:r>
        <w:rPr>
          <w:rFonts w:hint="eastAsia" w:ascii="仿宋" w:hAnsi="仿宋" w:eastAsia="仿宋" w:cs="楷体_GB2312"/>
          <w:sz w:val="28"/>
          <w:szCs w:val="28"/>
        </w:rPr>
        <w:t>万元，比预算增加0.72万元</w:t>
      </w:r>
      <w:r>
        <w:rPr>
          <w:rFonts w:ascii="仿宋" w:hAnsi="仿宋" w:eastAsia="仿宋" w:cs="楷体_GB2312"/>
          <w:sz w:val="28"/>
          <w:szCs w:val="28"/>
        </w:rPr>
        <w:t>。</w:t>
      </w:r>
      <w:r>
        <w:rPr>
          <w:rFonts w:hint="eastAsia" w:ascii="仿宋" w:hAnsi="仿宋" w:eastAsia="仿宋" w:cs="楷体_GB2312"/>
          <w:sz w:val="28"/>
          <w:szCs w:val="28"/>
        </w:rPr>
        <w:t>“三公”经费实际支出均未超预算</w:t>
      </w:r>
      <w:r>
        <w:rPr>
          <w:rFonts w:ascii="仿宋" w:hAnsi="仿宋" w:eastAsia="仿宋" w:cs="楷体_GB2312"/>
          <w:sz w:val="28"/>
          <w:szCs w:val="28"/>
        </w:rPr>
        <w:t>，</w:t>
      </w:r>
      <w:r>
        <w:rPr>
          <w:rFonts w:hint="eastAsia" w:ascii="仿宋" w:hAnsi="仿宋" w:eastAsia="仿宋" w:cs="楷体_GB2312"/>
          <w:sz w:val="28"/>
          <w:szCs w:val="28"/>
        </w:rPr>
        <w:t>对“三公”经费的控制有效</w:t>
      </w:r>
      <w:r>
        <w:rPr>
          <w:rFonts w:ascii="仿宋" w:hAnsi="仿宋" w:eastAsia="仿宋" w:cs="楷体_GB2312"/>
          <w:sz w:val="28"/>
          <w:szCs w:val="28"/>
        </w:rPr>
        <w:t>。</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按评分规则，</w:t>
      </w:r>
      <w:r>
        <w:rPr>
          <w:rFonts w:ascii="仿宋" w:hAnsi="仿宋" w:eastAsia="仿宋" w:cs="楷体_GB2312"/>
          <w:sz w:val="28"/>
          <w:szCs w:val="28"/>
        </w:rPr>
        <w:t>省住房城乡建设厅</w:t>
      </w:r>
      <w:r>
        <w:rPr>
          <w:rFonts w:hint="eastAsia" w:ascii="仿宋" w:hAnsi="仿宋" w:eastAsia="仿宋" w:cs="楷体_GB2312"/>
          <w:sz w:val="28"/>
          <w:szCs w:val="28"/>
        </w:rPr>
        <w:t>“三公”经费控制得分率为100%，本指标得分=1×100%=1分。</w:t>
      </w:r>
    </w:p>
    <w:p>
      <w:pPr>
        <w:adjustRightInd w:val="0"/>
        <w:snapToGrid w:val="0"/>
        <w:spacing w:line="560" w:lineRule="exact"/>
        <w:ind w:firstLine="562" w:firstLineChars="200"/>
        <w:rPr>
          <w:rFonts w:ascii="仿宋" w:hAnsi="仿宋" w:eastAsia="仿宋" w:cs="楷体_GB2312"/>
          <w:b/>
          <w:bCs/>
          <w:sz w:val="28"/>
          <w:szCs w:val="28"/>
        </w:rPr>
      </w:pPr>
      <w:r>
        <w:rPr>
          <w:rFonts w:hint="eastAsia" w:ascii="仿宋" w:hAnsi="仿宋" w:eastAsia="仿宋" w:cs="楷体_GB2312"/>
          <w:b/>
          <w:bCs/>
          <w:sz w:val="28"/>
          <w:szCs w:val="28"/>
        </w:rPr>
        <w:t>（四）其他自评情况</w:t>
      </w:r>
    </w:p>
    <w:p>
      <w:pPr>
        <w:adjustRightInd w:val="0"/>
        <w:snapToGrid w:val="0"/>
        <w:spacing w:line="560" w:lineRule="exact"/>
        <w:ind w:firstLine="560" w:firstLineChars="200"/>
        <w:rPr>
          <w:rFonts w:ascii="仿宋" w:hAnsi="仿宋" w:eastAsia="仿宋" w:cs="楷体_GB2312"/>
          <w:sz w:val="28"/>
          <w:szCs w:val="28"/>
        </w:rPr>
      </w:pPr>
      <w:r>
        <w:rPr>
          <w:rFonts w:ascii="仿宋" w:hAnsi="仿宋" w:eastAsia="仿宋" w:cs="楷体_GB2312"/>
          <w:sz w:val="28"/>
          <w:szCs w:val="28"/>
        </w:rPr>
        <w:t>1、为做好部门整体支出绩效自评工作，完整真实地反映支出情况，还对下属单位2023年度整体支出和专项资金进行了绩效自评，包括:广东省建设工程标准定额站整体绩效自评报告、2023年城市管理与地下基础设施建设更新改造专项资金5,150万元项目绩效自评报告、2023年生活垃圾分类专项资金12,480万元项目绩效自评报告、2023年水环境治理专项资金27,940万元项目绩效自评报告、2023年保障性安居工程项目专项资金54,235万元项目绩效自评报告、2023年城镇老旧小区改造项目专项资金18,842万元项目绩效自评报告、2023年打好污染防治攻坚战—环境监管能力建设—城乡建设绿色发展专项资金1200万元项目绩效自评报告、2023城乡建设社区补短板与历史文化保护项目专项资金3999万元项目绩效自评报告。</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2、2023年1月16日，省住房城乡建设厅在2021年城建统计年报、2022年市政设施投资月报和2022年城建统计快报工作中获得了中央住房和城乡建设部办公厅的通报表扬，称赞其统计工作组织协调能力强，数据上报及时、质量较高。</w:t>
      </w:r>
    </w:p>
    <w:p>
      <w:pPr>
        <w:adjustRightInd w:val="0"/>
        <w:snapToGrid w:val="0"/>
        <w:spacing w:line="560" w:lineRule="exact"/>
        <w:ind w:firstLine="560" w:firstLineChars="200"/>
        <w:rPr>
          <w:rFonts w:ascii="仿宋" w:hAnsi="仿宋" w:eastAsia="仿宋" w:cs="楷体_GB2312"/>
          <w:sz w:val="28"/>
          <w:szCs w:val="28"/>
        </w:rPr>
      </w:pPr>
      <w:r>
        <w:rPr>
          <w:rFonts w:ascii="仿宋" w:hAnsi="仿宋" w:eastAsia="仿宋" w:cs="楷体_GB2312"/>
          <w:sz w:val="28"/>
          <w:szCs w:val="28"/>
        </w:rPr>
        <w:t>3、2023年7月，省住房城乡建设厅科技信息处被省人民政府评为广东省节能先进集体。</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4、2023年8月，省住房城乡建设厅2022年政务公开工作被省政府办公厅评为优秀等次。</w:t>
      </w:r>
    </w:p>
    <w:p>
      <w:pPr>
        <w:adjustRightInd w:val="0"/>
        <w:snapToGrid w:val="0"/>
        <w:spacing w:line="560" w:lineRule="exact"/>
        <w:ind w:firstLine="562" w:firstLineChars="200"/>
        <w:rPr>
          <w:rFonts w:ascii="仿宋" w:hAnsi="仿宋" w:eastAsia="仿宋" w:cs="楷体_GB2312"/>
          <w:b/>
          <w:bCs/>
          <w:sz w:val="28"/>
          <w:szCs w:val="28"/>
        </w:rPr>
      </w:pPr>
      <w:r>
        <w:rPr>
          <w:rFonts w:hint="eastAsia" w:ascii="仿宋" w:hAnsi="仿宋" w:eastAsia="仿宋" w:cs="楷体_GB2312"/>
          <w:b/>
          <w:bCs/>
          <w:sz w:val="28"/>
          <w:szCs w:val="28"/>
        </w:rPr>
        <w:t>（五）就部门整体支出绩效管理存在问题提出改进措施</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以下为</w:t>
      </w:r>
      <w:r>
        <w:rPr>
          <w:rFonts w:ascii="仿宋" w:hAnsi="仿宋" w:eastAsia="仿宋" w:cs="楷体_GB2312"/>
          <w:sz w:val="28"/>
          <w:szCs w:val="28"/>
        </w:rPr>
        <w:t>省住房城乡建设厅</w:t>
      </w:r>
      <w:r>
        <w:rPr>
          <w:rFonts w:hint="eastAsia" w:ascii="仿宋" w:hAnsi="仿宋" w:eastAsia="仿宋" w:cs="楷体_GB2312"/>
          <w:sz w:val="28"/>
          <w:szCs w:val="28"/>
        </w:rPr>
        <w:t>2023年绩效自评报告中对绩效管理存在问题提出改进措施</w:t>
      </w:r>
      <w:r>
        <w:rPr>
          <w:rFonts w:ascii="仿宋" w:hAnsi="仿宋" w:eastAsia="仿宋" w:cs="楷体_GB2312"/>
          <w:sz w:val="28"/>
          <w:szCs w:val="28"/>
        </w:rPr>
        <w:t>：</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为改善和提高资金绩效管理水平，更好的发挥财政资金使用绩效，针对自评过程中发现的问题，提出以下改进措施：</w:t>
      </w:r>
    </w:p>
    <w:p>
      <w:pPr>
        <w:adjustRightInd w:val="0"/>
        <w:snapToGrid w:val="0"/>
        <w:spacing w:line="560" w:lineRule="exact"/>
        <w:ind w:firstLine="562" w:firstLineChars="200"/>
        <w:rPr>
          <w:rFonts w:ascii="仿宋" w:hAnsi="仿宋" w:eastAsia="仿宋" w:cs="楷体_GB2312"/>
          <w:b/>
          <w:bCs/>
          <w:sz w:val="28"/>
          <w:szCs w:val="28"/>
        </w:rPr>
      </w:pPr>
      <w:r>
        <w:rPr>
          <w:rFonts w:hint="eastAsia" w:ascii="仿宋" w:hAnsi="仿宋" w:eastAsia="仿宋" w:cs="楷体_GB2312"/>
          <w:b/>
          <w:bCs/>
          <w:sz w:val="28"/>
          <w:szCs w:val="28"/>
        </w:rPr>
        <w:t>1、贯彻落实省委省政府关于全面实施预算绩效管理的若干意见，提高财政资金使用效率</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一是加强对市县业务指导，督促有关市县按照《中共广东省委广东省人民政府关于全面实施预算绩效管理的若干意见》要求，增强绩效管理意识，认真落实主体责任，优化专项资金分配和预算绩效目标管理，规范管理和使用专项资金，认真开展绩效运行监控，做好预算执行，重视绩效评价，强化绩效结果应用。切实提高预算执行率和专项资金使用效益。二是督促市县（市、区）业务主管部门加强与财政投资审核中心的工作协调，提高项目决算审核效率，推动按合同和项目进度支付工程款，以提高省级专项资金使用效率。</w:t>
      </w:r>
    </w:p>
    <w:p>
      <w:pPr>
        <w:adjustRightInd w:val="0"/>
        <w:snapToGrid w:val="0"/>
        <w:spacing w:line="560" w:lineRule="exact"/>
        <w:ind w:firstLine="562" w:firstLineChars="200"/>
        <w:rPr>
          <w:rFonts w:ascii="仿宋" w:hAnsi="仿宋" w:eastAsia="仿宋" w:cs="楷体_GB2312"/>
          <w:b/>
          <w:bCs/>
          <w:sz w:val="28"/>
          <w:szCs w:val="28"/>
        </w:rPr>
      </w:pPr>
      <w:r>
        <w:rPr>
          <w:rFonts w:hint="eastAsia" w:ascii="仿宋" w:hAnsi="仿宋" w:eastAsia="仿宋" w:cs="楷体_GB2312"/>
          <w:b/>
          <w:bCs/>
          <w:sz w:val="28"/>
          <w:szCs w:val="28"/>
        </w:rPr>
        <w:t>2、提高专项资金执行效率。</w:t>
      </w:r>
    </w:p>
    <w:p>
      <w:pPr>
        <w:adjustRightInd w:val="0"/>
        <w:snapToGrid w:val="0"/>
        <w:spacing w:line="560" w:lineRule="exact"/>
        <w:ind w:firstLine="560" w:firstLineChars="200"/>
        <w:rPr>
          <w:rFonts w:ascii="仿宋" w:hAnsi="仿宋" w:eastAsia="仿宋" w:cs="楷体_GB2312"/>
          <w:sz w:val="28"/>
          <w:szCs w:val="28"/>
        </w:rPr>
      </w:pPr>
      <w:r>
        <w:rPr>
          <w:rFonts w:hint="eastAsia" w:ascii="仿宋" w:hAnsi="仿宋" w:eastAsia="仿宋" w:cs="楷体_GB2312"/>
          <w:sz w:val="28"/>
          <w:szCs w:val="28"/>
        </w:rPr>
        <w:t>完善资金绩效管理制度，强化绩效管理工作。逐级转分配下达专项资金时将省下达的绩效目标及时逐级细化分解到用款单位，并在预算执行过程中加强专项资金绩效监控，确保完成绩效目标。严格执行专项资金使用规定，加强资金使用的监管和督查。严格执行省级财政专项资金管理办法，规范管理和使用专项资金，督促资金使用单位合法合规办理资金使用各项手续，确保专项资金专款专用、规范支出。</w:t>
      </w:r>
    </w:p>
    <w:p>
      <w:pPr>
        <w:spacing w:line="600" w:lineRule="exact"/>
        <w:ind w:firstLine="560" w:firstLineChars="200"/>
        <w:rPr>
          <w:rFonts w:ascii="仿宋" w:hAnsi="仿宋" w:eastAsia="仿宋"/>
          <w:sz w:val="28"/>
          <w:szCs w:val="28"/>
        </w:rPr>
      </w:pPr>
    </w:p>
    <w:sectPr>
      <w:footerReference r:id="rId3" w:type="default"/>
      <w:pgSz w:w="11906" w:h="16838"/>
      <w:pgMar w:top="1803" w:right="1440" w:bottom="1803"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_GB2312">
    <w:altName w:val="仿宋"/>
    <w:panose1 w:val="02010609030101010101"/>
    <w:charset w:val="86"/>
    <w:family w:val="modern"/>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Arial">
    <w:panose1 w:val="020B0604020202020204"/>
    <w:charset w:val="00"/>
    <w:family w:val="auto"/>
    <w:pitch w:val="default"/>
    <w:sig w:usb0="E0002EFF" w:usb1="C000785B"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5778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right;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&#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Pi91E0AAAAAIBAAAPAAAAAAAAAAEAIAAAACIAAABk&#10;cnMvZG93bnJldi54bWxQSwECFAAUAAAACACHTuJAryjuOg4CAAAPBAAADgAAAAAAAAABACAAAAAf&#10;AQAAZHJzL2Uyb0RvYy54bWxQSwUGAAAAAAYABgBZAQAAnwUAAAAA&#10;">
              <v:fill on="f" focussize="0,0"/>
              <v:stroke on="f"/>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24</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hdrShapeDefaults>
    <o:shapelayout v:ext="edit">
      <o:idmap v:ext="edit" data="1"/>
    </o:shapelayout>
  </w:hdrShapeDefaults>
  <w:compat>
    <w:doNotExpandShiftReturn/>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ZDU5Nzc0MWRjZjgzYTk5MjI0N2JhZjg4OWRhMWIifQ=="/>
  </w:docVars>
  <w:rsids>
    <w:rsidRoot w:val="FF37A2A7"/>
    <w:rsid w:val="000107BD"/>
    <w:rsid w:val="00016B65"/>
    <w:rsid w:val="00023138"/>
    <w:rsid w:val="000305E4"/>
    <w:rsid w:val="0003250A"/>
    <w:rsid w:val="00060591"/>
    <w:rsid w:val="00074D63"/>
    <w:rsid w:val="000C6940"/>
    <w:rsid w:val="00111440"/>
    <w:rsid w:val="00140DFE"/>
    <w:rsid w:val="00160020"/>
    <w:rsid w:val="0017126E"/>
    <w:rsid w:val="00186368"/>
    <w:rsid w:val="001A285F"/>
    <w:rsid w:val="001A4F2D"/>
    <w:rsid w:val="001B3938"/>
    <w:rsid w:val="001B54E4"/>
    <w:rsid w:val="001E045A"/>
    <w:rsid w:val="00216CCE"/>
    <w:rsid w:val="002244D4"/>
    <w:rsid w:val="00246966"/>
    <w:rsid w:val="00251751"/>
    <w:rsid w:val="002721FD"/>
    <w:rsid w:val="002C32A8"/>
    <w:rsid w:val="002D1C05"/>
    <w:rsid w:val="002E424B"/>
    <w:rsid w:val="00323F69"/>
    <w:rsid w:val="00342FBD"/>
    <w:rsid w:val="00353DC9"/>
    <w:rsid w:val="00355AEB"/>
    <w:rsid w:val="00376616"/>
    <w:rsid w:val="0037714D"/>
    <w:rsid w:val="003D40E1"/>
    <w:rsid w:val="003D5A6E"/>
    <w:rsid w:val="00407731"/>
    <w:rsid w:val="004262E8"/>
    <w:rsid w:val="00440237"/>
    <w:rsid w:val="00482361"/>
    <w:rsid w:val="004A0B57"/>
    <w:rsid w:val="004A211E"/>
    <w:rsid w:val="004C2EBA"/>
    <w:rsid w:val="004E0E25"/>
    <w:rsid w:val="004E69C1"/>
    <w:rsid w:val="004E7DC8"/>
    <w:rsid w:val="00552214"/>
    <w:rsid w:val="005C541F"/>
    <w:rsid w:val="005F2109"/>
    <w:rsid w:val="005F5063"/>
    <w:rsid w:val="005F50C7"/>
    <w:rsid w:val="00636188"/>
    <w:rsid w:val="006577C2"/>
    <w:rsid w:val="00661034"/>
    <w:rsid w:val="00664A96"/>
    <w:rsid w:val="0068230C"/>
    <w:rsid w:val="006933B1"/>
    <w:rsid w:val="006A7866"/>
    <w:rsid w:val="006B5EC2"/>
    <w:rsid w:val="00736B26"/>
    <w:rsid w:val="0079716F"/>
    <w:rsid w:val="007D2031"/>
    <w:rsid w:val="00800A77"/>
    <w:rsid w:val="00837A49"/>
    <w:rsid w:val="00843434"/>
    <w:rsid w:val="00886170"/>
    <w:rsid w:val="008A53CC"/>
    <w:rsid w:val="0091719D"/>
    <w:rsid w:val="009240A1"/>
    <w:rsid w:val="00925065"/>
    <w:rsid w:val="009565C0"/>
    <w:rsid w:val="00965AF5"/>
    <w:rsid w:val="0097101F"/>
    <w:rsid w:val="009922B6"/>
    <w:rsid w:val="009A3240"/>
    <w:rsid w:val="009F6D98"/>
    <w:rsid w:val="00A01938"/>
    <w:rsid w:val="00A0353F"/>
    <w:rsid w:val="00A16B5E"/>
    <w:rsid w:val="00A3752F"/>
    <w:rsid w:val="00A40DF0"/>
    <w:rsid w:val="00AA3072"/>
    <w:rsid w:val="00AA38E5"/>
    <w:rsid w:val="00AB5808"/>
    <w:rsid w:val="00B20497"/>
    <w:rsid w:val="00B35D6A"/>
    <w:rsid w:val="00B82F81"/>
    <w:rsid w:val="00B85727"/>
    <w:rsid w:val="00BA316F"/>
    <w:rsid w:val="00BC098A"/>
    <w:rsid w:val="00BC3354"/>
    <w:rsid w:val="00BE74D4"/>
    <w:rsid w:val="00C3418F"/>
    <w:rsid w:val="00C53063"/>
    <w:rsid w:val="00C642EC"/>
    <w:rsid w:val="00CA4BA7"/>
    <w:rsid w:val="00CA6299"/>
    <w:rsid w:val="00CC7EDE"/>
    <w:rsid w:val="00CD0D31"/>
    <w:rsid w:val="00CD5A41"/>
    <w:rsid w:val="00CE068F"/>
    <w:rsid w:val="00CE7AE1"/>
    <w:rsid w:val="00CF3B16"/>
    <w:rsid w:val="00D12CC0"/>
    <w:rsid w:val="00D13902"/>
    <w:rsid w:val="00D17739"/>
    <w:rsid w:val="00D2432E"/>
    <w:rsid w:val="00D33B00"/>
    <w:rsid w:val="00D41214"/>
    <w:rsid w:val="00D47ABF"/>
    <w:rsid w:val="00D65720"/>
    <w:rsid w:val="00D74C35"/>
    <w:rsid w:val="00DA0763"/>
    <w:rsid w:val="00DA168C"/>
    <w:rsid w:val="00DA60BB"/>
    <w:rsid w:val="00E04477"/>
    <w:rsid w:val="00E139BD"/>
    <w:rsid w:val="00E22A47"/>
    <w:rsid w:val="00E40462"/>
    <w:rsid w:val="00E41F14"/>
    <w:rsid w:val="00E46CF9"/>
    <w:rsid w:val="00E47DAA"/>
    <w:rsid w:val="00E53A2B"/>
    <w:rsid w:val="00E74A30"/>
    <w:rsid w:val="00E75FE6"/>
    <w:rsid w:val="00E873F3"/>
    <w:rsid w:val="00EB7C63"/>
    <w:rsid w:val="00EC221F"/>
    <w:rsid w:val="00F31CB9"/>
    <w:rsid w:val="00F41898"/>
    <w:rsid w:val="00F4799E"/>
    <w:rsid w:val="00F7633B"/>
    <w:rsid w:val="00F77520"/>
    <w:rsid w:val="00F93493"/>
    <w:rsid w:val="00F965DC"/>
    <w:rsid w:val="00FB2498"/>
    <w:rsid w:val="00FE0A77"/>
    <w:rsid w:val="00FF2FB3"/>
    <w:rsid w:val="03B2553D"/>
    <w:rsid w:val="16FA09AC"/>
    <w:rsid w:val="17FBE08C"/>
    <w:rsid w:val="1A6745A4"/>
    <w:rsid w:val="2BBF780B"/>
    <w:rsid w:val="2CF976FA"/>
    <w:rsid w:val="3C73097D"/>
    <w:rsid w:val="3DFB85C0"/>
    <w:rsid w:val="3EDFD04C"/>
    <w:rsid w:val="3FC08F0F"/>
    <w:rsid w:val="3FFD3C2B"/>
    <w:rsid w:val="4BD56A14"/>
    <w:rsid w:val="4FED6442"/>
    <w:rsid w:val="526EC397"/>
    <w:rsid w:val="53DE3224"/>
    <w:rsid w:val="56FED657"/>
    <w:rsid w:val="5B7F4A89"/>
    <w:rsid w:val="5C7F502A"/>
    <w:rsid w:val="5DEFD4EA"/>
    <w:rsid w:val="74FFFBC1"/>
    <w:rsid w:val="76B3F7AB"/>
    <w:rsid w:val="77B62F73"/>
    <w:rsid w:val="7ADB97F9"/>
    <w:rsid w:val="7AFE27CC"/>
    <w:rsid w:val="7E2726DB"/>
    <w:rsid w:val="7E97FB7F"/>
    <w:rsid w:val="7FC710FB"/>
    <w:rsid w:val="7FC8B4D1"/>
    <w:rsid w:val="7FD70AA2"/>
    <w:rsid w:val="7FDFBB27"/>
    <w:rsid w:val="7FFB17C7"/>
    <w:rsid w:val="8D395A03"/>
    <w:rsid w:val="93CD92A1"/>
    <w:rsid w:val="ADFF4DFB"/>
    <w:rsid w:val="B3DA9EB1"/>
    <w:rsid w:val="B6EBBC18"/>
    <w:rsid w:val="BAFC8324"/>
    <w:rsid w:val="BBFF766C"/>
    <w:rsid w:val="BFDECE47"/>
    <w:rsid w:val="DF7BADC5"/>
    <w:rsid w:val="E5D147E0"/>
    <w:rsid w:val="EC599C0C"/>
    <w:rsid w:val="EDBDE471"/>
    <w:rsid w:val="EDEB5E29"/>
    <w:rsid w:val="EE3F5A27"/>
    <w:rsid w:val="EF4B70BA"/>
    <w:rsid w:val="F77FA5DB"/>
    <w:rsid w:val="FCFF6379"/>
    <w:rsid w:val="FD7D4C9C"/>
    <w:rsid w:val="FF37A2A7"/>
    <w:rsid w:val="FF733F03"/>
    <w:rsid w:val="FFBFDE3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5">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next w:val="3"/>
    <w:qFormat/>
    <w:uiPriority w:val="0"/>
    <w:pPr>
      <w:spacing w:after="120" w:line="480" w:lineRule="auto"/>
      <w:ind w:left="420" w:leftChars="200"/>
    </w:pPr>
  </w:style>
  <w:style w:type="paragraph" w:customStyle="1" w:styleId="3">
    <w:name w:val="reader-word-layer reader-word-s46-2"/>
    <w:basedOn w:val="1"/>
    <w:next w:val="4"/>
    <w:qFormat/>
    <w:uiPriority w:val="0"/>
    <w:pPr>
      <w:widowControl/>
      <w:spacing w:before="280" w:after="280"/>
    </w:pPr>
    <w:rPr>
      <w:rFonts w:hint="eastAsia" w:ascii="宋体" w:hAnsi="Calibri"/>
      <w:sz w:val="24"/>
      <w:szCs w:val="44"/>
    </w:rPr>
  </w:style>
  <w:style w:type="paragraph" w:customStyle="1" w:styleId="4">
    <w:name w:val="xl35"/>
    <w:basedOn w:val="1"/>
    <w:next w:val="1"/>
    <w:qFormat/>
    <w:uiPriority w:val="0"/>
    <w:pPr>
      <w:widowControl/>
      <w:shd w:val="clear" w:color="FFFFFF" w:fill="FFFFFF"/>
      <w:spacing w:before="280" w:after="280"/>
    </w:pPr>
    <w:rPr>
      <w:rFonts w:hint="eastAsia" w:ascii="Arial Unicode MS" w:hAnsi="Calibri" w:eastAsia="Arial Unicode MS"/>
      <w:sz w:val="24"/>
      <w:szCs w:val="44"/>
    </w:rPr>
  </w:style>
  <w:style w:type="paragraph" w:styleId="6">
    <w:name w:val="Body Text"/>
    <w:basedOn w:val="1"/>
    <w:qFormat/>
    <w:uiPriority w:val="0"/>
    <w:pPr>
      <w:ind w:left="470"/>
      <w:jc w:val="left"/>
    </w:pPr>
    <w:rPr>
      <w:rFonts w:ascii="宋体" w:hAnsi="宋体"/>
      <w:kern w:val="0"/>
      <w:sz w:val="32"/>
      <w:szCs w:val="32"/>
      <w:lang w:eastAsia="en-US"/>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tabs>
        <w:tab w:val="center" w:pos="4153"/>
        <w:tab w:val="right" w:pos="8306"/>
      </w:tabs>
      <w:snapToGrid w:val="0"/>
      <w:jc w:val="center"/>
    </w:pPr>
    <w:rPr>
      <w:sz w:val="18"/>
      <w:szCs w:val="18"/>
    </w:rPr>
  </w:style>
  <w:style w:type="paragraph" w:styleId="9">
    <w:name w:val="toc 2"/>
    <w:basedOn w:val="1"/>
    <w:next w:val="1"/>
    <w:unhideWhenUsed/>
    <w:qFormat/>
    <w:uiPriority w:val="39"/>
    <w:pPr>
      <w:spacing w:line="360" w:lineRule="auto"/>
      <w:ind w:left="420" w:leftChars="200"/>
    </w:pPr>
    <w:rPr>
      <w:rFonts w:ascii="Calibri" w:hAnsi="Calibri" w:eastAsiaTheme="minorEastAsia" w:cstheme="minorBidi"/>
      <w:kern w:val="0"/>
      <w:szCs w:val="32"/>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13">
    <w:name w:val="NormalCharacter"/>
    <w:unhideWhenUsed/>
    <w:qFormat/>
    <w:uiPriority w:val="0"/>
    <w:rPr>
      <w:rFonts w:ascii="Calibri" w:hAnsi="Calibri" w:eastAsia="仿宋_GB2312" w:cs="Times New Roman"/>
      <w:kern w:val="2"/>
      <w:sz w:val="32"/>
      <w:szCs w:val="24"/>
      <w:lang w:val="en-US" w:eastAsia="zh-CN" w:bidi="ar-SA"/>
    </w:rPr>
  </w:style>
  <w:style w:type="paragraph" w:customStyle="1" w:styleId="14">
    <w:name w:val="p1"/>
    <w:basedOn w:val="1"/>
    <w:qFormat/>
    <w:uiPriority w:val="0"/>
    <w:pPr>
      <w:jc w:val="left"/>
    </w:pPr>
    <w:rPr>
      <w:rFonts w:ascii="Helvetica" w:hAnsi="Helvetica" w:eastAsia="Helvetica"/>
      <w:kern w:val="0"/>
      <w:sz w:val="36"/>
      <w:szCs w:val="36"/>
    </w:rPr>
  </w:style>
  <w:style w:type="paragraph" w:customStyle="1" w:styleId="15">
    <w:name w:val="Revision"/>
    <w:hidden/>
    <w:unhideWhenUsed/>
    <w:qFormat/>
    <w:uiPriority w:val="99"/>
    <w:rPr>
      <w:rFonts w:ascii="Times New Roman" w:hAnsi="Times New Roman" w:eastAsia="宋体" w:cs="Times New Roman"/>
      <w:kern w:val="2"/>
      <w:sz w:val="21"/>
      <w:szCs w:val="22"/>
      <w:lang w:val="en-US" w:eastAsia="zh-CN" w:bidi="ar-SA"/>
    </w:rPr>
  </w:style>
  <w:style w:type="paragraph" w:styleId="16">
    <w:name w:val="List Paragraph"/>
    <w:basedOn w:val="1"/>
    <w:unhideWhenUsed/>
    <w:qFormat/>
    <w:uiPriority w:val="99"/>
    <w:pPr>
      <w:ind w:firstLine="420" w:firstLineChars="200"/>
    </w:pPr>
  </w:style>
  <w:style w:type="character" w:customStyle="1" w:styleId="17">
    <w:name w:val="页眉 Char"/>
    <w:basedOn w:val="12"/>
    <w:link w:val="8"/>
    <w:qFormat/>
    <w:uiPriority w:val="0"/>
    <w:rPr>
      <w:kern w:val="2"/>
      <w:sz w:val="18"/>
      <w:szCs w:val="18"/>
    </w:rPr>
  </w:style>
  <w:style w:type="paragraph" w:customStyle="1" w:styleId="18">
    <w:name w:val="Char Char"/>
    <w:basedOn w:val="1"/>
    <w:qFormat/>
    <w:uiPriority w:val="0"/>
    <w:pPr>
      <w:widowControl/>
      <w:adjustRightInd w:val="0"/>
      <w:spacing w:after="160" w:line="240" w:lineRule="exact"/>
      <w:jc w:val="left"/>
    </w:pPr>
    <w:rPr>
      <w:rFonts w:ascii="Verdana" w:hAnsi="Verdana"/>
      <w:kern w:val="0"/>
      <w:sz w:val="20"/>
      <w:szCs w:val="2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12473</Words>
  <Characters>13753</Characters>
  <Lines>98</Lines>
  <Paragraphs>27</Paragraphs>
  <TotalTime>2</TotalTime>
  <ScaleCrop>false</ScaleCrop>
  <LinksUpToDate>false</LinksUpToDate>
  <CharactersWithSpaces>13761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2023-08-26T07:37:00Z</dcterms:created>
  <dc:creator>huangminghui</dc:creator>
  <cp:lastModifiedBy>陌</cp:lastModifiedBy>
  <dcterms:modified xsi:type="dcterms:W3CDTF">2024-07-08T07:34:30Z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D096BF8EDAB941DFBC72CCDC4FCB8F9A_12</vt:lpwstr>
  </property>
</Properties>
</file>