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宋体" w:cs="Times New Roman"/>
          <w:sz w:val="36"/>
          <w:szCs w:val="36"/>
          <w:highlight w:val="none"/>
        </w:rPr>
      </w:pPr>
    </w:p>
    <w:p>
      <w:pPr>
        <w:rPr>
          <w:rFonts w:ascii="Times New Roman" w:hAnsi="Times New Roman" w:eastAsia="宋体" w:cs="Times New Roman"/>
          <w:sz w:val="24"/>
          <w:szCs w:val="24"/>
          <w:highlight w:val="none"/>
        </w:rPr>
      </w:pPr>
    </w:p>
    <w:p>
      <w:pPr>
        <w:rPr>
          <w:rFonts w:ascii="Times New Roman" w:hAnsi="Times New Roman" w:eastAsia="宋体" w:cs="Times New Roman"/>
          <w:sz w:val="24"/>
          <w:szCs w:val="24"/>
          <w:highlight w:val="none"/>
        </w:rPr>
      </w:pPr>
    </w:p>
    <w:p>
      <w:pPr>
        <w:rPr>
          <w:rFonts w:ascii="Times New Roman" w:hAnsi="Times New Roman" w:eastAsia="宋体" w:cs="Times New Roman"/>
          <w:sz w:val="24"/>
          <w:szCs w:val="24"/>
          <w:highlight w:val="none"/>
        </w:rPr>
      </w:pPr>
    </w:p>
    <w:p>
      <w:pPr>
        <w:rPr>
          <w:rFonts w:ascii="Times New Roman" w:hAnsi="Times New Roman" w:eastAsia="宋体" w:cs="Times New Roman"/>
          <w:sz w:val="24"/>
          <w:szCs w:val="24"/>
          <w:highlight w:val="none"/>
        </w:rPr>
      </w:pPr>
    </w:p>
    <w:p>
      <w:pPr>
        <w:rPr>
          <w:rFonts w:ascii="Times New Roman" w:hAnsi="Times New Roman" w:eastAsia="宋体" w:cs="Times New Roman"/>
          <w:sz w:val="24"/>
          <w:szCs w:val="24"/>
          <w:highlight w:val="none"/>
        </w:rPr>
      </w:pPr>
    </w:p>
    <w:p>
      <w:pPr>
        <w:spacing w:line="720" w:lineRule="auto"/>
        <w:jc w:val="center"/>
        <w:rPr>
          <w:rFonts w:ascii="Times New Roman" w:hAnsi="Times New Roman" w:eastAsia="宋体" w:cs="Times New Roman"/>
          <w:b/>
          <w:bCs/>
          <w:sz w:val="48"/>
          <w:szCs w:val="48"/>
          <w:highlight w:val="none"/>
        </w:rPr>
      </w:pPr>
      <w:r>
        <w:rPr>
          <w:rFonts w:hint="eastAsia" w:ascii="Times New Roman" w:hAnsi="Times New Roman" w:eastAsia="宋体" w:cs="Times New Roman"/>
          <w:b/>
          <w:bCs/>
          <w:sz w:val="48"/>
          <w:szCs w:val="48"/>
          <w:highlight w:val="none"/>
        </w:rPr>
        <w:t>项目绩效自评报告</w:t>
      </w:r>
    </w:p>
    <w:p>
      <w:pPr>
        <w:rPr>
          <w:rFonts w:ascii="Times New Roman" w:hAnsi="Times New Roman" w:eastAsia="宋体" w:cs="Times New Roman"/>
          <w:sz w:val="28"/>
          <w:szCs w:val="28"/>
          <w:highlight w:val="none"/>
        </w:rPr>
      </w:pPr>
    </w:p>
    <w:p>
      <w:pPr>
        <w:rPr>
          <w:rFonts w:ascii="Times New Roman" w:hAnsi="Times New Roman" w:eastAsia="宋体" w:cs="Times New Roman"/>
          <w:sz w:val="28"/>
          <w:szCs w:val="28"/>
          <w:highlight w:val="none"/>
        </w:rPr>
      </w:pPr>
    </w:p>
    <w:p>
      <w:pPr>
        <w:rPr>
          <w:rFonts w:ascii="Times New Roman" w:hAnsi="Times New Roman" w:eastAsia="宋体" w:cs="Times New Roman"/>
          <w:sz w:val="28"/>
          <w:szCs w:val="28"/>
          <w:highlight w:val="none"/>
        </w:rPr>
      </w:pPr>
    </w:p>
    <w:p>
      <w:pPr>
        <w:rPr>
          <w:rFonts w:ascii="Times New Roman" w:hAnsi="Times New Roman" w:eastAsia="宋体" w:cs="Times New Roman"/>
          <w:sz w:val="28"/>
          <w:szCs w:val="28"/>
          <w:highlight w:val="none"/>
        </w:rPr>
      </w:pPr>
    </w:p>
    <w:p>
      <w:pPr>
        <w:rPr>
          <w:rFonts w:ascii="Times New Roman" w:hAnsi="Times New Roman" w:eastAsia="宋体" w:cs="Times New Roman"/>
          <w:sz w:val="28"/>
          <w:szCs w:val="28"/>
          <w:highlight w:val="none"/>
        </w:rPr>
      </w:pPr>
    </w:p>
    <w:p>
      <w:pPr>
        <w:rPr>
          <w:rFonts w:ascii="Times New Roman" w:hAnsi="Times New Roman" w:eastAsia="宋体" w:cs="Times New Roman"/>
          <w:sz w:val="28"/>
          <w:szCs w:val="28"/>
          <w:highlight w:val="none"/>
        </w:rPr>
      </w:pPr>
    </w:p>
    <w:p>
      <w:pPr>
        <w:rPr>
          <w:rFonts w:ascii="Times New Roman" w:hAnsi="Times New Roman" w:eastAsia="宋体" w:cs="Times New Roman"/>
          <w:sz w:val="28"/>
          <w:szCs w:val="28"/>
          <w:highlight w:val="none"/>
        </w:rPr>
      </w:pPr>
    </w:p>
    <w:p>
      <w:pPr>
        <w:rPr>
          <w:rFonts w:ascii="Times New Roman" w:hAnsi="Times New Roman" w:eastAsia="宋体" w:cs="Times New Roman"/>
          <w:sz w:val="28"/>
          <w:szCs w:val="28"/>
          <w:highlight w:val="none"/>
        </w:rPr>
      </w:pPr>
    </w:p>
    <w:p>
      <w:pP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财政事权名称：生态环境监督管理</w:t>
      </w:r>
    </w:p>
    <w:p>
      <w:pP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对应政策任务个数：1个</w:t>
      </w:r>
    </w:p>
    <w:p>
      <w:pP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具体名称：城乡建设绿色发展</w:t>
      </w:r>
    </w:p>
    <w:p>
      <w:pP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预算单位：（公章）广东省住房和城乡建设厅</w:t>
      </w:r>
    </w:p>
    <w:p>
      <w:pP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填报人姓名：</w:t>
      </w:r>
      <w:r>
        <w:rPr>
          <w:rFonts w:hint="eastAsia" w:ascii="方正仿宋_GBK" w:hAnsi="方正仿宋_GBK" w:eastAsia="方正仿宋_GBK" w:cs="方正仿宋_GBK"/>
          <w:sz w:val="32"/>
          <w:szCs w:val="32"/>
          <w:highlight w:val="none"/>
          <w:lang w:eastAsia="zh-CN"/>
        </w:rPr>
        <w:t>周锦科</w:t>
      </w:r>
    </w:p>
    <w:p>
      <w:pPr>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联系电话：</w:t>
      </w:r>
      <w:r>
        <w:rPr>
          <w:rFonts w:hint="eastAsia" w:ascii="方正仿宋_GBK" w:hAnsi="方正仿宋_GBK" w:eastAsia="方正仿宋_GBK" w:cs="方正仿宋_GBK"/>
          <w:sz w:val="32"/>
          <w:szCs w:val="32"/>
          <w:highlight w:val="none"/>
          <w:lang w:val="en-US" w:eastAsia="zh-CN"/>
        </w:rPr>
        <w:t>83133706</w:t>
      </w:r>
    </w:p>
    <w:p>
      <w:pPr>
        <w:jc w:val="left"/>
        <w:rPr>
          <w:rFonts w:hint="eastAsia" w:ascii="方正仿宋_GBK" w:hAnsi="方正仿宋_GBK" w:eastAsia="方正仿宋_GBK" w:cs="方正仿宋_GBK"/>
          <w:b/>
          <w:bCs/>
          <w:sz w:val="32"/>
          <w:szCs w:val="32"/>
          <w:highlight w:val="none"/>
        </w:rPr>
      </w:pPr>
      <w:r>
        <w:rPr>
          <w:rFonts w:hint="eastAsia" w:ascii="方正仿宋_GBK" w:hAnsi="方正仿宋_GBK" w:eastAsia="方正仿宋_GBK" w:cs="方正仿宋_GBK"/>
          <w:sz w:val="32"/>
          <w:szCs w:val="32"/>
          <w:highlight w:val="none"/>
        </w:rPr>
        <w:t>填报日期：2024年6月05日</w:t>
      </w:r>
      <w:r>
        <w:rPr>
          <w:rFonts w:hint="eastAsia" w:ascii="方正仿宋_GBK" w:hAnsi="方正仿宋_GBK" w:eastAsia="方正仿宋_GBK" w:cs="方正仿宋_GBK"/>
          <w:b/>
          <w:bCs/>
          <w:sz w:val="32"/>
          <w:szCs w:val="32"/>
          <w:highlight w:val="none"/>
        </w:rPr>
        <w:br w:type="page"/>
      </w:r>
    </w:p>
    <w:sdt>
      <w:sdtPr>
        <w:rPr>
          <w:rFonts w:asciiTheme="minorHAnsi" w:hAnsiTheme="minorHAnsi" w:eastAsiaTheme="minorEastAsia" w:cstheme="minorBidi"/>
          <w:b/>
          <w:bCs/>
          <w:color w:val="auto"/>
          <w:kern w:val="2"/>
          <w:sz w:val="21"/>
          <w:szCs w:val="22"/>
          <w:highlight w:val="none"/>
          <w:lang w:val="zh-CN"/>
        </w:rPr>
        <w:id w:val="-1568792385"/>
      </w:sdtPr>
      <w:sdtEndPr>
        <w:rPr>
          <w:rFonts w:asciiTheme="minorHAnsi" w:hAnsiTheme="minorHAnsi" w:eastAsiaTheme="minorEastAsia" w:cstheme="minorBidi"/>
          <w:b/>
          <w:bCs/>
          <w:color w:val="auto"/>
          <w:kern w:val="2"/>
          <w:sz w:val="21"/>
          <w:szCs w:val="22"/>
          <w:highlight w:val="none"/>
          <w:lang w:val="zh-CN"/>
        </w:rPr>
      </w:sdtEndPr>
      <w:sdtContent>
        <w:p>
          <w:pPr>
            <w:pStyle w:val="28"/>
            <w:jc w:val="center"/>
            <w:rPr>
              <w:rFonts w:ascii="宋体" w:hAnsi="宋体" w:eastAsia="宋体"/>
              <w:b/>
              <w:bCs/>
              <w:color w:val="auto"/>
              <w:sz w:val="36"/>
              <w:szCs w:val="36"/>
              <w:highlight w:val="none"/>
            </w:rPr>
          </w:pPr>
          <w:r>
            <w:rPr>
              <w:rFonts w:ascii="宋体" w:hAnsi="宋体" w:eastAsia="宋体"/>
              <w:b/>
              <w:bCs/>
              <w:color w:val="auto"/>
              <w:sz w:val="36"/>
              <w:szCs w:val="36"/>
              <w:highlight w:val="none"/>
              <w:lang w:val="zh-CN"/>
            </w:rPr>
            <w:t>目录</w:t>
          </w:r>
        </w:p>
        <w:p>
          <w:pPr>
            <w:pStyle w:val="10"/>
            <w:tabs>
              <w:tab w:val="right" w:leader="dot" w:pos="8845"/>
              <w:tab w:val="clear" w:pos="840"/>
              <w:tab w:val="clear" w:pos="8296"/>
            </w:tabs>
            <w:spacing w:line="600" w:lineRule="exact"/>
            <w:rPr>
              <w:rFonts w:hint="eastAsia" w:ascii="仿宋_GB2312" w:hAnsi="仿宋_GB2312" w:eastAsia="仿宋_GB2312" w:cs="仿宋_GB2312"/>
              <w:b w:val="0"/>
              <w:sz w:val="32"/>
              <w:szCs w:val="32"/>
              <w:highlight w:val="none"/>
            </w:rPr>
          </w:pPr>
          <w:r>
            <w:rPr>
              <w:highlight w:val="none"/>
            </w:rPr>
            <w:fldChar w:fldCharType="begin"/>
          </w:r>
          <w:r>
            <w:rPr>
              <w:highlight w:val="none"/>
            </w:rPr>
            <w:instrText xml:space="preserve"> TOC \o "1-3" \h \z \u </w:instrText>
          </w:r>
          <w:r>
            <w:rPr>
              <w:highlight w:val="none"/>
            </w:rPr>
            <w:fldChar w:fldCharType="separate"/>
          </w:r>
          <w:r>
            <w:rPr>
              <w:rFonts w:hint="eastAsia" w:ascii="仿宋_GB2312" w:hAnsi="仿宋_GB2312" w:eastAsia="仿宋_GB2312" w:cs="仿宋_GB2312"/>
              <w:b w:val="0"/>
              <w:sz w:val="32"/>
              <w:szCs w:val="32"/>
              <w:highlight w:val="none"/>
              <w:lang w:val="zh-CN"/>
            </w:rPr>
            <w:fldChar w:fldCharType="begin"/>
          </w:r>
          <w:r>
            <w:rPr>
              <w:rFonts w:hint="eastAsia" w:ascii="仿宋_GB2312" w:hAnsi="仿宋_GB2312" w:eastAsia="仿宋_GB2312" w:cs="仿宋_GB2312"/>
              <w:b w:val="0"/>
              <w:sz w:val="32"/>
              <w:szCs w:val="32"/>
              <w:highlight w:val="none"/>
              <w:lang w:val="zh-CN"/>
            </w:rPr>
            <w:instrText xml:space="preserve"> HYPERLINK \l _Toc1995512991 </w:instrText>
          </w:r>
          <w:r>
            <w:rPr>
              <w:rFonts w:hint="eastAsia" w:ascii="仿宋_GB2312" w:hAnsi="仿宋_GB2312" w:eastAsia="仿宋_GB2312" w:cs="仿宋_GB2312"/>
              <w:b w:val="0"/>
              <w:sz w:val="32"/>
              <w:szCs w:val="32"/>
              <w:highlight w:val="none"/>
              <w:lang w:val="zh-CN"/>
            </w:rPr>
            <w:fldChar w:fldCharType="separate"/>
          </w:r>
          <w:r>
            <w:rPr>
              <w:rFonts w:hint="eastAsia" w:ascii="仿宋_GB2312" w:hAnsi="仿宋_GB2312" w:eastAsia="仿宋_GB2312" w:cs="仿宋_GB2312"/>
              <w:b w:val="0"/>
              <w:bCs/>
              <w:sz w:val="32"/>
              <w:szCs w:val="36"/>
              <w:highlight w:val="none"/>
            </w:rPr>
            <w:t>一、基本情况</w:t>
          </w:r>
          <w:r>
            <w:rPr>
              <w:rFonts w:hint="eastAsia" w:ascii="仿宋_GB2312" w:hAnsi="仿宋_GB2312" w:eastAsia="仿宋_GB2312" w:cs="仿宋_GB2312"/>
              <w:b w:val="0"/>
              <w:sz w:val="32"/>
              <w:szCs w:val="32"/>
              <w:highlight w:val="none"/>
            </w:rPr>
            <w:tab/>
          </w:r>
          <w:r>
            <w:rPr>
              <w:rFonts w:hint="eastAsia" w:ascii="仿宋_GB2312" w:hAnsi="仿宋_GB2312" w:eastAsia="仿宋_GB2312" w:cs="仿宋_GB2312"/>
              <w:b w:val="0"/>
              <w:sz w:val="32"/>
              <w:szCs w:val="32"/>
              <w:highlight w:val="none"/>
            </w:rPr>
            <w:fldChar w:fldCharType="begin"/>
          </w:r>
          <w:r>
            <w:rPr>
              <w:rFonts w:hint="eastAsia" w:ascii="仿宋_GB2312" w:hAnsi="仿宋_GB2312" w:eastAsia="仿宋_GB2312" w:cs="仿宋_GB2312"/>
              <w:b w:val="0"/>
              <w:sz w:val="32"/>
              <w:szCs w:val="32"/>
              <w:highlight w:val="none"/>
            </w:rPr>
            <w:instrText xml:space="preserve"> PAGEREF _Toc1995512991 </w:instrText>
          </w:r>
          <w:r>
            <w:rPr>
              <w:rFonts w:hint="eastAsia" w:ascii="仿宋_GB2312" w:hAnsi="仿宋_GB2312" w:eastAsia="仿宋_GB2312" w:cs="仿宋_GB2312"/>
              <w:b w:val="0"/>
              <w:sz w:val="32"/>
              <w:szCs w:val="32"/>
              <w:highlight w:val="none"/>
            </w:rPr>
            <w:fldChar w:fldCharType="separate"/>
          </w:r>
          <w:r>
            <w:rPr>
              <w:rFonts w:hint="eastAsia" w:ascii="仿宋_GB2312" w:hAnsi="仿宋_GB2312" w:eastAsia="仿宋_GB2312" w:cs="仿宋_GB2312"/>
              <w:b w:val="0"/>
              <w:sz w:val="32"/>
              <w:szCs w:val="32"/>
              <w:highlight w:val="none"/>
            </w:rPr>
            <w:t>- 3 -</w:t>
          </w:r>
          <w:r>
            <w:rPr>
              <w:rFonts w:hint="eastAsia" w:ascii="仿宋_GB2312" w:hAnsi="仿宋_GB2312" w:eastAsia="仿宋_GB2312" w:cs="仿宋_GB2312"/>
              <w:b w:val="0"/>
              <w:sz w:val="32"/>
              <w:szCs w:val="32"/>
              <w:highlight w:val="none"/>
            </w:rPr>
            <w:fldChar w:fldCharType="end"/>
          </w:r>
          <w:r>
            <w:rPr>
              <w:rFonts w:hint="eastAsia" w:ascii="仿宋_GB2312" w:hAnsi="仿宋_GB2312" w:eastAsia="仿宋_GB2312" w:cs="仿宋_GB2312"/>
              <w:b w:val="0"/>
              <w:sz w:val="32"/>
              <w:szCs w:val="32"/>
              <w:highlight w:val="none"/>
              <w:lang w:val="zh-CN"/>
            </w:rPr>
            <w:fldChar w:fldCharType="end"/>
          </w:r>
        </w:p>
        <w:p>
          <w:pPr>
            <w:pStyle w:val="11"/>
            <w:tabs>
              <w:tab w:val="right" w:leader="dot" w:pos="8845"/>
              <w:tab w:val="clear" w:pos="8296"/>
            </w:tabs>
            <w:spacing w:line="600" w:lineRule="exact"/>
            <w:ind w:left="0" w:firstLine="0" w:firstLineChars="0"/>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zh-CN"/>
            </w:rPr>
            <w:fldChar w:fldCharType="begin"/>
          </w:r>
          <w:r>
            <w:rPr>
              <w:rFonts w:hint="eastAsia" w:ascii="仿宋_GB2312" w:hAnsi="仿宋_GB2312" w:eastAsia="仿宋_GB2312" w:cs="仿宋_GB2312"/>
              <w:bCs/>
              <w:sz w:val="32"/>
              <w:szCs w:val="32"/>
              <w:highlight w:val="none"/>
              <w:lang w:val="zh-CN"/>
            </w:rPr>
            <w:instrText xml:space="preserve"> HYPERLINK \l _Toc1940794201 </w:instrText>
          </w:r>
          <w:r>
            <w:rPr>
              <w:rFonts w:hint="eastAsia" w:ascii="仿宋_GB2312" w:hAnsi="仿宋_GB2312" w:eastAsia="仿宋_GB2312" w:cs="仿宋_GB2312"/>
              <w:bCs/>
              <w:sz w:val="32"/>
              <w:szCs w:val="32"/>
              <w:highlight w:val="none"/>
              <w:lang w:val="zh-CN"/>
            </w:rPr>
            <w:fldChar w:fldCharType="separate"/>
          </w:r>
          <w:r>
            <w:rPr>
              <w:rFonts w:hint="eastAsia" w:ascii="仿宋_GB2312" w:hAnsi="仿宋_GB2312" w:eastAsia="仿宋_GB2312" w:cs="仿宋_GB2312"/>
              <w:bCs/>
              <w:sz w:val="32"/>
              <w:szCs w:val="32"/>
              <w:highlight w:val="none"/>
            </w:rPr>
            <w:t>（一） 项目基本情况</w:t>
          </w:r>
          <w:r>
            <w:rPr>
              <w:rFonts w:hint="eastAsia" w:ascii="仿宋_GB2312" w:hAnsi="仿宋_GB2312" w:eastAsia="仿宋_GB2312" w:cs="仿宋_GB2312"/>
              <w:bCs/>
              <w:sz w:val="32"/>
              <w:szCs w:val="32"/>
              <w:highlight w:val="none"/>
            </w:rPr>
            <w:tab/>
          </w:r>
          <w:r>
            <w:rPr>
              <w:rFonts w:hint="eastAsia" w:ascii="仿宋_GB2312" w:hAnsi="仿宋_GB2312" w:eastAsia="仿宋_GB2312" w:cs="仿宋_GB2312"/>
              <w:bCs/>
              <w:sz w:val="32"/>
              <w:szCs w:val="32"/>
              <w:highlight w:val="none"/>
            </w:rPr>
            <w:fldChar w:fldCharType="begin"/>
          </w:r>
          <w:r>
            <w:rPr>
              <w:rFonts w:hint="eastAsia" w:ascii="仿宋_GB2312" w:hAnsi="仿宋_GB2312" w:eastAsia="仿宋_GB2312" w:cs="仿宋_GB2312"/>
              <w:bCs/>
              <w:sz w:val="32"/>
              <w:szCs w:val="32"/>
              <w:highlight w:val="none"/>
            </w:rPr>
            <w:instrText xml:space="preserve"> PAGEREF _Toc1940794201 </w:instrText>
          </w:r>
          <w:r>
            <w:rPr>
              <w:rFonts w:hint="eastAsia" w:ascii="仿宋_GB2312" w:hAnsi="仿宋_GB2312" w:eastAsia="仿宋_GB2312" w:cs="仿宋_GB2312"/>
              <w:bCs/>
              <w:sz w:val="32"/>
              <w:szCs w:val="32"/>
              <w:highlight w:val="none"/>
            </w:rPr>
            <w:fldChar w:fldCharType="separate"/>
          </w:r>
          <w:r>
            <w:rPr>
              <w:rFonts w:hint="eastAsia" w:ascii="仿宋_GB2312" w:hAnsi="仿宋_GB2312" w:eastAsia="仿宋_GB2312" w:cs="仿宋_GB2312"/>
              <w:bCs/>
              <w:sz w:val="32"/>
              <w:szCs w:val="32"/>
              <w:highlight w:val="none"/>
            </w:rPr>
            <w:t>- 3 -</w:t>
          </w:r>
          <w:r>
            <w:rPr>
              <w:rFonts w:hint="eastAsia" w:ascii="仿宋_GB2312" w:hAnsi="仿宋_GB2312" w:eastAsia="仿宋_GB2312" w:cs="仿宋_GB2312"/>
              <w:bCs/>
              <w:sz w:val="32"/>
              <w:szCs w:val="32"/>
              <w:highlight w:val="none"/>
            </w:rPr>
            <w:fldChar w:fldCharType="end"/>
          </w:r>
          <w:r>
            <w:rPr>
              <w:rFonts w:hint="eastAsia" w:ascii="仿宋_GB2312" w:hAnsi="仿宋_GB2312" w:eastAsia="仿宋_GB2312" w:cs="仿宋_GB2312"/>
              <w:bCs/>
              <w:sz w:val="32"/>
              <w:szCs w:val="32"/>
              <w:highlight w:val="none"/>
              <w:lang w:val="zh-CN"/>
            </w:rPr>
            <w:fldChar w:fldCharType="end"/>
          </w:r>
        </w:p>
        <w:p>
          <w:pPr>
            <w:pStyle w:val="11"/>
            <w:tabs>
              <w:tab w:val="right" w:leader="dot" w:pos="8845"/>
              <w:tab w:val="clear" w:pos="8296"/>
            </w:tabs>
            <w:spacing w:line="600" w:lineRule="exact"/>
            <w:ind w:left="0" w:firstLine="0" w:firstLineChars="0"/>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zh-CN"/>
            </w:rPr>
            <w:fldChar w:fldCharType="begin"/>
          </w:r>
          <w:r>
            <w:rPr>
              <w:rFonts w:hint="eastAsia" w:ascii="仿宋_GB2312" w:hAnsi="仿宋_GB2312" w:eastAsia="仿宋_GB2312" w:cs="仿宋_GB2312"/>
              <w:bCs/>
              <w:sz w:val="32"/>
              <w:szCs w:val="32"/>
              <w:highlight w:val="none"/>
              <w:lang w:val="zh-CN"/>
            </w:rPr>
            <w:instrText xml:space="preserve"> HYPERLINK \l _Toc2115460846 </w:instrText>
          </w:r>
          <w:r>
            <w:rPr>
              <w:rFonts w:hint="eastAsia" w:ascii="仿宋_GB2312" w:hAnsi="仿宋_GB2312" w:eastAsia="仿宋_GB2312" w:cs="仿宋_GB2312"/>
              <w:bCs/>
              <w:sz w:val="32"/>
              <w:szCs w:val="32"/>
              <w:highlight w:val="none"/>
              <w:lang w:val="zh-CN"/>
            </w:rPr>
            <w:fldChar w:fldCharType="separate"/>
          </w:r>
          <w:r>
            <w:rPr>
              <w:rFonts w:hint="eastAsia" w:ascii="仿宋_GB2312" w:hAnsi="仿宋_GB2312" w:eastAsia="仿宋_GB2312" w:cs="仿宋_GB2312"/>
              <w:bCs/>
              <w:sz w:val="32"/>
              <w:szCs w:val="32"/>
              <w:highlight w:val="none"/>
            </w:rPr>
            <w:t>（二） 项目资金情况</w:t>
          </w:r>
          <w:r>
            <w:rPr>
              <w:rFonts w:hint="eastAsia" w:ascii="仿宋_GB2312" w:hAnsi="仿宋_GB2312" w:eastAsia="仿宋_GB2312" w:cs="仿宋_GB2312"/>
              <w:bCs/>
              <w:sz w:val="32"/>
              <w:szCs w:val="32"/>
              <w:highlight w:val="none"/>
            </w:rPr>
            <w:tab/>
          </w:r>
          <w:r>
            <w:rPr>
              <w:rFonts w:hint="eastAsia" w:ascii="仿宋_GB2312" w:hAnsi="仿宋_GB2312" w:eastAsia="仿宋_GB2312" w:cs="仿宋_GB2312"/>
              <w:bCs/>
              <w:sz w:val="32"/>
              <w:szCs w:val="32"/>
              <w:highlight w:val="none"/>
            </w:rPr>
            <w:fldChar w:fldCharType="begin"/>
          </w:r>
          <w:r>
            <w:rPr>
              <w:rFonts w:hint="eastAsia" w:ascii="仿宋_GB2312" w:hAnsi="仿宋_GB2312" w:eastAsia="仿宋_GB2312" w:cs="仿宋_GB2312"/>
              <w:bCs/>
              <w:sz w:val="32"/>
              <w:szCs w:val="32"/>
              <w:highlight w:val="none"/>
            </w:rPr>
            <w:instrText xml:space="preserve"> PAGEREF _Toc2115460846 </w:instrText>
          </w:r>
          <w:r>
            <w:rPr>
              <w:rFonts w:hint="eastAsia" w:ascii="仿宋_GB2312" w:hAnsi="仿宋_GB2312" w:eastAsia="仿宋_GB2312" w:cs="仿宋_GB2312"/>
              <w:bCs/>
              <w:sz w:val="32"/>
              <w:szCs w:val="32"/>
              <w:highlight w:val="none"/>
            </w:rPr>
            <w:fldChar w:fldCharType="separate"/>
          </w:r>
          <w:r>
            <w:rPr>
              <w:rFonts w:hint="eastAsia" w:ascii="仿宋_GB2312" w:hAnsi="仿宋_GB2312" w:eastAsia="仿宋_GB2312" w:cs="仿宋_GB2312"/>
              <w:bCs/>
              <w:sz w:val="32"/>
              <w:szCs w:val="32"/>
              <w:highlight w:val="none"/>
            </w:rPr>
            <w:t>- 4 -</w:t>
          </w:r>
          <w:r>
            <w:rPr>
              <w:rFonts w:hint="eastAsia" w:ascii="仿宋_GB2312" w:hAnsi="仿宋_GB2312" w:eastAsia="仿宋_GB2312" w:cs="仿宋_GB2312"/>
              <w:bCs/>
              <w:sz w:val="32"/>
              <w:szCs w:val="32"/>
              <w:highlight w:val="none"/>
            </w:rPr>
            <w:fldChar w:fldCharType="end"/>
          </w:r>
          <w:r>
            <w:rPr>
              <w:rFonts w:hint="eastAsia" w:ascii="仿宋_GB2312" w:hAnsi="仿宋_GB2312" w:eastAsia="仿宋_GB2312" w:cs="仿宋_GB2312"/>
              <w:bCs/>
              <w:sz w:val="32"/>
              <w:szCs w:val="32"/>
              <w:highlight w:val="none"/>
              <w:lang w:val="zh-CN"/>
            </w:rPr>
            <w:fldChar w:fldCharType="end"/>
          </w:r>
        </w:p>
        <w:p>
          <w:pPr>
            <w:pStyle w:val="11"/>
            <w:tabs>
              <w:tab w:val="right" w:leader="dot" w:pos="8845"/>
              <w:tab w:val="clear" w:pos="8296"/>
            </w:tabs>
            <w:spacing w:line="600" w:lineRule="exact"/>
            <w:ind w:left="0" w:firstLine="0" w:firstLineChars="0"/>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zh-CN"/>
            </w:rPr>
            <w:fldChar w:fldCharType="begin"/>
          </w:r>
          <w:r>
            <w:rPr>
              <w:rFonts w:hint="eastAsia" w:ascii="仿宋_GB2312" w:hAnsi="仿宋_GB2312" w:eastAsia="仿宋_GB2312" w:cs="仿宋_GB2312"/>
              <w:bCs/>
              <w:sz w:val="32"/>
              <w:szCs w:val="32"/>
              <w:highlight w:val="none"/>
              <w:lang w:val="zh-CN"/>
            </w:rPr>
            <w:instrText xml:space="preserve"> HYPERLINK \l _Toc1524889699 </w:instrText>
          </w:r>
          <w:r>
            <w:rPr>
              <w:rFonts w:hint="eastAsia" w:ascii="仿宋_GB2312" w:hAnsi="仿宋_GB2312" w:eastAsia="仿宋_GB2312" w:cs="仿宋_GB2312"/>
              <w:bCs/>
              <w:sz w:val="32"/>
              <w:szCs w:val="32"/>
              <w:highlight w:val="none"/>
              <w:lang w:val="zh-CN"/>
            </w:rPr>
            <w:fldChar w:fldCharType="separate"/>
          </w:r>
          <w:r>
            <w:rPr>
              <w:rFonts w:hint="eastAsia" w:ascii="仿宋_GB2312" w:hAnsi="仿宋_GB2312" w:eastAsia="仿宋_GB2312" w:cs="仿宋_GB2312"/>
              <w:bCs/>
              <w:sz w:val="32"/>
              <w:szCs w:val="32"/>
              <w:highlight w:val="none"/>
            </w:rPr>
            <w:t>（三） 项目绩效目标</w:t>
          </w:r>
          <w:r>
            <w:rPr>
              <w:rFonts w:hint="eastAsia" w:ascii="仿宋_GB2312" w:hAnsi="仿宋_GB2312" w:eastAsia="仿宋_GB2312" w:cs="仿宋_GB2312"/>
              <w:bCs/>
              <w:sz w:val="32"/>
              <w:szCs w:val="32"/>
              <w:highlight w:val="none"/>
            </w:rPr>
            <w:tab/>
          </w:r>
          <w:r>
            <w:rPr>
              <w:rFonts w:hint="eastAsia" w:ascii="仿宋_GB2312" w:hAnsi="仿宋_GB2312" w:eastAsia="仿宋_GB2312" w:cs="仿宋_GB2312"/>
              <w:bCs/>
              <w:sz w:val="32"/>
              <w:szCs w:val="32"/>
              <w:highlight w:val="none"/>
            </w:rPr>
            <w:fldChar w:fldCharType="begin"/>
          </w:r>
          <w:r>
            <w:rPr>
              <w:rFonts w:hint="eastAsia" w:ascii="仿宋_GB2312" w:hAnsi="仿宋_GB2312" w:eastAsia="仿宋_GB2312" w:cs="仿宋_GB2312"/>
              <w:bCs/>
              <w:sz w:val="32"/>
              <w:szCs w:val="32"/>
              <w:highlight w:val="none"/>
            </w:rPr>
            <w:instrText xml:space="preserve"> PAGEREF _Toc1524889699 </w:instrText>
          </w:r>
          <w:r>
            <w:rPr>
              <w:rFonts w:hint="eastAsia" w:ascii="仿宋_GB2312" w:hAnsi="仿宋_GB2312" w:eastAsia="仿宋_GB2312" w:cs="仿宋_GB2312"/>
              <w:bCs/>
              <w:sz w:val="32"/>
              <w:szCs w:val="32"/>
              <w:highlight w:val="none"/>
            </w:rPr>
            <w:fldChar w:fldCharType="separate"/>
          </w:r>
          <w:r>
            <w:rPr>
              <w:rFonts w:hint="eastAsia" w:ascii="仿宋_GB2312" w:hAnsi="仿宋_GB2312" w:eastAsia="仿宋_GB2312" w:cs="仿宋_GB2312"/>
              <w:bCs/>
              <w:sz w:val="32"/>
              <w:szCs w:val="32"/>
              <w:highlight w:val="none"/>
            </w:rPr>
            <w:t>- 6 -</w:t>
          </w:r>
          <w:r>
            <w:rPr>
              <w:rFonts w:hint="eastAsia" w:ascii="仿宋_GB2312" w:hAnsi="仿宋_GB2312" w:eastAsia="仿宋_GB2312" w:cs="仿宋_GB2312"/>
              <w:bCs/>
              <w:sz w:val="32"/>
              <w:szCs w:val="32"/>
              <w:highlight w:val="none"/>
            </w:rPr>
            <w:fldChar w:fldCharType="end"/>
          </w:r>
          <w:r>
            <w:rPr>
              <w:rFonts w:hint="eastAsia" w:ascii="仿宋_GB2312" w:hAnsi="仿宋_GB2312" w:eastAsia="仿宋_GB2312" w:cs="仿宋_GB2312"/>
              <w:bCs/>
              <w:sz w:val="32"/>
              <w:szCs w:val="32"/>
              <w:highlight w:val="none"/>
              <w:lang w:val="zh-CN"/>
            </w:rPr>
            <w:fldChar w:fldCharType="end"/>
          </w:r>
        </w:p>
        <w:p>
          <w:pPr>
            <w:pStyle w:val="10"/>
            <w:tabs>
              <w:tab w:val="right" w:leader="dot" w:pos="8845"/>
              <w:tab w:val="clear" w:pos="840"/>
              <w:tab w:val="clear" w:pos="8296"/>
            </w:tabs>
            <w:spacing w:line="600" w:lineRule="exact"/>
            <w:rPr>
              <w:rFonts w:hint="eastAsia" w:ascii="仿宋_GB2312" w:hAnsi="仿宋_GB2312" w:eastAsia="仿宋_GB2312" w:cs="仿宋_GB2312"/>
              <w:b w:val="0"/>
              <w:sz w:val="32"/>
              <w:szCs w:val="32"/>
              <w:highlight w:val="none"/>
            </w:rPr>
          </w:pPr>
          <w:r>
            <w:rPr>
              <w:rFonts w:hint="eastAsia" w:ascii="仿宋_GB2312" w:hAnsi="仿宋_GB2312" w:eastAsia="仿宋_GB2312" w:cs="仿宋_GB2312"/>
              <w:b w:val="0"/>
              <w:sz w:val="32"/>
              <w:szCs w:val="32"/>
              <w:highlight w:val="none"/>
              <w:lang w:val="zh-CN"/>
            </w:rPr>
            <w:fldChar w:fldCharType="begin"/>
          </w:r>
          <w:r>
            <w:rPr>
              <w:rFonts w:hint="eastAsia" w:ascii="仿宋_GB2312" w:hAnsi="仿宋_GB2312" w:eastAsia="仿宋_GB2312" w:cs="仿宋_GB2312"/>
              <w:b w:val="0"/>
              <w:sz w:val="32"/>
              <w:szCs w:val="32"/>
              <w:highlight w:val="none"/>
              <w:lang w:val="zh-CN"/>
            </w:rPr>
            <w:instrText xml:space="preserve"> HYPERLINK \l _Toc353240796 </w:instrText>
          </w:r>
          <w:r>
            <w:rPr>
              <w:rFonts w:hint="eastAsia" w:ascii="仿宋_GB2312" w:hAnsi="仿宋_GB2312" w:eastAsia="仿宋_GB2312" w:cs="仿宋_GB2312"/>
              <w:b w:val="0"/>
              <w:sz w:val="32"/>
              <w:szCs w:val="32"/>
              <w:highlight w:val="none"/>
              <w:lang w:val="zh-CN"/>
            </w:rPr>
            <w:fldChar w:fldCharType="separate"/>
          </w:r>
          <w:r>
            <w:rPr>
              <w:rFonts w:hint="eastAsia" w:ascii="仿宋_GB2312" w:hAnsi="仿宋_GB2312" w:eastAsia="仿宋_GB2312" w:cs="仿宋_GB2312"/>
              <w:b w:val="0"/>
              <w:bCs/>
              <w:sz w:val="32"/>
              <w:szCs w:val="32"/>
              <w:highlight w:val="none"/>
            </w:rPr>
            <w:t>二、自评情况</w:t>
          </w:r>
          <w:r>
            <w:rPr>
              <w:rFonts w:hint="eastAsia" w:ascii="仿宋_GB2312" w:hAnsi="仿宋_GB2312" w:eastAsia="仿宋_GB2312" w:cs="仿宋_GB2312"/>
              <w:b w:val="0"/>
              <w:sz w:val="32"/>
              <w:szCs w:val="32"/>
              <w:highlight w:val="none"/>
            </w:rPr>
            <w:tab/>
          </w:r>
          <w:r>
            <w:rPr>
              <w:rFonts w:hint="eastAsia" w:ascii="仿宋_GB2312" w:hAnsi="仿宋_GB2312" w:eastAsia="仿宋_GB2312" w:cs="仿宋_GB2312"/>
              <w:b w:val="0"/>
              <w:sz w:val="32"/>
              <w:szCs w:val="32"/>
              <w:highlight w:val="none"/>
            </w:rPr>
            <w:fldChar w:fldCharType="begin"/>
          </w:r>
          <w:r>
            <w:rPr>
              <w:rFonts w:hint="eastAsia" w:ascii="仿宋_GB2312" w:hAnsi="仿宋_GB2312" w:eastAsia="仿宋_GB2312" w:cs="仿宋_GB2312"/>
              <w:b w:val="0"/>
              <w:sz w:val="32"/>
              <w:szCs w:val="32"/>
              <w:highlight w:val="none"/>
            </w:rPr>
            <w:instrText xml:space="preserve"> PAGEREF _Toc353240796 </w:instrText>
          </w:r>
          <w:r>
            <w:rPr>
              <w:rFonts w:hint="eastAsia" w:ascii="仿宋_GB2312" w:hAnsi="仿宋_GB2312" w:eastAsia="仿宋_GB2312" w:cs="仿宋_GB2312"/>
              <w:b w:val="0"/>
              <w:sz w:val="32"/>
              <w:szCs w:val="32"/>
              <w:highlight w:val="none"/>
            </w:rPr>
            <w:fldChar w:fldCharType="separate"/>
          </w:r>
          <w:r>
            <w:rPr>
              <w:rFonts w:hint="eastAsia" w:ascii="仿宋_GB2312" w:hAnsi="仿宋_GB2312" w:eastAsia="仿宋_GB2312" w:cs="仿宋_GB2312"/>
              <w:b w:val="0"/>
              <w:sz w:val="32"/>
              <w:szCs w:val="32"/>
              <w:highlight w:val="none"/>
            </w:rPr>
            <w:t>- 6 -</w:t>
          </w:r>
          <w:r>
            <w:rPr>
              <w:rFonts w:hint="eastAsia" w:ascii="仿宋_GB2312" w:hAnsi="仿宋_GB2312" w:eastAsia="仿宋_GB2312" w:cs="仿宋_GB2312"/>
              <w:b w:val="0"/>
              <w:sz w:val="32"/>
              <w:szCs w:val="32"/>
              <w:highlight w:val="none"/>
            </w:rPr>
            <w:fldChar w:fldCharType="end"/>
          </w:r>
          <w:r>
            <w:rPr>
              <w:rFonts w:hint="eastAsia" w:ascii="仿宋_GB2312" w:hAnsi="仿宋_GB2312" w:eastAsia="仿宋_GB2312" w:cs="仿宋_GB2312"/>
              <w:b w:val="0"/>
              <w:sz w:val="32"/>
              <w:szCs w:val="32"/>
              <w:highlight w:val="none"/>
              <w:lang w:val="zh-CN"/>
            </w:rPr>
            <w:fldChar w:fldCharType="end"/>
          </w:r>
        </w:p>
        <w:p>
          <w:pPr>
            <w:pStyle w:val="11"/>
            <w:tabs>
              <w:tab w:val="right" w:leader="dot" w:pos="8845"/>
              <w:tab w:val="clear" w:pos="8296"/>
            </w:tabs>
            <w:spacing w:line="600" w:lineRule="exact"/>
            <w:ind w:left="0" w:firstLine="0" w:firstLineChars="0"/>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zh-CN"/>
            </w:rPr>
            <w:fldChar w:fldCharType="begin"/>
          </w:r>
          <w:r>
            <w:rPr>
              <w:rFonts w:hint="eastAsia" w:ascii="仿宋_GB2312" w:hAnsi="仿宋_GB2312" w:eastAsia="仿宋_GB2312" w:cs="仿宋_GB2312"/>
              <w:bCs/>
              <w:sz w:val="32"/>
              <w:szCs w:val="32"/>
              <w:highlight w:val="none"/>
              <w:lang w:val="zh-CN"/>
            </w:rPr>
            <w:instrText xml:space="preserve"> HYPERLINK \l _Toc686410983 </w:instrText>
          </w:r>
          <w:r>
            <w:rPr>
              <w:rFonts w:hint="eastAsia" w:ascii="仿宋_GB2312" w:hAnsi="仿宋_GB2312" w:eastAsia="仿宋_GB2312" w:cs="仿宋_GB2312"/>
              <w:bCs/>
              <w:sz w:val="32"/>
              <w:szCs w:val="32"/>
              <w:highlight w:val="none"/>
              <w:lang w:val="zh-CN"/>
            </w:rPr>
            <w:fldChar w:fldCharType="separate"/>
          </w:r>
          <w:r>
            <w:rPr>
              <w:rFonts w:hint="eastAsia" w:ascii="仿宋_GB2312" w:hAnsi="仿宋_GB2312" w:eastAsia="仿宋_GB2312" w:cs="仿宋_GB2312"/>
              <w:bCs/>
              <w:sz w:val="32"/>
              <w:szCs w:val="32"/>
              <w:highlight w:val="none"/>
              <w:lang w:val="en-US"/>
            </w:rPr>
            <w:t xml:space="preserve">（一） </w:t>
          </w:r>
          <w:r>
            <w:rPr>
              <w:rFonts w:hint="eastAsia" w:ascii="仿宋_GB2312" w:hAnsi="仿宋_GB2312" w:eastAsia="仿宋_GB2312" w:cs="仿宋_GB2312"/>
              <w:bCs/>
              <w:sz w:val="32"/>
              <w:szCs w:val="32"/>
              <w:highlight w:val="none"/>
            </w:rPr>
            <w:t>自评结论</w:t>
          </w:r>
          <w:r>
            <w:rPr>
              <w:rFonts w:hint="eastAsia" w:ascii="仿宋_GB2312" w:hAnsi="仿宋_GB2312" w:eastAsia="仿宋_GB2312" w:cs="仿宋_GB2312"/>
              <w:bCs/>
              <w:sz w:val="32"/>
              <w:szCs w:val="32"/>
              <w:highlight w:val="none"/>
            </w:rPr>
            <w:tab/>
          </w:r>
          <w:r>
            <w:rPr>
              <w:rFonts w:hint="eastAsia" w:ascii="仿宋_GB2312" w:hAnsi="仿宋_GB2312" w:eastAsia="仿宋_GB2312" w:cs="仿宋_GB2312"/>
              <w:bCs/>
              <w:sz w:val="32"/>
              <w:szCs w:val="32"/>
              <w:highlight w:val="none"/>
            </w:rPr>
            <w:fldChar w:fldCharType="begin"/>
          </w:r>
          <w:r>
            <w:rPr>
              <w:rFonts w:hint="eastAsia" w:ascii="仿宋_GB2312" w:hAnsi="仿宋_GB2312" w:eastAsia="仿宋_GB2312" w:cs="仿宋_GB2312"/>
              <w:bCs/>
              <w:sz w:val="32"/>
              <w:szCs w:val="32"/>
              <w:highlight w:val="none"/>
            </w:rPr>
            <w:instrText xml:space="preserve"> PAGEREF _Toc686410983 </w:instrText>
          </w:r>
          <w:r>
            <w:rPr>
              <w:rFonts w:hint="eastAsia" w:ascii="仿宋_GB2312" w:hAnsi="仿宋_GB2312" w:eastAsia="仿宋_GB2312" w:cs="仿宋_GB2312"/>
              <w:bCs/>
              <w:sz w:val="32"/>
              <w:szCs w:val="32"/>
              <w:highlight w:val="none"/>
            </w:rPr>
            <w:fldChar w:fldCharType="separate"/>
          </w:r>
          <w:r>
            <w:rPr>
              <w:rFonts w:hint="eastAsia" w:ascii="仿宋_GB2312" w:hAnsi="仿宋_GB2312" w:eastAsia="仿宋_GB2312" w:cs="仿宋_GB2312"/>
              <w:bCs/>
              <w:sz w:val="32"/>
              <w:szCs w:val="32"/>
              <w:highlight w:val="none"/>
            </w:rPr>
            <w:t>- 6 -</w:t>
          </w:r>
          <w:r>
            <w:rPr>
              <w:rFonts w:hint="eastAsia" w:ascii="仿宋_GB2312" w:hAnsi="仿宋_GB2312" w:eastAsia="仿宋_GB2312" w:cs="仿宋_GB2312"/>
              <w:bCs/>
              <w:sz w:val="32"/>
              <w:szCs w:val="32"/>
              <w:highlight w:val="none"/>
            </w:rPr>
            <w:fldChar w:fldCharType="end"/>
          </w:r>
          <w:r>
            <w:rPr>
              <w:rFonts w:hint="eastAsia" w:ascii="仿宋_GB2312" w:hAnsi="仿宋_GB2312" w:eastAsia="仿宋_GB2312" w:cs="仿宋_GB2312"/>
              <w:bCs/>
              <w:sz w:val="32"/>
              <w:szCs w:val="32"/>
              <w:highlight w:val="none"/>
              <w:lang w:val="zh-CN"/>
            </w:rPr>
            <w:fldChar w:fldCharType="end"/>
          </w:r>
        </w:p>
        <w:p>
          <w:pPr>
            <w:pStyle w:val="11"/>
            <w:tabs>
              <w:tab w:val="right" w:leader="dot" w:pos="8845"/>
              <w:tab w:val="clear" w:pos="8296"/>
            </w:tabs>
            <w:spacing w:line="600" w:lineRule="exact"/>
            <w:ind w:left="0" w:firstLine="0" w:firstLineChars="0"/>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zh-CN"/>
            </w:rPr>
            <w:fldChar w:fldCharType="begin"/>
          </w:r>
          <w:r>
            <w:rPr>
              <w:rFonts w:hint="eastAsia" w:ascii="仿宋_GB2312" w:hAnsi="仿宋_GB2312" w:eastAsia="仿宋_GB2312" w:cs="仿宋_GB2312"/>
              <w:bCs/>
              <w:sz w:val="32"/>
              <w:szCs w:val="32"/>
              <w:highlight w:val="none"/>
              <w:lang w:val="zh-CN"/>
            </w:rPr>
            <w:instrText xml:space="preserve"> HYPERLINK \l _Toc1515892816 </w:instrText>
          </w:r>
          <w:r>
            <w:rPr>
              <w:rFonts w:hint="eastAsia" w:ascii="仿宋_GB2312" w:hAnsi="仿宋_GB2312" w:eastAsia="仿宋_GB2312" w:cs="仿宋_GB2312"/>
              <w:bCs/>
              <w:sz w:val="32"/>
              <w:szCs w:val="32"/>
              <w:highlight w:val="none"/>
              <w:lang w:val="zh-CN"/>
            </w:rPr>
            <w:fldChar w:fldCharType="separate"/>
          </w:r>
          <w:r>
            <w:rPr>
              <w:rFonts w:hint="eastAsia" w:ascii="仿宋_GB2312" w:hAnsi="仿宋_GB2312" w:eastAsia="仿宋_GB2312" w:cs="仿宋_GB2312"/>
              <w:bCs/>
              <w:sz w:val="32"/>
              <w:szCs w:val="32"/>
              <w:highlight w:val="none"/>
              <w:lang w:val="en-US"/>
            </w:rPr>
            <w:t xml:space="preserve">（二） </w:t>
          </w:r>
          <w:r>
            <w:rPr>
              <w:rFonts w:hint="eastAsia" w:ascii="仿宋_GB2312" w:hAnsi="仿宋_GB2312" w:eastAsia="仿宋_GB2312" w:cs="仿宋_GB2312"/>
              <w:bCs/>
              <w:sz w:val="32"/>
              <w:szCs w:val="32"/>
              <w:highlight w:val="none"/>
            </w:rPr>
            <w:t>专项资金使用绩效</w:t>
          </w:r>
          <w:r>
            <w:rPr>
              <w:rFonts w:hint="eastAsia" w:ascii="仿宋_GB2312" w:hAnsi="仿宋_GB2312" w:eastAsia="仿宋_GB2312" w:cs="仿宋_GB2312"/>
              <w:bCs/>
              <w:sz w:val="32"/>
              <w:szCs w:val="32"/>
              <w:highlight w:val="none"/>
            </w:rPr>
            <w:tab/>
          </w:r>
          <w:r>
            <w:rPr>
              <w:rFonts w:hint="eastAsia" w:ascii="仿宋_GB2312" w:hAnsi="仿宋_GB2312" w:eastAsia="仿宋_GB2312" w:cs="仿宋_GB2312"/>
              <w:bCs/>
              <w:sz w:val="32"/>
              <w:szCs w:val="32"/>
              <w:highlight w:val="none"/>
            </w:rPr>
            <w:fldChar w:fldCharType="begin"/>
          </w:r>
          <w:r>
            <w:rPr>
              <w:rFonts w:hint="eastAsia" w:ascii="仿宋_GB2312" w:hAnsi="仿宋_GB2312" w:eastAsia="仿宋_GB2312" w:cs="仿宋_GB2312"/>
              <w:bCs/>
              <w:sz w:val="32"/>
              <w:szCs w:val="32"/>
              <w:highlight w:val="none"/>
            </w:rPr>
            <w:instrText xml:space="preserve"> PAGEREF _Toc1515892816 </w:instrText>
          </w:r>
          <w:r>
            <w:rPr>
              <w:rFonts w:hint="eastAsia" w:ascii="仿宋_GB2312" w:hAnsi="仿宋_GB2312" w:eastAsia="仿宋_GB2312" w:cs="仿宋_GB2312"/>
              <w:bCs/>
              <w:sz w:val="32"/>
              <w:szCs w:val="32"/>
              <w:highlight w:val="none"/>
            </w:rPr>
            <w:fldChar w:fldCharType="separate"/>
          </w:r>
          <w:r>
            <w:rPr>
              <w:rFonts w:hint="eastAsia" w:ascii="仿宋_GB2312" w:hAnsi="仿宋_GB2312" w:eastAsia="仿宋_GB2312" w:cs="仿宋_GB2312"/>
              <w:bCs/>
              <w:sz w:val="32"/>
              <w:szCs w:val="32"/>
              <w:highlight w:val="none"/>
            </w:rPr>
            <w:t>- 7 -</w:t>
          </w:r>
          <w:r>
            <w:rPr>
              <w:rFonts w:hint="eastAsia" w:ascii="仿宋_GB2312" w:hAnsi="仿宋_GB2312" w:eastAsia="仿宋_GB2312" w:cs="仿宋_GB2312"/>
              <w:bCs/>
              <w:sz w:val="32"/>
              <w:szCs w:val="32"/>
              <w:highlight w:val="none"/>
            </w:rPr>
            <w:fldChar w:fldCharType="end"/>
          </w:r>
          <w:r>
            <w:rPr>
              <w:rFonts w:hint="eastAsia" w:ascii="仿宋_GB2312" w:hAnsi="仿宋_GB2312" w:eastAsia="仿宋_GB2312" w:cs="仿宋_GB2312"/>
              <w:bCs/>
              <w:sz w:val="32"/>
              <w:szCs w:val="32"/>
              <w:highlight w:val="none"/>
              <w:lang w:val="zh-CN"/>
            </w:rPr>
            <w:fldChar w:fldCharType="end"/>
          </w:r>
        </w:p>
        <w:p>
          <w:pPr>
            <w:pStyle w:val="11"/>
            <w:tabs>
              <w:tab w:val="right" w:leader="dot" w:pos="8845"/>
              <w:tab w:val="clear" w:pos="8296"/>
            </w:tabs>
            <w:spacing w:line="600" w:lineRule="exact"/>
            <w:ind w:left="0" w:firstLine="0" w:firstLineChars="0"/>
            <w:rPr>
              <w:rFonts w:hint="eastAsia" w:ascii="仿宋_GB2312" w:hAnsi="仿宋_GB2312" w:eastAsia="仿宋_GB2312" w:cs="仿宋_GB2312"/>
              <w:bCs/>
              <w:sz w:val="32"/>
              <w:szCs w:val="32"/>
              <w:highlight w:val="none"/>
            </w:rPr>
          </w:pPr>
          <w:r>
            <w:rPr>
              <w:rFonts w:hint="eastAsia" w:ascii="仿宋_GB2312" w:hAnsi="仿宋_GB2312" w:eastAsia="仿宋_GB2312" w:cs="仿宋_GB2312"/>
              <w:bCs/>
              <w:sz w:val="32"/>
              <w:szCs w:val="32"/>
              <w:highlight w:val="none"/>
              <w:lang w:val="zh-CN"/>
            </w:rPr>
            <w:fldChar w:fldCharType="begin"/>
          </w:r>
          <w:r>
            <w:rPr>
              <w:rFonts w:hint="eastAsia" w:ascii="仿宋_GB2312" w:hAnsi="仿宋_GB2312" w:eastAsia="仿宋_GB2312" w:cs="仿宋_GB2312"/>
              <w:bCs/>
              <w:sz w:val="32"/>
              <w:szCs w:val="32"/>
              <w:highlight w:val="none"/>
              <w:lang w:val="zh-CN"/>
            </w:rPr>
            <w:instrText xml:space="preserve"> HYPERLINK \l _Toc1562853980 </w:instrText>
          </w:r>
          <w:r>
            <w:rPr>
              <w:rFonts w:hint="eastAsia" w:ascii="仿宋_GB2312" w:hAnsi="仿宋_GB2312" w:eastAsia="仿宋_GB2312" w:cs="仿宋_GB2312"/>
              <w:bCs/>
              <w:sz w:val="32"/>
              <w:szCs w:val="32"/>
              <w:highlight w:val="none"/>
              <w:lang w:val="zh-CN"/>
            </w:rPr>
            <w:fldChar w:fldCharType="separate"/>
          </w:r>
          <w:r>
            <w:rPr>
              <w:rFonts w:hint="eastAsia" w:ascii="仿宋_GB2312" w:hAnsi="仿宋_GB2312" w:eastAsia="仿宋_GB2312" w:cs="仿宋_GB2312"/>
              <w:bCs/>
              <w:sz w:val="32"/>
              <w:szCs w:val="32"/>
              <w:highlight w:val="none"/>
              <w:lang w:val="en-US"/>
            </w:rPr>
            <w:t xml:space="preserve">（三） </w:t>
          </w:r>
          <w:r>
            <w:rPr>
              <w:rFonts w:hint="eastAsia" w:ascii="仿宋_GB2312" w:hAnsi="仿宋_GB2312" w:eastAsia="仿宋_GB2312" w:cs="仿宋_GB2312"/>
              <w:bCs/>
              <w:sz w:val="32"/>
              <w:szCs w:val="32"/>
              <w:highlight w:val="none"/>
            </w:rPr>
            <w:t>存在问题</w:t>
          </w:r>
          <w:r>
            <w:rPr>
              <w:rFonts w:hint="eastAsia" w:ascii="仿宋_GB2312" w:hAnsi="仿宋_GB2312" w:eastAsia="仿宋_GB2312" w:cs="仿宋_GB2312"/>
              <w:bCs/>
              <w:sz w:val="32"/>
              <w:szCs w:val="32"/>
              <w:highlight w:val="none"/>
            </w:rPr>
            <w:tab/>
          </w:r>
          <w:r>
            <w:rPr>
              <w:rFonts w:hint="eastAsia" w:ascii="仿宋_GB2312" w:hAnsi="仿宋_GB2312" w:eastAsia="仿宋_GB2312" w:cs="仿宋_GB2312"/>
              <w:bCs/>
              <w:sz w:val="32"/>
              <w:szCs w:val="32"/>
              <w:highlight w:val="none"/>
            </w:rPr>
            <w:fldChar w:fldCharType="begin"/>
          </w:r>
          <w:r>
            <w:rPr>
              <w:rFonts w:hint="eastAsia" w:ascii="仿宋_GB2312" w:hAnsi="仿宋_GB2312" w:eastAsia="仿宋_GB2312" w:cs="仿宋_GB2312"/>
              <w:bCs/>
              <w:sz w:val="32"/>
              <w:szCs w:val="32"/>
              <w:highlight w:val="none"/>
            </w:rPr>
            <w:instrText xml:space="preserve"> PAGEREF _Toc1562853980 </w:instrText>
          </w:r>
          <w:r>
            <w:rPr>
              <w:rFonts w:hint="eastAsia" w:ascii="仿宋_GB2312" w:hAnsi="仿宋_GB2312" w:eastAsia="仿宋_GB2312" w:cs="仿宋_GB2312"/>
              <w:bCs/>
              <w:sz w:val="32"/>
              <w:szCs w:val="32"/>
              <w:highlight w:val="none"/>
            </w:rPr>
            <w:fldChar w:fldCharType="separate"/>
          </w:r>
          <w:r>
            <w:rPr>
              <w:rFonts w:hint="eastAsia" w:ascii="仿宋_GB2312" w:hAnsi="仿宋_GB2312" w:eastAsia="仿宋_GB2312" w:cs="仿宋_GB2312"/>
              <w:bCs/>
              <w:sz w:val="32"/>
              <w:szCs w:val="32"/>
              <w:highlight w:val="none"/>
            </w:rPr>
            <w:t>- 10 -</w:t>
          </w:r>
          <w:r>
            <w:rPr>
              <w:rFonts w:hint="eastAsia" w:ascii="仿宋_GB2312" w:hAnsi="仿宋_GB2312" w:eastAsia="仿宋_GB2312" w:cs="仿宋_GB2312"/>
              <w:bCs/>
              <w:sz w:val="32"/>
              <w:szCs w:val="32"/>
              <w:highlight w:val="none"/>
            </w:rPr>
            <w:fldChar w:fldCharType="end"/>
          </w:r>
          <w:r>
            <w:rPr>
              <w:rFonts w:hint="eastAsia" w:ascii="仿宋_GB2312" w:hAnsi="仿宋_GB2312" w:eastAsia="仿宋_GB2312" w:cs="仿宋_GB2312"/>
              <w:bCs/>
              <w:sz w:val="32"/>
              <w:szCs w:val="32"/>
              <w:highlight w:val="none"/>
              <w:lang w:val="zh-CN"/>
            </w:rPr>
            <w:fldChar w:fldCharType="end"/>
          </w:r>
        </w:p>
        <w:p>
          <w:pPr>
            <w:pStyle w:val="10"/>
            <w:tabs>
              <w:tab w:val="right" w:leader="dot" w:pos="8845"/>
              <w:tab w:val="clear" w:pos="840"/>
              <w:tab w:val="clear" w:pos="8296"/>
            </w:tabs>
            <w:spacing w:line="600" w:lineRule="exact"/>
            <w:rPr>
              <w:rFonts w:hint="eastAsia" w:ascii="仿宋_GB2312" w:hAnsi="仿宋_GB2312" w:eastAsia="仿宋_GB2312" w:cs="仿宋_GB2312"/>
              <w:b w:val="0"/>
              <w:sz w:val="32"/>
              <w:szCs w:val="32"/>
              <w:highlight w:val="none"/>
            </w:rPr>
          </w:pPr>
          <w:r>
            <w:rPr>
              <w:rFonts w:hint="eastAsia" w:ascii="仿宋_GB2312" w:hAnsi="仿宋_GB2312" w:eastAsia="仿宋_GB2312" w:cs="仿宋_GB2312"/>
              <w:b w:val="0"/>
              <w:sz w:val="32"/>
              <w:szCs w:val="32"/>
              <w:highlight w:val="none"/>
              <w:lang w:val="zh-CN"/>
            </w:rPr>
            <w:fldChar w:fldCharType="begin"/>
          </w:r>
          <w:r>
            <w:rPr>
              <w:rFonts w:hint="eastAsia" w:ascii="仿宋_GB2312" w:hAnsi="仿宋_GB2312" w:eastAsia="仿宋_GB2312" w:cs="仿宋_GB2312"/>
              <w:b w:val="0"/>
              <w:sz w:val="32"/>
              <w:szCs w:val="32"/>
              <w:highlight w:val="none"/>
              <w:lang w:val="zh-CN"/>
            </w:rPr>
            <w:instrText xml:space="preserve"> HYPERLINK \l _Toc1527531991 </w:instrText>
          </w:r>
          <w:r>
            <w:rPr>
              <w:rFonts w:hint="eastAsia" w:ascii="仿宋_GB2312" w:hAnsi="仿宋_GB2312" w:eastAsia="仿宋_GB2312" w:cs="仿宋_GB2312"/>
              <w:b w:val="0"/>
              <w:sz w:val="32"/>
              <w:szCs w:val="32"/>
              <w:highlight w:val="none"/>
              <w:lang w:val="zh-CN"/>
            </w:rPr>
            <w:fldChar w:fldCharType="separate"/>
          </w:r>
          <w:r>
            <w:rPr>
              <w:rFonts w:hint="eastAsia" w:ascii="仿宋_GB2312" w:hAnsi="仿宋_GB2312" w:eastAsia="仿宋_GB2312" w:cs="仿宋_GB2312"/>
              <w:b w:val="0"/>
              <w:bCs/>
              <w:sz w:val="32"/>
              <w:szCs w:val="32"/>
              <w:highlight w:val="none"/>
              <w:lang w:eastAsia="zh-CN"/>
            </w:rPr>
            <w:t>三</w:t>
          </w:r>
          <w:r>
            <w:rPr>
              <w:rFonts w:hint="eastAsia" w:ascii="仿宋_GB2312" w:hAnsi="仿宋_GB2312" w:eastAsia="仿宋_GB2312" w:cs="仿宋_GB2312"/>
              <w:b w:val="0"/>
              <w:bCs/>
              <w:sz w:val="32"/>
              <w:szCs w:val="32"/>
              <w:highlight w:val="none"/>
            </w:rPr>
            <w:t>、改进意见</w:t>
          </w:r>
          <w:r>
            <w:rPr>
              <w:rFonts w:hint="eastAsia" w:ascii="仿宋_GB2312" w:hAnsi="仿宋_GB2312" w:eastAsia="仿宋_GB2312" w:cs="仿宋_GB2312"/>
              <w:b w:val="0"/>
              <w:sz w:val="32"/>
              <w:szCs w:val="32"/>
              <w:highlight w:val="none"/>
            </w:rPr>
            <w:tab/>
          </w:r>
          <w:r>
            <w:rPr>
              <w:rFonts w:hint="eastAsia" w:ascii="仿宋_GB2312" w:hAnsi="仿宋_GB2312" w:eastAsia="仿宋_GB2312" w:cs="仿宋_GB2312"/>
              <w:b w:val="0"/>
              <w:sz w:val="32"/>
              <w:szCs w:val="32"/>
              <w:highlight w:val="none"/>
            </w:rPr>
            <w:fldChar w:fldCharType="begin"/>
          </w:r>
          <w:r>
            <w:rPr>
              <w:rFonts w:hint="eastAsia" w:ascii="仿宋_GB2312" w:hAnsi="仿宋_GB2312" w:eastAsia="仿宋_GB2312" w:cs="仿宋_GB2312"/>
              <w:b w:val="0"/>
              <w:sz w:val="32"/>
              <w:szCs w:val="32"/>
              <w:highlight w:val="none"/>
            </w:rPr>
            <w:instrText xml:space="preserve"> PAGEREF _Toc1527531991 </w:instrText>
          </w:r>
          <w:r>
            <w:rPr>
              <w:rFonts w:hint="eastAsia" w:ascii="仿宋_GB2312" w:hAnsi="仿宋_GB2312" w:eastAsia="仿宋_GB2312" w:cs="仿宋_GB2312"/>
              <w:b w:val="0"/>
              <w:sz w:val="32"/>
              <w:szCs w:val="32"/>
              <w:highlight w:val="none"/>
            </w:rPr>
            <w:fldChar w:fldCharType="separate"/>
          </w:r>
          <w:r>
            <w:rPr>
              <w:rFonts w:hint="eastAsia" w:ascii="仿宋_GB2312" w:hAnsi="仿宋_GB2312" w:eastAsia="仿宋_GB2312" w:cs="仿宋_GB2312"/>
              <w:b w:val="0"/>
              <w:sz w:val="32"/>
              <w:szCs w:val="32"/>
              <w:highlight w:val="none"/>
            </w:rPr>
            <w:t>- 11 -</w:t>
          </w:r>
          <w:r>
            <w:rPr>
              <w:rFonts w:hint="eastAsia" w:ascii="仿宋_GB2312" w:hAnsi="仿宋_GB2312" w:eastAsia="仿宋_GB2312" w:cs="仿宋_GB2312"/>
              <w:b w:val="0"/>
              <w:sz w:val="32"/>
              <w:szCs w:val="32"/>
              <w:highlight w:val="none"/>
            </w:rPr>
            <w:fldChar w:fldCharType="end"/>
          </w:r>
          <w:r>
            <w:rPr>
              <w:rFonts w:hint="eastAsia" w:ascii="仿宋_GB2312" w:hAnsi="仿宋_GB2312" w:eastAsia="仿宋_GB2312" w:cs="仿宋_GB2312"/>
              <w:b w:val="0"/>
              <w:sz w:val="32"/>
              <w:szCs w:val="32"/>
              <w:highlight w:val="none"/>
              <w:lang w:val="zh-CN"/>
            </w:rPr>
            <w:fldChar w:fldCharType="end"/>
          </w:r>
        </w:p>
        <w:p>
          <w:pPr>
            <w:pStyle w:val="10"/>
            <w:tabs>
              <w:tab w:val="right" w:leader="dot" w:pos="8845"/>
              <w:tab w:val="clear" w:pos="840"/>
              <w:tab w:val="clear" w:pos="8296"/>
            </w:tabs>
            <w:spacing w:line="600" w:lineRule="exact"/>
            <w:rPr>
              <w:highlight w:val="none"/>
            </w:rPr>
          </w:pPr>
        </w:p>
        <w:p>
          <w:pPr>
            <w:pStyle w:val="10"/>
            <w:tabs>
              <w:tab w:val="clear" w:pos="840"/>
            </w:tabs>
            <w:rPr>
              <w:highlight w:val="none"/>
            </w:rPr>
          </w:pPr>
          <w:r>
            <w:rPr>
              <w:highlight w:val="none"/>
              <w:lang w:val="zh-CN"/>
            </w:rPr>
            <w:fldChar w:fldCharType="end"/>
          </w:r>
        </w:p>
      </w:sdtContent>
    </w:sdt>
    <w:p>
      <w:pPr>
        <w:rPr>
          <w:rFonts w:ascii="Times New Roman" w:hAnsi="Times New Roman" w:eastAsia="宋体" w:cs="Times New Roman"/>
          <w:sz w:val="28"/>
          <w:szCs w:val="28"/>
          <w:highlight w:val="none"/>
        </w:rPr>
      </w:pPr>
    </w:p>
    <w:p>
      <w:pPr>
        <w:spacing w:line="600" w:lineRule="exact"/>
        <w:ind w:firstLine="420" w:firstLineChars="200"/>
        <w:outlineLvl w:val="0"/>
        <w:rPr>
          <w:rFonts w:hint="eastAsia" w:ascii="黑体" w:hAnsi="黑体" w:eastAsia="黑体" w:cs="黑体"/>
          <w:sz w:val="32"/>
          <w:szCs w:val="32"/>
          <w:highlight w:val="none"/>
        </w:rPr>
      </w:pPr>
      <w:r>
        <w:rPr>
          <w:highlight w:val="none"/>
        </w:rPr>
        <w:br w:type="page"/>
      </w:r>
      <w:bookmarkStart w:id="0" w:name="_Toc1995512991"/>
      <w:bookmarkStart w:id="1" w:name="_Toc938301485"/>
      <w:bookmarkStart w:id="2" w:name="_Toc139818364"/>
      <w:bookmarkStart w:id="3" w:name="_Toc881915976"/>
      <w:r>
        <w:rPr>
          <w:rFonts w:hint="eastAsia" w:ascii="黑体" w:hAnsi="黑体" w:eastAsia="黑体" w:cs="黑体"/>
          <w:b w:val="0"/>
          <w:bCs w:val="0"/>
          <w:sz w:val="32"/>
          <w:szCs w:val="32"/>
          <w:highlight w:val="none"/>
        </w:rPr>
        <w:t>一、基本情况</w:t>
      </w:r>
      <w:bookmarkEnd w:id="0"/>
      <w:bookmarkEnd w:id="1"/>
      <w:bookmarkEnd w:id="2"/>
      <w:bookmarkEnd w:id="3"/>
    </w:p>
    <w:p>
      <w:pPr>
        <w:pStyle w:val="24"/>
        <w:numPr>
          <w:ilvl w:val="1"/>
          <w:numId w:val="1"/>
        </w:numPr>
        <w:spacing w:line="600" w:lineRule="exact"/>
        <w:ind w:left="0" w:firstLine="420"/>
        <w:outlineLvl w:val="1"/>
        <w:rPr>
          <w:rFonts w:hint="eastAsia" w:ascii="楷体_GB2312" w:hAnsi="楷体_GB2312" w:eastAsia="楷体_GB2312" w:cs="楷体_GB2312"/>
          <w:b w:val="0"/>
          <w:bCs w:val="0"/>
          <w:sz w:val="32"/>
          <w:szCs w:val="32"/>
          <w:highlight w:val="none"/>
        </w:rPr>
      </w:pPr>
      <w:bookmarkStart w:id="4" w:name="_Toc1104524320"/>
      <w:bookmarkStart w:id="5" w:name="_Toc1452799327"/>
      <w:bookmarkStart w:id="6" w:name="_Toc57777545"/>
      <w:bookmarkStart w:id="7" w:name="_Toc1940794201"/>
      <w:bookmarkStart w:id="8" w:name="_Toc139818365"/>
      <w:bookmarkStart w:id="9" w:name="_Toc521022043"/>
      <w:bookmarkStart w:id="10" w:name="_Toc394173700"/>
      <w:r>
        <w:rPr>
          <w:rFonts w:hint="eastAsia" w:ascii="楷体_GB2312" w:hAnsi="楷体_GB2312" w:eastAsia="楷体_GB2312" w:cs="楷体_GB2312"/>
          <w:b w:val="0"/>
          <w:bCs w:val="0"/>
          <w:sz w:val="32"/>
          <w:szCs w:val="32"/>
          <w:highlight w:val="none"/>
        </w:rPr>
        <w:t>项目基本情况</w:t>
      </w:r>
      <w:bookmarkEnd w:id="4"/>
      <w:bookmarkEnd w:id="5"/>
      <w:bookmarkEnd w:id="6"/>
      <w:bookmarkEnd w:id="7"/>
      <w:bookmarkEnd w:id="8"/>
      <w:bookmarkEnd w:id="9"/>
      <w:bookmarkEnd w:id="10"/>
    </w:p>
    <w:p>
      <w:pPr>
        <w:spacing w:line="600" w:lineRule="exact"/>
        <w:ind w:firstLine="640" w:firstLineChars="200"/>
        <w:rPr>
          <w:rFonts w:hint="eastAsia" w:ascii="楷体_GB2312" w:hAnsi="楷体_GB2312" w:eastAsia="楷体_GB2312" w:cs="楷体_GB2312"/>
          <w:b w:val="0"/>
          <w:bCs w:val="0"/>
          <w:sz w:val="32"/>
          <w:szCs w:val="32"/>
          <w:highlight w:val="none"/>
        </w:rPr>
      </w:pPr>
      <w:r>
        <w:rPr>
          <w:rFonts w:hint="eastAsia" w:ascii="楷体_GB2312" w:hAnsi="楷体_GB2312" w:eastAsia="楷体_GB2312" w:cs="楷体_GB2312"/>
          <w:b w:val="0"/>
          <w:bCs w:val="0"/>
          <w:sz w:val="32"/>
          <w:szCs w:val="32"/>
          <w:highlight w:val="none"/>
        </w:rPr>
        <w:t>1.项目实施背景</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大力推进生态文明建设，深入开展建筑领域节能减排工作，提升城乡人居环境品质与安全运行水平。根据《国家发展改革委关于印发&lt;绿色生活创建行动总体方案&gt;的通知》（发改环资〔2019〕1696号）、《住房和城乡建设部 国家发展改革委 教育部 工业和信息化部 人民银行 国管局 银保监会关于印发绿色建筑创建行动方案的通知》（建标〔2020〕65号）、《关于印发&lt;广东省绿色建筑创建行动实施方案（2021－2023）&gt;的通知》（粤建科〔2021〕166号）、《广东省建筑节能与绿色建筑发展“十四五”规划》《广东省绿色建筑条例》等政策文件要求，为鼓励先进，引领绿色建筑全省全面发展，增强人民对绿色建筑幸福感和获得感，大力推广运行的绿色建筑，我厅向省</w:t>
      </w:r>
      <w:r>
        <w:rPr>
          <w:rFonts w:hint="eastAsia" w:ascii="仿宋_GB2312" w:hAnsi="仿宋_GB2312" w:eastAsia="仿宋_GB2312" w:cs="仿宋_GB2312"/>
          <w:sz w:val="32"/>
          <w:szCs w:val="32"/>
          <w:highlight w:val="none"/>
          <w:lang w:eastAsia="zh-CN"/>
        </w:rPr>
        <w:t>财政</w:t>
      </w:r>
      <w:r>
        <w:rPr>
          <w:rFonts w:hint="eastAsia" w:ascii="仿宋_GB2312" w:hAnsi="仿宋_GB2312" w:eastAsia="仿宋_GB2312" w:cs="仿宋_GB2312"/>
          <w:sz w:val="32"/>
          <w:szCs w:val="32"/>
          <w:highlight w:val="none"/>
        </w:rPr>
        <w:t>厅申请了2023年打好污染防治攻坚战—环境监管能力建设—城乡建设绿色发展专项资金1200万元，以发挥省级打好污染防治攻坚战专项资金的引领作用。</w:t>
      </w:r>
    </w:p>
    <w:p>
      <w:pPr>
        <w:spacing w:line="600" w:lineRule="exact"/>
        <w:ind w:firstLine="640" w:firstLineChars="200"/>
        <w:rPr>
          <w:rFonts w:hint="eastAsia" w:ascii="楷体_GB2312" w:hAnsi="楷体_GB2312" w:eastAsia="楷体_GB2312" w:cs="楷体_GB2312"/>
          <w:b w:val="0"/>
          <w:bCs w:val="0"/>
          <w:sz w:val="32"/>
          <w:szCs w:val="32"/>
          <w:highlight w:val="none"/>
        </w:rPr>
      </w:pPr>
      <w:r>
        <w:rPr>
          <w:rFonts w:hint="eastAsia" w:ascii="楷体_GB2312" w:hAnsi="楷体_GB2312" w:eastAsia="楷体_GB2312" w:cs="楷体_GB2312"/>
          <w:b w:val="0"/>
          <w:bCs w:val="0"/>
          <w:sz w:val="32"/>
          <w:szCs w:val="32"/>
          <w:highlight w:val="none"/>
        </w:rPr>
        <w:t>2.项目建设内容</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城乡建设绿色发展资金项目始于2</w:t>
      </w:r>
      <w:bookmarkStart w:id="63" w:name="_GoBack"/>
      <w:bookmarkEnd w:id="63"/>
      <w:r>
        <w:rPr>
          <w:rFonts w:hint="eastAsia" w:ascii="仿宋_GB2312" w:hAnsi="仿宋_GB2312" w:eastAsia="仿宋_GB2312" w:cs="仿宋_GB2312"/>
          <w:sz w:val="32"/>
          <w:szCs w:val="32"/>
          <w:highlight w:val="none"/>
        </w:rPr>
        <w:t>013年，主旨是贯彻落实省委省政府关于节能减排、推进我省生态文明建设等方针政策。根据广东省财政厅 广东省住房和城乡建设厅《关于印发广东省住房和城乡建设领域专项资金管理办法的通知》（粤财建〔2021〕6号）规定，该专项资金采用补助、以奖代补等支持方式，用于支持我省各市县开展城乡建设绿色发展工作进行奖补，包括:绿色建筑、超低能耗（被动式）及近零能耗建筑、装配式建筑;既有建筑节能改造与绿色化改造、预拌混凝土企业绿色生产改造;可再生能源建筑应用、建筑能耗监测平台建设;绿色建材的推广应用、建筑节能与绿色建筑技术研究（含新技术、新工艺、新设备、新产品、新材料的研发和推广项目)﹔建筑节能与绿色建筑标准制订、碳达峰碳中和等相关工作研究和项目推进等方面。</w:t>
      </w:r>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2023年，该项目资金共计1200万元，主要用于绿色建筑标识项目评审认定，省级相关技术研究和标准制定相关工作，以及支持珠海、佛山、河源、东莞、惠州、江门、梅州、云浮、中山、肇庆等地区绿色建筑项目、超低能耗建筑、近零能耗建筑项目、建筑节能改造项目、建筑能耗监测项目、建筑节能与绿色建筑标准制订项目、建筑节能与绿色建筑技术研究项目、碳达峰碳中和等相关工作研究及推进项目。</w:t>
      </w:r>
    </w:p>
    <w:p>
      <w:pPr>
        <w:pStyle w:val="24"/>
        <w:numPr>
          <w:ilvl w:val="1"/>
          <w:numId w:val="1"/>
        </w:numPr>
        <w:spacing w:line="600" w:lineRule="exact"/>
        <w:ind w:left="0" w:firstLine="420"/>
        <w:outlineLvl w:val="1"/>
        <w:rPr>
          <w:rFonts w:hint="eastAsia" w:ascii="楷体_GB2312" w:hAnsi="楷体_GB2312" w:eastAsia="楷体_GB2312" w:cs="楷体_GB2312"/>
          <w:b w:val="0"/>
          <w:bCs w:val="0"/>
          <w:sz w:val="32"/>
          <w:szCs w:val="32"/>
          <w:highlight w:val="none"/>
        </w:rPr>
      </w:pPr>
      <w:bookmarkStart w:id="11" w:name="_Toc1392563822"/>
      <w:bookmarkStart w:id="12" w:name="_Toc849777910"/>
      <w:bookmarkStart w:id="13" w:name="_Toc634944451"/>
      <w:bookmarkStart w:id="14" w:name="_Toc549511940"/>
      <w:bookmarkStart w:id="15" w:name="_Toc139818366"/>
      <w:bookmarkStart w:id="16" w:name="_Toc1676860356"/>
      <w:bookmarkStart w:id="17" w:name="_Toc2115460846"/>
      <w:r>
        <w:rPr>
          <w:rFonts w:hint="eastAsia" w:ascii="楷体_GB2312" w:hAnsi="楷体_GB2312" w:eastAsia="楷体_GB2312" w:cs="楷体_GB2312"/>
          <w:b w:val="0"/>
          <w:bCs w:val="0"/>
          <w:sz w:val="32"/>
          <w:szCs w:val="32"/>
          <w:highlight w:val="none"/>
        </w:rPr>
        <w:t>项目资金情况</w:t>
      </w:r>
      <w:bookmarkEnd w:id="11"/>
      <w:bookmarkEnd w:id="12"/>
      <w:bookmarkEnd w:id="13"/>
      <w:bookmarkEnd w:id="14"/>
      <w:bookmarkEnd w:id="15"/>
      <w:bookmarkEnd w:id="16"/>
      <w:bookmarkEnd w:id="17"/>
    </w:p>
    <w:p>
      <w:pPr>
        <w:pStyle w:val="24"/>
        <w:spacing w:line="600" w:lineRule="exact"/>
        <w:ind w:firstLineChars="200"/>
        <w:outlineLvl w:val="9"/>
        <w:rPr>
          <w:rFonts w:hint="eastAsia" w:ascii="仿宋_GB2312" w:hAnsi="仿宋_GB2312" w:eastAsia="仿宋_GB2312" w:cs="仿宋_GB2312"/>
          <w:sz w:val="32"/>
          <w:szCs w:val="32"/>
          <w:highlight w:val="none"/>
        </w:rPr>
      </w:pPr>
      <w:bookmarkStart w:id="18" w:name="_Toc735885513"/>
      <w:bookmarkStart w:id="19" w:name="_Toc324800465"/>
      <w:r>
        <w:rPr>
          <w:rFonts w:hint="eastAsia" w:ascii="仿宋_GB2312" w:hAnsi="仿宋_GB2312" w:eastAsia="仿宋_GB2312" w:cs="仿宋_GB2312"/>
          <w:sz w:val="32"/>
          <w:szCs w:val="32"/>
          <w:highlight w:val="none"/>
        </w:rPr>
        <w:t>根据广东省财政厅下发的《广东省财政厅关于提前下达2023年省住房城乡建设厅主管专项资金的通知》（粤财建〔2022〕80号）文件显示，本项目2023年度共安排预算1200万元。</w:t>
      </w:r>
      <w:bookmarkEnd w:id="18"/>
      <w:bookmarkEnd w:id="19"/>
    </w:p>
    <w:p>
      <w:pPr>
        <w:pStyle w:val="24"/>
        <w:spacing w:line="600" w:lineRule="exact"/>
        <w:ind w:firstLine="640" w:firstLineChars="200"/>
        <w:outlineLvl w:val="9"/>
        <w:rPr>
          <w:rFonts w:hint="eastAsia" w:ascii="Times New Roman" w:hAnsi="Times New Roman" w:eastAsia="宋体" w:cs="Times New Roman"/>
          <w:sz w:val="32"/>
          <w:szCs w:val="32"/>
          <w:highlight w:val="none"/>
        </w:rPr>
      </w:pPr>
      <w:bookmarkStart w:id="20" w:name="_Toc818092727"/>
      <w:r>
        <w:rPr>
          <w:rFonts w:hint="eastAsia" w:ascii="仿宋_GB2312" w:hAnsi="仿宋_GB2312" w:eastAsia="仿宋_GB2312" w:cs="仿宋_GB2312"/>
          <w:sz w:val="32"/>
          <w:szCs w:val="32"/>
          <w:highlight w:val="none"/>
        </w:rPr>
        <w:t>根据广东省住房和城乡建设厅下达的《广东省住房和城乡建设厅关于提前下达2023年省级城乡建设绿色发展资金任务清单的通知》，各地区资金及任务分配如下表所示：</w:t>
      </w:r>
      <w:bookmarkEnd w:id="20"/>
    </w:p>
    <w:p>
      <w:pPr>
        <w:spacing w:line="560" w:lineRule="exact"/>
        <w:ind w:firstLine="565" w:firstLineChars="202"/>
        <w:jc w:val="left"/>
        <w:rPr>
          <w:rFonts w:hint="eastAsia" w:ascii="Times New Roman" w:hAnsi="Times New Roman" w:eastAsia="宋体" w:cs="Times New Roman"/>
          <w:sz w:val="28"/>
          <w:szCs w:val="28"/>
          <w:highlight w:val="none"/>
        </w:rPr>
      </w:pPr>
      <w:r>
        <w:rPr>
          <w:rFonts w:hint="eastAsia" w:ascii="Times New Roman" w:hAnsi="Times New Roman" w:eastAsia="宋体" w:cs="Times New Roman"/>
          <w:sz w:val="28"/>
          <w:szCs w:val="28"/>
          <w:highlight w:val="none"/>
        </w:rPr>
        <w:t>表1：</w:t>
      </w:r>
      <w:r>
        <w:rPr>
          <w:rFonts w:ascii="Times New Roman" w:hAnsi="Times New Roman" w:eastAsia="宋体" w:cs="Times New Roman"/>
          <w:sz w:val="28"/>
          <w:szCs w:val="28"/>
          <w:highlight w:val="none"/>
        </w:rPr>
        <w:t>202</w:t>
      </w:r>
      <w:r>
        <w:rPr>
          <w:rFonts w:hint="eastAsia" w:ascii="Times New Roman" w:hAnsi="Times New Roman" w:eastAsia="宋体" w:cs="Times New Roman"/>
          <w:sz w:val="28"/>
          <w:szCs w:val="28"/>
          <w:highlight w:val="none"/>
        </w:rPr>
        <w:t>3</w:t>
      </w:r>
      <w:r>
        <w:rPr>
          <w:rFonts w:ascii="Times New Roman" w:hAnsi="Times New Roman" w:eastAsia="宋体" w:cs="Times New Roman"/>
          <w:sz w:val="28"/>
          <w:szCs w:val="28"/>
          <w:highlight w:val="none"/>
        </w:rPr>
        <w:t>年</w:t>
      </w:r>
      <w:r>
        <w:rPr>
          <w:rFonts w:hint="eastAsia" w:ascii="Times New Roman" w:hAnsi="Times New Roman" w:eastAsia="宋体" w:cs="Times New Roman"/>
          <w:sz w:val="28"/>
          <w:szCs w:val="28"/>
          <w:highlight w:val="none"/>
        </w:rPr>
        <w:t>城乡建设绿色发展</w:t>
      </w:r>
      <w:r>
        <w:rPr>
          <w:rFonts w:ascii="Times New Roman" w:hAnsi="Times New Roman" w:eastAsia="宋体" w:cs="Times New Roman"/>
          <w:sz w:val="28"/>
          <w:szCs w:val="28"/>
          <w:highlight w:val="none"/>
        </w:rPr>
        <w:t>资金任务清单</w:t>
      </w:r>
      <w:r>
        <w:rPr>
          <w:rFonts w:hint="eastAsia" w:ascii="Times New Roman" w:hAnsi="Times New Roman" w:eastAsia="宋体" w:cs="Times New Roman"/>
          <w:sz w:val="28"/>
          <w:szCs w:val="28"/>
          <w:highlight w:val="none"/>
        </w:rPr>
        <w:t>和资金分配表</w:t>
      </w:r>
    </w:p>
    <w:tbl>
      <w:tblPr>
        <w:tblStyle w:val="14"/>
        <w:tblW w:w="9140" w:type="dxa"/>
        <w:jc w:val="center"/>
        <w:tblLayout w:type="autofit"/>
        <w:tblCellMar>
          <w:top w:w="0" w:type="dxa"/>
          <w:left w:w="108" w:type="dxa"/>
          <w:bottom w:w="0" w:type="dxa"/>
          <w:right w:w="108" w:type="dxa"/>
        </w:tblCellMar>
      </w:tblPr>
      <w:tblGrid>
        <w:gridCol w:w="720"/>
        <w:gridCol w:w="1340"/>
        <w:gridCol w:w="2820"/>
        <w:gridCol w:w="1680"/>
        <w:gridCol w:w="1540"/>
        <w:gridCol w:w="1040"/>
      </w:tblGrid>
      <w:tr>
        <w:tblPrEx>
          <w:tblCellMar>
            <w:top w:w="0" w:type="dxa"/>
            <w:left w:w="108" w:type="dxa"/>
            <w:bottom w:w="0" w:type="dxa"/>
            <w:right w:w="108" w:type="dxa"/>
          </w:tblCellMar>
        </w:tblPrEx>
        <w:trPr>
          <w:trHeight w:val="690" w:hRule="atLeast"/>
          <w:jc w:val="center"/>
        </w:trPr>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黑体"/>
                <w:b/>
                <w:bCs/>
                <w:color w:val="000000"/>
                <w:kern w:val="0"/>
                <w:sz w:val="22"/>
                <w:highlight w:val="none"/>
              </w:rPr>
            </w:pPr>
            <w:r>
              <w:rPr>
                <w:rFonts w:hint="eastAsia" w:ascii="黑体" w:hAnsi="黑体" w:eastAsia="黑体" w:cs="黑体"/>
                <w:b/>
                <w:bCs/>
                <w:color w:val="000000"/>
                <w:kern w:val="0"/>
                <w:sz w:val="22"/>
                <w:highlight w:val="none"/>
              </w:rPr>
              <w:t>序号</w:t>
            </w:r>
          </w:p>
        </w:tc>
        <w:tc>
          <w:tcPr>
            <w:tcW w:w="13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黑体"/>
                <w:b/>
                <w:bCs/>
                <w:color w:val="000000"/>
                <w:kern w:val="0"/>
                <w:sz w:val="22"/>
                <w:highlight w:val="none"/>
              </w:rPr>
            </w:pPr>
            <w:r>
              <w:rPr>
                <w:rFonts w:hint="eastAsia" w:ascii="黑体" w:hAnsi="黑体" w:eastAsia="黑体" w:cs="黑体"/>
                <w:b/>
                <w:bCs/>
                <w:color w:val="000000"/>
                <w:kern w:val="0"/>
                <w:sz w:val="22"/>
                <w:highlight w:val="none"/>
              </w:rPr>
              <w:t>地区</w:t>
            </w:r>
          </w:p>
        </w:tc>
        <w:tc>
          <w:tcPr>
            <w:tcW w:w="28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黑体"/>
                <w:b/>
                <w:bCs/>
                <w:color w:val="000000"/>
                <w:kern w:val="0"/>
                <w:sz w:val="22"/>
                <w:highlight w:val="none"/>
              </w:rPr>
            </w:pPr>
            <w:r>
              <w:rPr>
                <w:rFonts w:hint="eastAsia" w:ascii="黑体" w:hAnsi="黑体" w:eastAsia="黑体" w:cs="黑体"/>
                <w:b/>
                <w:bCs/>
                <w:color w:val="000000"/>
                <w:kern w:val="0"/>
                <w:sz w:val="22"/>
                <w:highlight w:val="none"/>
              </w:rPr>
              <w:t>项目</w:t>
            </w:r>
          </w:p>
        </w:tc>
        <w:tc>
          <w:tcPr>
            <w:tcW w:w="168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黑体"/>
                <w:b/>
                <w:bCs/>
                <w:color w:val="000000"/>
                <w:kern w:val="0"/>
                <w:sz w:val="22"/>
                <w:highlight w:val="none"/>
              </w:rPr>
            </w:pPr>
            <w:r>
              <w:rPr>
                <w:rFonts w:hint="eastAsia" w:ascii="黑体" w:hAnsi="黑体" w:eastAsia="黑体" w:cs="黑体"/>
                <w:b/>
                <w:bCs/>
                <w:color w:val="000000"/>
                <w:kern w:val="0"/>
                <w:sz w:val="22"/>
                <w:highlight w:val="none"/>
              </w:rPr>
              <w:t>任务数量</w:t>
            </w:r>
          </w:p>
        </w:tc>
        <w:tc>
          <w:tcPr>
            <w:tcW w:w="15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黑体"/>
                <w:b/>
                <w:bCs/>
                <w:color w:val="000000"/>
                <w:kern w:val="0"/>
                <w:sz w:val="22"/>
                <w:highlight w:val="none"/>
              </w:rPr>
            </w:pPr>
            <w:r>
              <w:rPr>
                <w:rFonts w:hint="eastAsia" w:ascii="黑体" w:hAnsi="黑体" w:eastAsia="黑体" w:cs="黑体"/>
                <w:b/>
                <w:bCs/>
                <w:color w:val="000000"/>
                <w:kern w:val="0"/>
                <w:sz w:val="22"/>
                <w:highlight w:val="none"/>
              </w:rPr>
              <w:t>预算分配金额(万元)</w:t>
            </w:r>
          </w:p>
        </w:tc>
        <w:tc>
          <w:tcPr>
            <w:tcW w:w="104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黑体" w:hAnsi="黑体" w:eastAsia="黑体" w:cs="黑体"/>
                <w:b/>
                <w:bCs/>
                <w:color w:val="000000"/>
                <w:kern w:val="0"/>
                <w:sz w:val="22"/>
                <w:highlight w:val="none"/>
              </w:rPr>
            </w:pPr>
            <w:r>
              <w:rPr>
                <w:rFonts w:hint="eastAsia" w:ascii="黑体" w:hAnsi="黑体" w:eastAsia="黑体" w:cs="黑体"/>
                <w:b/>
                <w:bCs/>
                <w:color w:val="000000"/>
                <w:kern w:val="0"/>
                <w:sz w:val="22"/>
                <w:highlight w:val="none"/>
              </w:rPr>
              <w:t>合计</w:t>
            </w:r>
          </w:p>
        </w:tc>
      </w:tr>
      <w:tr>
        <w:tblPrEx>
          <w:tblCellMar>
            <w:top w:w="0" w:type="dxa"/>
            <w:left w:w="108" w:type="dxa"/>
            <w:bottom w:w="0" w:type="dxa"/>
            <w:right w:w="108" w:type="dxa"/>
          </w:tblCellMar>
        </w:tblPrEx>
        <w:trPr>
          <w:trHeight w:val="56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广州市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建筑节能与绿色建筑技术研究项目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w:t>
            </w:r>
          </w:p>
        </w:tc>
      </w:tr>
      <w:tr>
        <w:tblPrEx>
          <w:tblCellMar>
            <w:top w:w="0" w:type="dxa"/>
            <w:left w:w="108" w:type="dxa"/>
            <w:bottom w:w="0" w:type="dxa"/>
            <w:right w:w="108" w:type="dxa"/>
          </w:tblCellMar>
        </w:tblPrEx>
        <w:trPr>
          <w:trHeight w:val="56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珠海市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超低能耗建筑、近零能耗建筑项目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55.00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55.00</w:t>
            </w:r>
          </w:p>
        </w:tc>
      </w:tr>
      <w:tr>
        <w:tblPrEx>
          <w:tblCellMar>
            <w:top w:w="0" w:type="dxa"/>
            <w:left w:w="108" w:type="dxa"/>
            <w:bottom w:w="0" w:type="dxa"/>
            <w:right w:w="108" w:type="dxa"/>
          </w:tblCellMar>
        </w:tblPrEx>
        <w:trPr>
          <w:trHeight w:val="57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3</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汕头市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绿色建筑项目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2个一星级及以上</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200.00</w:t>
            </w:r>
          </w:p>
        </w:tc>
        <w:tc>
          <w:tcPr>
            <w:tcW w:w="10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200.00</w:t>
            </w:r>
          </w:p>
        </w:tc>
      </w:tr>
      <w:tr>
        <w:tblPrEx>
          <w:tblCellMar>
            <w:top w:w="0" w:type="dxa"/>
            <w:left w:w="108" w:type="dxa"/>
            <w:bottom w:w="0" w:type="dxa"/>
            <w:right w:w="108" w:type="dxa"/>
          </w:tblCellMar>
        </w:tblPrEx>
        <w:trPr>
          <w:trHeight w:val="29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4</w:t>
            </w:r>
          </w:p>
        </w:tc>
        <w:tc>
          <w:tcPr>
            <w:tcW w:w="13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佛山市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建筑能耗监测</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4个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40.00</w:t>
            </w:r>
          </w:p>
        </w:tc>
        <w:tc>
          <w:tcPr>
            <w:tcW w:w="10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155.00</w:t>
            </w:r>
          </w:p>
        </w:tc>
      </w:tr>
      <w:tr>
        <w:tblPrEx>
          <w:tblCellMar>
            <w:top w:w="0" w:type="dxa"/>
            <w:left w:w="108" w:type="dxa"/>
            <w:bottom w:w="0" w:type="dxa"/>
            <w:right w:w="108" w:type="dxa"/>
          </w:tblCellMar>
        </w:tblPrEx>
        <w:trPr>
          <w:trHeight w:val="29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5</w:t>
            </w:r>
          </w:p>
        </w:tc>
        <w:tc>
          <w:tcPr>
            <w:tcW w:w="13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近零能耗建筑项目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95.00</w:t>
            </w:r>
          </w:p>
        </w:tc>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r>
      <w:tr>
        <w:tblPrEx>
          <w:tblCellMar>
            <w:top w:w="0" w:type="dxa"/>
            <w:left w:w="108" w:type="dxa"/>
            <w:bottom w:w="0" w:type="dxa"/>
            <w:right w:w="108" w:type="dxa"/>
          </w:tblCellMar>
        </w:tblPrEx>
        <w:trPr>
          <w:trHeight w:val="56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6</w:t>
            </w:r>
          </w:p>
        </w:tc>
        <w:tc>
          <w:tcPr>
            <w:tcW w:w="13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碳达峰碳中和等相关工作研究和项目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w:t>
            </w:r>
          </w:p>
        </w:tc>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r>
      <w:tr>
        <w:tblPrEx>
          <w:tblCellMar>
            <w:top w:w="0" w:type="dxa"/>
            <w:left w:w="108" w:type="dxa"/>
            <w:bottom w:w="0" w:type="dxa"/>
            <w:right w:w="108" w:type="dxa"/>
          </w:tblCellMar>
        </w:tblPrEx>
        <w:trPr>
          <w:trHeight w:val="57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7</w:t>
            </w:r>
          </w:p>
        </w:tc>
        <w:tc>
          <w:tcPr>
            <w:tcW w:w="13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东莞市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绿色建筑项目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1个一星级及以上</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90.00</w:t>
            </w:r>
          </w:p>
        </w:tc>
        <w:tc>
          <w:tcPr>
            <w:tcW w:w="10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125.00</w:t>
            </w:r>
          </w:p>
        </w:tc>
      </w:tr>
      <w:tr>
        <w:tblPrEx>
          <w:tblCellMar>
            <w:top w:w="0" w:type="dxa"/>
            <w:left w:w="108" w:type="dxa"/>
            <w:bottom w:w="0" w:type="dxa"/>
            <w:right w:w="108" w:type="dxa"/>
          </w:tblCellMar>
        </w:tblPrEx>
        <w:trPr>
          <w:trHeight w:val="45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8</w:t>
            </w:r>
          </w:p>
        </w:tc>
        <w:tc>
          <w:tcPr>
            <w:tcW w:w="13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既有建筑节能改造项目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35.00</w:t>
            </w:r>
          </w:p>
        </w:tc>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r>
      <w:tr>
        <w:tblPrEx>
          <w:tblCellMar>
            <w:top w:w="0" w:type="dxa"/>
            <w:left w:w="108" w:type="dxa"/>
            <w:bottom w:w="0" w:type="dxa"/>
            <w:right w:w="108" w:type="dxa"/>
          </w:tblCellMar>
        </w:tblPrEx>
        <w:trPr>
          <w:trHeight w:val="29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9</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河源市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既有建筑节能改造项目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35.00</w:t>
            </w:r>
          </w:p>
        </w:tc>
        <w:tc>
          <w:tcPr>
            <w:tcW w:w="10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35.00</w:t>
            </w:r>
          </w:p>
        </w:tc>
      </w:tr>
      <w:tr>
        <w:tblPrEx>
          <w:tblCellMar>
            <w:top w:w="0" w:type="dxa"/>
            <w:left w:w="108" w:type="dxa"/>
            <w:bottom w:w="0" w:type="dxa"/>
            <w:right w:w="108" w:type="dxa"/>
          </w:tblCellMar>
        </w:tblPrEx>
        <w:trPr>
          <w:trHeight w:val="57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10</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肇庆市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绿色建筑项目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1个一星级及以上</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90.00</w:t>
            </w:r>
          </w:p>
        </w:tc>
        <w:tc>
          <w:tcPr>
            <w:tcW w:w="10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90.00</w:t>
            </w:r>
          </w:p>
        </w:tc>
      </w:tr>
      <w:tr>
        <w:tblPrEx>
          <w:tblCellMar>
            <w:top w:w="0" w:type="dxa"/>
            <w:left w:w="108" w:type="dxa"/>
            <w:bottom w:w="0" w:type="dxa"/>
            <w:right w:w="108" w:type="dxa"/>
          </w:tblCellMar>
        </w:tblPrEx>
        <w:trPr>
          <w:trHeight w:val="57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11</w:t>
            </w:r>
          </w:p>
        </w:tc>
        <w:tc>
          <w:tcPr>
            <w:tcW w:w="13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惠州市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超低能耗建筑、近零能耗建筑项目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70.00</w:t>
            </w:r>
          </w:p>
        </w:tc>
        <w:tc>
          <w:tcPr>
            <w:tcW w:w="10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120.00</w:t>
            </w:r>
          </w:p>
        </w:tc>
      </w:tr>
      <w:tr>
        <w:tblPrEx>
          <w:tblCellMar>
            <w:top w:w="0" w:type="dxa"/>
            <w:left w:w="108" w:type="dxa"/>
            <w:bottom w:w="0" w:type="dxa"/>
            <w:right w:w="108" w:type="dxa"/>
          </w:tblCellMar>
        </w:tblPrEx>
        <w:trPr>
          <w:trHeight w:val="57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12</w:t>
            </w:r>
          </w:p>
        </w:tc>
        <w:tc>
          <w:tcPr>
            <w:tcW w:w="13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绿色建筑项目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1个一星级及以上</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50.00</w:t>
            </w:r>
          </w:p>
        </w:tc>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r>
      <w:tr>
        <w:tblPrEx>
          <w:tblCellMar>
            <w:top w:w="0" w:type="dxa"/>
            <w:left w:w="108" w:type="dxa"/>
            <w:bottom w:w="0" w:type="dxa"/>
            <w:right w:w="108" w:type="dxa"/>
          </w:tblCellMar>
        </w:tblPrEx>
        <w:trPr>
          <w:trHeight w:val="56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13</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梅州市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建筑节能与绿色建筑标准制订项目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w:t>
            </w:r>
          </w:p>
        </w:tc>
        <w:tc>
          <w:tcPr>
            <w:tcW w:w="10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w:t>
            </w:r>
          </w:p>
        </w:tc>
      </w:tr>
      <w:tr>
        <w:tblPrEx>
          <w:tblCellMar>
            <w:top w:w="0" w:type="dxa"/>
            <w:left w:w="108" w:type="dxa"/>
            <w:bottom w:w="0" w:type="dxa"/>
            <w:right w:w="108" w:type="dxa"/>
          </w:tblCellMar>
        </w:tblPrEx>
        <w:trPr>
          <w:trHeight w:val="56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14</w:t>
            </w:r>
          </w:p>
        </w:tc>
        <w:tc>
          <w:tcPr>
            <w:tcW w:w="134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中山市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建筑节能与绿色建筑技术研究项目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w:t>
            </w:r>
          </w:p>
        </w:tc>
        <w:tc>
          <w:tcPr>
            <w:tcW w:w="104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40.00</w:t>
            </w:r>
          </w:p>
        </w:tc>
      </w:tr>
      <w:tr>
        <w:tblPrEx>
          <w:tblCellMar>
            <w:top w:w="0" w:type="dxa"/>
            <w:left w:w="108" w:type="dxa"/>
            <w:bottom w:w="0" w:type="dxa"/>
            <w:right w:w="108" w:type="dxa"/>
          </w:tblCellMar>
        </w:tblPrEx>
        <w:trPr>
          <w:trHeight w:val="56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15</w:t>
            </w:r>
          </w:p>
        </w:tc>
        <w:tc>
          <w:tcPr>
            <w:tcW w:w="13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建筑节能与绿色建筑标准制订项目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w:t>
            </w:r>
          </w:p>
        </w:tc>
        <w:tc>
          <w:tcPr>
            <w:tcW w:w="104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color w:val="000000"/>
                <w:kern w:val="0"/>
                <w:sz w:val="22"/>
                <w:highlight w:val="none"/>
              </w:rPr>
            </w:pPr>
          </w:p>
        </w:tc>
      </w:tr>
      <w:tr>
        <w:tblPrEx>
          <w:tblCellMar>
            <w:top w:w="0" w:type="dxa"/>
            <w:left w:w="108" w:type="dxa"/>
            <w:bottom w:w="0" w:type="dxa"/>
            <w:right w:w="108" w:type="dxa"/>
          </w:tblCellMar>
        </w:tblPrEx>
        <w:trPr>
          <w:trHeight w:val="56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16</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江门市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建筑节能与绿色建筑技术研究项目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1个</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w:t>
            </w:r>
          </w:p>
        </w:tc>
        <w:tc>
          <w:tcPr>
            <w:tcW w:w="10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20.00</w:t>
            </w:r>
          </w:p>
        </w:tc>
      </w:tr>
      <w:tr>
        <w:tblPrEx>
          <w:tblCellMar>
            <w:top w:w="0" w:type="dxa"/>
            <w:left w:w="108" w:type="dxa"/>
            <w:bottom w:w="0" w:type="dxa"/>
            <w:right w:w="108" w:type="dxa"/>
          </w:tblCellMar>
        </w:tblPrEx>
        <w:trPr>
          <w:trHeight w:val="29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17</w:t>
            </w:r>
          </w:p>
        </w:tc>
        <w:tc>
          <w:tcPr>
            <w:tcW w:w="13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云浮市</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既有建筑节能改造项目</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2个</w:t>
            </w:r>
          </w:p>
        </w:tc>
        <w:tc>
          <w:tcPr>
            <w:tcW w:w="154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70.00</w:t>
            </w:r>
          </w:p>
        </w:tc>
        <w:tc>
          <w:tcPr>
            <w:tcW w:w="10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70.00</w:t>
            </w:r>
          </w:p>
        </w:tc>
      </w:tr>
      <w:tr>
        <w:tblPrEx>
          <w:tblCellMar>
            <w:top w:w="0" w:type="dxa"/>
            <w:left w:w="108" w:type="dxa"/>
            <w:bottom w:w="0" w:type="dxa"/>
            <w:right w:w="108" w:type="dxa"/>
          </w:tblCellMar>
        </w:tblPrEx>
        <w:trPr>
          <w:trHeight w:val="840" w:hRule="atLeast"/>
          <w:jc w:val="center"/>
        </w:trPr>
        <w:tc>
          <w:tcPr>
            <w:tcW w:w="720"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18</w:t>
            </w:r>
          </w:p>
        </w:tc>
        <w:tc>
          <w:tcPr>
            <w:tcW w:w="13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省本级</w:t>
            </w:r>
          </w:p>
        </w:tc>
        <w:tc>
          <w:tcPr>
            <w:tcW w:w="282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绿色建筑标识项目评审认定及省级相关技术研究和标准制定</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　</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250.00</w:t>
            </w:r>
          </w:p>
        </w:tc>
        <w:tc>
          <w:tcPr>
            <w:tcW w:w="10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250.00</w:t>
            </w:r>
          </w:p>
        </w:tc>
      </w:tr>
      <w:tr>
        <w:tblPrEx>
          <w:tblCellMar>
            <w:top w:w="0" w:type="dxa"/>
            <w:left w:w="108" w:type="dxa"/>
            <w:bottom w:w="0" w:type="dxa"/>
            <w:right w:w="108" w:type="dxa"/>
          </w:tblCellMar>
        </w:tblPrEx>
        <w:trPr>
          <w:trHeight w:val="300" w:hRule="atLeast"/>
          <w:jc w:val="center"/>
        </w:trPr>
        <w:tc>
          <w:tcPr>
            <w:tcW w:w="4880" w:type="dxa"/>
            <w:gridSpan w:val="3"/>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2"/>
                <w:highlight w:val="none"/>
              </w:rPr>
            </w:pPr>
            <w:r>
              <w:rPr>
                <w:rFonts w:hint="default" w:ascii="Times New Roman" w:hAnsi="Times New Roman" w:eastAsia="仿宋_GB2312" w:cs="Times New Roman"/>
                <w:color w:val="000000"/>
                <w:kern w:val="0"/>
                <w:sz w:val="22"/>
                <w:highlight w:val="none"/>
              </w:rPr>
              <w:t>合计</w:t>
            </w:r>
          </w:p>
        </w:tc>
        <w:tc>
          <w:tcPr>
            <w:tcW w:w="168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color w:val="000000"/>
                <w:kern w:val="0"/>
                <w:sz w:val="20"/>
                <w:szCs w:val="20"/>
                <w:highlight w:val="none"/>
              </w:rPr>
            </w:pPr>
            <w:r>
              <w:rPr>
                <w:rFonts w:hint="default" w:ascii="Times New Roman" w:hAnsi="Times New Roman" w:eastAsia="仿宋_GB2312" w:cs="Times New Roman"/>
                <w:color w:val="000000"/>
                <w:kern w:val="0"/>
                <w:sz w:val="20"/>
                <w:szCs w:val="20"/>
                <w:highlight w:val="none"/>
              </w:rPr>
              <w:t>　</w:t>
            </w:r>
          </w:p>
        </w:tc>
        <w:tc>
          <w:tcPr>
            <w:tcW w:w="15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0"/>
                <w:szCs w:val="20"/>
                <w:highlight w:val="none"/>
              </w:rPr>
            </w:pPr>
            <w:r>
              <w:rPr>
                <w:rFonts w:hint="default" w:ascii="Times New Roman" w:hAnsi="Times New Roman" w:eastAsia="仿宋_GB2312" w:cs="Times New Roman"/>
                <w:color w:val="000000"/>
                <w:kern w:val="0"/>
                <w:sz w:val="20"/>
                <w:szCs w:val="20"/>
                <w:highlight w:val="none"/>
              </w:rPr>
              <w:t>1200.00</w:t>
            </w:r>
          </w:p>
        </w:tc>
        <w:tc>
          <w:tcPr>
            <w:tcW w:w="1040" w:type="dxa"/>
            <w:tcBorders>
              <w:top w:val="nil"/>
              <w:left w:val="nil"/>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仿宋_GB2312" w:cs="Times New Roman"/>
                <w:color w:val="000000"/>
                <w:kern w:val="0"/>
                <w:sz w:val="20"/>
                <w:szCs w:val="20"/>
                <w:highlight w:val="none"/>
              </w:rPr>
            </w:pPr>
            <w:r>
              <w:rPr>
                <w:rFonts w:hint="default" w:ascii="Times New Roman" w:hAnsi="Times New Roman" w:eastAsia="仿宋_GB2312" w:cs="Times New Roman"/>
                <w:color w:val="000000"/>
                <w:kern w:val="0"/>
                <w:sz w:val="20"/>
                <w:szCs w:val="20"/>
                <w:highlight w:val="none"/>
              </w:rPr>
              <w:t>1200.00</w:t>
            </w:r>
          </w:p>
        </w:tc>
      </w:tr>
    </w:tbl>
    <w:p>
      <w:pPr>
        <w:spacing w:line="240" w:lineRule="auto"/>
        <w:ind w:firstLine="0" w:firstLineChars="0"/>
        <w:jc w:val="left"/>
        <w:rPr>
          <w:rFonts w:hint="eastAsia" w:ascii="Times New Roman" w:hAnsi="Times New Roman" w:eastAsia="宋体" w:cs="Times New Roman"/>
          <w:sz w:val="28"/>
          <w:szCs w:val="28"/>
          <w:highlight w:val="none"/>
        </w:rPr>
      </w:pPr>
      <w:r>
        <w:rPr>
          <w:rFonts w:hint="eastAsia" w:ascii="Times New Roman" w:hAnsi="Times New Roman" w:eastAsia="宋体" w:cs="Times New Roman"/>
          <w:sz w:val="28"/>
          <w:szCs w:val="28"/>
          <w:highlight w:val="none"/>
        </w:rPr>
        <w:br w:type="page"/>
      </w:r>
    </w:p>
    <w:p>
      <w:pPr>
        <w:pStyle w:val="24"/>
        <w:numPr>
          <w:ilvl w:val="1"/>
          <w:numId w:val="1"/>
        </w:numPr>
        <w:spacing w:line="600" w:lineRule="exact"/>
        <w:ind w:left="0" w:firstLine="640"/>
        <w:outlineLvl w:val="1"/>
        <w:rPr>
          <w:rFonts w:hint="eastAsia" w:ascii="楷体_GB2312" w:hAnsi="楷体_GB2312" w:eastAsia="楷体_GB2312" w:cs="楷体_GB2312"/>
          <w:b w:val="0"/>
          <w:bCs w:val="0"/>
          <w:sz w:val="32"/>
          <w:szCs w:val="32"/>
          <w:highlight w:val="none"/>
        </w:rPr>
      </w:pPr>
      <w:bookmarkStart w:id="21" w:name="_Toc1206716441"/>
      <w:bookmarkStart w:id="22" w:name="_Toc139818367"/>
      <w:bookmarkStart w:id="23" w:name="_Toc1788179145"/>
      <w:bookmarkStart w:id="24" w:name="_Toc1524889699"/>
      <w:bookmarkStart w:id="25" w:name="_Toc1147558396"/>
      <w:bookmarkStart w:id="26" w:name="_Toc559930243"/>
      <w:bookmarkStart w:id="27" w:name="_Toc1674186999"/>
      <w:r>
        <w:rPr>
          <w:rFonts w:hint="eastAsia" w:ascii="楷体_GB2312" w:hAnsi="楷体_GB2312" w:eastAsia="楷体_GB2312" w:cs="楷体_GB2312"/>
          <w:b w:val="0"/>
          <w:bCs w:val="0"/>
          <w:sz w:val="32"/>
          <w:szCs w:val="32"/>
          <w:highlight w:val="none"/>
        </w:rPr>
        <w:t>项目绩效目标</w:t>
      </w:r>
      <w:bookmarkEnd w:id="21"/>
      <w:bookmarkEnd w:id="22"/>
      <w:bookmarkEnd w:id="23"/>
      <w:bookmarkEnd w:id="24"/>
      <w:bookmarkEnd w:id="25"/>
      <w:bookmarkEnd w:id="26"/>
      <w:bookmarkEnd w:id="27"/>
    </w:p>
    <w:p>
      <w:pPr>
        <w:spacing w:line="600" w:lineRule="exact"/>
        <w:ind w:firstLine="640" w:firstLineChars="200"/>
        <w:rPr>
          <w:rFonts w:hint="eastAsia" w:ascii="楷体_GB2312" w:hAnsi="楷体_GB2312" w:eastAsia="楷体_GB2312" w:cs="楷体_GB2312"/>
          <w:b w:val="0"/>
          <w:bCs w:val="0"/>
          <w:sz w:val="32"/>
          <w:szCs w:val="32"/>
          <w:highlight w:val="none"/>
        </w:rPr>
      </w:pPr>
      <w:r>
        <w:rPr>
          <w:rFonts w:hint="eastAsia" w:ascii="楷体_GB2312" w:hAnsi="楷体_GB2312" w:eastAsia="楷体_GB2312" w:cs="楷体_GB2312"/>
          <w:b w:val="0"/>
          <w:bCs w:val="0"/>
          <w:sz w:val="32"/>
          <w:szCs w:val="32"/>
          <w:highlight w:val="none"/>
        </w:rPr>
        <w:t>1.本项目总体绩效目标</w:t>
      </w:r>
    </w:p>
    <w:p>
      <w:pPr>
        <w:spacing w:line="58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完成一星级以上绿色建筑示范项目2个以上，验收合格率90%以上，促进全省绿色建筑全面发展。同时，通过开展城乡建设绿色发展项目，3年实现新增节能建筑面积超过1亿平方米、新增绿色建筑面积超过1亿平方米、促进我省建筑节能与绿色建筑发展水平量质齐升，减少二氧化碳排放、持续节约能源资源。</w:t>
      </w:r>
    </w:p>
    <w:p>
      <w:pPr>
        <w:spacing w:line="600" w:lineRule="exact"/>
        <w:ind w:firstLine="643" w:firstLineChars="200"/>
        <w:rPr>
          <w:rFonts w:ascii="Times New Roman" w:hAnsi="Times New Roman" w:eastAsia="宋体" w:cs="Times New Roman"/>
          <w:b/>
          <w:bCs/>
          <w:sz w:val="32"/>
          <w:szCs w:val="32"/>
          <w:highlight w:val="none"/>
        </w:rPr>
      </w:pPr>
      <w:r>
        <w:rPr>
          <w:rFonts w:ascii="Times New Roman" w:hAnsi="Times New Roman" w:eastAsia="宋体" w:cs="Times New Roman"/>
          <w:b/>
          <w:bCs/>
          <w:sz w:val="32"/>
          <w:szCs w:val="32"/>
          <w:highlight w:val="none"/>
        </w:rPr>
        <w:t>2.</w:t>
      </w:r>
      <w:r>
        <w:rPr>
          <w:rFonts w:hint="eastAsia" w:ascii="Times New Roman" w:hAnsi="Times New Roman" w:eastAsia="宋体" w:cs="Times New Roman"/>
          <w:b/>
          <w:bCs/>
          <w:sz w:val="32"/>
          <w:szCs w:val="32"/>
          <w:highlight w:val="none"/>
        </w:rPr>
        <w:t>本项目2</w:t>
      </w:r>
      <w:r>
        <w:rPr>
          <w:rFonts w:ascii="Times New Roman" w:hAnsi="Times New Roman" w:eastAsia="宋体" w:cs="Times New Roman"/>
          <w:b/>
          <w:bCs/>
          <w:sz w:val="32"/>
          <w:szCs w:val="32"/>
          <w:highlight w:val="none"/>
        </w:rPr>
        <w:t>02</w:t>
      </w:r>
      <w:r>
        <w:rPr>
          <w:rFonts w:hint="eastAsia" w:ascii="Times New Roman" w:hAnsi="Times New Roman" w:eastAsia="宋体" w:cs="Times New Roman"/>
          <w:b/>
          <w:bCs/>
          <w:sz w:val="32"/>
          <w:szCs w:val="32"/>
          <w:highlight w:val="none"/>
        </w:rPr>
        <w:t>3年度绩效目标</w:t>
      </w:r>
    </w:p>
    <w:p>
      <w:pPr>
        <w:spacing w:line="600" w:lineRule="exact"/>
        <w:ind w:firstLine="640" w:firstLineChars="200"/>
        <w:rPr>
          <w:rFonts w:ascii="Times New Roman" w:hAnsi="Times New Roman" w:eastAsia="宋体" w:cs="Times New Roman"/>
          <w:sz w:val="32"/>
          <w:szCs w:val="32"/>
          <w:highlight w:val="none"/>
        </w:rPr>
      </w:pPr>
      <w:r>
        <w:rPr>
          <w:rFonts w:hint="eastAsia" w:ascii="仿宋_GB2312" w:hAnsi="仿宋_GB2312" w:eastAsia="仿宋_GB2312" w:cs="仿宋_GB2312"/>
          <w:sz w:val="32"/>
          <w:szCs w:val="32"/>
          <w:highlight w:val="none"/>
        </w:rPr>
        <w:t>全年完成一星级以上绿色建筑示范项目2个以上，完成建筑能耗监测项目1个以上，完成既有建筑节能改造项目1个以上，完成绿色建筑相关技术研究和标准制订1个以上，完成碳达峰碳中和等相关工作研究及推进项目1个以上，完成新增节能建筑面积超过1亿平方米、完成新增绿色建筑面积超过1亿平方米、促进我省建筑节能与绿色建筑发展水平量质齐升，减少二氧化碳排放、持续节约能源资源。</w:t>
      </w:r>
    </w:p>
    <w:p>
      <w:pPr>
        <w:pStyle w:val="24"/>
        <w:numPr>
          <w:ilvl w:val="0"/>
          <w:numId w:val="0"/>
        </w:numPr>
        <w:spacing w:line="600" w:lineRule="exact"/>
        <w:ind w:left="0" w:firstLine="640"/>
        <w:outlineLvl w:val="0"/>
        <w:rPr>
          <w:rFonts w:hint="eastAsia" w:ascii="黑体" w:hAnsi="黑体" w:eastAsia="黑体" w:cs="黑体"/>
          <w:b w:val="0"/>
          <w:bCs w:val="0"/>
          <w:sz w:val="32"/>
          <w:szCs w:val="32"/>
          <w:highlight w:val="none"/>
        </w:rPr>
      </w:pPr>
      <w:bookmarkStart w:id="28" w:name="_Toc1845956691"/>
      <w:bookmarkStart w:id="29" w:name="_Toc119968892"/>
      <w:bookmarkStart w:id="30" w:name="_Toc353240796"/>
      <w:bookmarkStart w:id="31" w:name="_Toc1339114770"/>
      <w:bookmarkStart w:id="32" w:name="_Toc718433785"/>
      <w:bookmarkStart w:id="33" w:name="_Toc139818368"/>
      <w:bookmarkStart w:id="34" w:name="_Toc232424236"/>
      <w:r>
        <w:rPr>
          <w:rFonts w:hint="eastAsia" w:ascii="黑体" w:hAnsi="黑体" w:eastAsia="黑体" w:cs="黑体"/>
          <w:b w:val="0"/>
          <w:bCs w:val="0"/>
          <w:sz w:val="32"/>
          <w:szCs w:val="32"/>
          <w:highlight w:val="none"/>
        </w:rPr>
        <w:t>二、自评情况</w:t>
      </w:r>
      <w:bookmarkEnd w:id="28"/>
      <w:bookmarkEnd w:id="29"/>
      <w:bookmarkEnd w:id="30"/>
      <w:bookmarkEnd w:id="31"/>
      <w:bookmarkEnd w:id="32"/>
      <w:bookmarkEnd w:id="33"/>
      <w:bookmarkEnd w:id="34"/>
    </w:p>
    <w:p>
      <w:pPr>
        <w:pStyle w:val="24"/>
        <w:numPr>
          <w:ilvl w:val="0"/>
          <w:numId w:val="2"/>
        </w:numPr>
        <w:spacing w:line="600" w:lineRule="exact"/>
        <w:ind w:left="0" w:firstLine="640"/>
        <w:outlineLvl w:val="1"/>
        <w:rPr>
          <w:rFonts w:hint="eastAsia" w:ascii="楷体_GB2312" w:hAnsi="楷体_GB2312" w:eastAsia="楷体_GB2312" w:cs="楷体_GB2312"/>
          <w:b w:val="0"/>
          <w:bCs w:val="0"/>
          <w:sz w:val="32"/>
          <w:szCs w:val="32"/>
          <w:highlight w:val="none"/>
        </w:rPr>
      </w:pPr>
      <w:bookmarkStart w:id="35" w:name="_Toc139818369"/>
      <w:bookmarkStart w:id="36" w:name="_Toc1878704206"/>
      <w:bookmarkStart w:id="37" w:name="_Toc924503791"/>
      <w:bookmarkStart w:id="38" w:name="_Toc781936177"/>
      <w:bookmarkStart w:id="39" w:name="_Toc1782502847"/>
      <w:bookmarkStart w:id="40" w:name="_Toc686410983"/>
      <w:bookmarkStart w:id="41" w:name="_Toc2138486764"/>
      <w:r>
        <w:rPr>
          <w:rFonts w:hint="eastAsia" w:ascii="楷体_GB2312" w:hAnsi="楷体_GB2312" w:eastAsia="楷体_GB2312" w:cs="楷体_GB2312"/>
          <w:b w:val="0"/>
          <w:bCs w:val="0"/>
          <w:sz w:val="32"/>
          <w:szCs w:val="32"/>
          <w:highlight w:val="none"/>
        </w:rPr>
        <w:t>自评结论</w:t>
      </w:r>
      <w:bookmarkEnd w:id="35"/>
      <w:bookmarkEnd w:id="36"/>
      <w:bookmarkEnd w:id="37"/>
      <w:bookmarkEnd w:id="38"/>
      <w:bookmarkEnd w:id="39"/>
      <w:bookmarkEnd w:id="40"/>
      <w:bookmarkEnd w:id="41"/>
    </w:p>
    <w:p>
      <w:pPr>
        <w:spacing w:line="60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根据《中共中央国务院关于全面实施预算绩效管理的意见》（中发〔2018〕34号）的有关精神，结合《广东省财政厅关于开展2024年省级财政资金绩效自评工作的通知》中既定的绩效自评指标体系，自评认为，2023年度城乡建设绿色发展资金项目基本完成了2023年度制定的绩效目标，自评得分</w:t>
      </w:r>
      <w:r>
        <w:rPr>
          <w:rFonts w:hint="eastAsia" w:ascii="仿宋_GB2312" w:hAnsi="仿宋_GB2312" w:eastAsia="仿宋_GB2312" w:cs="仿宋_GB2312"/>
          <w:b/>
          <w:bCs/>
          <w:sz w:val="32"/>
          <w:szCs w:val="32"/>
          <w:highlight w:val="none"/>
        </w:rPr>
        <w:t>97.12</w:t>
      </w:r>
      <w:r>
        <w:rPr>
          <w:rFonts w:hint="eastAsia" w:ascii="仿宋_GB2312" w:hAnsi="仿宋_GB2312" w:eastAsia="仿宋_GB2312" w:cs="仿宋_GB2312"/>
          <w:sz w:val="32"/>
          <w:szCs w:val="32"/>
          <w:highlight w:val="none"/>
        </w:rPr>
        <w:t>分，自评等级为</w:t>
      </w:r>
      <w:r>
        <w:rPr>
          <w:rFonts w:hint="eastAsia" w:ascii="仿宋_GB2312" w:hAnsi="仿宋_GB2312" w:eastAsia="仿宋_GB2312" w:cs="仿宋_GB2312"/>
          <w:b/>
          <w:bCs/>
          <w:sz w:val="32"/>
          <w:szCs w:val="32"/>
          <w:highlight w:val="none"/>
        </w:rPr>
        <w:t>“优”</w:t>
      </w:r>
      <w:r>
        <w:rPr>
          <w:rFonts w:hint="eastAsia" w:ascii="仿宋_GB2312" w:hAnsi="仿宋_GB2312" w:eastAsia="仿宋_GB2312" w:cs="仿宋_GB2312"/>
          <w:sz w:val="32"/>
          <w:szCs w:val="32"/>
          <w:highlight w:val="none"/>
        </w:rPr>
        <w:t>。</w:t>
      </w:r>
    </w:p>
    <w:p>
      <w:pPr>
        <w:pStyle w:val="24"/>
        <w:numPr>
          <w:ilvl w:val="0"/>
          <w:numId w:val="2"/>
        </w:numPr>
        <w:spacing w:line="560" w:lineRule="exact"/>
        <w:ind w:left="0" w:firstLine="562"/>
        <w:outlineLvl w:val="1"/>
        <w:rPr>
          <w:rFonts w:hint="eastAsia" w:ascii="楷体_GB2312" w:hAnsi="楷体_GB2312" w:eastAsia="楷体_GB2312" w:cs="楷体_GB2312"/>
          <w:b w:val="0"/>
          <w:bCs w:val="0"/>
          <w:sz w:val="32"/>
          <w:szCs w:val="32"/>
          <w:highlight w:val="none"/>
        </w:rPr>
      </w:pPr>
      <w:bookmarkStart w:id="42" w:name="_Toc139818370"/>
      <w:bookmarkStart w:id="43" w:name="_Toc451207142"/>
      <w:bookmarkStart w:id="44" w:name="_Toc925942964"/>
      <w:bookmarkStart w:id="45" w:name="_Toc1326685334"/>
      <w:bookmarkStart w:id="46" w:name="_Toc576246131"/>
      <w:bookmarkStart w:id="47" w:name="_Toc1209613184"/>
      <w:bookmarkStart w:id="48" w:name="_Toc1515892816"/>
      <w:r>
        <w:rPr>
          <w:rFonts w:hint="eastAsia" w:ascii="楷体_GB2312" w:hAnsi="楷体_GB2312" w:eastAsia="楷体_GB2312" w:cs="楷体_GB2312"/>
          <w:b w:val="0"/>
          <w:bCs w:val="0"/>
          <w:sz w:val="32"/>
          <w:szCs w:val="32"/>
          <w:highlight w:val="none"/>
        </w:rPr>
        <w:t>专项资金使用绩效</w:t>
      </w:r>
      <w:bookmarkEnd w:id="42"/>
      <w:bookmarkEnd w:id="43"/>
      <w:bookmarkEnd w:id="44"/>
      <w:bookmarkEnd w:id="45"/>
      <w:bookmarkEnd w:id="46"/>
      <w:bookmarkEnd w:id="47"/>
      <w:bookmarkEnd w:id="48"/>
    </w:p>
    <w:p>
      <w:pPr>
        <w:spacing w:line="560" w:lineRule="exact"/>
        <w:ind w:firstLine="646" w:firstLineChars="202"/>
        <w:rPr>
          <w:rFonts w:hint="eastAsia" w:ascii="楷体_GB2312" w:hAnsi="楷体_GB2312" w:eastAsia="楷体_GB2312" w:cs="楷体_GB2312"/>
          <w:b w:val="0"/>
          <w:bCs w:val="0"/>
          <w:sz w:val="32"/>
          <w:szCs w:val="32"/>
          <w:highlight w:val="none"/>
        </w:rPr>
      </w:pPr>
      <w:r>
        <w:rPr>
          <w:rFonts w:hint="eastAsia" w:ascii="楷体_GB2312" w:hAnsi="楷体_GB2312" w:eastAsia="楷体_GB2312" w:cs="楷体_GB2312"/>
          <w:b w:val="0"/>
          <w:bCs w:val="0"/>
          <w:sz w:val="32"/>
          <w:szCs w:val="32"/>
          <w:highlight w:val="none"/>
        </w:rPr>
        <w:t>1.专项资金支出情况</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2023年度本项目全年实际支出 1046.00万元，相对于预算资金1200万元，资金支出率为87.21%。具体如下表所示：</w:t>
      </w:r>
    </w:p>
    <w:p>
      <w:pPr>
        <w:spacing w:line="560" w:lineRule="exact"/>
        <w:ind w:firstLine="565" w:firstLineChars="202"/>
        <w:jc w:val="center"/>
        <w:rPr>
          <w:rFonts w:ascii="Times New Roman" w:hAnsi="Times New Roman" w:eastAsia="宋体" w:cs="Times New Roman"/>
          <w:sz w:val="28"/>
          <w:szCs w:val="28"/>
          <w:highlight w:val="none"/>
        </w:rPr>
      </w:pPr>
      <w:r>
        <w:rPr>
          <w:rFonts w:hint="eastAsia" w:ascii="Times New Roman" w:hAnsi="Times New Roman" w:eastAsia="宋体" w:cs="Times New Roman"/>
          <w:sz w:val="28"/>
          <w:szCs w:val="28"/>
          <w:highlight w:val="none"/>
        </w:rPr>
        <w:t>表2：</w:t>
      </w:r>
      <w:r>
        <w:rPr>
          <w:rFonts w:ascii="Times New Roman" w:hAnsi="Times New Roman" w:eastAsia="宋体" w:cs="Times New Roman"/>
          <w:sz w:val="28"/>
          <w:szCs w:val="28"/>
          <w:highlight w:val="none"/>
        </w:rPr>
        <w:t>202</w:t>
      </w:r>
      <w:r>
        <w:rPr>
          <w:rFonts w:hint="eastAsia" w:ascii="Times New Roman" w:hAnsi="Times New Roman" w:eastAsia="宋体" w:cs="Times New Roman"/>
          <w:sz w:val="28"/>
          <w:szCs w:val="28"/>
          <w:highlight w:val="none"/>
        </w:rPr>
        <w:t>3</w:t>
      </w:r>
      <w:r>
        <w:rPr>
          <w:rFonts w:ascii="Times New Roman" w:hAnsi="Times New Roman" w:eastAsia="宋体" w:cs="Times New Roman"/>
          <w:sz w:val="28"/>
          <w:szCs w:val="28"/>
          <w:highlight w:val="none"/>
        </w:rPr>
        <w:t>年度城乡建设绿色发展资金</w:t>
      </w:r>
      <w:r>
        <w:rPr>
          <w:rFonts w:hint="eastAsia" w:ascii="Times New Roman" w:hAnsi="Times New Roman" w:eastAsia="宋体" w:cs="Times New Roman"/>
          <w:sz w:val="28"/>
          <w:szCs w:val="28"/>
          <w:highlight w:val="none"/>
        </w:rPr>
        <w:t>支出明细表</w:t>
      </w:r>
    </w:p>
    <w:tbl>
      <w:tblPr>
        <w:tblStyle w:val="14"/>
        <w:tblW w:w="53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5"/>
        <w:gridCol w:w="834"/>
        <w:gridCol w:w="4246"/>
        <w:gridCol w:w="1541"/>
        <w:gridCol w:w="1258"/>
        <w:gridCol w:w="11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blHeader/>
          <w:jc w:val="center"/>
        </w:trPr>
        <w:tc>
          <w:tcPr>
            <w:tcW w:w="356" w:type="pct"/>
            <w:shd w:val="clear" w:color="auto" w:fill="auto"/>
            <w:vAlign w:val="center"/>
          </w:tcPr>
          <w:p>
            <w:pPr>
              <w:widowControl/>
              <w:jc w:val="center"/>
              <w:rPr>
                <w:rFonts w:ascii="黑体" w:hAnsi="黑体" w:eastAsia="黑体" w:cs="宋体"/>
                <w:color w:val="000000"/>
                <w:kern w:val="0"/>
                <w:sz w:val="24"/>
                <w:szCs w:val="24"/>
                <w:highlight w:val="none"/>
              </w:rPr>
            </w:pPr>
            <w:r>
              <w:rPr>
                <w:rFonts w:hint="eastAsia" w:ascii="黑体" w:hAnsi="黑体" w:eastAsia="黑体" w:cs="宋体"/>
                <w:color w:val="000000"/>
                <w:kern w:val="0"/>
                <w:sz w:val="24"/>
                <w:szCs w:val="24"/>
                <w:highlight w:val="none"/>
              </w:rPr>
              <w:t>地市</w:t>
            </w:r>
          </w:p>
        </w:tc>
        <w:tc>
          <w:tcPr>
            <w:tcW w:w="421" w:type="pct"/>
            <w:shd w:val="clear" w:color="auto" w:fill="auto"/>
            <w:vAlign w:val="center"/>
          </w:tcPr>
          <w:p>
            <w:pPr>
              <w:widowControl/>
              <w:jc w:val="center"/>
              <w:rPr>
                <w:rFonts w:ascii="黑体" w:hAnsi="黑体" w:eastAsia="黑体" w:cs="宋体"/>
                <w:color w:val="000000"/>
                <w:kern w:val="0"/>
                <w:sz w:val="24"/>
                <w:szCs w:val="24"/>
                <w:highlight w:val="none"/>
              </w:rPr>
            </w:pPr>
            <w:r>
              <w:rPr>
                <w:rFonts w:hint="eastAsia" w:ascii="黑体" w:hAnsi="黑体" w:eastAsia="黑体" w:cs="宋体"/>
                <w:color w:val="000000"/>
                <w:kern w:val="0"/>
                <w:sz w:val="24"/>
                <w:szCs w:val="24"/>
                <w:highlight w:val="none"/>
              </w:rPr>
              <w:t>序号</w:t>
            </w:r>
          </w:p>
        </w:tc>
        <w:tc>
          <w:tcPr>
            <w:tcW w:w="2147" w:type="pct"/>
            <w:shd w:val="clear" w:color="auto" w:fill="auto"/>
            <w:vAlign w:val="center"/>
          </w:tcPr>
          <w:p>
            <w:pPr>
              <w:widowControl/>
              <w:jc w:val="center"/>
              <w:rPr>
                <w:rFonts w:ascii="黑体" w:hAnsi="黑体" w:eastAsia="黑体" w:cs="宋体"/>
                <w:color w:val="000000"/>
                <w:kern w:val="0"/>
                <w:sz w:val="24"/>
                <w:szCs w:val="24"/>
                <w:highlight w:val="none"/>
              </w:rPr>
            </w:pPr>
            <w:r>
              <w:rPr>
                <w:rFonts w:hint="eastAsia" w:ascii="黑体" w:hAnsi="黑体" w:eastAsia="黑体" w:cs="宋体"/>
                <w:color w:val="000000"/>
                <w:kern w:val="0"/>
                <w:sz w:val="24"/>
                <w:szCs w:val="24"/>
                <w:highlight w:val="none"/>
              </w:rPr>
              <w:t>项目名称</w:t>
            </w:r>
          </w:p>
        </w:tc>
        <w:tc>
          <w:tcPr>
            <w:tcW w:w="779" w:type="pct"/>
            <w:shd w:val="clear" w:color="auto" w:fill="auto"/>
            <w:vAlign w:val="center"/>
          </w:tcPr>
          <w:p>
            <w:pPr>
              <w:widowControl/>
              <w:jc w:val="center"/>
              <w:rPr>
                <w:rFonts w:hint="eastAsia" w:ascii="黑体" w:hAnsi="黑体" w:eastAsia="黑体" w:cs="宋体"/>
                <w:color w:val="000000"/>
                <w:kern w:val="0"/>
                <w:sz w:val="24"/>
                <w:szCs w:val="24"/>
                <w:highlight w:val="none"/>
              </w:rPr>
            </w:pPr>
            <w:r>
              <w:rPr>
                <w:rFonts w:hint="eastAsia" w:ascii="黑体" w:hAnsi="黑体" w:eastAsia="黑体" w:cs="宋体"/>
                <w:color w:val="000000"/>
                <w:kern w:val="0"/>
                <w:sz w:val="24"/>
                <w:szCs w:val="24"/>
                <w:highlight w:val="none"/>
              </w:rPr>
              <w:t>预计支持</w:t>
            </w:r>
          </w:p>
          <w:p>
            <w:pPr>
              <w:widowControl/>
              <w:jc w:val="center"/>
              <w:rPr>
                <w:rFonts w:ascii="黑体" w:hAnsi="黑体" w:eastAsia="黑体" w:cs="宋体"/>
                <w:color w:val="000000"/>
                <w:kern w:val="0"/>
                <w:sz w:val="24"/>
                <w:szCs w:val="24"/>
                <w:highlight w:val="none"/>
              </w:rPr>
            </w:pPr>
            <w:r>
              <w:rPr>
                <w:rFonts w:hint="eastAsia" w:ascii="黑体" w:hAnsi="黑体" w:eastAsia="黑体" w:cs="宋体"/>
                <w:color w:val="000000"/>
                <w:kern w:val="0"/>
                <w:sz w:val="24"/>
                <w:szCs w:val="24"/>
                <w:highlight w:val="none"/>
              </w:rPr>
              <w:t>资金（万元）</w:t>
            </w:r>
          </w:p>
        </w:tc>
        <w:tc>
          <w:tcPr>
            <w:tcW w:w="636" w:type="pct"/>
            <w:shd w:val="clear" w:color="auto" w:fill="auto"/>
            <w:vAlign w:val="center"/>
          </w:tcPr>
          <w:p>
            <w:pPr>
              <w:widowControl/>
              <w:jc w:val="center"/>
              <w:rPr>
                <w:rFonts w:ascii="黑体" w:hAnsi="黑体" w:eastAsia="黑体" w:cs="宋体"/>
                <w:color w:val="000000"/>
                <w:kern w:val="0"/>
                <w:sz w:val="24"/>
                <w:szCs w:val="24"/>
                <w:highlight w:val="none"/>
              </w:rPr>
            </w:pPr>
            <w:r>
              <w:rPr>
                <w:rFonts w:hint="eastAsia" w:ascii="黑体" w:hAnsi="黑体" w:eastAsia="黑体" w:cs="宋体"/>
                <w:color w:val="000000"/>
                <w:kern w:val="0"/>
                <w:sz w:val="24"/>
                <w:szCs w:val="24"/>
                <w:highlight w:val="none"/>
              </w:rPr>
              <w:t>资金支付金额</w:t>
            </w:r>
          </w:p>
        </w:tc>
        <w:tc>
          <w:tcPr>
            <w:tcW w:w="604" w:type="pct"/>
            <w:shd w:val="clear" w:color="auto" w:fill="auto"/>
            <w:vAlign w:val="center"/>
          </w:tcPr>
          <w:p>
            <w:pPr>
              <w:widowControl/>
              <w:jc w:val="center"/>
              <w:rPr>
                <w:rFonts w:ascii="黑体" w:hAnsi="黑体" w:eastAsia="黑体" w:cs="宋体"/>
                <w:color w:val="000000"/>
                <w:kern w:val="0"/>
                <w:sz w:val="24"/>
                <w:szCs w:val="24"/>
                <w:highlight w:val="none"/>
              </w:rPr>
            </w:pPr>
            <w:r>
              <w:rPr>
                <w:rFonts w:hint="eastAsia" w:ascii="黑体" w:hAnsi="黑体" w:eastAsia="黑体" w:cs="宋体"/>
                <w:color w:val="000000"/>
                <w:kern w:val="0"/>
                <w:sz w:val="24"/>
                <w:szCs w:val="24"/>
                <w:highlight w:val="none"/>
              </w:rPr>
              <w:t>资金支付进度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广州</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建筑节能与绿色建筑相关软件</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模拟结果核查</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珠海</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珠海规划科创中心</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（超低能耗建筑、近零能耗建筑项目）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55.00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55.00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vMerge w:val="restar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汕头</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3</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汕头市中医医院异地扩建</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（绿色建筑</w:t>
            </w:r>
            <w:r>
              <w:rPr>
                <w:rFonts w:hint="eastAsia" w:ascii="仿宋_GB2312" w:hAnsi="仿宋_GB2312" w:eastAsia="仿宋_GB2312" w:cs="仿宋_GB2312"/>
                <w:color w:val="000000"/>
                <w:kern w:val="0"/>
                <w:sz w:val="24"/>
                <w:szCs w:val="24"/>
                <w:highlight w:val="none"/>
                <w:lang w:eastAsia="zh-CN"/>
              </w:rPr>
              <w:t>标识</w:t>
            </w:r>
            <w:r>
              <w:rPr>
                <w:rFonts w:hint="eastAsia" w:ascii="仿宋_GB2312" w:hAnsi="仿宋_GB2312" w:eastAsia="仿宋_GB2312" w:cs="仿宋_GB2312"/>
                <w:color w:val="000000"/>
                <w:kern w:val="0"/>
                <w:sz w:val="24"/>
                <w:szCs w:val="24"/>
                <w:highlight w:val="none"/>
              </w:rPr>
              <w:t>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4</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汕头市政府投资项目代理管理中心</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（绿色建筑项目）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vMerge w:val="restar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佛山</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5</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佛山南海九江供电所</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（能耗监测项目）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6</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佛山南海西樵供电所</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（能耗监测项目）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7</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佛山南海丹灶供电所</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（能耗监测项目）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佛山南海大沥供电所</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（能耗监测项目）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9</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申菱环境高新区智造基地研发大楼（近零能耗建筑项目）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95.00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95.00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应对碳达峰碳中和要求的</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绿色城乡建设管理模式创新研究</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河源</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11</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河源龙川供电局办公大楼boo空调改造服务（既有建筑节能改造项目）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35.00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56"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梅州</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12</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制定广东省标准</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《建筑室内装配式装修技术规程》</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（建筑节能与绿色建筑标准制订项目）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restar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惠州</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13</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博罗县城中心客运站（绿色建筑项目）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50.00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50.00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14</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中建科工集团有限公司绿色科技办公楼（超低能耗建筑、近零能耗建筑项目）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35.00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35.00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15</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Xhouse</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（超低能耗建筑、近零能耗建筑项目）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35.00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35.00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restar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东莞</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16</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滨湖广场3号酒店、商业楼（绿色建筑项目）</w:t>
            </w:r>
          </w:p>
        </w:tc>
        <w:tc>
          <w:tcPr>
            <w:tcW w:w="779" w:type="pct"/>
            <w:shd w:val="clear" w:color="auto" w:fill="auto"/>
            <w:noWrap/>
            <w:vAlign w:val="center"/>
          </w:tcPr>
          <w:p>
            <w:pPr>
              <w:widowControl/>
              <w:jc w:val="center"/>
              <w:rPr>
                <w:rFonts w:hint="default"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9</w:t>
            </w:r>
            <w:r>
              <w:rPr>
                <w:rFonts w:hint="eastAsia" w:ascii="仿宋_GB2312" w:hAnsi="仿宋_GB2312" w:eastAsia="仿宋_GB2312" w:cs="仿宋_GB2312"/>
                <w:color w:val="000000"/>
                <w:kern w:val="0"/>
                <w:sz w:val="24"/>
                <w:szCs w:val="24"/>
                <w:highlight w:val="none"/>
                <w:lang w:val="en-US" w:eastAsia="zh-CN"/>
              </w:rPr>
              <w:t>0.00</w:t>
            </w:r>
          </w:p>
        </w:tc>
        <w:tc>
          <w:tcPr>
            <w:tcW w:w="636" w:type="pct"/>
            <w:shd w:val="clear" w:color="auto" w:fill="auto"/>
            <w:noWrap/>
            <w:vAlign w:val="center"/>
          </w:tcPr>
          <w:p>
            <w:pPr>
              <w:widowControl/>
              <w:jc w:val="center"/>
              <w:rPr>
                <w:rFonts w:hint="default"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9</w:t>
            </w:r>
            <w:r>
              <w:rPr>
                <w:rFonts w:hint="eastAsia" w:ascii="仿宋_GB2312" w:hAnsi="仿宋_GB2312" w:eastAsia="仿宋_GB2312" w:cs="仿宋_GB2312"/>
                <w:color w:val="000000"/>
                <w:kern w:val="0"/>
                <w:sz w:val="24"/>
                <w:szCs w:val="24"/>
                <w:highlight w:val="none"/>
                <w:lang w:val="en-US" w:eastAsia="zh-CN"/>
              </w:rPr>
              <w:t>0.00</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17</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东莞供电局调度大楼BOO模式空调改造服务（既有建筑节能改造项目）</w:t>
            </w:r>
          </w:p>
        </w:tc>
        <w:tc>
          <w:tcPr>
            <w:tcW w:w="779" w:type="pct"/>
            <w:shd w:val="clear" w:color="auto" w:fill="auto"/>
            <w:noWrap/>
            <w:vAlign w:val="center"/>
          </w:tcPr>
          <w:p>
            <w:pPr>
              <w:widowControl/>
              <w:jc w:val="center"/>
              <w:rPr>
                <w:rFonts w:hint="default"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3</w:t>
            </w:r>
            <w:r>
              <w:rPr>
                <w:rFonts w:hint="eastAsia" w:ascii="仿宋_GB2312" w:hAnsi="仿宋_GB2312" w:eastAsia="仿宋_GB2312" w:cs="仿宋_GB2312"/>
                <w:color w:val="000000"/>
                <w:kern w:val="0"/>
                <w:sz w:val="24"/>
                <w:szCs w:val="24"/>
                <w:highlight w:val="none"/>
                <w:lang w:val="en-US" w:eastAsia="zh-CN"/>
              </w:rPr>
              <w:t>5.00</w:t>
            </w:r>
          </w:p>
        </w:tc>
        <w:tc>
          <w:tcPr>
            <w:tcW w:w="636" w:type="pct"/>
            <w:shd w:val="clear" w:color="auto" w:fill="auto"/>
            <w:noWrap/>
            <w:vAlign w:val="center"/>
          </w:tcPr>
          <w:p>
            <w:pPr>
              <w:widowControl/>
              <w:jc w:val="center"/>
              <w:rPr>
                <w:rFonts w:hint="default"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lang w:eastAsia="zh-CN"/>
              </w:rPr>
              <w:t>3</w:t>
            </w:r>
            <w:r>
              <w:rPr>
                <w:rFonts w:hint="eastAsia" w:ascii="仿宋_GB2312" w:hAnsi="仿宋_GB2312" w:eastAsia="仿宋_GB2312" w:cs="仿宋_GB2312"/>
                <w:color w:val="000000"/>
                <w:kern w:val="0"/>
                <w:sz w:val="24"/>
                <w:szCs w:val="24"/>
                <w:highlight w:val="none"/>
                <w:lang w:val="en-US" w:eastAsia="zh-CN"/>
              </w:rPr>
              <w:t>5.00</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restar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中山</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18</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近零能耗居住建筑关键技术研究（建筑节能与绿色建筑技术研究项目）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19</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建筑节能材料性能评价及检测技术规程</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（建筑节能与绿色建筑技术研究项目）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江门</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20</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装配式建筑相关技术研究</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（建筑节能与绿色建筑技术研究项目）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16.00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肇庆</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21</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肇庆新区中心小学建设工程项目</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（绿色建筑项目）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90.00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90.00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restar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云浮</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22</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云浮新兴供电局办公大楼BOO模式空调改造服务合同项目</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（既有建筑节能改造项目）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35.00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35.00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continue"/>
            <w:vAlign w:val="center"/>
          </w:tcPr>
          <w:p>
            <w:pPr>
              <w:widowControl/>
              <w:jc w:val="left"/>
              <w:rPr>
                <w:rFonts w:hint="eastAsia" w:ascii="仿宋_GB2312" w:hAnsi="仿宋_GB2312" w:eastAsia="仿宋_GB2312" w:cs="仿宋_GB2312"/>
                <w:color w:val="000000"/>
                <w:kern w:val="0"/>
                <w:sz w:val="24"/>
                <w:szCs w:val="24"/>
                <w:highlight w:val="none"/>
              </w:rPr>
            </w:pP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23</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郁南县供电局节能改造服务项目能源费用托管型合同项目</w:t>
            </w:r>
          </w:p>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（既有建筑节能改造项目）</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35.00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35.00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省本级</w:t>
            </w:r>
          </w:p>
        </w:tc>
        <w:tc>
          <w:tcPr>
            <w:tcW w:w="421"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24</w:t>
            </w:r>
          </w:p>
        </w:tc>
        <w:tc>
          <w:tcPr>
            <w:tcW w:w="2147"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绿色建筑标识项目评审认定及省级相关技术研究和标准制定</w:t>
            </w:r>
          </w:p>
        </w:tc>
        <w:tc>
          <w:tcPr>
            <w:tcW w:w="779"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250.00 </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 xml:space="preserve">235.60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94.24%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2926" w:type="pct"/>
            <w:gridSpan w:val="3"/>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合计</w:t>
            </w:r>
          </w:p>
        </w:tc>
        <w:tc>
          <w:tcPr>
            <w:tcW w:w="779" w:type="pct"/>
            <w:shd w:val="clear" w:color="auto" w:fill="auto"/>
            <w:noWrap/>
            <w:vAlign w:val="center"/>
          </w:tcPr>
          <w:p>
            <w:pPr>
              <w:widowControl/>
              <w:jc w:val="center"/>
              <w:rPr>
                <w:rFonts w:hint="default"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w:t>
            </w:r>
            <w:r>
              <w:rPr>
                <w:rFonts w:hint="eastAsia" w:ascii="仿宋_GB2312" w:hAnsi="仿宋_GB2312" w:eastAsia="仿宋_GB2312" w:cs="仿宋_GB2312"/>
                <w:color w:val="000000"/>
                <w:kern w:val="0"/>
                <w:sz w:val="24"/>
                <w:szCs w:val="24"/>
                <w:highlight w:val="none"/>
                <w:lang w:eastAsia="zh-CN"/>
              </w:rPr>
              <w:t>2</w:t>
            </w:r>
            <w:r>
              <w:rPr>
                <w:rFonts w:hint="eastAsia" w:ascii="仿宋_GB2312" w:hAnsi="仿宋_GB2312" w:eastAsia="仿宋_GB2312" w:cs="仿宋_GB2312"/>
                <w:color w:val="000000"/>
                <w:kern w:val="0"/>
                <w:sz w:val="24"/>
                <w:szCs w:val="24"/>
                <w:highlight w:val="none"/>
                <w:lang w:val="en-US" w:eastAsia="zh-CN"/>
              </w:rPr>
              <w:t>00.00</w:t>
            </w:r>
          </w:p>
        </w:tc>
        <w:tc>
          <w:tcPr>
            <w:tcW w:w="636" w:type="pct"/>
            <w:shd w:val="clear" w:color="auto" w:fill="auto"/>
            <w:noWrap/>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1046.</w:t>
            </w:r>
            <w:r>
              <w:rPr>
                <w:rFonts w:hint="eastAsia" w:ascii="仿宋_GB2312" w:hAnsi="仿宋_GB2312" w:eastAsia="仿宋_GB2312" w:cs="仿宋_GB2312"/>
                <w:color w:val="000000"/>
                <w:kern w:val="0"/>
                <w:sz w:val="24"/>
                <w:szCs w:val="24"/>
                <w:highlight w:val="none"/>
                <w:lang w:eastAsia="zh-CN"/>
              </w:rPr>
              <w:t>6</w:t>
            </w:r>
            <w:r>
              <w:rPr>
                <w:rFonts w:hint="eastAsia" w:ascii="仿宋_GB2312" w:hAnsi="仿宋_GB2312" w:eastAsia="仿宋_GB2312" w:cs="仿宋_GB2312"/>
                <w:color w:val="000000"/>
                <w:kern w:val="0"/>
                <w:sz w:val="24"/>
                <w:szCs w:val="24"/>
                <w:highlight w:val="none"/>
              </w:rPr>
              <w:t xml:space="preserve">0 </w:t>
            </w:r>
          </w:p>
        </w:tc>
        <w:tc>
          <w:tcPr>
            <w:tcW w:w="604" w:type="pct"/>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87.21%</w:t>
            </w:r>
          </w:p>
        </w:tc>
      </w:tr>
    </w:tbl>
    <w:p>
      <w:pPr>
        <w:spacing w:line="560" w:lineRule="exact"/>
        <w:ind w:firstLine="0" w:firstLineChars="0"/>
        <w:rPr>
          <w:rFonts w:ascii="Times New Roman" w:hAnsi="Times New Roman" w:eastAsia="宋体" w:cs="Times New Roman"/>
          <w:b/>
          <w:bCs/>
          <w:sz w:val="28"/>
          <w:szCs w:val="28"/>
          <w:highlight w:val="none"/>
        </w:rPr>
      </w:pPr>
    </w:p>
    <w:p>
      <w:pPr>
        <w:spacing w:line="560" w:lineRule="exact"/>
        <w:ind w:firstLine="640" w:firstLineChars="200"/>
        <w:rPr>
          <w:rFonts w:hint="eastAsia" w:ascii="楷体_GB2312" w:hAnsi="楷体_GB2312" w:eastAsia="楷体_GB2312" w:cs="楷体_GB2312"/>
          <w:b w:val="0"/>
          <w:bCs w:val="0"/>
          <w:sz w:val="32"/>
          <w:szCs w:val="32"/>
          <w:highlight w:val="none"/>
        </w:rPr>
      </w:pPr>
      <w:r>
        <w:rPr>
          <w:rFonts w:hint="eastAsia" w:ascii="楷体_GB2312" w:hAnsi="楷体_GB2312" w:eastAsia="楷体_GB2312" w:cs="楷体_GB2312"/>
          <w:b w:val="0"/>
          <w:bCs w:val="0"/>
          <w:sz w:val="32"/>
          <w:szCs w:val="32"/>
          <w:highlight w:val="none"/>
        </w:rPr>
        <w:t>2.绩效目标完成情况</w:t>
      </w:r>
    </w:p>
    <w:p>
      <w:pPr>
        <w:spacing w:line="560" w:lineRule="exact"/>
        <w:ind w:firstLine="640" w:firstLineChars="200"/>
        <w:rPr>
          <w:rFonts w:hint="eastAsia" w:ascii="楷体_GB2312" w:hAnsi="楷体_GB2312" w:eastAsia="楷体_GB2312" w:cs="楷体_GB2312"/>
          <w:b w:val="0"/>
          <w:bCs w:val="0"/>
          <w:sz w:val="32"/>
          <w:szCs w:val="32"/>
          <w:highlight w:val="none"/>
        </w:rPr>
      </w:pPr>
      <w:r>
        <w:rPr>
          <w:rFonts w:hint="eastAsia" w:ascii="楷体_GB2312" w:hAnsi="楷体_GB2312" w:eastAsia="楷体_GB2312" w:cs="楷体_GB2312"/>
          <w:b w:val="0"/>
          <w:bCs w:val="0"/>
          <w:sz w:val="32"/>
          <w:szCs w:val="32"/>
          <w:highlight w:val="none"/>
        </w:rPr>
        <w:t>（1）绩效目标完成情况</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截至2023年底，全年完成一星级以上绿色建筑示范项目5个，完成建筑能耗监测项目4个，完成既有建筑节能改造项目4个，完成绿色建筑相关技术研究和标准制订3个，完成碳达峰碳中和等相关工作研究及推进项目1个，完成新增节能建筑面积超过2.15亿平方米、完成新增绿色建筑面积超过1.93亿平方米、促进我省建筑节能与绿色建筑发展水平量质齐升，减少二氧化碳排放、持续节约能源资源。</w:t>
      </w:r>
    </w:p>
    <w:p>
      <w:pPr>
        <w:spacing w:line="240" w:lineRule="auto"/>
        <w:ind w:firstLine="0" w:firstLineChars="0"/>
        <w:rPr>
          <w:rFonts w:hint="eastAsia" w:ascii="Times New Roman" w:hAnsi="Times New Roman" w:eastAsia="宋体" w:cs="Times New Roman"/>
          <w:b/>
          <w:bCs/>
          <w:sz w:val="28"/>
          <w:szCs w:val="28"/>
          <w:highlight w:val="none"/>
        </w:rPr>
      </w:pPr>
      <w:r>
        <w:rPr>
          <w:rFonts w:hint="eastAsia" w:ascii="Times New Roman" w:hAnsi="Times New Roman" w:eastAsia="宋体" w:cs="Times New Roman"/>
          <w:b/>
          <w:bCs/>
          <w:sz w:val="28"/>
          <w:szCs w:val="28"/>
          <w:highlight w:val="none"/>
        </w:rPr>
        <w:br w:type="page"/>
      </w:r>
    </w:p>
    <w:p>
      <w:pPr>
        <w:spacing w:line="560" w:lineRule="exact"/>
        <w:ind w:firstLine="640" w:firstLineChars="200"/>
        <w:rPr>
          <w:rFonts w:hint="eastAsia" w:ascii="楷体_GB2312" w:hAnsi="楷体_GB2312" w:eastAsia="楷体_GB2312" w:cs="楷体_GB2312"/>
          <w:b w:val="0"/>
          <w:bCs w:val="0"/>
          <w:sz w:val="32"/>
          <w:szCs w:val="32"/>
          <w:highlight w:val="none"/>
        </w:rPr>
      </w:pPr>
      <w:r>
        <w:rPr>
          <w:rFonts w:hint="eastAsia" w:ascii="楷体_GB2312" w:hAnsi="楷体_GB2312" w:eastAsia="楷体_GB2312" w:cs="楷体_GB2312"/>
          <w:b w:val="0"/>
          <w:bCs w:val="0"/>
          <w:sz w:val="32"/>
          <w:szCs w:val="32"/>
          <w:highlight w:val="none"/>
        </w:rPr>
        <w:t>（2）绩效指标完成情况</w:t>
      </w:r>
    </w:p>
    <w:p>
      <w:pPr>
        <w:spacing w:line="560" w:lineRule="exact"/>
        <w:ind w:firstLine="565" w:firstLineChars="202"/>
        <w:jc w:val="center"/>
        <w:rPr>
          <w:rFonts w:ascii="Times New Roman" w:hAnsi="Times New Roman" w:eastAsia="宋体" w:cs="Times New Roman"/>
          <w:sz w:val="24"/>
          <w:szCs w:val="24"/>
          <w:highlight w:val="none"/>
        </w:rPr>
      </w:pPr>
      <w:r>
        <w:rPr>
          <w:rFonts w:hint="eastAsia" w:ascii="Times New Roman" w:hAnsi="Times New Roman" w:eastAsia="宋体" w:cs="Times New Roman"/>
          <w:sz w:val="28"/>
          <w:szCs w:val="28"/>
          <w:highlight w:val="none"/>
        </w:rPr>
        <w:t>表3:</w:t>
      </w:r>
      <w:r>
        <w:rPr>
          <w:rFonts w:ascii="Times New Roman" w:hAnsi="Times New Roman" w:eastAsia="宋体" w:cs="Times New Roman"/>
          <w:sz w:val="28"/>
          <w:szCs w:val="28"/>
          <w:highlight w:val="none"/>
        </w:rPr>
        <w:t>202</w:t>
      </w:r>
      <w:r>
        <w:rPr>
          <w:rFonts w:hint="eastAsia" w:ascii="Times New Roman" w:hAnsi="Times New Roman" w:eastAsia="宋体" w:cs="Times New Roman"/>
          <w:sz w:val="28"/>
          <w:szCs w:val="28"/>
          <w:highlight w:val="none"/>
        </w:rPr>
        <w:t>3</w:t>
      </w:r>
      <w:r>
        <w:rPr>
          <w:rFonts w:ascii="Times New Roman" w:hAnsi="Times New Roman" w:eastAsia="宋体" w:cs="Times New Roman"/>
          <w:sz w:val="28"/>
          <w:szCs w:val="28"/>
          <w:highlight w:val="none"/>
        </w:rPr>
        <w:t>年</w:t>
      </w:r>
      <w:r>
        <w:rPr>
          <w:rFonts w:hint="eastAsia" w:ascii="Times New Roman" w:hAnsi="Times New Roman" w:eastAsia="宋体" w:cs="Times New Roman"/>
          <w:sz w:val="28"/>
          <w:szCs w:val="28"/>
          <w:highlight w:val="none"/>
        </w:rPr>
        <w:t>度各项绩效指标表</w:t>
      </w:r>
    </w:p>
    <w:tbl>
      <w:tblPr>
        <w:tblStyle w:val="14"/>
        <w:tblW w:w="5163" w:type="pct"/>
        <w:jc w:val="center"/>
        <w:tblLayout w:type="autofit"/>
        <w:tblCellMar>
          <w:top w:w="0" w:type="dxa"/>
          <w:left w:w="108" w:type="dxa"/>
          <w:bottom w:w="0" w:type="dxa"/>
          <w:right w:w="108" w:type="dxa"/>
        </w:tblCellMar>
      </w:tblPr>
      <w:tblGrid>
        <w:gridCol w:w="623"/>
        <w:gridCol w:w="1693"/>
        <w:gridCol w:w="4263"/>
        <w:gridCol w:w="1661"/>
        <w:gridCol w:w="1116"/>
      </w:tblGrid>
      <w:tr>
        <w:tblPrEx>
          <w:tblCellMar>
            <w:top w:w="0" w:type="dxa"/>
            <w:left w:w="108" w:type="dxa"/>
            <w:bottom w:w="0" w:type="dxa"/>
            <w:right w:w="108" w:type="dxa"/>
          </w:tblCellMar>
        </w:tblPrEx>
        <w:trPr>
          <w:trHeight w:val="23" w:hRule="atLeast"/>
          <w:tblHeader/>
          <w:jc w:val="center"/>
        </w:trPr>
        <w:tc>
          <w:tcPr>
            <w:tcW w:w="333" w:type="pct"/>
            <w:tcBorders>
              <w:top w:val="single" w:color="000000" w:sz="4" w:space="0"/>
              <w:left w:val="single" w:color="000000" w:sz="4" w:space="0"/>
              <w:bottom w:val="nil"/>
              <w:right w:val="single" w:color="000000" w:sz="4" w:space="0"/>
            </w:tcBorders>
            <w:shd w:val="clear" w:color="auto" w:fill="auto"/>
            <w:vAlign w:val="center"/>
          </w:tcPr>
          <w:p>
            <w:pPr>
              <w:widowControl/>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一级指标</w:t>
            </w:r>
          </w:p>
        </w:tc>
        <w:tc>
          <w:tcPr>
            <w:tcW w:w="904" w:type="pc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二级指标</w:t>
            </w:r>
          </w:p>
        </w:tc>
        <w:tc>
          <w:tcPr>
            <w:tcW w:w="2277" w:type="pc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三级指标</w:t>
            </w:r>
          </w:p>
        </w:tc>
        <w:tc>
          <w:tcPr>
            <w:tcW w:w="887" w:type="pc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年度目标值</w:t>
            </w:r>
          </w:p>
        </w:tc>
        <w:tc>
          <w:tcPr>
            <w:tcW w:w="596" w:type="pct"/>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目标值完成情况</w:t>
            </w:r>
          </w:p>
        </w:tc>
      </w:tr>
      <w:tr>
        <w:tblPrEx>
          <w:tblCellMar>
            <w:top w:w="0" w:type="dxa"/>
            <w:left w:w="108" w:type="dxa"/>
            <w:bottom w:w="0" w:type="dxa"/>
            <w:right w:w="108" w:type="dxa"/>
          </w:tblCellMar>
        </w:tblPrEx>
        <w:trPr>
          <w:trHeight w:val="397" w:hRule="atLeast"/>
          <w:jc w:val="center"/>
        </w:trPr>
        <w:tc>
          <w:tcPr>
            <w:tcW w:w="33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产出指标</w:t>
            </w:r>
          </w:p>
        </w:tc>
        <w:tc>
          <w:tcPr>
            <w:tcW w:w="904"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数量指标</w:t>
            </w: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一星级以上绿色建筑标识项目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1个以上</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5个</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建筑能耗监测项目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1个以上</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4个</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既有建筑节能改造项目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1个以上</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4个</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建筑节能与绿色建筑相关技术研究和标准制订</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1个以上</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3个</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超低能耗建筑、近零能耗建筑项目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1个以上</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4个</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建筑节能与绿色建筑技术研究项目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1个以上</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2个</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建筑节能与绿色建筑标准制订项目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1个以上</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2个</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质量指标</w:t>
            </w: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项目验收合格率</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100%</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时效指标</w:t>
            </w: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一星级以上绿色建筑标识项目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本年度内完成</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完成</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建筑能耗监测项目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本年度内完成</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完成</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既有建筑节能改造项目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本年度内完成</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完成</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建筑节能与绿色建筑相关技术研究和标准制订</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本年度内完成</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完成</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超低能耗建筑、近零能耗建筑项目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本年度内完成</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完成</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建筑节能与绿色建筑技术研究项目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本年度内完成</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完成</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建筑节能与绿色建筑标准制订项目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本年度内完成</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完成</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碳达峰碳中和等相关工作研究和项目</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本年度内完成</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完成</w:t>
            </w:r>
          </w:p>
        </w:tc>
      </w:tr>
      <w:tr>
        <w:tblPrEx>
          <w:tblCellMar>
            <w:top w:w="0" w:type="dxa"/>
            <w:left w:w="108" w:type="dxa"/>
            <w:bottom w:w="0" w:type="dxa"/>
            <w:right w:w="108" w:type="dxa"/>
          </w:tblCellMar>
        </w:tblPrEx>
        <w:trPr>
          <w:trHeight w:val="397" w:hRule="atLeast"/>
          <w:jc w:val="center"/>
        </w:trPr>
        <w:tc>
          <w:tcPr>
            <w:tcW w:w="333" w:type="pct"/>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成本指标</w:t>
            </w: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奖励标准：享受过国家或省相关资金支持的项目不予申报，实体项目的支持金额一般不超过项目总投资额的</w:t>
            </w:r>
            <w:r>
              <w:rPr>
                <w:rFonts w:hint="eastAsia" w:ascii="仿宋_GB2312" w:hAnsi="仿宋_GB2312" w:eastAsia="仿宋_GB2312" w:cs="仿宋_GB2312"/>
                <w:color w:val="000000"/>
                <w:kern w:val="0"/>
                <w:sz w:val="24"/>
                <w:szCs w:val="24"/>
                <w:highlight w:val="none"/>
                <w:lang w:val="en-US" w:eastAsia="zh-CN"/>
              </w:rPr>
              <w:t>50</w:t>
            </w:r>
            <w:r>
              <w:rPr>
                <w:rFonts w:hint="eastAsia" w:ascii="仿宋_GB2312" w:hAnsi="仿宋_GB2312" w:eastAsia="仿宋_GB2312" w:cs="仿宋_GB2312"/>
                <w:color w:val="000000"/>
                <w:kern w:val="0"/>
                <w:sz w:val="24"/>
                <w:szCs w:val="24"/>
                <w:highlight w:val="none"/>
              </w:rPr>
              <w:t>%。</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满足要求</w:t>
            </w:r>
          </w:p>
        </w:tc>
      </w:tr>
      <w:tr>
        <w:tblPrEx>
          <w:tblCellMar>
            <w:top w:w="0" w:type="dxa"/>
            <w:left w:w="108" w:type="dxa"/>
            <w:bottom w:w="0" w:type="dxa"/>
            <w:right w:w="108" w:type="dxa"/>
          </w:tblCellMar>
        </w:tblPrEx>
        <w:trPr>
          <w:trHeight w:val="397" w:hRule="atLeast"/>
          <w:jc w:val="center"/>
        </w:trPr>
        <w:tc>
          <w:tcPr>
            <w:tcW w:w="333"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eastAsia="宋体" w:cs="宋体"/>
                <w:color w:val="000000"/>
                <w:kern w:val="0"/>
                <w:sz w:val="24"/>
                <w:szCs w:val="24"/>
                <w:highlight w:val="none"/>
              </w:rPr>
            </w:pPr>
            <w:r>
              <w:rPr>
                <w:rFonts w:hint="eastAsia" w:ascii="宋体" w:hAnsi="宋体" w:eastAsia="宋体" w:cs="宋体"/>
                <w:color w:val="000000"/>
                <w:kern w:val="0"/>
                <w:sz w:val="24"/>
                <w:szCs w:val="24"/>
                <w:highlight w:val="none"/>
              </w:rPr>
              <w:t>效益指标</w:t>
            </w:r>
          </w:p>
        </w:tc>
        <w:tc>
          <w:tcPr>
            <w:tcW w:w="904"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经济效益指标</w:t>
            </w: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绿色建筑占城镇新建民用建筑比例</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80</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80</w:t>
            </w:r>
          </w:p>
        </w:tc>
      </w:tr>
      <w:tr>
        <w:tblPrEx>
          <w:tblCellMar>
            <w:top w:w="0" w:type="dxa"/>
            <w:left w:w="108" w:type="dxa"/>
            <w:bottom w:w="0" w:type="dxa"/>
            <w:right w:w="108" w:type="dxa"/>
          </w:tblCellMar>
        </w:tblPrEx>
        <w:trPr>
          <w:trHeight w:val="397" w:hRule="atLeast"/>
          <w:jc w:val="center"/>
        </w:trPr>
        <w:tc>
          <w:tcPr>
            <w:tcW w:w="333" w:type="pct"/>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社会效益</w:t>
            </w: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星级绿色建筑面积占比</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20</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效果显著</w:t>
            </w:r>
          </w:p>
        </w:tc>
      </w:tr>
      <w:tr>
        <w:tblPrEx>
          <w:tblCellMar>
            <w:top w:w="0" w:type="dxa"/>
            <w:left w:w="108" w:type="dxa"/>
            <w:bottom w:w="0" w:type="dxa"/>
            <w:right w:w="108" w:type="dxa"/>
          </w:tblCellMar>
        </w:tblPrEx>
        <w:trPr>
          <w:trHeight w:val="397" w:hRule="atLeast"/>
          <w:jc w:val="center"/>
        </w:trPr>
        <w:tc>
          <w:tcPr>
            <w:tcW w:w="333" w:type="pct"/>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可持续影响</w:t>
            </w: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新增节能建筑面积</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1亿</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2.15亿</w:t>
            </w:r>
          </w:p>
        </w:tc>
      </w:tr>
      <w:tr>
        <w:tblPrEx>
          <w:tblCellMar>
            <w:top w:w="0" w:type="dxa"/>
            <w:left w:w="108" w:type="dxa"/>
            <w:bottom w:w="0" w:type="dxa"/>
            <w:right w:w="108" w:type="dxa"/>
          </w:tblCellMar>
        </w:tblPrEx>
        <w:trPr>
          <w:trHeight w:val="397" w:hRule="atLeast"/>
          <w:jc w:val="center"/>
        </w:trPr>
        <w:tc>
          <w:tcPr>
            <w:tcW w:w="333" w:type="pct"/>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vMerge w:val="continue"/>
            <w:tcBorders>
              <w:top w:val="nil"/>
              <w:left w:val="single" w:color="000000" w:sz="4" w:space="0"/>
              <w:bottom w:val="single" w:color="000000" w:sz="4" w:space="0"/>
              <w:right w:val="single" w:color="000000" w:sz="4" w:space="0"/>
            </w:tcBorders>
            <w:vAlign w:val="center"/>
          </w:tcPr>
          <w:p>
            <w:pPr>
              <w:widowControl/>
              <w:jc w:val="left"/>
              <w:rPr>
                <w:rFonts w:hint="eastAsia" w:ascii="仿宋_GB2312" w:hAnsi="仿宋_GB2312" w:eastAsia="仿宋_GB2312" w:cs="仿宋_GB2312"/>
                <w:color w:val="000000"/>
                <w:kern w:val="0"/>
                <w:sz w:val="24"/>
                <w:szCs w:val="24"/>
                <w:highlight w:val="none"/>
              </w:rPr>
            </w:pP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新增绿色建筑面积</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1亿</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1.93亿</w:t>
            </w:r>
          </w:p>
        </w:tc>
      </w:tr>
      <w:tr>
        <w:tblPrEx>
          <w:tblCellMar>
            <w:top w:w="0" w:type="dxa"/>
            <w:left w:w="108" w:type="dxa"/>
            <w:bottom w:w="0" w:type="dxa"/>
            <w:right w:w="108" w:type="dxa"/>
          </w:tblCellMar>
        </w:tblPrEx>
        <w:trPr>
          <w:trHeight w:val="397" w:hRule="atLeast"/>
          <w:jc w:val="center"/>
        </w:trPr>
        <w:tc>
          <w:tcPr>
            <w:tcW w:w="333" w:type="pct"/>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eastAsia="宋体" w:cs="宋体"/>
                <w:color w:val="000000"/>
                <w:kern w:val="0"/>
                <w:sz w:val="24"/>
                <w:szCs w:val="24"/>
                <w:highlight w:val="none"/>
              </w:rPr>
            </w:pPr>
          </w:p>
        </w:tc>
        <w:tc>
          <w:tcPr>
            <w:tcW w:w="904"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kern w:val="0"/>
                <w:sz w:val="24"/>
                <w:szCs w:val="24"/>
                <w:highlight w:val="none"/>
              </w:rPr>
              <w:t>服务对象满意度</w:t>
            </w:r>
          </w:p>
        </w:tc>
        <w:tc>
          <w:tcPr>
            <w:tcW w:w="2277" w:type="pct"/>
            <w:tcBorders>
              <w:top w:val="nil"/>
              <w:left w:val="nil"/>
              <w:bottom w:val="single" w:color="000000" w:sz="4" w:space="0"/>
              <w:right w:val="single" w:color="000000" w:sz="4" w:space="0"/>
            </w:tcBorders>
            <w:shd w:val="clear" w:color="auto" w:fill="auto"/>
            <w:vAlign w:val="center"/>
          </w:tcPr>
          <w:p>
            <w:pPr>
              <w:widowControl/>
              <w:jc w:val="left"/>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相关服务对象满意度</w:t>
            </w:r>
          </w:p>
        </w:tc>
        <w:tc>
          <w:tcPr>
            <w:tcW w:w="887"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85%</w:t>
            </w:r>
          </w:p>
        </w:tc>
        <w:tc>
          <w:tcPr>
            <w:tcW w:w="596" w:type="pct"/>
            <w:tcBorders>
              <w:top w:val="nil"/>
              <w:left w:val="nil"/>
              <w:bottom w:val="single" w:color="000000" w:sz="4" w:space="0"/>
              <w:right w:val="single" w:color="000000" w:sz="4" w:space="0"/>
            </w:tcBorders>
            <w:shd w:val="clear" w:color="auto" w:fill="auto"/>
            <w:vAlign w:val="center"/>
          </w:tcPr>
          <w:p>
            <w:pPr>
              <w:widowControl/>
              <w:jc w:val="center"/>
              <w:rPr>
                <w:rFonts w:hint="eastAsia" w:ascii="仿宋_GB2312" w:hAnsi="仿宋_GB2312" w:eastAsia="仿宋_GB2312" w:cs="仿宋_GB2312"/>
                <w:color w:val="000000"/>
                <w:kern w:val="0"/>
                <w:sz w:val="24"/>
                <w:szCs w:val="24"/>
                <w:highlight w:val="none"/>
              </w:rPr>
            </w:pPr>
            <w:r>
              <w:rPr>
                <w:rFonts w:hint="eastAsia" w:ascii="仿宋_GB2312" w:hAnsi="仿宋_GB2312" w:eastAsia="仿宋_GB2312" w:cs="仿宋_GB2312"/>
                <w:color w:val="000000"/>
                <w:sz w:val="24"/>
                <w:szCs w:val="24"/>
                <w:highlight w:val="none"/>
              </w:rPr>
              <w:t>85%</w:t>
            </w:r>
          </w:p>
        </w:tc>
      </w:tr>
    </w:tbl>
    <w:p>
      <w:pPr>
        <w:spacing w:line="560" w:lineRule="exact"/>
        <w:ind w:firstLine="565" w:firstLineChars="202"/>
        <w:rPr>
          <w:rFonts w:ascii="Times New Roman" w:hAnsi="Times New Roman" w:eastAsia="宋体" w:cs="Times New Roman"/>
          <w:sz w:val="28"/>
          <w:szCs w:val="28"/>
          <w:highlight w:val="none"/>
        </w:rPr>
      </w:pPr>
      <w:r>
        <w:rPr>
          <w:rFonts w:hint="eastAsia" w:ascii="Times New Roman" w:hAnsi="Times New Roman" w:eastAsia="宋体" w:cs="Times New Roman"/>
          <w:sz w:val="28"/>
          <w:szCs w:val="28"/>
          <w:highlight w:val="none"/>
        </w:rPr>
        <w:t>如上表所示，本项目</w:t>
      </w:r>
      <w:r>
        <w:rPr>
          <w:rFonts w:ascii="Times New Roman" w:hAnsi="Times New Roman" w:eastAsia="宋体" w:cs="Times New Roman"/>
          <w:sz w:val="28"/>
          <w:szCs w:val="28"/>
          <w:highlight w:val="none"/>
        </w:rPr>
        <w:t>202</w:t>
      </w:r>
      <w:r>
        <w:rPr>
          <w:rFonts w:hint="eastAsia" w:ascii="Times New Roman" w:hAnsi="Times New Roman" w:eastAsia="宋体" w:cs="Times New Roman"/>
          <w:sz w:val="28"/>
          <w:szCs w:val="28"/>
          <w:highlight w:val="none"/>
        </w:rPr>
        <w:t>3</w:t>
      </w:r>
      <w:r>
        <w:rPr>
          <w:rFonts w:ascii="Times New Roman" w:hAnsi="Times New Roman" w:eastAsia="宋体" w:cs="Times New Roman"/>
          <w:sz w:val="28"/>
          <w:szCs w:val="28"/>
          <w:highlight w:val="none"/>
        </w:rPr>
        <w:t>年</w:t>
      </w:r>
      <w:r>
        <w:rPr>
          <w:rFonts w:hint="eastAsia" w:ascii="Times New Roman" w:hAnsi="Times New Roman" w:eastAsia="宋体" w:cs="Times New Roman"/>
          <w:sz w:val="28"/>
          <w:szCs w:val="28"/>
          <w:highlight w:val="none"/>
        </w:rPr>
        <w:t>各项</w:t>
      </w:r>
      <w:r>
        <w:rPr>
          <w:rFonts w:ascii="Times New Roman" w:hAnsi="Times New Roman" w:eastAsia="宋体" w:cs="Times New Roman"/>
          <w:sz w:val="28"/>
          <w:szCs w:val="28"/>
          <w:highlight w:val="none"/>
        </w:rPr>
        <w:t>绩效指标</w:t>
      </w:r>
      <w:r>
        <w:rPr>
          <w:rFonts w:hint="eastAsia" w:ascii="Times New Roman" w:hAnsi="Times New Roman" w:eastAsia="宋体" w:cs="Times New Roman"/>
          <w:sz w:val="28"/>
          <w:szCs w:val="28"/>
          <w:highlight w:val="none"/>
        </w:rPr>
        <w:t>已完成。</w:t>
      </w:r>
    </w:p>
    <w:p>
      <w:pPr>
        <w:pStyle w:val="24"/>
        <w:numPr>
          <w:ilvl w:val="0"/>
          <w:numId w:val="2"/>
        </w:numPr>
        <w:spacing w:line="600" w:lineRule="exact"/>
        <w:ind w:left="0" w:firstLine="640"/>
        <w:outlineLvl w:val="1"/>
        <w:rPr>
          <w:rFonts w:hint="eastAsia" w:ascii="楷体_GB2312" w:hAnsi="楷体_GB2312" w:eastAsia="楷体_GB2312" w:cs="楷体_GB2312"/>
          <w:b w:val="0"/>
          <w:bCs w:val="0"/>
          <w:sz w:val="32"/>
          <w:szCs w:val="32"/>
          <w:highlight w:val="none"/>
        </w:rPr>
      </w:pPr>
      <w:bookmarkStart w:id="49" w:name="_Toc1070335328"/>
      <w:bookmarkStart w:id="50" w:name="_Toc433770187"/>
      <w:bookmarkStart w:id="51" w:name="_Toc139818371"/>
      <w:bookmarkStart w:id="52" w:name="_Toc624416007"/>
      <w:bookmarkStart w:id="53" w:name="_Toc841121008"/>
      <w:bookmarkStart w:id="54" w:name="_Toc1831734840"/>
      <w:bookmarkStart w:id="55" w:name="_Toc1562853980"/>
      <w:r>
        <w:rPr>
          <w:rFonts w:hint="eastAsia" w:ascii="楷体_GB2312" w:hAnsi="楷体_GB2312" w:eastAsia="楷体_GB2312" w:cs="楷体_GB2312"/>
          <w:b w:val="0"/>
          <w:bCs w:val="0"/>
          <w:sz w:val="32"/>
          <w:szCs w:val="32"/>
          <w:highlight w:val="none"/>
        </w:rPr>
        <w:t>存在问题</w:t>
      </w:r>
      <w:bookmarkEnd w:id="49"/>
      <w:bookmarkEnd w:id="50"/>
      <w:bookmarkEnd w:id="51"/>
      <w:bookmarkEnd w:id="52"/>
      <w:bookmarkEnd w:id="53"/>
      <w:bookmarkEnd w:id="54"/>
      <w:bookmarkEnd w:id="55"/>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该项目在2023年度取得了良好成绩，但也还存在个别不足之处。</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1、超低能耗、近零能耗建筑推广有待进一步提升。</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十四五”前中期，全省虽积极推动超低能耗建筑、近零能耗建筑发展，创建10项超低能耗建筑试点，17项超低能耗建筑典型案例，但超低能耗、近零能耗建筑建筑面积仅有61.13万平方米，距离300万平方米仍有一定差距。超低能耗、近零能耗建筑项目主要集中在广州、深圳、珠海、惠州、东莞等珠三角地区，粤东西北地区仅河源、清远两市存在超低能耗、近零能耗建筑项目。</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2、绿色建筑品质及体验感还有提升空间。</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绿色建筑的发展逐步由评价制度转向建设全过程管控，但绿色建筑重设计轻运行、重新建轻改造、重技术轻体验的现象仍较为普遍，高品质绿色建筑仍然较少。区域发展仍不平衡，新建绿色建筑80%分布在珠三角，珠三角和粤东西北地区、城镇和农村发展差距较大。人民对绿色建筑的获得感仍有待加强</w:t>
      </w:r>
      <w:r>
        <w:rPr>
          <w:rFonts w:hint="eastAsia" w:ascii="仿宋_GB2312" w:hAnsi="仿宋_GB2312" w:eastAsia="仿宋_GB2312" w:cs="仿宋_GB2312"/>
          <w:b w:val="0"/>
          <w:bCs w:val="0"/>
          <w:sz w:val="32"/>
          <w:szCs w:val="32"/>
          <w:highlight w:val="none"/>
          <w:lang w:eastAsia="zh-CN"/>
        </w:rPr>
        <w:t>。</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3、既有建筑的运行管理缺乏有效抓手。</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截至“十四五”中期，全省共完成既有建筑节能绿色化改造面积1442万平方米，已达到了预期进度，但目前建筑节能、绿色建筑发展的激励措施与高质量发展的要求存在差距，还有待完善。既有建筑节能绿色化改造缺乏有力抓手，在既有建筑改造中不受重视。既有建筑存量大，部分建筑能效水平低。当前节能改造资金来源单一，财政支持力度有限，采用合同能源管理方式进行节能改造的市场化机制尚不完善，在技术路线和实施路线上都有一定的挑战，总体推进缓慢。公共建筑执行公共建筑能耗限额仍缺乏基础研究和合力机制，考虑不同建筑类型的建筑特点和运行业态差异较大，需区分建筑类型确定能耗限额基准线。</w:t>
      </w:r>
    </w:p>
    <w:p>
      <w:pPr>
        <w:pStyle w:val="24"/>
        <w:numPr>
          <w:ilvl w:val="0"/>
          <w:numId w:val="0"/>
        </w:numPr>
        <w:spacing w:line="600" w:lineRule="exact"/>
        <w:ind w:left="0" w:firstLine="640"/>
        <w:outlineLvl w:val="0"/>
        <w:rPr>
          <w:rFonts w:hint="eastAsia" w:ascii="黑体" w:hAnsi="黑体" w:eastAsia="黑体" w:cs="黑体"/>
          <w:b w:val="0"/>
          <w:bCs w:val="0"/>
          <w:sz w:val="32"/>
          <w:szCs w:val="32"/>
          <w:highlight w:val="none"/>
        </w:rPr>
      </w:pPr>
      <w:bookmarkStart w:id="56" w:name="_Toc139818372"/>
      <w:bookmarkStart w:id="57" w:name="_Toc1215706364"/>
      <w:bookmarkStart w:id="58" w:name="_Toc211265330"/>
      <w:bookmarkStart w:id="59" w:name="_Toc1811087493"/>
      <w:bookmarkStart w:id="60" w:name="_Toc938657134"/>
      <w:bookmarkStart w:id="61" w:name="_Toc1527531991"/>
      <w:bookmarkStart w:id="62" w:name="_Toc925177662"/>
      <w:r>
        <w:rPr>
          <w:rFonts w:hint="eastAsia" w:ascii="黑体" w:hAnsi="黑体" w:eastAsia="黑体" w:cs="黑体"/>
          <w:b w:val="0"/>
          <w:bCs w:val="0"/>
          <w:sz w:val="32"/>
          <w:szCs w:val="32"/>
          <w:highlight w:val="none"/>
          <w:lang w:eastAsia="zh-CN"/>
        </w:rPr>
        <w:t>三</w:t>
      </w:r>
      <w:r>
        <w:rPr>
          <w:rFonts w:hint="eastAsia" w:ascii="黑体" w:hAnsi="黑体" w:eastAsia="黑体" w:cs="黑体"/>
          <w:b w:val="0"/>
          <w:bCs w:val="0"/>
          <w:sz w:val="32"/>
          <w:szCs w:val="32"/>
          <w:highlight w:val="none"/>
        </w:rPr>
        <w:t>、改进意见</w:t>
      </w:r>
      <w:bookmarkEnd w:id="56"/>
      <w:bookmarkEnd w:id="57"/>
      <w:bookmarkEnd w:id="58"/>
      <w:bookmarkEnd w:id="59"/>
      <w:bookmarkEnd w:id="60"/>
      <w:bookmarkEnd w:id="61"/>
      <w:bookmarkEnd w:id="62"/>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为改善和提高资金绩效管理水平，更好的发挥财政资金使用绩效，我厅针对本次自评过程中发现的问题，提出以下改进措施：</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1、加强预算绩效管理，提升绩效指标设置水平。我厅在接下来的工作中将进一步加强对预算绩效工作的管理，全面贯彻落实国家、省以及部门对于预算绩效管理的制度要求和工作要求，提高对预算绩效管理工作的认识，确保预算绩效管理工作的顺利开展。同时，加强对相关人员的业务培训工作，组织相关人员针对绩效目标、绩效指标进行全面的、规范性的培训工作，提高绩效目标设置的水平，为我厅全面落实预算绩效管理工作打下坚实的人才基础。</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2、开展建筑能效提升行动，进一步提高新建建筑节能标准，加强既有建筑运行节能降碳，逐步实施建筑电气化工程，推广可再生能源建筑应用。</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3、推动超低能耗建筑规模化建设，开展岭南特色超低能耗建筑、零碳建筑技术标准编制研究。持续开展超低能耗建筑等试点项目和典型案例认定工作，推动现有试点项目和典型案例建成落地。</w:t>
      </w:r>
    </w:p>
    <w:p>
      <w:pPr>
        <w:pStyle w:val="24"/>
        <w:spacing w:line="60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4、持续推动绿色建筑与绿色金融协调发展，完善绿色建筑统一标识制度，加大绿色建筑标识认定力度，推动南沙、前海、横琴三大平台及其他有条件的地区全面实施星级绿色建筑标识认定。完善星级绿色建筑标识项目激励政策，落实省城乡建设绿色发展专项资金重点对粤东西北地区绿色建筑标识项目实施奖补，要求每个地市每年申报绿色建筑标识奖补项目不少于1个。</w:t>
      </w:r>
    </w:p>
    <w:p>
      <w:pPr>
        <w:pStyle w:val="24"/>
        <w:spacing w:line="600" w:lineRule="exact"/>
        <w:ind w:firstLine="640"/>
        <w:rPr>
          <w:rFonts w:hint="eastAsia" w:ascii="仿宋_GB2312" w:hAnsi="仿宋_GB2312" w:eastAsia="仿宋_GB2312" w:cs="仿宋_GB2312"/>
          <w:b w:val="0"/>
          <w:bCs w:val="0"/>
          <w:sz w:val="32"/>
          <w:szCs w:val="32"/>
          <w:highlight w:val="none"/>
        </w:rPr>
      </w:pPr>
    </w:p>
    <w:sectPr>
      <w:footerReference r:id="rId3" w:type="default"/>
      <w:pgSz w:w="11906" w:h="16838"/>
      <w:pgMar w:top="1644" w:right="1474" w:bottom="1417" w:left="1587" w:header="851" w:footer="1020"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仿宋_GBK">
    <w:altName w:val="微软雅黑"/>
    <w:panose1 w:val="02000000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hAnsi="宋体" w:eastAsia="宋体"/>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posOffset>5309235</wp:posOffset>
              </wp:positionH>
              <wp:positionV relativeFrom="paragraph">
                <wp:posOffset>1905</wp:posOffset>
              </wp:positionV>
              <wp:extent cx="628650" cy="1828800"/>
              <wp:effectExtent l="0" t="0" r="0" b="3810"/>
              <wp:wrapNone/>
              <wp:docPr id="1" name="文本框 1"/>
              <wp:cNvGraphicFramePr/>
              <a:graphic xmlns:a="http://schemas.openxmlformats.org/drawingml/2006/main">
                <a:graphicData uri="http://schemas.microsoft.com/office/word/2010/wordprocessingShape">
                  <wps:wsp>
                    <wps:cNvSpPr txBox="1"/>
                    <wps:spPr>
                      <a:xfrm>
                        <a:off x="0" y="0"/>
                        <a:ext cx="6286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009050009"/>
                          </w:sdtPr>
                          <w:sdtEndPr>
                            <w:rPr>
                              <w:rFonts w:ascii="宋体" w:hAnsi="宋体" w:eastAsia="宋体"/>
                              <w:sz w:val="24"/>
                              <w:szCs w:val="24"/>
                            </w:rPr>
                          </w:sdtEndPr>
                          <w:sdtContent>
                            <w:p>
                              <w:pPr>
                                <w:pStyle w:val="8"/>
                                <w:jc w:val="center"/>
                                <w:rPr>
                                  <w:rFonts w:ascii="宋体" w:hAnsi="宋体" w:eastAsia="宋体"/>
                                  <w:sz w:val="24"/>
                                  <w:szCs w:val="24"/>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9 -</w:t>
                              </w:r>
                              <w:r>
                                <w:rPr>
                                  <w:rFonts w:ascii="宋体" w:hAnsi="宋体" w:eastAsia="宋体"/>
                                  <w:sz w:val="28"/>
                                  <w:szCs w:val="28"/>
                                </w:rPr>
                                <w:fldChar w:fldCharType="end"/>
                              </w:r>
                            </w:p>
                          </w:sdtContent>
                        </w:sdt>
                        <w:p>
                          <w:pPr>
                            <w:rPr>
                              <w:rFonts w:ascii="宋体" w:hAnsi="宋体" w:eastAsia="宋体"/>
                              <w:sz w:val="24"/>
                              <w:szCs w:val="24"/>
                            </w:rPr>
                          </w:pP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18.05pt;margin-top:0.15pt;height:144pt;width:49.5pt;mso-position-horizontal-relative:margin;z-index:251659264;mso-width-relative:page;mso-height-relative:page;" filled="f" stroked="f" coordsize="21600,21600" o:gfxdata="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nkH7I1wAAAAgBAAAPAAAAAAAAAAEAIAAAACIAAABkcnMvZG93bnJldi54bWxQSwEC&#10;FAAUAAAACACHTuJAaXi3Gi4CAABWBAAADgAAAAAAAAABACAAAAAmAQAAZHJzL2Uyb0RvYy54bWxQ&#10;SwUGAAAAAAYABgBZAQAAxgUAAAAA&#10;">
              <v:fill on="f" focussize="0,0"/>
              <v:stroke on="f" weight="0.5pt"/>
              <v:imagedata o:title=""/>
              <o:lock v:ext="edit" aspectratio="f"/>
              <v:textbox inset="0mm,0mm,0mm,0mm" style="mso-fit-shape-to-text:t;">
                <w:txbxContent>
                  <w:sdt>
                    <w:sdtPr>
                      <w:id w:val="-2009050009"/>
                    </w:sdtPr>
                    <w:sdtEndPr>
                      <w:rPr>
                        <w:rFonts w:ascii="宋体" w:hAnsi="宋体" w:eastAsia="宋体"/>
                        <w:sz w:val="24"/>
                        <w:szCs w:val="24"/>
                      </w:rPr>
                    </w:sdtEndPr>
                    <w:sdtContent>
                      <w:p>
                        <w:pPr>
                          <w:pStyle w:val="8"/>
                          <w:jc w:val="center"/>
                          <w:rPr>
                            <w:rFonts w:ascii="宋体" w:hAnsi="宋体" w:eastAsia="宋体"/>
                            <w:sz w:val="24"/>
                            <w:szCs w:val="24"/>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w:t>
                        </w:r>
                        <w:r>
                          <w:rPr>
                            <w:rFonts w:ascii="宋体" w:hAnsi="宋体" w:eastAsia="宋体"/>
                            <w:sz w:val="28"/>
                            <w:szCs w:val="28"/>
                          </w:rPr>
                          <w:t xml:space="preserve"> 9 -</w:t>
                        </w:r>
                        <w:r>
                          <w:rPr>
                            <w:rFonts w:ascii="宋体" w:hAnsi="宋体" w:eastAsia="宋体"/>
                            <w:sz w:val="28"/>
                            <w:szCs w:val="28"/>
                          </w:rPr>
                          <w:fldChar w:fldCharType="end"/>
                        </w:r>
                      </w:p>
                    </w:sdtContent>
                  </w:sdt>
                  <w:p>
                    <w:pPr>
                      <w:rPr>
                        <w:rFonts w:ascii="宋体" w:hAnsi="宋体" w:eastAsia="宋体"/>
                        <w:sz w:val="24"/>
                        <w:szCs w:val="24"/>
                      </w:rPr>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EC0492"/>
    <w:multiLevelType w:val="multilevel"/>
    <w:tmpl w:val="2CEC0492"/>
    <w:lvl w:ilvl="0" w:tentative="0">
      <w:start w:val="1"/>
      <w:numFmt w:val="chineseCountingThousand"/>
      <w:lvlText w:val="(%1)  "/>
      <w:lvlJc w:val="left"/>
      <w:pPr>
        <w:ind w:left="-5112" w:hanging="420"/>
      </w:pPr>
      <w:rPr>
        <w:rFonts w:hint="eastAsia"/>
      </w:rPr>
    </w:lvl>
    <w:lvl w:ilvl="1" w:tentative="0">
      <w:start w:val="1"/>
      <w:numFmt w:val="chineseCountingThousand"/>
      <w:lvlText w:val="（%2）"/>
      <w:lvlJc w:val="left"/>
      <w:pPr>
        <w:ind w:left="-5107" w:hanging="420"/>
      </w:pPr>
      <w:rPr>
        <w:rFonts w:hint="eastAsia"/>
      </w:rPr>
    </w:lvl>
    <w:lvl w:ilvl="2" w:tentative="0">
      <w:start w:val="1"/>
      <w:numFmt w:val="lowerRoman"/>
      <w:lvlText w:val="%3."/>
      <w:lvlJc w:val="right"/>
      <w:pPr>
        <w:ind w:left="-4272" w:hanging="420"/>
      </w:pPr>
    </w:lvl>
    <w:lvl w:ilvl="3" w:tentative="0">
      <w:start w:val="1"/>
      <w:numFmt w:val="decimal"/>
      <w:lvlText w:val="%4."/>
      <w:lvlJc w:val="left"/>
      <w:pPr>
        <w:ind w:left="-3852" w:hanging="420"/>
      </w:pPr>
    </w:lvl>
    <w:lvl w:ilvl="4" w:tentative="0">
      <w:start w:val="1"/>
      <w:numFmt w:val="lowerLetter"/>
      <w:lvlText w:val="%5)"/>
      <w:lvlJc w:val="left"/>
      <w:pPr>
        <w:ind w:left="-3432" w:hanging="420"/>
      </w:pPr>
    </w:lvl>
    <w:lvl w:ilvl="5" w:tentative="0">
      <w:start w:val="1"/>
      <w:numFmt w:val="lowerRoman"/>
      <w:lvlText w:val="%6."/>
      <w:lvlJc w:val="right"/>
      <w:pPr>
        <w:ind w:left="-3012" w:hanging="420"/>
      </w:pPr>
    </w:lvl>
    <w:lvl w:ilvl="6" w:tentative="0">
      <w:start w:val="1"/>
      <w:numFmt w:val="decimal"/>
      <w:lvlText w:val="%7."/>
      <w:lvlJc w:val="left"/>
      <w:pPr>
        <w:ind w:left="-2592" w:hanging="420"/>
      </w:pPr>
    </w:lvl>
    <w:lvl w:ilvl="7" w:tentative="0">
      <w:start w:val="1"/>
      <w:numFmt w:val="lowerLetter"/>
      <w:lvlText w:val="%8)"/>
      <w:lvlJc w:val="left"/>
      <w:pPr>
        <w:ind w:left="-2172" w:hanging="420"/>
      </w:pPr>
    </w:lvl>
    <w:lvl w:ilvl="8" w:tentative="0">
      <w:start w:val="1"/>
      <w:numFmt w:val="lowerRoman"/>
      <w:lvlText w:val="%9."/>
      <w:lvlJc w:val="right"/>
      <w:pPr>
        <w:ind w:left="-1752" w:hanging="420"/>
      </w:pPr>
    </w:lvl>
  </w:abstractNum>
  <w:abstractNum w:abstractNumId="1">
    <w:nsid w:val="4E392B6F"/>
    <w:multiLevelType w:val="multilevel"/>
    <w:tmpl w:val="4E392B6F"/>
    <w:lvl w:ilvl="0" w:tentative="0">
      <w:start w:val="1"/>
      <w:numFmt w:val="japaneseCounting"/>
      <w:lvlText w:val="（%1）"/>
      <w:lvlJc w:val="left"/>
      <w:pPr>
        <w:ind w:left="2830" w:hanging="420"/>
      </w:pPr>
      <w:rPr>
        <w:rFonts w:hint="default"/>
        <w:lang w:val="en-US"/>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5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ZDU5Nzc0MWRjZjgzYTk5MjI0N2JhZjg4OWRhMWIifQ=="/>
  </w:docVars>
  <w:rsids>
    <w:rsidRoot w:val="0064002F"/>
    <w:rsid w:val="000034EC"/>
    <w:rsid w:val="00007777"/>
    <w:rsid w:val="00010517"/>
    <w:rsid w:val="000125A8"/>
    <w:rsid w:val="00012DA7"/>
    <w:rsid w:val="000139D0"/>
    <w:rsid w:val="0001644A"/>
    <w:rsid w:val="00020082"/>
    <w:rsid w:val="00020736"/>
    <w:rsid w:val="000227E2"/>
    <w:rsid w:val="00023D3D"/>
    <w:rsid w:val="000241FB"/>
    <w:rsid w:val="0002715B"/>
    <w:rsid w:val="000279F3"/>
    <w:rsid w:val="00030380"/>
    <w:rsid w:val="00030A14"/>
    <w:rsid w:val="00031BC3"/>
    <w:rsid w:val="00032004"/>
    <w:rsid w:val="000360F1"/>
    <w:rsid w:val="00036656"/>
    <w:rsid w:val="00041556"/>
    <w:rsid w:val="000436A9"/>
    <w:rsid w:val="00043F4A"/>
    <w:rsid w:val="000528D1"/>
    <w:rsid w:val="000548F1"/>
    <w:rsid w:val="00055165"/>
    <w:rsid w:val="00056E98"/>
    <w:rsid w:val="0005765E"/>
    <w:rsid w:val="00057903"/>
    <w:rsid w:val="00057B0A"/>
    <w:rsid w:val="00066233"/>
    <w:rsid w:val="00070B34"/>
    <w:rsid w:val="000718EF"/>
    <w:rsid w:val="000729E7"/>
    <w:rsid w:val="00077DA3"/>
    <w:rsid w:val="000801BA"/>
    <w:rsid w:val="00080D97"/>
    <w:rsid w:val="00080F2E"/>
    <w:rsid w:val="00083429"/>
    <w:rsid w:val="00087457"/>
    <w:rsid w:val="000901B2"/>
    <w:rsid w:val="00090741"/>
    <w:rsid w:val="00090D86"/>
    <w:rsid w:val="00091023"/>
    <w:rsid w:val="00091756"/>
    <w:rsid w:val="00095448"/>
    <w:rsid w:val="000A1791"/>
    <w:rsid w:val="000A1846"/>
    <w:rsid w:val="000A2B20"/>
    <w:rsid w:val="000A58F2"/>
    <w:rsid w:val="000B3143"/>
    <w:rsid w:val="000B7C25"/>
    <w:rsid w:val="000C12BA"/>
    <w:rsid w:val="000C2452"/>
    <w:rsid w:val="000C5E9E"/>
    <w:rsid w:val="000D4792"/>
    <w:rsid w:val="000E01BA"/>
    <w:rsid w:val="000E32D4"/>
    <w:rsid w:val="000E43DA"/>
    <w:rsid w:val="000E7E04"/>
    <w:rsid w:val="000F5517"/>
    <w:rsid w:val="00101A9A"/>
    <w:rsid w:val="0010651C"/>
    <w:rsid w:val="00106B12"/>
    <w:rsid w:val="00107064"/>
    <w:rsid w:val="0011195B"/>
    <w:rsid w:val="00111F66"/>
    <w:rsid w:val="00113F71"/>
    <w:rsid w:val="0011541E"/>
    <w:rsid w:val="001172D3"/>
    <w:rsid w:val="00117F06"/>
    <w:rsid w:val="00121FFC"/>
    <w:rsid w:val="00126B10"/>
    <w:rsid w:val="001340C0"/>
    <w:rsid w:val="00134460"/>
    <w:rsid w:val="00134685"/>
    <w:rsid w:val="001424F2"/>
    <w:rsid w:val="00144762"/>
    <w:rsid w:val="00145C66"/>
    <w:rsid w:val="00151F7C"/>
    <w:rsid w:val="001539B8"/>
    <w:rsid w:val="00155EC8"/>
    <w:rsid w:val="00157DF0"/>
    <w:rsid w:val="001610BB"/>
    <w:rsid w:val="00162599"/>
    <w:rsid w:val="00165163"/>
    <w:rsid w:val="00167232"/>
    <w:rsid w:val="00167BD5"/>
    <w:rsid w:val="001721E7"/>
    <w:rsid w:val="0019155F"/>
    <w:rsid w:val="00193288"/>
    <w:rsid w:val="001936B3"/>
    <w:rsid w:val="0019474F"/>
    <w:rsid w:val="0019659A"/>
    <w:rsid w:val="00196DD9"/>
    <w:rsid w:val="0019780E"/>
    <w:rsid w:val="001B3698"/>
    <w:rsid w:val="001B39A6"/>
    <w:rsid w:val="001B39F4"/>
    <w:rsid w:val="001B3A76"/>
    <w:rsid w:val="001B5B9C"/>
    <w:rsid w:val="001C160F"/>
    <w:rsid w:val="001C4DED"/>
    <w:rsid w:val="001D03E5"/>
    <w:rsid w:val="001D0457"/>
    <w:rsid w:val="001D3DD9"/>
    <w:rsid w:val="001D6F4D"/>
    <w:rsid w:val="001E0879"/>
    <w:rsid w:val="001E0AD0"/>
    <w:rsid w:val="001E0C26"/>
    <w:rsid w:val="001E12B8"/>
    <w:rsid w:val="001E1F84"/>
    <w:rsid w:val="001E31A7"/>
    <w:rsid w:val="001E5598"/>
    <w:rsid w:val="001E7657"/>
    <w:rsid w:val="001F0E67"/>
    <w:rsid w:val="001F4F4D"/>
    <w:rsid w:val="001F69B1"/>
    <w:rsid w:val="001F735D"/>
    <w:rsid w:val="00201482"/>
    <w:rsid w:val="00203D05"/>
    <w:rsid w:val="00204039"/>
    <w:rsid w:val="00206814"/>
    <w:rsid w:val="00206D94"/>
    <w:rsid w:val="002112F0"/>
    <w:rsid w:val="002126EC"/>
    <w:rsid w:val="002143CA"/>
    <w:rsid w:val="0021594D"/>
    <w:rsid w:val="0022073E"/>
    <w:rsid w:val="00231219"/>
    <w:rsid w:val="002322FF"/>
    <w:rsid w:val="00232A93"/>
    <w:rsid w:val="002331C7"/>
    <w:rsid w:val="00233A3D"/>
    <w:rsid w:val="00234937"/>
    <w:rsid w:val="002360F9"/>
    <w:rsid w:val="002364B5"/>
    <w:rsid w:val="00236D26"/>
    <w:rsid w:val="00237387"/>
    <w:rsid w:val="00240812"/>
    <w:rsid w:val="00247A60"/>
    <w:rsid w:val="002503A7"/>
    <w:rsid w:val="002520DE"/>
    <w:rsid w:val="00255E6A"/>
    <w:rsid w:val="00257004"/>
    <w:rsid w:val="002575C3"/>
    <w:rsid w:val="00257868"/>
    <w:rsid w:val="00260414"/>
    <w:rsid w:val="00260EBA"/>
    <w:rsid w:val="0026292D"/>
    <w:rsid w:val="00270197"/>
    <w:rsid w:val="00272543"/>
    <w:rsid w:val="002750D4"/>
    <w:rsid w:val="00276E2C"/>
    <w:rsid w:val="002807D5"/>
    <w:rsid w:val="00286173"/>
    <w:rsid w:val="0028664B"/>
    <w:rsid w:val="00287FD5"/>
    <w:rsid w:val="002900C9"/>
    <w:rsid w:val="0029199B"/>
    <w:rsid w:val="002A0C98"/>
    <w:rsid w:val="002A1726"/>
    <w:rsid w:val="002A3954"/>
    <w:rsid w:val="002A7640"/>
    <w:rsid w:val="002B07E0"/>
    <w:rsid w:val="002B0F10"/>
    <w:rsid w:val="002B2960"/>
    <w:rsid w:val="002B3543"/>
    <w:rsid w:val="002B4005"/>
    <w:rsid w:val="002B44C8"/>
    <w:rsid w:val="002C00B3"/>
    <w:rsid w:val="002C0785"/>
    <w:rsid w:val="002C48BA"/>
    <w:rsid w:val="002C4FA8"/>
    <w:rsid w:val="002C5935"/>
    <w:rsid w:val="002D490A"/>
    <w:rsid w:val="002D5564"/>
    <w:rsid w:val="002D63BC"/>
    <w:rsid w:val="002D643A"/>
    <w:rsid w:val="002D73E9"/>
    <w:rsid w:val="002E02DE"/>
    <w:rsid w:val="002E234C"/>
    <w:rsid w:val="002E618F"/>
    <w:rsid w:val="002E6FFC"/>
    <w:rsid w:val="002E7B5B"/>
    <w:rsid w:val="002F35A8"/>
    <w:rsid w:val="002F3E37"/>
    <w:rsid w:val="002F49BD"/>
    <w:rsid w:val="002F4C28"/>
    <w:rsid w:val="00300ACC"/>
    <w:rsid w:val="00301C16"/>
    <w:rsid w:val="0030311F"/>
    <w:rsid w:val="00304908"/>
    <w:rsid w:val="0031303B"/>
    <w:rsid w:val="00317585"/>
    <w:rsid w:val="0032180F"/>
    <w:rsid w:val="00325B8C"/>
    <w:rsid w:val="00326860"/>
    <w:rsid w:val="00330537"/>
    <w:rsid w:val="00330DFA"/>
    <w:rsid w:val="00331472"/>
    <w:rsid w:val="00331795"/>
    <w:rsid w:val="00336164"/>
    <w:rsid w:val="00336FE3"/>
    <w:rsid w:val="0033701E"/>
    <w:rsid w:val="0033768A"/>
    <w:rsid w:val="003464D7"/>
    <w:rsid w:val="00353371"/>
    <w:rsid w:val="00353D50"/>
    <w:rsid w:val="003564B0"/>
    <w:rsid w:val="003576DE"/>
    <w:rsid w:val="00357740"/>
    <w:rsid w:val="00357DAE"/>
    <w:rsid w:val="0036002E"/>
    <w:rsid w:val="003618BD"/>
    <w:rsid w:val="00371F4C"/>
    <w:rsid w:val="00373A69"/>
    <w:rsid w:val="00374FC5"/>
    <w:rsid w:val="00375A6D"/>
    <w:rsid w:val="003760CD"/>
    <w:rsid w:val="00376725"/>
    <w:rsid w:val="00380396"/>
    <w:rsid w:val="0038053B"/>
    <w:rsid w:val="00382CB7"/>
    <w:rsid w:val="00383A79"/>
    <w:rsid w:val="00384CD7"/>
    <w:rsid w:val="003850D3"/>
    <w:rsid w:val="0038580C"/>
    <w:rsid w:val="00387AA2"/>
    <w:rsid w:val="00387DDB"/>
    <w:rsid w:val="003903CF"/>
    <w:rsid w:val="00390D3E"/>
    <w:rsid w:val="00391816"/>
    <w:rsid w:val="00391D05"/>
    <w:rsid w:val="003965C2"/>
    <w:rsid w:val="003A036B"/>
    <w:rsid w:val="003A29D6"/>
    <w:rsid w:val="003A4359"/>
    <w:rsid w:val="003A719E"/>
    <w:rsid w:val="003B18AB"/>
    <w:rsid w:val="003B2250"/>
    <w:rsid w:val="003B3507"/>
    <w:rsid w:val="003B4EC4"/>
    <w:rsid w:val="003B66BB"/>
    <w:rsid w:val="003B6A7A"/>
    <w:rsid w:val="003B7A57"/>
    <w:rsid w:val="003C1E33"/>
    <w:rsid w:val="003C2306"/>
    <w:rsid w:val="003C3903"/>
    <w:rsid w:val="003C4EB8"/>
    <w:rsid w:val="003D0A3E"/>
    <w:rsid w:val="003D1235"/>
    <w:rsid w:val="003D2098"/>
    <w:rsid w:val="003D2382"/>
    <w:rsid w:val="003D27A4"/>
    <w:rsid w:val="003D4BF7"/>
    <w:rsid w:val="003D5289"/>
    <w:rsid w:val="003D6290"/>
    <w:rsid w:val="003E0425"/>
    <w:rsid w:val="003E14BE"/>
    <w:rsid w:val="003E7288"/>
    <w:rsid w:val="003E7CF8"/>
    <w:rsid w:val="003F0D96"/>
    <w:rsid w:val="003F3558"/>
    <w:rsid w:val="003F398D"/>
    <w:rsid w:val="0040068A"/>
    <w:rsid w:val="00403270"/>
    <w:rsid w:val="00404F95"/>
    <w:rsid w:val="0041044B"/>
    <w:rsid w:val="00412B6D"/>
    <w:rsid w:val="0041366B"/>
    <w:rsid w:val="00415BC5"/>
    <w:rsid w:val="004211F5"/>
    <w:rsid w:val="00421225"/>
    <w:rsid w:val="00423325"/>
    <w:rsid w:val="00424C7A"/>
    <w:rsid w:val="00426B21"/>
    <w:rsid w:val="0043045B"/>
    <w:rsid w:val="00432FEB"/>
    <w:rsid w:val="004340EA"/>
    <w:rsid w:val="0043526D"/>
    <w:rsid w:val="00437A8A"/>
    <w:rsid w:val="004400EA"/>
    <w:rsid w:val="00444C87"/>
    <w:rsid w:val="00445303"/>
    <w:rsid w:val="0044566D"/>
    <w:rsid w:val="0044667B"/>
    <w:rsid w:val="004473D1"/>
    <w:rsid w:val="004512C6"/>
    <w:rsid w:val="004515F4"/>
    <w:rsid w:val="00455D53"/>
    <w:rsid w:val="004649CE"/>
    <w:rsid w:val="0047255F"/>
    <w:rsid w:val="0047337D"/>
    <w:rsid w:val="004740D8"/>
    <w:rsid w:val="004801A9"/>
    <w:rsid w:val="00482CA4"/>
    <w:rsid w:val="004858AA"/>
    <w:rsid w:val="00493226"/>
    <w:rsid w:val="00493997"/>
    <w:rsid w:val="00494702"/>
    <w:rsid w:val="00495136"/>
    <w:rsid w:val="004959CF"/>
    <w:rsid w:val="004A080F"/>
    <w:rsid w:val="004A7A73"/>
    <w:rsid w:val="004B2EAF"/>
    <w:rsid w:val="004B3C26"/>
    <w:rsid w:val="004B7C01"/>
    <w:rsid w:val="004C1282"/>
    <w:rsid w:val="004C22A9"/>
    <w:rsid w:val="004C2551"/>
    <w:rsid w:val="004C302C"/>
    <w:rsid w:val="004D134C"/>
    <w:rsid w:val="004D2F4F"/>
    <w:rsid w:val="004D4E15"/>
    <w:rsid w:val="004D5690"/>
    <w:rsid w:val="004E3A3F"/>
    <w:rsid w:val="004E64BD"/>
    <w:rsid w:val="004F2E07"/>
    <w:rsid w:val="004F4D7B"/>
    <w:rsid w:val="004F4DC2"/>
    <w:rsid w:val="004F509F"/>
    <w:rsid w:val="004F56C9"/>
    <w:rsid w:val="004F6CC1"/>
    <w:rsid w:val="004F74DF"/>
    <w:rsid w:val="005054A5"/>
    <w:rsid w:val="00510BA8"/>
    <w:rsid w:val="00513666"/>
    <w:rsid w:val="005136F1"/>
    <w:rsid w:val="00516536"/>
    <w:rsid w:val="00517A4A"/>
    <w:rsid w:val="00520471"/>
    <w:rsid w:val="00525696"/>
    <w:rsid w:val="005278C9"/>
    <w:rsid w:val="00533CDE"/>
    <w:rsid w:val="00534313"/>
    <w:rsid w:val="005346DC"/>
    <w:rsid w:val="005379C8"/>
    <w:rsid w:val="005417D0"/>
    <w:rsid w:val="005446D1"/>
    <w:rsid w:val="00550834"/>
    <w:rsid w:val="005516AD"/>
    <w:rsid w:val="0055221C"/>
    <w:rsid w:val="005526B9"/>
    <w:rsid w:val="005541B7"/>
    <w:rsid w:val="00554A4A"/>
    <w:rsid w:val="00555348"/>
    <w:rsid w:val="005618D0"/>
    <w:rsid w:val="005653CF"/>
    <w:rsid w:val="0057538D"/>
    <w:rsid w:val="005757B0"/>
    <w:rsid w:val="00582538"/>
    <w:rsid w:val="00582C28"/>
    <w:rsid w:val="0058469F"/>
    <w:rsid w:val="005855E7"/>
    <w:rsid w:val="00585A7D"/>
    <w:rsid w:val="00587508"/>
    <w:rsid w:val="00592354"/>
    <w:rsid w:val="0059335F"/>
    <w:rsid w:val="00597BE7"/>
    <w:rsid w:val="005A2C7A"/>
    <w:rsid w:val="005A623F"/>
    <w:rsid w:val="005B0282"/>
    <w:rsid w:val="005B3FB8"/>
    <w:rsid w:val="005B448A"/>
    <w:rsid w:val="005B48AE"/>
    <w:rsid w:val="005B5724"/>
    <w:rsid w:val="005B6A08"/>
    <w:rsid w:val="005C2129"/>
    <w:rsid w:val="005C55A0"/>
    <w:rsid w:val="005C633C"/>
    <w:rsid w:val="005D01BF"/>
    <w:rsid w:val="005D0554"/>
    <w:rsid w:val="005D289B"/>
    <w:rsid w:val="005D41E7"/>
    <w:rsid w:val="005D47DE"/>
    <w:rsid w:val="005E04E6"/>
    <w:rsid w:val="005E2368"/>
    <w:rsid w:val="005E2E77"/>
    <w:rsid w:val="005E2F1E"/>
    <w:rsid w:val="00601EB5"/>
    <w:rsid w:val="00604F77"/>
    <w:rsid w:val="00607356"/>
    <w:rsid w:val="00612352"/>
    <w:rsid w:val="00614E18"/>
    <w:rsid w:val="00617737"/>
    <w:rsid w:val="00617789"/>
    <w:rsid w:val="00617B09"/>
    <w:rsid w:val="00617DB2"/>
    <w:rsid w:val="00621A94"/>
    <w:rsid w:val="00626D61"/>
    <w:rsid w:val="00626E45"/>
    <w:rsid w:val="006308BE"/>
    <w:rsid w:val="00631361"/>
    <w:rsid w:val="0063262E"/>
    <w:rsid w:val="00634783"/>
    <w:rsid w:val="00635DC5"/>
    <w:rsid w:val="0063791C"/>
    <w:rsid w:val="0064002F"/>
    <w:rsid w:val="006425F9"/>
    <w:rsid w:val="0064362B"/>
    <w:rsid w:val="00645428"/>
    <w:rsid w:val="0064593D"/>
    <w:rsid w:val="00645CDA"/>
    <w:rsid w:val="00654786"/>
    <w:rsid w:val="006548DD"/>
    <w:rsid w:val="006550BA"/>
    <w:rsid w:val="006551DD"/>
    <w:rsid w:val="00660807"/>
    <w:rsid w:val="00663CCB"/>
    <w:rsid w:val="00663E9A"/>
    <w:rsid w:val="00664635"/>
    <w:rsid w:val="00664D68"/>
    <w:rsid w:val="00665B6F"/>
    <w:rsid w:val="00667BAC"/>
    <w:rsid w:val="006721B4"/>
    <w:rsid w:val="00673D00"/>
    <w:rsid w:val="00676665"/>
    <w:rsid w:val="00677D1E"/>
    <w:rsid w:val="00682FEC"/>
    <w:rsid w:val="006846EC"/>
    <w:rsid w:val="0068626A"/>
    <w:rsid w:val="006913A6"/>
    <w:rsid w:val="00696512"/>
    <w:rsid w:val="00697AE0"/>
    <w:rsid w:val="006A1330"/>
    <w:rsid w:val="006A5E2A"/>
    <w:rsid w:val="006A7A57"/>
    <w:rsid w:val="006B0712"/>
    <w:rsid w:val="006B28F8"/>
    <w:rsid w:val="006B2AAB"/>
    <w:rsid w:val="006B7E30"/>
    <w:rsid w:val="006C1945"/>
    <w:rsid w:val="006C2ED8"/>
    <w:rsid w:val="006C30B7"/>
    <w:rsid w:val="006C3CE1"/>
    <w:rsid w:val="006C77E6"/>
    <w:rsid w:val="006D068A"/>
    <w:rsid w:val="006D5416"/>
    <w:rsid w:val="006E0D49"/>
    <w:rsid w:val="006E2905"/>
    <w:rsid w:val="006E3AAF"/>
    <w:rsid w:val="006E547F"/>
    <w:rsid w:val="006E7A13"/>
    <w:rsid w:val="006F2312"/>
    <w:rsid w:val="006F4DEB"/>
    <w:rsid w:val="006F5CB9"/>
    <w:rsid w:val="006F7295"/>
    <w:rsid w:val="00704B30"/>
    <w:rsid w:val="00711F51"/>
    <w:rsid w:val="007129BD"/>
    <w:rsid w:val="007139CF"/>
    <w:rsid w:val="00715515"/>
    <w:rsid w:val="007159C4"/>
    <w:rsid w:val="007223C4"/>
    <w:rsid w:val="007226A7"/>
    <w:rsid w:val="00723D56"/>
    <w:rsid w:val="00730EC1"/>
    <w:rsid w:val="007336F1"/>
    <w:rsid w:val="00733F13"/>
    <w:rsid w:val="00735943"/>
    <w:rsid w:val="00736C92"/>
    <w:rsid w:val="00736F59"/>
    <w:rsid w:val="00741874"/>
    <w:rsid w:val="00742AD2"/>
    <w:rsid w:val="00745B56"/>
    <w:rsid w:val="007474F1"/>
    <w:rsid w:val="007508B5"/>
    <w:rsid w:val="007520DC"/>
    <w:rsid w:val="0075242B"/>
    <w:rsid w:val="00755818"/>
    <w:rsid w:val="00760923"/>
    <w:rsid w:val="007645A5"/>
    <w:rsid w:val="00770B4E"/>
    <w:rsid w:val="00771899"/>
    <w:rsid w:val="00771A7B"/>
    <w:rsid w:val="007728FF"/>
    <w:rsid w:val="00772C33"/>
    <w:rsid w:val="00781BB8"/>
    <w:rsid w:val="00783CCE"/>
    <w:rsid w:val="00792488"/>
    <w:rsid w:val="00793DF4"/>
    <w:rsid w:val="007942F0"/>
    <w:rsid w:val="007A03F6"/>
    <w:rsid w:val="007A1986"/>
    <w:rsid w:val="007A3E0A"/>
    <w:rsid w:val="007A40A4"/>
    <w:rsid w:val="007B1EA8"/>
    <w:rsid w:val="007B3EAD"/>
    <w:rsid w:val="007B42AB"/>
    <w:rsid w:val="007B5A15"/>
    <w:rsid w:val="007B66F4"/>
    <w:rsid w:val="007C1365"/>
    <w:rsid w:val="007C24AA"/>
    <w:rsid w:val="007C4A67"/>
    <w:rsid w:val="007C56D2"/>
    <w:rsid w:val="007D43A6"/>
    <w:rsid w:val="007D6B7E"/>
    <w:rsid w:val="007E6160"/>
    <w:rsid w:val="007E761D"/>
    <w:rsid w:val="007F0BF5"/>
    <w:rsid w:val="007F2F5D"/>
    <w:rsid w:val="00801170"/>
    <w:rsid w:val="00803958"/>
    <w:rsid w:val="0081055F"/>
    <w:rsid w:val="00826BCC"/>
    <w:rsid w:val="008314F6"/>
    <w:rsid w:val="00835C95"/>
    <w:rsid w:val="0083742F"/>
    <w:rsid w:val="00846617"/>
    <w:rsid w:val="008502AB"/>
    <w:rsid w:val="00863E86"/>
    <w:rsid w:val="008647CF"/>
    <w:rsid w:val="00872A36"/>
    <w:rsid w:val="00873629"/>
    <w:rsid w:val="00873A5C"/>
    <w:rsid w:val="008745CA"/>
    <w:rsid w:val="008765F5"/>
    <w:rsid w:val="008770D2"/>
    <w:rsid w:val="00880E6C"/>
    <w:rsid w:val="00882676"/>
    <w:rsid w:val="008854AD"/>
    <w:rsid w:val="008862A1"/>
    <w:rsid w:val="00886FB6"/>
    <w:rsid w:val="0089295E"/>
    <w:rsid w:val="008956D0"/>
    <w:rsid w:val="00895DE4"/>
    <w:rsid w:val="008A1C7B"/>
    <w:rsid w:val="008A1E3E"/>
    <w:rsid w:val="008A2A75"/>
    <w:rsid w:val="008A55A4"/>
    <w:rsid w:val="008A6FB8"/>
    <w:rsid w:val="008B02B4"/>
    <w:rsid w:val="008B327D"/>
    <w:rsid w:val="008B3A1E"/>
    <w:rsid w:val="008B43E4"/>
    <w:rsid w:val="008B5712"/>
    <w:rsid w:val="008B67C5"/>
    <w:rsid w:val="008C323E"/>
    <w:rsid w:val="008C3C93"/>
    <w:rsid w:val="008C7107"/>
    <w:rsid w:val="008D2448"/>
    <w:rsid w:val="008D5FDE"/>
    <w:rsid w:val="008D6434"/>
    <w:rsid w:val="008E2600"/>
    <w:rsid w:val="008E2E2B"/>
    <w:rsid w:val="008E4151"/>
    <w:rsid w:val="008E7313"/>
    <w:rsid w:val="008E74C2"/>
    <w:rsid w:val="008E7EE4"/>
    <w:rsid w:val="008F2D39"/>
    <w:rsid w:val="008F4928"/>
    <w:rsid w:val="00900884"/>
    <w:rsid w:val="00901701"/>
    <w:rsid w:val="009022A5"/>
    <w:rsid w:val="00902F62"/>
    <w:rsid w:val="0091066C"/>
    <w:rsid w:val="009143F0"/>
    <w:rsid w:val="00915A37"/>
    <w:rsid w:val="00915D8A"/>
    <w:rsid w:val="00920B5F"/>
    <w:rsid w:val="0093072D"/>
    <w:rsid w:val="0093142D"/>
    <w:rsid w:val="00937D9B"/>
    <w:rsid w:val="00943425"/>
    <w:rsid w:val="00944117"/>
    <w:rsid w:val="0094460F"/>
    <w:rsid w:val="00944925"/>
    <w:rsid w:val="009471E6"/>
    <w:rsid w:val="00957314"/>
    <w:rsid w:val="00961582"/>
    <w:rsid w:val="00963F78"/>
    <w:rsid w:val="00965631"/>
    <w:rsid w:val="00965DEC"/>
    <w:rsid w:val="00966B77"/>
    <w:rsid w:val="00972D6B"/>
    <w:rsid w:val="009805FB"/>
    <w:rsid w:val="00982292"/>
    <w:rsid w:val="00995BF2"/>
    <w:rsid w:val="009A5106"/>
    <w:rsid w:val="009A5251"/>
    <w:rsid w:val="009A5698"/>
    <w:rsid w:val="009A7774"/>
    <w:rsid w:val="009B4592"/>
    <w:rsid w:val="009C2759"/>
    <w:rsid w:val="009C4575"/>
    <w:rsid w:val="009C62D6"/>
    <w:rsid w:val="009D2EE0"/>
    <w:rsid w:val="009D318F"/>
    <w:rsid w:val="009D41D0"/>
    <w:rsid w:val="009D6102"/>
    <w:rsid w:val="009D7C4B"/>
    <w:rsid w:val="009E1606"/>
    <w:rsid w:val="009E18D1"/>
    <w:rsid w:val="009E3209"/>
    <w:rsid w:val="009E5F8A"/>
    <w:rsid w:val="009F26DE"/>
    <w:rsid w:val="009F333D"/>
    <w:rsid w:val="00A02ABA"/>
    <w:rsid w:val="00A06F35"/>
    <w:rsid w:val="00A12073"/>
    <w:rsid w:val="00A171DE"/>
    <w:rsid w:val="00A17B48"/>
    <w:rsid w:val="00A21FB9"/>
    <w:rsid w:val="00A27303"/>
    <w:rsid w:val="00A30DBD"/>
    <w:rsid w:val="00A337A7"/>
    <w:rsid w:val="00A353BA"/>
    <w:rsid w:val="00A357F3"/>
    <w:rsid w:val="00A35CC2"/>
    <w:rsid w:val="00A36203"/>
    <w:rsid w:val="00A4000A"/>
    <w:rsid w:val="00A42D0F"/>
    <w:rsid w:val="00A4559C"/>
    <w:rsid w:val="00A52285"/>
    <w:rsid w:val="00A574DE"/>
    <w:rsid w:val="00A60E01"/>
    <w:rsid w:val="00A64B39"/>
    <w:rsid w:val="00A6564F"/>
    <w:rsid w:val="00A669F8"/>
    <w:rsid w:val="00A735B6"/>
    <w:rsid w:val="00A745B1"/>
    <w:rsid w:val="00A76864"/>
    <w:rsid w:val="00A77417"/>
    <w:rsid w:val="00A8034B"/>
    <w:rsid w:val="00A87D5D"/>
    <w:rsid w:val="00AB0A16"/>
    <w:rsid w:val="00AB0FBB"/>
    <w:rsid w:val="00AB139B"/>
    <w:rsid w:val="00AB1594"/>
    <w:rsid w:val="00AB41AB"/>
    <w:rsid w:val="00AC0C5F"/>
    <w:rsid w:val="00AC1C7D"/>
    <w:rsid w:val="00AC24D7"/>
    <w:rsid w:val="00AC4A71"/>
    <w:rsid w:val="00AC7661"/>
    <w:rsid w:val="00AD08D5"/>
    <w:rsid w:val="00AD1281"/>
    <w:rsid w:val="00AD26A9"/>
    <w:rsid w:val="00AD2888"/>
    <w:rsid w:val="00AD318D"/>
    <w:rsid w:val="00AD3675"/>
    <w:rsid w:val="00AD3DF5"/>
    <w:rsid w:val="00AD5B2C"/>
    <w:rsid w:val="00AE024E"/>
    <w:rsid w:val="00AE3FA0"/>
    <w:rsid w:val="00AE52D8"/>
    <w:rsid w:val="00AE6AFC"/>
    <w:rsid w:val="00AF7260"/>
    <w:rsid w:val="00B00704"/>
    <w:rsid w:val="00B0086D"/>
    <w:rsid w:val="00B00C0C"/>
    <w:rsid w:val="00B018AD"/>
    <w:rsid w:val="00B031D5"/>
    <w:rsid w:val="00B103A4"/>
    <w:rsid w:val="00B10FB6"/>
    <w:rsid w:val="00B12CA2"/>
    <w:rsid w:val="00B1323A"/>
    <w:rsid w:val="00B16BE4"/>
    <w:rsid w:val="00B178FB"/>
    <w:rsid w:val="00B25F25"/>
    <w:rsid w:val="00B26F24"/>
    <w:rsid w:val="00B27EDD"/>
    <w:rsid w:val="00B303FD"/>
    <w:rsid w:val="00B30521"/>
    <w:rsid w:val="00B36E84"/>
    <w:rsid w:val="00B47550"/>
    <w:rsid w:val="00B50F64"/>
    <w:rsid w:val="00B53A7E"/>
    <w:rsid w:val="00B53F59"/>
    <w:rsid w:val="00B56781"/>
    <w:rsid w:val="00B56BEB"/>
    <w:rsid w:val="00B63E18"/>
    <w:rsid w:val="00B642DE"/>
    <w:rsid w:val="00B66829"/>
    <w:rsid w:val="00B66B02"/>
    <w:rsid w:val="00B7285D"/>
    <w:rsid w:val="00B72BDA"/>
    <w:rsid w:val="00B76D27"/>
    <w:rsid w:val="00B81AE0"/>
    <w:rsid w:val="00B82EE6"/>
    <w:rsid w:val="00B84D82"/>
    <w:rsid w:val="00B8550B"/>
    <w:rsid w:val="00B878E9"/>
    <w:rsid w:val="00B91DBA"/>
    <w:rsid w:val="00B921B7"/>
    <w:rsid w:val="00B93174"/>
    <w:rsid w:val="00BA1E1E"/>
    <w:rsid w:val="00BA50A4"/>
    <w:rsid w:val="00BB1B14"/>
    <w:rsid w:val="00BB1C5E"/>
    <w:rsid w:val="00BB696C"/>
    <w:rsid w:val="00BB70AD"/>
    <w:rsid w:val="00BC10D6"/>
    <w:rsid w:val="00BC57F4"/>
    <w:rsid w:val="00BC70FC"/>
    <w:rsid w:val="00BC7A4F"/>
    <w:rsid w:val="00BD46A3"/>
    <w:rsid w:val="00BE02AE"/>
    <w:rsid w:val="00BE73EB"/>
    <w:rsid w:val="00BF1A9A"/>
    <w:rsid w:val="00BF34DD"/>
    <w:rsid w:val="00C01265"/>
    <w:rsid w:val="00C06EFD"/>
    <w:rsid w:val="00C15170"/>
    <w:rsid w:val="00C21B43"/>
    <w:rsid w:val="00C22013"/>
    <w:rsid w:val="00C22078"/>
    <w:rsid w:val="00C22FA6"/>
    <w:rsid w:val="00C23C46"/>
    <w:rsid w:val="00C2414E"/>
    <w:rsid w:val="00C26B41"/>
    <w:rsid w:val="00C27D85"/>
    <w:rsid w:val="00C27FAB"/>
    <w:rsid w:val="00C30007"/>
    <w:rsid w:val="00C316D6"/>
    <w:rsid w:val="00C32942"/>
    <w:rsid w:val="00C35672"/>
    <w:rsid w:val="00C419A6"/>
    <w:rsid w:val="00C43394"/>
    <w:rsid w:val="00C44BEB"/>
    <w:rsid w:val="00C45BDB"/>
    <w:rsid w:val="00C46290"/>
    <w:rsid w:val="00C537DE"/>
    <w:rsid w:val="00C5605D"/>
    <w:rsid w:val="00C62251"/>
    <w:rsid w:val="00C62BDB"/>
    <w:rsid w:val="00C650DC"/>
    <w:rsid w:val="00C65551"/>
    <w:rsid w:val="00C6727C"/>
    <w:rsid w:val="00C70104"/>
    <w:rsid w:val="00C714DE"/>
    <w:rsid w:val="00C73875"/>
    <w:rsid w:val="00C74979"/>
    <w:rsid w:val="00C83BF2"/>
    <w:rsid w:val="00CA0CFC"/>
    <w:rsid w:val="00CA2A66"/>
    <w:rsid w:val="00CA3A7D"/>
    <w:rsid w:val="00CB526B"/>
    <w:rsid w:val="00CB613D"/>
    <w:rsid w:val="00CC05C3"/>
    <w:rsid w:val="00CC065D"/>
    <w:rsid w:val="00CC0C33"/>
    <w:rsid w:val="00CC27D3"/>
    <w:rsid w:val="00CD3368"/>
    <w:rsid w:val="00CD5BAA"/>
    <w:rsid w:val="00CF0725"/>
    <w:rsid w:val="00CF1E17"/>
    <w:rsid w:val="00CF74AF"/>
    <w:rsid w:val="00CF7CB5"/>
    <w:rsid w:val="00D01434"/>
    <w:rsid w:val="00D01A96"/>
    <w:rsid w:val="00D03C35"/>
    <w:rsid w:val="00D04507"/>
    <w:rsid w:val="00D04AF7"/>
    <w:rsid w:val="00D0619F"/>
    <w:rsid w:val="00D07E69"/>
    <w:rsid w:val="00D13364"/>
    <w:rsid w:val="00D13761"/>
    <w:rsid w:val="00D200AA"/>
    <w:rsid w:val="00D228C9"/>
    <w:rsid w:val="00D2673E"/>
    <w:rsid w:val="00D27804"/>
    <w:rsid w:val="00D31858"/>
    <w:rsid w:val="00D32D1D"/>
    <w:rsid w:val="00D33223"/>
    <w:rsid w:val="00D4022C"/>
    <w:rsid w:val="00D406FF"/>
    <w:rsid w:val="00D4104B"/>
    <w:rsid w:val="00D42F91"/>
    <w:rsid w:val="00D47C29"/>
    <w:rsid w:val="00D5323B"/>
    <w:rsid w:val="00D53818"/>
    <w:rsid w:val="00D53921"/>
    <w:rsid w:val="00D56DCA"/>
    <w:rsid w:val="00D614B5"/>
    <w:rsid w:val="00D633A3"/>
    <w:rsid w:val="00D63796"/>
    <w:rsid w:val="00D63E39"/>
    <w:rsid w:val="00D646FF"/>
    <w:rsid w:val="00D70EA7"/>
    <w:rsid w:val="00D73183"/>
    <w:rsid w:val="00D73B93"/>
    <w:rsid w:val="00D7504C"/>
    <w:rsid w:val="00D7605D"/>
    <w:rsid w:val="00D81106"/>
    <w:rsid w:val="00D85DD9"/>
    <w:rsid w:val="00D875F8"/>
    <w:rsid w:val="00D9229F"/>
    <w:rsid w:val="00D938FA"/>
    <w:rsid w:val="00DA1F55"/>
    <w:rsid w:val="00DA68AC"/>
    <w:rsid w:val="00DB1CA0"/>
    <w:rsid w:val="00DB28F2"/>
    <w:rsid w:val="00DB6DE8"/>
    <w:rsid w:val="00DC04B0"/>
    <w:rsid w:val="00DC4018"/>
    <w:rsid w:val="00DC46BF"/>
    <w:rsid w:val="00DC53EB"/>
    <w:rsid w:val="00DC54C4"/>
    <w:rsid w:val="00DC584D"/>
    <w:rsid w:val="00DC69F1"/>
    <w:rsid w:val="00DD3F1D"/>
    <w:rsid w:val="00DD4372"/>
    <w:rsid w:val="00DD6729"/>
    <w:rsid w:val="00DD7180"/>
    <w:rsid w:val="00DD7752"/>
    <w:rsid w:val="00DE2958"/>
    <w:rsid w:val="00DE32E1"/>
    <w:rsid w:val="00DE5D05"/>
    <w:rsid w:val="00DE6462"/>
    <w:rsid w:val="00DF470A"/>
    <w:rsid w:val="00DF5C37"/>
    <w:rsid w:val="00DF68B1"/>
    <w:rsid w:val="00E16331"/>
    <w:rsid w:val="00E20693"/>
    <w:rsid w:val="00E241A8"/>
    <w:rsid w:val="00E30F32"/>
    <w:rsid w:val="00E321A7"/>
    <w:rsid w:val="00E34F4D"/>
    <w:rsid w:val="00E35024"/>
    <w:rsid w:val="00E375B1"/>
    <w:rsid w:val="00E40590"/>
    <w:rsid w:val="00E42234"/>
    <w:rsid w:val="00E469E6"/>
    <w:rsid w:val="00E54213"/>
    <w:rsid w:val="00E57A37"/>
    <w:rsid w:val="00E62047"/>
    <w:rsid w:val="00E621BF"/>
    <w:rsid w:val="00E71D5C"/>
    <w:rsid w:val="00E723B9"/>
    <w:rsid w:val="00E81123"/>
    <w:rsid w:val="00E814B8"/>
    <w:rsid w:val="00E901D8"/>
    <w:rsid w:val="00E91655"/>
    <w:rsid w:val="00E92431"/>
    <w:rsid w:val="00E927F4"/>
    <w:rsid w:val="00E94FA7"/>
    <w:rsid w:val="00EA2A82"/>
    <w:rsid w:val="00EA3795"/>
    <w:rsid w:val="00EA53A5"/>
    <w:rsid w:val="00EA6390"/>
    <w:rsid w:val="00EA7715"/>
    <w:rsid w:val="00EB04D0"/>
    <w:rsid w:val="00EB5C9D"/>
    <w:rsid w:val="00EC0397"/>
    <w:rsid w:val="00EC0BE6"/>
    <w:rsid w:val="00EC0F9B"/>
    <w:rsid w:val="00EC10B3"/>
    <w:rsid w:val="00EC1DA9"/>
    <w:rsid w:val="00EC1E78"/>
    <w:rsid w:val="00EC2935"/>
    <w:rsid w:val="00EC2C23"/>
    <w:rsid w:val="00EC2D50"/>
    <w:rsid w:val="00EC53C1"/>
    <w:rsid w:val="00EC75C4"/>
    <w:rsid w:val="00EC7ABC"/>
    <w:rsid w:val="00ED1E7D"/>
    <w:rsid w:val="00ED386A"/>
    <w:rsid w:val="00ED4B1F"/>
    <w:rsid w:val="00ED66AA"/>
    <w:rsid w:val="00ED713A"/>
    <w:rsid w:val="00EE462F"/>
    <w:rsid w:val="00EE6799"/>
    <w:rsid w:val="00EF0033"/>
    <w:rsid w:val="00EF5F57"/>
    <w:rsid w:val="00EF679A"/>
    <w:rsid w:val="00F015AF"/>
    <w:rsid w:val="00F01800"/>
    <w:rsid w:val="00F01F1B"/>
    <w:rsid w:val="00F02C67"/>
    <w:rsid w:val="00F02C80"/>
    <w:rsid w:val="00F03175"/>
    <w:rsid w:val="00F0741D"/>
    <w:rsid w:val="00F11BEE"/>
    <w:rsid w:val="00F148B5"/>
    <w:rsid w:val="00F15AAB"/>
    <w:rsid w:val="00F22961"/>
    <w:rsid w:val="00F22998"/>
    <w:rsid w:val="00F249A4"/>
    <w:rsid w:val="00F25655"/>
    <w:rsid w:val="00F310C0"/>
    <w:rsid w:val="00F32853"/>
    <w:rsid w:val="00F332CB"/>
    <w:rsid w:val="00F40475"/>
    <w:rsid w:val="00F427E9"/>
    <w:rsid w:val="00F45255"/>
    <w:rsid w:val="00F46222"/>
    <w:rsid w:val="00F46EBF"/>
    <w:rsid w:val="00F5115E"/>
    <w:rsid w:val="00F522F8"/>
    <w:rsid w:val="00F53052"/>
    <w:rsid w:val="00F56436"/>
    <w:rsid w:val="00F608B5"/>
    <w:rsid w:val="00F60CBA"/>
    <w:rsid w:val="00F66B7B"/>
    <w:rsid w:val="00F732B2"/>
    <w:rsid w:val="00F743B4"/>
    <w:rsid w:val="00F749B9"/>
    <w:rsid w:val="00F817B1"/>
    <w:rsid w:val="00F91E79"/>
    <w:rsid w:val="00F923B3"/>
    <w:rsid w:val="00F94284"/>
    <w:rsid w:val="00F950C0"/>
    <w:rsid w:val="00F95F37"/>
    <w:rsid w:val="00F96CB1"/>
    <w:rsid w:val="00FA1347"/>
    <w:rsid w:val="00FA2674"/>
    <w:rsid w:val="00FA38E7"/>
    <w:rsid w:val="00FA3A18"/>
    <w:rsid w:val="00FA4094"/>
    <w:rsid w:val="00FA7582"/>
    <w:rsid w:val="00FA7628"/>
    <w:rsid w:val="00FB3256"/>
    <w:rsid w:val="00FB562A"/>
    <w:rsid w:val="00FD0D9D"/>
    <w:rsid w:val="00FD1D88"/>
    <w:rsid w:val="00FD1FDC"/>
    <w:rsid w:val="00FD347E"/>
    <w:rsid w:val="00FE02C4"/>
    <w:rsid w:val="00FE157E"/>
    <w:rsid w:val="00FE41CD"/>
    <w:rsid w:val="00FE5C1F"/>
    <w:rsid w:val="00FE6E12"/>
    <w:rsid w:val="00FF41A3"/>
    <w:rsid w:val="00FF6ACC"/>
    <w:rsid w:val="00FF7D80"/>
    <w:rsid w:val="01B17303"/>
    <w:rsid w:val="02924A37"/>
    <w:rsid w:val="03D4087E"/>
    <w:rsid w:val="06F37A6F"/>
    <w:rsid w:val="0D9C676A"/>
    <w:rsid w:val="0DF26CD2"/>
    <w:rsid w:val="111051B1"/>
    <w:rsid w:val="14A16D5C"/>
    <w:rsid w:val="16A9014A"/>
    <w:rsid w:val="18DC2EC2"/>
    <w:rsid w:val="18EF22CB"/>
    <w:rsid w:val="1CAB687D"/>
    <w:rsid w:val="1FF53DCD"/>
    <w:rsid w:val="213A51FE"/>
    <w:rsid w:val="23BB71ED"/>
    <w:rsid w:val="27897907"/>
    <w:rsid w:val="28AA61F7"/>
    <w:rsid w:val="29AB3B12"/>
    <w:rsid w:val="2DC11441"/>
    <w:rsid w:val="2FD9010C"/>
    <w:rsid w:val="31BB1157"/>
    <w:rsid w:val="36655F9C"/>
    <w:rsid w:val="3D5D9E9D"/>
    <w:rsid w:val="3F6F423B"/>
    <w:rsid w:val="40251D40"/>
    <w:rsid w:val="4106782A"/>
    <w:rsid w:val="45F8417E"/>
    <w:rsid w:val="49B92FBE"/>
    <w:rsid w:val="4CAE7220"/>
    <w:rsid w:val="4CE5164A"/>
    <w:rsid w:val="4E714494"/>
    <w:rsid w:val="4F6C1739"/>
    <w:rsid w:val="51C61DF2"/>
    <w:rsid w:val="534F08B6"/>
    <w:rsid w:val="564E7DEA"/>
    <w:rsid w:val="56F7B87D"/>
    <w:rsid w:val="58776E56"/>
    <w:rsid w:val="58D76993"/>
    <w:rsid w:val="5B092532"/>
    <w:rsid w:val="5CD32DF8"/>
    <w:rsid w:val="5DDE7164"/>
    <w:rsid w:val="63A801B0"/>
    <w:rsid w:val="63DF2082"/>
    <w:rsid w:val="650F776D"/>
    <w:rsid w:val="65D378C0"/>
    <w:rsid w:val="685E5CE2"/>
    <w:rsid w:val="69A06F39"/>
    <w:rsid w:val="711256B9"/>
    <w:rsid w:val="73520F7E"/>
    <w:rsid w:val="749852A6"/>
    <w:rsid w:val="75A00F95"/>
    <w:rsid w:val="75FEE12D"/>
    <w:rsid w:val="77FEDB42"/>
    <w:rsid w:val="78D2391A"/>
    <w:rsid w:val="79BD7B76"/>
    <w:rsid w:val="7B870BDF"/>
    <w:rsid w:val="7E286E97"/>
    <w:rsid w:val="7F454388"/>
    <w:rsid w:val="EEF3D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7"/>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25"/>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unhideWhenUsed/>
    <w:qFormat/>
    <w:uiPriority w:val="99"/>
    <w:pPr>
      <w:jc w:val="left"/>
    </w:pPr>
  </w:style>
  <w:style w:type="paragraph" w:styleId="5">
    <w:name w:val="Body Text"/>
    <w:basedOn w:val="1"/>
    <w:link w:val="30"/>
    <w:qFormat/>
    <w:uiPriority w:val="1"/>
    <w:pPr>
      <w:autoSpaceDE w:val="0"/>
      <w:autoSpaceDN w:val="0"/>
      <w:ind w:left="116"/>
      <w:jc w:val="left"/>
    </w:pPr>
    <w:rPr>
      <w:rFonts w:ascii="仿宋" w:hAnsi="仿宋" w:eastAsia="仿宋" w:cs="仿宋"/>
      <w:kern w:val="0"/>
      <w:sz w:val="32"/>
      <w:szCs w:val="32"/>
      <w:lang w:val="zh-CN" w:bidi="zh-CN"/>
    </w:rPr>
  </w:style>
  <w:style w:type="paragraph" w:styleId="6">
    <w:name w:val="toc 3"/>
    <w:basedOn w:val="1"/>
    <w:next w:val="1"/>
    <w:unhideWhenUsed/>
    <w:qFormat/>
    <w:uiPriority w:val="39"/>
    <w:pPr>
      <w:ind w:left="840" w:leftChars="400"/>
    </w:pPr>
  </w:style>
  <w:style w:type="paragraph" w:styleId="7">
    <w:name w:val="Balloon Text"/>
    <w:basedOn w:val="1"/>
    <w:link w:val="19"/>
    <w:unhideWhenUsed/>
    <w:qFormat/>
    <w:uiPriority w:val="99"/>
    <w:rPr>
      <w:sz w:val="18"/>
      <w:szCs w:val="18"/>
    </w:rPr>
  </w:style>
  <w:style w:type="paragraph" w:styleId="8">
    <w:name w:val="footer"/>
    <w:basedOn w:val="1"/>
    <w:link w:val="21"/>
    <w:unhideWhenUsed/>
    <w:qFormat/>
    <w:uiPriority w:val="99"/>
    <w:pPr>
      <w:tabs>
        <w:tab w:val="center" w:pos="4153"/>
        <w:tab w:val="right" w:pos="8306"/>
      </w:tabs>
      <w:snapToGrid w:val="0"/>
      <w:jc w:val="left"/>
    </w:pPr>
    <w:rPr>
      <w:sz w:val="18"/>
      <w:szCs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tabs>
        <w:tab w:val="left" w:pos="840"/>
        <w:tab w:val="right" w:leader="dot" w:pos="8296"/>
      </w:tabs>
      <w:spacing w:line="360" w:lineRule="auto"/>
    </w:pPr>
    <w:rPr>
      <w:rFonts w:ascii="宋体" w:hAnsi="宋体" w:eastAsia="宋体"/>
      <w:b/>
      <w:bCs/>
      <w:sz w:val="28"/>
      <w:szCs w:val="28"/>
    </w:rPr>
  </w:style>
  <w:style w:type="paragraph" w:styleId="11">
    <w:name w:val="toc 2"/>
    <w:basedOn w:val="1"/>
    <w:next w:val="1"/>
    <w:unhideWhenUsed/>
    <w:qFormat/>
    <w:uiPriority w:val="39"/>
    <w:pPr>
      <w:tabs>
        <w:tab w:val="right" w:leader="dot" w:pos="8296"/>
      </w:tabs>
      <w:spacing w:line="276" w:lineRule="auto"/>
      <w:ind w:left="420" w:hanging="420" w:hangingChars="175"/>
    </w:pPr>
  </w:style>
  <w:style w:type="paragraph" w:styleId="12">
    <w:name w:val="Title"/>
    <w:basedOn w:val="1"/>
    <w:next w:val="1"/>
    <w:link w:val="29"/>
    <w:qFormat/>
    <w:uiPriority w:val="10"/>
    <w:pPr>
      <w:spacing w:before="240" w:after="60"/>
      <w:jc w:val="center"/>
      <w:outlineLvl w:val="0"/>
    </w:pPr>
    <w:rPr>
      <w:rFonts w:asciiTheme="majorHAnsi" w:hAnsiTheme="majorHAnsi" w:eastAsiaTheme="majorEastAsia" w:cstheme="majorBidi"/>
      <w:b/>
      <w:bCs/>
      <w:sz w:val="32"/>
      <w:szCs w:val="32"/>
    </w:rPr>
  </w:style>
  <w:style w:type="paragraph" w:styleId="13">
    <w:name w:val="annotation subject"/>
    <w:basedOn w:val="4"/>
    <w:next w:val="4"/>
    <w:link w:val="23"/>
    <w:unhideWhenUsed/>
    <w:qFormat/>
    <w:uiPriority w:val="99"/>
    <w:rPr>
      <w:b/>
      <w:bCs/>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character" w:styleId="18">
    <w:name w:val="annotation reference"/>
    <w:basedOn w:val="16"/>
    <w:unhideWhenUsed/>
    <w:qFormat/>
    <w:uiPriority w:val="99"/>
    <w:rPr>
      <w:sz w:val="21"/>
      <w:szCs w:val="21"/>
    </w:rPr>
  </w:style>
  <w:style w:type="character" w:customStyle="1" w:styleId="19">
    <w:name w:val="批注框文本 Char"/>
    <w:basedOn w:val="16"/>
    <w:link w:val="7"/>
    <w:semiHidden/>
    <w:qFormat/>
    <w:uiPriority w:val="99"/>
    <w:rPr>
      <w:sz w:val="18"/>
      <w:szCs w:val="18"/>
    </w:rPr>
  </w:style>
  <w:style w:type="character" w:customStyle="1" w:styleId="20">
    <w:name w:val="页眉 Char"/>
    <w:basedOn w:val="16"/>
    <w:link w:val="9"/>
    <w:qFormat/>
    <w:uiPriority w:val="99"/>
    <w:rPr>
      <w:sz w:val="18"/>
      <w:szCs w:val="18"/>
    </w:rPr>
  </w:style>
  <w:style w:type="character" w:customStyle="1" w:styleId="21">
    <w:name w:val="页脚 Char"/>
    <w:basedOn w:val="16"/>
    <w:link w:val="8"/>
    <w:qFormat/>
    <w:uiPriority w:val="99"/>
    <w:rPr>
      <w:sz w:val="18"/>
      <w:szCs w:val="18"/>
    </w:rPr>
  </w:style>
  <w:style w:type="character" w:customStyle="1" w:styleId="22">
    <w:name w:val="批注文字 Char"/>
    <w:basedOn w:val="16"/>
    <w:link w:val="4"/>
    <w:semiHidden/>
    <w:qFormat/>
    <w:uiPriority w:val="99"/>
  </w:style>
  <w:style w:type="character" w:customStyle="1" w:styleId="23">
    <w:name w:val="批注主题 Char"/>
    <w:basedOn w:val="22"/>
    <w:link w:val="13"/>
    <w:semiHidden/>
    <w:qFormat/>
    <w:uiPriority w:val="99"/>
    <w:rPr>
      <w:b/>
      <w:bCs/>
    </w:rPr>
  </w:style>
  <w:style w:type="paragraph" w:customStyle="1" w:styleId="24">
    <w:name w:val="列表段落1"/>
    <w:basedOn w:val="1"/>
    <w:qFormat/>
    <w:uiPriority w:val="34"/>
    <w:pPr>
      <w:ind w:firstLine="420" w:firstLineChars="200"/>
    </w:pPr>
  </w:style>
  <w:style w:type="character" w:customStyle="1" w:styleId="25">
    <w:name w:val="标题 3 Char"/>
    <w:basedOn w:val="16"/>
    <w:link w:val="3"/>
    <w:semiHidden/>
    <w:qFormat/>
    <w:uiPriority w:val="9"/>
    <w:rPr>
      <w:b/>
      <w:bCs/>
      <w:sz w:val="32"/>
      <w:szCs w:val="32"/>
    </w:rPr>
  </w:style>
  <w:style w:type="paragraph" w:customStyle="1" w:styleId="26">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7">
    <w:name w:val="标题 1 Char"/>
    <w:basedOn w:val="16"/>
    <w:link w:val="2"/>
    <w:qFormat/>
    <w:uiPriority w:val="9"/>
    <w:rPr>
      <w:b/>
      <w:bCs/>
      <w:kern w:val="44"/>
      <w:sz w:val="44"/>
      <w:szCs w:val="44"/>
    </w:rPr>
  </w:style>
  <w:style w:type="paragraph" w:customStyle="1" w:styleId="2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9">
    <w:name w:val="标题 Char"/>
    <w:basedOn w:val="16"/>
    <w:link w:val="12"/>
    <w:qFormat/>
    <w:uiPriority w:val="10"/>
    <w:rPr>
      <w:rFonts w:asciiTheme="majorHAnsi" w:hAnsiTheme="majorHAnsi" w:eastAsiaTheme="majorEastAsia" w:cstheme="majorBidi"/>
      <w:b/>
      <w:bCs/>
      <w:sz w:val="32"/>
      <w:szCs w:val="32"/>
    </w:rPr>
  </w:style>
  <w:style w:type="character" w:customStyle="1" w:styleId="30">
    <w:name w:val="正文文本 Char"/>
    <w:basedOn w:val="16"/>
    <w:link w:val="5"/>
    <w:qFormat/>
    <w:uiPriority w:val="1"/>
    <w:rPr>
      <w:rFonts w:ascii="仿宋" w:hAnsi="仿宋" w:eastAsia="仿宋" w:cs="仿宋"/>
      <w:sz w:val="32"/>
      <w:szCs w:val="32"/>
      <w:lang w:val="zh-CN" w:bidi="zh-CN"/>
    </w:rPr>
  </w:style>
  <w:style w:type="paragraph" w:customStyle="1" w:styleId="31">
    <w:name w:val="p0"/>
    <w:basedOn w:val="1"/>
    <w:qFormat/>
    <w:uiPriority w:val="0"/>
    <w:pPr>
      <w:widowControl/>
    </w:pPr>
    <w:rPr>
      <w:kern w:val="0"/>
      <w:szCs w:val="21"/>
    </w:rPr>
  </w:style>
  <w:style w:type="paragraph" w:customStyle="1" w:styleId="32">
    <w:name w:val="修订2"/>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3">
    <w:name w:val="Revision"/>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4">
    <w:name w:val="正文 A"/>
    <w:qFormat/>
    <w:uiPriority w:val="0"/>
    <w:pPr>
      <w:widowControl w:val="0"/>
      <w:jc w:val="both"/>
    </w:pPr>
    <w:rPr>
      <w:rFonts w:ascii="等线" w:hAnsi="等线" w:eastAsia="等线" w:cs="等线"/>
      <w:color w:val="000000"/>
      <w:kern w:val="2"/>
      <w:sz w:val="21"/>
      <w:szCs w:val="21"/>
      <w:lang w:val="en-US" w:eastAsia="zh-CN" w:bidi="ar-SA"/>
    </w:rPr>
  </w:style>
  <w:style w:type="paragraph" w:styleId="3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5403</Words>
  <Characters>6136</Characters>
  <Lines>83</Lines>
  <Paragraphs>23</Paragraphs>
  <TotalTime>896</TotalTime>
  <ScaleCrop>false</ScaleCrop>
  <LinksUpToDate>false</LinksUpToDate>
  <CharactersWithSpaces>6248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2024-06-04T23:45:00Z</dcterms:created>
  <dc:creator>guanqiu huang</dc:creator>
  <cp:lastModifiedBy>陌</cp:lastModifiedBy>
  <cp:lastPrinted>2023-08-05T22:33:00Z</cp:lastPrinted>
  <dcterms:modified xsi:type="dcterms:W3CDTF">2024-07-08T07:19:22Z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F7FAC05BDD3440868DE78A217F7D604D</vt:lpwstr>
  </property>
</Properties>
</file>