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150"/>
        <w:rPr>
          <w:rFonts w:ascii="仿宋_GB2312" w:eastAsia="仿宋_GB2312"/>
          <w:color w:val="auto"/>
          <w:sz w:val="32"/>
          <w:szCs w:val="32"/>
          <w:highlight w:val="none"/>
          <w:u w:val="none"/>
        </w:rPr>
      </w:pPr>
    </w:p>
    <w:p>
      <w:pPr>
        <w:spacing w:line="360" w:lineRule="auto"/>
        <w:ind w:firstLine="480" w:firstLineChars="15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 xml:space="preserve">     </w:t>
      </w:r>
    </w:p>
    <w:p>
      <w:pPr>
        <w:spacing w:line="360" w:lineRule="auto"/>
        <w:ind w:firstLine="0" w:firstLineChars="0"/>
        <w:jc w:val="center"/>
        <w:rPr>
          <w:rFonts w:hint="eastAsia" w:ascii="仿宋_GB2312" w:eastAsia="仿宋_GB2312"/>
          <w:color w:val="auto"/>
          <w:sz w:val="30"/>
          <w:szCs w:val="30"/>
          <w:highlight w:val="none"/>
          <w:u w:val="none"/>
        </w:rPr>
      </w:pPr>
      <w:r>
        <w:rPr>
          <w:rFonts w:hint="eastAsia" w:ascii="方正小标宋简体" w:hAnsi="Calibri" w:eastAsia="方正小标宋简体" w:cs="Times New Roman"/>
          <w:color w:val="auto"/>
          <w:kern w:val="0"/>
          <w:sz w:val="44"/>
          <w:szCs w:val="44"/>
          <w:highlight w:val="none"/>
          <w:u w:val="none"/>
          <w:lang w:val="en-US" w:eastAsia="zh-CN"/>
        </w:rPr>
        <w:t>项目绩效自评报告</w:t>
      </w:r>
    </w:p>
    <w:p>
      <w:pPr>
        <w:spacing w:line="360" w:lineRule="auto"/>
        <w:jc w:val="center"/>
        <w:rPr>
          <w:rFonts w:ascii="方正小标宋简体" w:hAnsi="方正小标宋简体" w:eastAsia="方正小标宋简体" w:cs="方正小标宋简体"/>
          <w:color w:val="auto"/>
          <w:sz w:val="32"/>
          <w:szCs w:val="32"/>
          <w:highlight w:val="none"/>
          <w:u w:val="none"/>
        </w:rPr>
      </w:pPr>
    </w:p>
    <w:p>
      <w:pPr>
        <w:spacing w:line="360" w:lineRule="auto"/>
        <w:ind w:firstLine="450" w:firstLineChars="150"/>
        <w:rPr>
          <w:rFonts w:ascii="仿宋_GB2312" w:eastAsia="仿宋_GB2312"/>
          <w:color w:val="auto"/>
          <w:sz w:val="30"/>
          <w:szCs w:val="30"/>
          <w:highlight w:val="none"/>
          <w:u w:val="none"/>
        </w:rPr>
      </w:pPr>
    </w:p>
    <w:p>
      <w:pPr>
        <w:spacing w:line="360" w:lineRule="auto"/>
        <w:ind w:firstLine="450" w:firstLineChars="150"/>
        <w:rPr>
          <w:rFonts w:ascii="仿宋_GB2312" w:eastAsia="仿宋_GB2312"/>
          <w:color w:val="auto"/>
          <w:sz w:val="30"/>
          <w:szCs w:val="30"/>
          <w:highlight w:val="none"/>
          <w:u w:val="none"/>
        </w:rPr>
      </w:pPr>
    </w:p>
    <w:p>
      <w:pPr>
        <w:pStyle w:val="2"/>
        <w:rPr>
          <w:rFonts w:ascii="仿宋_GB2312" w:eastAsia="仿宋_GB2312"/>
          <w:color w:val="auto"/>
          <w:sz w:val="30"/>
          <w:szCs w:val="30"/>
          <w:highlight w:val="none"/>
          <w:u w:val="none"/>
        </w:rPr>
      </w:pPr>
    </w:p>
    <w:p>
      <w:pPr>
        <w:pStyle w:val="2"/>
        <w:rPr>
          <w:rFonts w:ascii="仿宋_GB2312" w:eastAsia="仿宋_GB2312"/>
          <w:color w:val="auto"/>
          <w:sz w:val="30"/>
          <w:szCs w:val="30"/>
          <w:highlight w:val="none"/>
          <w:u w:val="none"/>
        </w:rPr>
      </w:pPr>
    </w:p>
    <w:p>
      <w:pPr>
        <w:spacing w:line="360" w:lineRule="auto"/>
        <w:ind w:firstLine="450" w:firstLineChars="150"/>
        <w:rPr>
          <w:rFonts w:ascii="仿宋_GB2312" w:eastAsia="仿宋_GB2312"/>
          <w:color w:val="auto"/>
          <w:sz w:val="30"/>
          <w:szCs w:val="30"/>
          <w:highlight w:val="none"/>
          <w:u w:val="none"/>
        </w:rPr>
      </w:pPr>
    </w:p>
    <w:p>
      <w:pPr>
        <w:spacing w:line="360" w:lineRule="auto"/>
        <w:ind w:firstLine="450" w:firstLineChars="150"/>
        <w:rPr>
          <w:rFonts w:ascii="仿宋_GB2312" w:eastAsia="仿宋_GB2312"/>
          <w:color w:val="auto"/>
          <w:sz w:val="30"/>
          <w:szCs w:val="30"/>
          <w:highlight w:val="none"/>
          <w:u w:val="none"/>
        </w:rPr>
      </w:pPr>
    </w:p>
    <w:p>
      <w:pPr>
        <w:widowControl/>
        <w:ind w:firstLine="640" w:firstLineChars="200"/>
        <w:jc w:val="left"/>
        <w:rPr>
          <w:rFonts w:hint="eastAsia" w:ascii="仿宋_GB2312" w:eastAsia="仿宋_GB2312"/>
          <w:color w:val="auto"/>
          <w:sz w:val="32"/>
          <w:szCs w:val="32"/>
          <w:highlight w:val="none"/>
          <w:u w:val="none"/>
          <w:lang w:val="en-US" w:eastAsia="zh-CN"/>
        </w:rPr>
      </w:pPr>
      <w:r>
        <w:rPr>
          <w:rFonts w:ascii="仿宋_GB2312" w:eastAsia="仿宋_GB2312"/>
          <w:color w:val="auto"/>
          <w:sz w:val="32"/>
          <w:szCs w:val="32"/>
          <w:highlight w:val="none"/>
          <w:u w:val="none"/>
        </w:rPr>
        <w:t>财政事权名称：</w:t>
      </w:r>
      <w:r>
        <w:rPr>
          <w:rFonts w:hint="eastAsia" w:ascii="仿宋_GB2312" w:eastAsia="仿宋_GB2312"/>
          <w:color w:val="auto"/>
          <w:sz w:val="32"/>
          <w:szCs w:val="32"/>
          <w:highlight w:val="none"/>
          <w:u w:val="none"/>
        </w:rPr>
        <w:t>住房和城乡建设</w:t>
      </w:r>
      <w:r>
        <w:rPr>
          <w:rFonts w:hint="eastAsia" w:ascii="仿宋_GB2312" w:eastAsia="仿宋_GB2312"/>
          <w:color w:val="auto"/>
          <w:sz w:val="32"/>
          <w:szCs w:val="32"/>
          <w:highlight w:val="none"/>
          <w:u w:val="none"/>
          <w:lang w:val="en-US" w:eastAsia="zh-CN"/>
        </w:rPr>
        <w:t>管理</w:t>
      </w:r>
    </w:p>
    <w:p>
      <w:pPr>
        <w:widowControl/>
        <w:ind w:left="6078" w:leftChars="304" w:hanging="5440" w:hangingChars="1700"/>
        <w:jc w:val="left"/>
        <w:rPr>
          <w:rFonts w:hint="eastAsia" w:ascii="仿宋_GB2312" w:eastAsia="仿宋_GB2312"/>
          <w:color w:val="auto"/>
          <w:sz w:val="32"/>
          <w:szCs w:val="32"/>
          <w:highlight w:val="none"/>
          <w:u w:val="none"/>
        </w:rPr>
      </w:pPr>
      <w:r>
        <w:rPr>
          <w:rFonts w:ascii="仿宋_GB2312" w:eastAsia="仿宋_GB2312"/>
          <w:color w:val="auto"/>
          <w:sz w:val="32"/>
          <w:szCs w:val="32"/>
          <w:highlight w:val="none"/>
          <w:u w:val="none"/>
        </w:rPr>
        <w:t>对应政策任务个数：</w:t>
      </w:r>
      <w:r>
        <w:rPr>
          <w:rFonts w:hint="eastAsia" w:ascii="仿宋_GB2312" w:eastAsia="仿宋_GB2312"/>
          <w:color w:val="auto"/>
          <w:sz w:val="32"/>
          <w:szCs w:val="32"/>
          <w:highlight w:val="none"/>
          <w:u w:val="none"/>
        </w:rPr>
        <w:t xml:space="preserve">1个 </w:t>
      </w:r>
    </w:p>
    <w:p>
      <w:pPr>
        <w:widowControl/>
        <w:ind w:left="6078" w:leftChars="304" w:hanging="5440" w:hangingChars="1700"/>
        <w:jc w:val="left"/>
        <w:rPr>
          <w:rFonts w:ascii="仿宋_GB2312" w:eastAsia="仿宋_GB2312"/>
          <w:color w:val="auto"/>
          <w:sz w:val="32"/>
          <w:szCs w:val="32"/>
          <w:highlight w:val="none"/>
          <w:u w:val="none"/>
        </w:rPr>
      </w:pPr>
      <w:r>
        <w:rPr>
          <w:rFonts w:ascii="仿宋_GB2312" w:eastAsia="仿宋_GB2312"/>
          <w:color w:val="auto"/>
          <w:sz w:val="32"/>
          <w:szCs w:val="32"/>
          <w:highlight w:val="none"/>
          <w:u w:val="none"/>
        </w:rPr>
        <w:t>具体名称：</w:t>
      </w:r>
      <w:r>
        <w:rPr>
          <w:rFonts w:hint="eastAsia" w:ascii="仿宋_GB2312" w:eastAsia="仿宋_GB2312"/>
          <w:color w:val="auto"/>
          <w:sz w:val="32"/>
          <w:szCs w:val="32"/>
          <w:highlight w:val="none"/>
          <w:u w:val="none"/>
        </w:rPr>
        <w:t>城市管理与地下基础设施建设更新改造</w:t>
      </w:r>
    </w:p>
    <w:p>
      <w:pPr>
        <w:widowControl/>
        <w:ind w:firstLine="640" w:firstLineChars="200"/>
        <w:jc w:val="left"/>
        <w:rPr>
          <w:rFonts w:ascii="仿宋_GB2312" w:eastAsia="仿宋_GB2312"/>
          <w:color w:val="auto"/>
          <w:sz w:val="32"/>
          <w:szCs w:val="32"/>
          <w:highlight w:val="none"/>
          <w:u w:val="none"/>
        </w:rPr>
      </w:pPr>
      <w:r>
        <w:rPr>
          <w:rFonts w:ascii="仿宋_GB2312" w:eastAsia="仿宋_GB2312"/>
          <w:color w:val="auto"/>
          <w:sz w:val="32"/>
          <w:szCs w:val="32"/>
          <w:highlight w:val="none"/>
          <w:u w:val="none"/>
        </w:rPr>
        <w:t>预算单位：（公章）</w:t>
      </w:r>
      <w:r>
        <w:rPr>
          <w:rFonts w:hint="eastAsia" w:ascii="仿宋_GB2312" w:eastAsia="仿宋_GB2312"/>
          <w:color w:val="auto"/>
          <w:sz w:val="32"/>
          <w:szCs w:val="32"/>
          <w:highlight w:val="none"/>
          <w:u w:val="none"/>
        </w:rPr>
        <w:t>广东省住房和城乡建设厅</w:t>
      </w:r>
    </w:p>
    <w:p>
      <w:pPr>
        <w:snapToGrid w:val="0"/>
        <w:spacing w:line="360" w:lineRule="auto"/>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填报人姓名：梁龙辉</w:t>
      </w:r>
    </w:p>
    <w:p>
      <w:pPr>
        <w:snapToGrid w:val="0"/>
        <w:spacing w:line="360" w:lineRule="auto"/>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联系电话：83133596</w:t>
      </w:r>
    </w:p>
    <w:p>
      <w:pPr>
        <w:snapToGrid w:val="0"/>
        <w:spacing w:line="360" w:lineRule="auto"/>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填报日期：202</w:t>
      </w:r>
      <w:r>
        <w:rPr>
          <w:rFonts w:hint="eastAsia" w:ascii="仿宋_GB2312" w:eastAsia="仿宋_GB2312"/>
          <w:color w:val="auto"/>
          <w:sz w:val="32"/>
          <w:szCs w:val="32"/>
          <w:highlight w:val="none"/>
          <w:u w:val="none"/>
          <w:lang w:val="en-US" w:eastAsia="zh-CN"/>
        </w:rPr>
        <w:t>4</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5</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20</w:t>
      </w:r>
      <w:r>
        <w:rPr>
          <w:rFonts w:hint="eastAsia" w:ascii="仿宋_GB2312" w:eastAsia="仿宋_GB2312"/>
          <w:color w:val="auto"/>
          <w:sz w:val="32"/>
          <w:szCs w:val="32"/>
          <w:highlight w:val="none"/>
          <w:u w:val="none"/>
        </w:rPr>
        <w:t>日</w:t>
      </w:r>
    </w:p>
    <w:p>
      <w:pPr>
        <w:snapToGrid w:val="0"/>
        <w:spacing w:line="360" w:lineRule="auto"/>
        <w:rPr>
          <w:rFonts w:ascii="仿宋_GB2312" w:eastAsia="仿宋_GB2312"/>
          <w:color w:val="auto"/>
          <w:szCs w:val="21"/>
          <w:highlight w:val="none"/>
          <w:u w:val="none"/>
        </w:rPr>
      </w:pPr>
    </w:p>
    <w:p>
      <w:pPr>
        <w:pStyle w:val="12"/>
        <w:ind w:left="0" w:leftChars="0"/>
        <w:rPr>
          <w:color w:val="auto"/>
          <w:highlight w:val="none"/>
          <w:u w:val="none"/>
        </w:rPr>
      </w:pPr>
    </w:p>
    <w:p>
      <w:pPr>
        <w:snapToGrid w:val="0"/>
        <w:spacing w:line="360" w:lineRule="auto"/>
        <w:rPr>
          <w:rFonts w:ascii="仿宋_GB2312" w:eastAsia="仿宋_GB2312"/>
          <w:color w:val="auto"/>
          <w:sz w:val="32"/>
          <w:szCs w:val="32"/>
          <w:highlight w:val="none"/>
          <w:u w:val="none"/>
        </w:rPr>
      </w:pPr>
    </w:p>
    <w:sdt>
      <w:sdtPr>
        <w:rPr>
          <w:rFonts w:hint="eastAsia" w:ascii="方正小标宋简体" w:hAnsi="方正小标宋简体" w:eastAsia="方正小标宋简体" w:cs="方正小标宋简体"/>
          <w:color w:val="auto"/>
          <w:sz w:val="36"/>
          <w:szCs w:val="36"/>
          <w:highlight w:val="none"/>
          <w:u w:val="none"/>
          <w:lang w:bidi="ar"/>
        </w:rPr>
        <w:id w:val="147478611"/>
        <w15:color w:val="DBDBDB"/>
        <w:docPartObj>
          <w:docPartGallery w:val="Table of Contents"/>
          <w:docPartUnique/>
        </w:docPartObj>
      </w:sdtPr>
      <w:sdtEndPr>
        <w:rPr>
          <w:rFonts w:hint="eastAsia" w:ascii="宋体" w:hAnsi="宋体" w:eastAsia="宋体" w:cstheme="minorBidi"/>
          <w:b/>
          <w:color w:val="auto"/>
          <w:sz w:val="21"/>
          <w:szCs w:val="24"/>
          <w:highlight w:val="none"/>
          <w:u w:val="none"/>
          <w:lang w:bidi="ar-SA"/>
        </w:rPr>
      </w:sdtEndPr>
      <w:sdtContent>
        <w:p>
          <w:pPr>
            <w:jc w:val="center"/>
            <w:rPr>
              <w:rFonts w:hint="eastAsia" w:ascii="方正小标宋简体" w:hAnsi="方正小标宋简体" w:eastAsia="方正小标宋简体" w:cs="方正小标宋简体"/>
              <w:color w:val="auto"/>
              <w:sz w:val="36"/>
              <w:szCs w:val="36"/>
              <w:highlight w:val="none"/>
              <w:u w:val="none"/>
              <w:lang w:bidi="ar"/>
            </w:rPr>
          </w:pPr>
        </w:p>
        <w:p>
          <w:pPr>
            <w:jc w:val="center"/>
            <w:rPr>
              <w:rFonts w:ascii="方正小标宋简体" w:hAnsi="方正小标宋简体" w:eastAsia="方正小标宋简体" w:cs="方正小标宋简体"/>
              <w:color w:val="auto"/>
              <w:sz w:val="36"/>
              <w:szCs w:val="36"/>
              <w:highlight w:val="none"/>
              <w:u w:val="none"/>
              <w:lang w:bidi="ar"/>
            </w:rPr>
          </w:pPr>
          <w:r>
            <w:rPr>
              <w:rFonts w:hint="eastAsia" w:ascii="方正小标宋简体" w:hAnsi="方正小标宋简体" w:eastAsia="方正小标宋简体" w:cs="方正小标宋简体"/>
              <w:color w:val="auto"/>
              <w:sz w:val="36"/>
              <w:szCs w:val="36"/>
              <w:highlight w:val="none"/>
              <w:u w:val="none"/>
              <w:lang w:val="zh-CN" w:bidi="ar"/>
            </w:rPr>
            <w:t>目</w:t>
          </w:r>
          <w:r>
            <w:rPr>
              <w:rFonts w:hint="eastAsia" w:ascii="方正小标宋简体" w:hAnsi="方正小标宋简体" w:eastAsia="方正小标宋简体" w:cs="方正小标宋简体"/>
              <w:color w:val="auto"/>
              <w:sz w:val="36"/>
              <w:szCs w:val="36"/>
              <w:highlight w:val="none"/>
              <w:u w:val="none"/>
              <w:lang w:bidi="ar"/>
            </w:rPr>
            <w:t xml:space="preserve"> </w:t>
          </w:r>
          <w:r>
            <w:rPr>
              <w:rFonts w:hint="eastAsia" w:ascii="方正小标宋简体" w:hAnsi="方正小标宋简体" w:eastAsia="方正小标宋简体" w:cs="方正小标宋简体"/>
              <w:color w:val="auto"/>
              <w:sz w:val="36"/>
              <w:szCs w:val="36"/>
              <w:highlight w:val="none"/>
              <w:u w:val="none"/>
              <w:lang w:val="zh-CN" w:bidi="ar"/>
            </w:rPr>
            <w:t>录</w:t>
          </w:r>
        </w:p>
        <w:p>
          <w:pPr>
            <w:pStyle w:val="11"/>
            <w:tabs>
              <w:tab w:val="right" w:leader="dot" w:pos="8958"/>
            </w:tabs>
            <w:rPr>
              <w:rFonts w:ascii="仿宋_GB2312" w:hAnsi="Times New Roman" w:eastAsia="仿宋_GB2312"/>
              <w:color w:val="auto"/>
              <w:kern w:val="0"/>
              <w:sz w:val="32"/>
              <w:szCs w:val="32"/>
              <w:highlight w:val="none"/>
              <w:u w:val="none"/>
            </w:rPr>
          </w:pP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TOC \o "1-2" \h \u </w:instrText>
          </w:r>
          <w:r>
            <w:rPr>
              <w:rFonts w:hint="eastAsia" w:ascii="仿宋_GB2312" w:hAnsi="Times New Roman" w:eastAsia="仿宋_GB2312"/>
              <w:color w:val="auto"/>
              <w:kern w:val="0"/>
              <w:sz w:val="32"/>
              <w:szCs w:val="32"/>
              <w:highlight w:val="none"/>
              <w:u w:val="none"/>
            </w:rPr>
            <w:fldChar w:fldCharType="separate"/>
          </w:r>
          <w:r>
            <w:rPr>
              <w:color w:val="auto"/>
              <w:highlight w:val="none"/>
              <w:u w:val="none"/>
            </w:rPr>
            <w:fldChar w:fldCharType="begin"/>
          </w:r>
          <w:r>
            <w:rPr>
              <w:color w:val="auto"/>
              <w:highlight w:val="none"/>
              <w:u w:val="none"/>
            </w:rPr>
            <w:instrText xml:space="preserve"> HYPERLINK \l "_Toc18239"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一、基本情况</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_Toc18239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- 1 -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"_Toc8232"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（一）资金安排情况</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_Toc8232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- 1 -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"_Toc19775"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（二）资金分配方式</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_Toc19775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- 2 -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"_Toc18227"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（三）资金主要用途和实施程序</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_Toc18227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- 3 -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"_Toc7070"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（四）绩效目标</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_Toc7070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- 4 -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"_Toc17850"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二、自评情况</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_Toc17850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- 5 -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"_Toc18107"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（一）自评结论</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_Toc18107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- 5 -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"_Toc9578"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（二）专项资金使用绩效</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_Toc9578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- 11 -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"_Toc1331"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（三）专项资金使用绩效存在的问题</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_Toc1331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- 14 -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rFonts w:ascii="仿宋_GB2312" w:hAnsi="Times New Roman" w:eastAsia="仿宋_GB2312"/>
              <w:color w:val="auto"/>
              <w:kern w:val="0"/>
              <w:sz w:val="32"/>
              <w:szCs w:val="32"/>
              <w:highlight w:val="none"/>
              <w:u w:val="none"/>
            </w:rPr>
          </w:pPr>
          <w:r>
            <w:rPr>
              <w:color w:val="auto"/>
              <w:highlight w:val="none"/>
              <w:u w:val="none"/>
            </w:rPr>
            <w:fldChar w:fldCharType="begin"/>
          </w:r>
          <w:r>
            <w:rPr>
              <w:color w:val="auto"/>
              <w:highlight w:val="none"/>
              <w:u w:val="none"/>
            </w:rPr>
            <w:instrText xml:space="preserve"> HYPERLINK \l "_Toc20361" </w:instrText>
          </w:r>
          <w:r>
            <w:rPr>
              <w:color w:val="auto"/>
              <w:highlight w:val="none"/>
              <w:u w:val="none"/>
            </w:rPr>
            <w:fldChar w:fldCharType="separate"/>
          </w:r>
          <w:r>
            <w:rPr>
              <w:rFonts w:hint="eastAsia" w:ascii="仿宋_GB2312" w:hAnsi="Times New Roman" w:eastAsia="仿宋_GB2312"/>
              <w:color w:val="auto"/>
              <w:kern w:val="0"/>
              <w:sz w:val="32"/>
              <w:szCs w:val="32"/>
              <w:highlight w:val="none"/>
              <w:u w:val="none"/>
            </w:rPr>
            <w:t>三、改进意见</w:t>
          </w:r>
          <w:r>
            <w:rPr>
              <w:rFonts w:hint="eastAsia" w:ascii="仿宋_GB2312" w:hAnsi="Times New Roman" w:eastAsia="仿宋_GB2312"/>
              <w:color w:val="auto"/>
              <w:kern w:val="0"/>
              <w:sz w:val="32"/>
              <w:szCs w:val="32"/>
              <w:highlight w:val="none"/>
              <w:u w:val="none"/>
            </w:rPr>
            <w:tab/>
          </w:r>
          <w:r>
            <w:rPr>
              <w:rFonts w:hint="eastAsia" w:ascii="仿宋_GB2312" w:hAnsi="Times New Roman" w:eastAsia="仿宋_GB2312"/>
              <w:color w:val="auto"/>
              <w:kern w:val="0"/>
              <w:sz w:val="32"/>
              <w:szCs w:val="32"/>
              <w:highlight w:val="none"/>
              <w:u w:val="none"/>
            </w:rPr>
            <w:fldChar w:fldCharType="begin"/>
          </w:r>
          <w:r>
            <w:rPr>
              <w:rFonts w:hint="eastAsia" w:ascii="仿宋_GB2312" w:hAnsi="Times New Roman" w:eastAsia="仿宋_GB2312"/>
              <w:color w:val="auto"/>
              <w:kern w:val="0"/>
              <w:sz w:val="32"/>
              <w:szCs w:val="32"/>
              <w:highlight w:val="none"/>
              <w:u w:val="none"/>
            </w:rPr>
            <w:instrText xml:space="preserve"> PAGEREF _Toc20361 \h </w:instrText>
          </w:r>
          <w:r>
            <w:rPr>
              <w:rFonts w:hint="eastAsia" w:ascii="仿宋_GB2312" w:hAnsi="Times New Roman" w:eastAsia="仿宋_GB2312"/>
              <w:color w:val="auto"/>
              <w:kern w:val="0"/>
              <w:sz w:val="32"/>
              <w:szCs w:val="32"/>
              <w:highlight w:val="none"/>
              <w:u w:val="none"/>
            </w:rPr>
            <w:fldChar w:fldCharType="separate"/>
          </w:r>
          <w:r>
            <w:rPr>
              <w:rFonts w:hint="eastAsia" w:ascii="仿宋_GB2312" w:hAnsi="Times New Roman" w:eastAsia="仿宋_GB2312"/>
              <w:color w:val="auto"/>
              <w:kern w:val="0"/>
              <w:sz w:val="32"/>
              <w:szCs w:val="32"/>
              <w:highlight w:val="none"/>
              <w:u w:val="none"/>
            </w:rPr>
            <w:t>- 16 -</w:t>
          </w:r>
          <w:r>
            <w:rPr>
              <w:rFonts w:hint="eastAsia" w:ascii="仿宋_GB2312" w:hAnsi="Times New Roman" w:eastAsia="仿宋_GB2312"/>
              <w:color w:val="auto"/>
              <w:kern w:val="0"/>
              <w:sz w:val="32"/>
              <w:szCs w:val="32"/>
              <w:highlight w:val="none"/>
              <w:u w:val="none"/>
            </w:rPr>
            <w:fldChar w:fldCharType="end"/>
          </w:r>
          <w:r>
            <w:rPr>
              <w:rFonts w:hint="eastAsia" w:ascii="仿宋_GB2312" w:hAnsi="Times New Roman" w:eastAsia="仿宋_GB2312"/>
              <w:color w:val="auto"/>
              <w:kern w:val="0"/>
              <w:sz w:val="32"/>
              <w:szCs w:val="32"/>
              <w:highlight w:val="none"/>
              <w:u w:val="none"/>
            </w:rPr>
            <w:fldChar w:fldCharType="end"/>
          </w:r>
        </w:p>
        <w:p>
          <w:pPr>
            <w:pStyle w:val="11"/>
            <w:tabs>
              <w:tab w:val="right" w:leader="dot" w:pos="8958"/>
            </w:tabs>
            <w:rPr>
              <w:color w:val="auto"/>
              <w:highlight w:val="none"/>
              <w:u w:val="none"/>
            </w:rPr>
          </w:pPr>
          <w:r>
            <w:rPr>
              <w:rFonts w:hint="eastAsia" w:ascii="仿宋_GB2312" w:hAnsi="Times New Roman" w:eastAsia="仿宋_GB2312"/>
              <w:color w:val="auto"/>
              <w:kern w:val="0"/>
              <w:sz w:val="32"/>
              <w:szCs w:val="32"/>
              <w:highlight w:val="none"/>
              <w:u w:val="none"/>
            </w:rPr>
            <w:fldChar w:fldCharType="end"/>
          </w:r>
        </w:p>
      </w:sdtContent>
    </w:sdt>
    <w:p>
      <w:pPr>
        <w:pStyle w:val="12"/>
        <w:ind w:left="0" w:leftChars="0" w:firstLine="640" w:firstLineChars="200"/>
        <w:rPr>
          <w:rFonts w:ascii="仿宋_GB2312" w:hAnsi="Times New Roman" w:eastAsia="仿宋_GB2312"/>
          <w:color w:val="auto"/>
          <w:sz w:val="32"/>
          <w:highlight w:val="none"/>
          <w:u w:val="none"/>
        </w:rPr>
        <w:sectPr>
          <w:pgSz w:w="11906" w:h="16838"/>
          <w:pgMar w:top="2041" w:right="1417" w:bottom="1417"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pStyle w:val="12"/>
        <w:ind w:left="0" w:leftChars="0" w:firstLine="640" w:firstLineChars="200"/>
        <w:rPr>
          <w:rFonts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为深入贯彻落实《中共中央国务院关于全面实施预算绩效管理的意见》和预算法及其实施条例的有关要求，检验2023年区域协调发展战略专项资金-住房和城乡建设管理-城市管理与地下基础设施建设更新改造</w:t>
      </w:r>
      <w:r>
        <w:rPr>
          <w:rFonts w:hint="eastAsia" w:ascii="仿宋_GB2312" w:hAnsi="Times New Roman" w:eastAsia="仿宋_GB2312"/>
          <w:color w:val="auto"/>
          <w:sz w:val="32"/>
          <w:highlight w:val="none"/>
          <w:u w:val="none"/>
          <w:lang w:val="en-US" w:eastAsia="zh-CN"/>
        </w:rPr>
        <w:t>项目资金</w:t>
      </w:r>
      <w:r>
        <w:rPr>
          <w:rFonts w:hint="eastAsia" w:ascii="仿宋_GB2312" w:hAnsi="Times New Roman" w:eastAsia="仿宋_GB2312"/>
          <w:color w:val="auto"/>
          <w:sz w:val="32"/>
          <w:highlight w:val="none"/>
          <w:u w:val="none"/>
        </w:rPr>
        <w:t>使用情况，考核绩效目标实现程度、支出效率和综合效果，进一步强化绩效管理，根据</w:t>
      </w:r>
      <w:r>
        <w:rPr>
          <w:rFonts w:hint="eastAsia" w:ascii="仿宋_GB2312" w:hAnsi="Times New Roman" w:eastAsia="仿宋_GB2312"/>
          <w:color w:val="auto"/>
          <w:kern w:val="2"/>
          <w:sz w:val="32"/>
          <w:highlight w:val="none"/>
          <w:u w:val="none"/>
        </w:rPr>
        <w:t>《广东省财政厅关于开展2024年省级财政资金绩效自评工作的通知》和</w:t>
      </w:r>
      <w:r>
        <w:rPr>
          <w:rFonts w:hint="eastAsia" w:ascii="仿宋_GB2312" w:hAnsi="Times New Roman" w:eastAsia="仿宋_GB2312"/>
          <w:color w:val="auto"/>
          <w:kern w:val="2"/>
          <w:sz w:val="32"/>
          <w:highlight w:val="none"/>
          <w:u w:val="none"/>
          <w:lang w:eastAsia="zh-CN"/>
        </w:rPr>
        <w:t>《</w:t>
      </w:r>
      <w:r>
        <w:rPr>
          <w:rFonts w:hint="eastAsia" w:ascii="仿宋_GB2312" w:hAnsi="Times New Roman" w:eastAsia="仿宋_GB2312"/>
          <w:color w:val="auto"/>
          <w:kern w:val="2"/>
          <w:sz w:val="32"/>
          <w:highlight w:val="none"/>
          <w:u w:val="none"/>
        </w:rPr>
        <w:t>广东省住房和城乡建设厅关于开展2023年城镇燃气安全隐患排查治理专项资金绩效评价工作的通知</w:t>
      </w:r>
      <w:r>
        <w:rPr>
          <w:rFonts w:hint="eastAsia" w:ascii="仿宋_GB2312" w:hAnsi="Times New Roman" w:eastAsia="仿宋_GB2312"/>
          <w:color w:val="auto"/>
          <w:kern w:val="2"/>
          <w:sz w:val="32"/>
          <w:highlight w:val="none"/>
          <w:u w:val="none"/>
          <w:lang w:eastAsia="zh-CN"/>
        </w:rPr>
        <w:t>》</w:t>
      </w:r>
      <w:r>
        <w:rPr>
          <w:rFonts w:hint="eastAsia" w:ascii="仿宋_GB2312" w:hAnsi="Times New Roman" w:eastAsia="仿宋_GB2312"/>
          <w:color w:val="auto"/>
          <w:sz w:val="32"/>
          <w:highlight w:val="none"/>
          <w:u w:val="none"/>
        </w:rPr>
        <w:t>，我厅对202</w:t>
      </w:r>
      <w:r>
        <w:rPr>
          <w:rFonts w:hint="eastAsia" w:ascii="仿宋_GB2312" w:hAnsi="Times New Roman" w:eastAsia="仿宋_GB2312"/>
          <w:color w:val="auto"/>
          <w:sz w:val="32"/>
          <w:highlight w:val="none"/>
          <w:u w:val="none"/>
          <w:lang w:val="en-US" w:eastAsia="zh-CN"/>
        </w:rPr>
        <w:t>3</w:t>
      </w:r>
      <w:r>
        <w:rPr>
          <w:rFonts w:hint="eastAsia" w:ascii="仿宋_GB2312" w:hAnsi="Times New Roman" w:eastAsia="仿宋_GB2312"/>
          <w:color w:val="auto"/>
          <w:sz w:val="32"/>
          <w:highlight w:val="none"/>
          <w:u w:val="none"/>
        </w:rPr>
        <w:t>年城市管理与地下基础设施建设更新改造专项资金（以下简称专项资金）使</w:t>
      </w:r>
      <w:r>
        <w:rPr>
          <w:rFonts w:hint="eastAsia" w:ascii="仿宋_GB2312" w:hAnsi="Times New Roman" w:eastAsia="仿宋_GB2312"/>
          <w:color w:val="auto"/>
          <w:kern w:val="2"/>
          <w:sz w:val="32"/>
          <w:highlight w:val="none"/>
          <w:u w:val="none"/>
        </w:rPr>
        <w:t>用情况组织开展了绩效自评</w:t>
      </w:r>
      <w:r>
        <w:rPr>
          <w:rFonts w:hint="eastAsia" w:ascii="仿宋_GB2312" w:hAnsi="Times New Roman" w:eastAsia="仿宋_GB2312"/>
          <w:color w:val="auto"/>
          <w:sz w:val="32"/>
          <w:highlight w:val="none"/>
          <w:u w:val="none"/>
        </w:rPr>
        <w:t>。</w:t>
      </w:r>
    </w:p>
    <w:p>
      <w:pPr>
        <w:pStyle w:val="12"/>
        <w:ind w:left="0" w:leftChars="0" w:firstLine="640" w:firstLineChars="200"/>
        <w:rPr>
          <w:rFonts w:ascii="仿宋_GB2312" w:hAnsi="Times New Roman" w:eastAsia="仿宋_GB2312"/>
          <w:color w:val="auto"/>
          <w:kern w:val="2"/>
          <w:sz w:val="32"/>
          <w:highlight w:val="none"/>
          <w:u w:val="none"/>
        </w:rPr>
      </w:pPr>
      <w:r>
        <w:rPr>
          <w:rFonts w:hint="eastAsia" w:ascii="仿宋_GB2312" w:hAnsi="Times New Roman" w:eastAsia="仿宋_GB2312"/>
          <w:color w:val="auto"/>
          <w:sz w:val="32"/>
          <w:highlight w:val="none"/>
          <w:u w:val="none"/>
        </w:rPr>
        <w:t>评价基准日为202</w:t>
      </w:r>
      <w:r>
        <w:rPr>
          <w:rFonts w:hint="eastAsia" w:ascii="仿宋_GB2312" w:hAnsi="Times New Roman" w:eastAsia="仿宋_GB2312"/>
          <w:color w:val="auto"/>
          <w:sz w:val="32"/>
          <w:highlight w:val="none"/>
          <w:u w:val="none"/>
          <w:lang w:val="en-US" w:eastAsia="zh-CN"/>
        </w:rPr>
        <w:t>3</w:t>
      </w:r>
      <w:r>
        <w:rPr>
          <w:rFonts w:hint="eastAsia" w:ascii="仿宋_GB2312" w:hAnsi="Times New Roman" w:eastAsia="仿宋_GB2312"/>
          <w:color w:val="auto"/>
          <w:sz w:val="32"/>
          <w:highlight w:val="none"/>
          <w:u w:val="none"/>
        </w:rPr>
        <w:t>年12月31日。</w:t>
      </w:r>
    </w:p>
    <w:p>
      <w:pPr>
        <w:snapToGrid w:val="0"/>
        <w:spacing w:line="360" w:lineRule="auto"/>
        <w:ind w:firstLine="640" w:firstLineChars="200"/>
        <w:outlineLvl w:val="0"/>
        <w:rPr>
          <w:rFonts w:ascii="黑体" w:eastAsia="黑体"/>
          <w:color w:val="auto"/>
          <w:sz w:val="32"/>
          <w:szCs w:val="32"/>
          <w:highlight w:val="none"/>
          <w:u w:val="none"/>
        </w:rPr>
      </w:pPr>
      <w:bookmarkStart w:id="0" w:name="_Toc23553"/>
      <w:bookmarkStart w:id="1" w:name="_Toc22855"/>
      <w:bookmarkStart w:id="2" w:name="_Toc139976774"/>
      <w:bookmarkStart w:id="3" w:name="_Toc25539"/>
      <w:bookmarkStart w:id="4" w:name="_Toc18239"/>
      <w:r>
        <w:rPr>
          <w:rFonts w:hint="eastAsia" w:ascii="黑体" w:eastAsia="黑体"/>
          <w:color w:val="auto"/>
          <w:sz w:val="32"/>
          <w:szCs w:val="32"/>
          <w:highlight w:val="none"/>
          <w:u w:val="none"/>
        </w:rPr>
        <w:t>一、基本情况</w:t>
      </w:r>
      <w:bookmarkEnd w:id="0"/>
      <w:bookmarkEnd w:id="1"/>
      <w:bookmarkEnd w:id="2"/>
      <w:bookmarkEnd w:id="3"/>
      <w:bookmarkEnd w:id="4"/>
    </w:p>
    <w:p>
      <w:pPr>
        <w:pStyle w:val="3"/>
        <w:spacing w:before="0" w:after="0" w:line="360" w:lineRule="auto"/>
        <w:ind w:firstLine="642" w:firstLineChars="200"/>
        <w:rPr>
          <w:rFonts w:ascii="Calibri" w:hAnsi="宋体"/>
          <w:b w:val="0"/>
          <w:bCs w:val="0"/>
          <w:color w:val="auto"/>
          <w:highlight w:val="none"/>
          <w:u w:val="none"/>
        </w:rPr>
      </w:pPr>
      <w:bookmarkStart w:id="5" w:name="_Toc22931"/>
      <w:bookmarkStart w:id="6" w:name="_Toc11442"/>
      <w:bookmarkStart w:id="7" w:name="_Toc139976775"/>
      <w:bookmarkStart w:id="8" w:name="_Toc21471"/>
      <w:bookmarkStart w:id="9" w:name="_Toc13448"/>
      <w:bookmarkStart w:id="10" w:name="_Toc8232"/>
      <w:bookmarkStart w:id="11" w:name="_Toc554"/>
      <w:bookmarkStart w:id="12" w:name="_Toc14202"/>
      <w:r>
        <w:rPr>
          <w:rFonts w:hint="eastAsia" w:ascii="Calibri" w:hAnsi="宋体"/>
          <w:color w:val="auto"/>
          <w:highlight w:val="none"/>
          <w:u w:val="none"/>
        </w:rPr>
        <w:t>（一）资金安排情况</w:t>
      </w:r>
      <w:bookmarkEnd w:id="5"/>
      <w:bookmarkEnd w:id="6"/>
      <w:bookmarkEnd w:id="7"/>
      <w:bookmarkEnd w:id="8"/>
      <w:bookmarkEnd w:id="9"/>
      <w:bookmarkEnd w:id="10"/>
      <w:bookmarkEnd w:id="11"/>
      <w:bookmarkEnd w:id="12"/>
    </w:p>
    <w:p>
      <w:pPr>
        <w:widowControl/>
        <w:ind w:firstLine="640" w:firstLineChars="200"/>
        <w:jc w:val="left"/>
        <w:rPr>
          <w:rFonts w:hint="eastAsia" w:ascii="仿宋_GB2312" w:hAnsi="仿宋_GB2312" w:eastAsia="仿宋_GB2312" w:cs="仿宋_GB2312"/>
          <w:color w:val="auto"/>
          <w:sz w:val="32"/>
          <w:szCs w:val="32"/>
          <w:highlight w:val="none"/>
          <w:u w:val="none"/>
          <w:lang w:bidi="ar"/>
        </w:rPr>
      </w:pPr>
      <w:r>
        <w:rPr>
          <w:rFonts w:hint="eastAsia" w:ascii="仿宋_GB2312" w:hAnsi="仿宋_GB2312" w:eastAsia="仿宋_GB2312" w:cs="仿宋_GB2312"/>
          <w:color w:val="auto"/>
          <w:sz w:val="32"/>
          <w:highlight w:val="none"/>
          <w:u w:val="none"/>
        </w:rPr>
        <w:t>以习近平新时代中国特色社会主义思想为指导，按照党中央、国务院决策部署，坚持以人民为中心，坚持新发展理念，落实高质量发展要求，统筹发展和安全，加快推进城市燃气管道等老化更新改造，加强市政基础设施体系化建设，加快完善管理制度规范，补齐规划建设和安全管理短板，保障安全运行，提升城市安全韧性，促进城市高质量发展，让人民群众生活更安全、更舒心、更美好</w:t>
      </w:r>
      <w:r>
        <w:rPr>
          <w:rFonts w:hint="eastAsia" w:ascii="仿宋_GB2312" w:hAnsi="仿宋_GB2312" w:eastAsia="仿宋_GB2312" w:cs="仿宋_GB2312"/>
          <w:color w:val="auto"/>
          <w:sz w:val="32"/>
          <w:highlight w:val="none"/>
          <w:u w:val="none"/>
          <w:lang w:eastAsia="zh-CN"/>
        </w:rPr>
        <w:t>。</w:t>
      </w:r>
      <w:r>
        <w:rPr>
          <w:rFonts w:hint="eastAsia" w:ascii="仿宋_GB2312" w:hAnsi="仿宋_GB2312" w:eastAsia="仿宋_GB2312" w:cs="仿宋_GB2312"/>
          <w:color w:val="auto"/>
          <w:sz w:val="32"/>
          <w:highlight w:val="none"/>
          <w:u w:val="none"/>
        </w:rPr>
        <w:t>202</w:t>
      </w:r>
      <w:r>
        <w:rPr>
          <w:rFonts w:hint="eastAsia" w:ascii="仿宋_GB2312" w:hAnsi="仿宋_GB2312" w:eastAsia="仿宋_GB2312" w:cs="仿宋_GB2312"/>
          <w:color w:val="auto"/>
          <w:sz w:val="32"/>
          <w:highlight w:val="none"/>
          <w:u w:val="none"/>
          <w:lang w:val="en-US" w:eastAsia="zh-CN"/>
        </w:rPr>
        <w:t>2</w:t>
      </w:r>
      <w:r>
        <w:rPr>
          <w:rFonts w:hint="eastAsia" w:ascii="仿宋_GB2312" w:hAnsi="仿宋_GB2312" w:eastAsia="仿宋_GB2312" w:cs="仿宋_GB2312"/>
          <w:color w:val="auto"/>
          <w:sz w:val="32"/>
          <w:highlight w:val="none"/>
          <w:u w:val="none"/>
        </w:rPr>
        <w:t>年1</w:t>
      </w:r>
      <w:r>
        <w:rPr>
          <w:rFonts w:hint="eastAsia" w:ascii="仿宋_GB2312" w:hAnsi="仿宋_GB2312" w:eastAsia="仿宋_GB2312" w:cs="仿宋_GB2312"/>
          <w:color w:val="auto"/>
          <w:sz w:val="32"/>
          <w:highlight w:val="none"/>
          <w:u w:val="none"/>
          <w:lang w:val="en-US" w:eastAsia="zh-CN"/>
        </w:rPr>
        <w:t>1</w:t>
      </w:r>
      <w:r>
        <w:rPr>
          <w:rFonts w:hint="eastAsia" w:ascii="仿宋_GB2312" w:hAnsi="仿宋_GB2312" w:eastAsia="仿宋_GB2312" w:cs="仿宋_GB2312"/>
          <w:color w:val="auto"/>
          <w:sz w:val="32"/>
          <w:highlight w:val="none"/>
          <w:u w:val="none"/>
        </w:rPr>
        <w:t>月，《广东省财政厅关于提前下达2023年省住房城乡建设厅主管专项资金的通知》（粤财建〔2022〕80号）</w:t>
      </w:r>
      <w:r>
        <w:rPr>
          <w:rFonts w:hint="eastAsia" w:ascii="仿宋_GB2312" w:hAnsi="仿宋_GB2312" w:eastAsia="仿宋_GB2312" w:cs="仿宋_GB2312"/>
          <w:color w:val="auto"/>
          <w:sz w:val="32"/>
          <w:highlight w:val="none"/>
          <w:u w:val="none"/>
          <w:lang w:val="en-US" w:eastAsia="zh-CN"/>
        </w:rPr>
        <w:t>和《广东省财政厅关于批复2023年省级部门预算的通知》（粤财预</w:t>
      </w:r>
      <w:r>
        <w:rPr>
          <w:rFonts w:hint="eastAsia" w:ascii="仿宋_GB2312" w:hAnsi="仿宋_GB2312" w:eastAsia="仿宋_GB2312" w:cs="仿宋_GB2312"/>
          <w:color w:val="auto"/>
          <w:sz w:val="32"/>
          <w:highlight w:val="none"/>
          <w:u w:val="none"/>
        </w:rPr>
        <w:t>〔202</w:t>
      </w:r>
      <w:r>
        <w:rPr>
          <w:rFonts w:hint="eastAsia" w:ascii="仿宋_GB2312" w:hAnsi="仿宋_GB2312" w:eastAsia="仿宋_GB2312" w:cs="仿宋_GB2312"/>
          <w:color w:val="auto"/>
          <w:sz w:val="32"/>
          <w:highlight w:val="none"/>
          <w:u w:val="none"/>
          <w:lang w:val="en-US" w:eastAsia="zh-CN"/>
        </w:rPr>
        <w:t>3</w:t>
      </w:r>
      <w:r>
        <w:rPr>
          <w:rFonts w:hint="eastAsia" w:ascii="仿宋_GB2312" w:hAnsi="仿宋_GB2312" w:eastAsia="仿宋_GB2312" w:cs="仿宋_GB2312"/>
          <w:color w:val="auto"/>
          <w:sz w:val="32"/>
          <w:highlight w:val="none"/>
          <w:u w:val="none"/>
        </w:rPr>
        <w:t>〕</w:t>
      </w:r>
      <w:r>
        <w:rPr>
          <w:rFonts w:hint="eastAsia" w:ascii="仿宋_GB2312" w:hAnsi="仿宋_GB2312" w:eastAsia="仿宋_GB2312" w:cs="仿宋_GB2312"/>
          <w:color w:val="auto"/>
          <w:sz w:val="32"/>
          <w:highlight w:val="none"/>
          <w:u w:val="none"/>
          <w:lang w:val="en-US" w:eastAsia="zh-CN"/>
        </w:rPr>
        <w:t>6号）</w:t>
      </w:r>
      <w:r>
        <w:rPr>
          <w:rFonts w:hint="eastAsia" w:ascii="仿宋_GB2312" w:hAnsi="仿宋_GB2312" w:eastAsia="仿宋_GB2312" w:cs="仿宋_GB2312"/>
          <w:color w:val="auto"/>
          <w:sz w:val="32"/>
          <w:highlight w:val="none"/>
          <w:u w:val="none"/>
        </w:rPr>
        <w:t>安排专项资金</w:t>
      </w:r>
      <w:r>
        <w:rPr>
          <w:rFonts w:hint="eastAsia" w:ascii="仿宋_GB2312" w:hAnsi="仿宋_GB2312" w:eastAsia="仿宋_GB2312" w:cs="仿宋_GB2312"/>
          <w:color w:val="auto"/>
          <w:sz w:val="32"/>
          <w:highlight w:val="none"/>
          <w:u w:val="none"/>
          <w:lang w:val="en-US" w:eastAsia="zh-CN"/>
        </w:rPr>
        <w:t>5150</w:t>
      </w:r>
      <w:r>
        <w:rPr>
          <w:rFonts w:hint="eastAsia" w:ascii="仿宋_GB2312" w:hAnsi="仿宋_GB2312" w:eastAsia="仿宋_GB2312" w:cs="仿宋_GB2312"/>
          <w:color w:val="auto"/>
          <w:sz w:val="32"/>
          <w:highlight w:val="none"/>
          <w:u w:val="none"/>
        </w:rPr>
        <w:t>万元，用于支持推动15个地市开展地下燃气管道普查及隐患整治工作，进一步巩固全省城镇燃气安全排查整治成效提升全省城镇燃气安全水平，以及用于提升城市体检评估质量、启动2个城市管理相关重点信息系统开发建设等。</w:t>
      </w:r>
    </w:p>
    <w:p>
      <w:pPr>
        <w:widowControl/>
        <w:ind w:firstLine="640" w:firstLineChars="200"/>
        <w:rPr>
          <w:rFonts w:ascii="仿宋_GB2312" w:hAnsi="仿宋_GB2312" w:eastAsia="仿宋_GB2312" w:cs="仿宋_GB2312"/>
          <w:color w:val="auto"/>
          <w:sz w:val="32"/>
          <w:highlight w:val="none"/>
          <w:u w:val="none"/>
        </w:rPr>
      </w:pPr>
      <w:r>
        <w:rPr>
          <w:rFonts w:hint="eastAsia" w:ascii="仿宋_GB2312" w:hAnsi="仿宋_GB2312" w:eastAsia="仿宋_GB2312" w:cs="仿宋_GB2312"/>
          <w:color w:val="auto"/>
          <w:sz w:val="32"/>
          <w:highlight w:val="none"/>
          <w:u w:val="none"/>
        </w:rPr>
        <w:t>专项资金预算实施年度为202</w:t>
      </w:r>
      <w:r>
        <w:rPr>
          <w:rFonts w:hint="eastAsia" w:ascii="仿宋_GB2312" w:hAnsi="仿宋_GB2312" w:eastAsia="仿宋_GB2312" w:cs="仿宋_GB2312"/>
          <w:color w:val="auto"/>
          <w:sz w:val="32"/>
          <w:highlight w:val="none"/>
          <w:u w:val="none"/>
          <w:lang w:val="en-US" w:eastAsia="zh-CN"/>
        </w:rPr>
        <w:t>3</w:t>
      </w:r>
      <w:r>
        <w:rPr>
          <w:rFonts w:hint="eastAsia" w:ascii="仿宋_GB2312" w:hAnsi="仿宋_GB2312" w:eastAsia="仿宋_GB2312" w:cs="仿宋_GB2312"/>
          <w:color w:val="auto"/>
          <w:sz w:val="32"/>
          <w:highlight w:val="none"/>
          <w:u w:val="none"/>
        </w:rPr>
        <w:t>年。</w:t>
      </w:r>
    </w:p>
    <w:p>
      <w:pPr>
        <w:pStyle w:val="3"/>
        <w:spacing w:before="0" w:after="0" w:line="360" w:lineRule="auto"/>
        <w:ind w:firstLine="642" w:firstLineChars="200"/>
        <w:rPr>
          <w:rFonts w:ascii="Calibri" w:hAnsi="宋体"/>
          <w:color w:val="auto"/>
          <w:highlight w:val="none"/>
          <w:u w:val="none"/>
        </w:rPr>
      </w:pPr>
      <w:bookmarkStart w:id="13" w:name="_Toc7462"/>
      <w:bookmarkStart w:id="14" w:name="_Toc11455"/>
      <w:bookmarkStart w:id="15" w:name="_Toc139976776"/>
      <w:bookmarkStart w:id="16" w:name="_Toc19775"/>
      <w:bookmarkStart w:id="17" w:name="_Toc8980"/>
      <w:r>
        <w:rPr>
          <w:rFonts w:ascii="Calibri" w:hAnsi="宋体"/>
          <w:color w:val="auto"/>
          <w:highlight w:val="none"/>
          <w:u w:val="none"/>
        </w:rPr>
        <w:t>（二）资金分配方式</w:t>
      </w:r>
      <w:bookmarkEnd w:id="13"/>
      <w:bookmarkEnd w:id="14"/>
      <w:bookmarkEnd w:id="15"/>
      <w:bookmarkEnd w:id="16"/>
      <w:bookmarkEnd w:id="17"/>
    </w:p>
    <w:p>
      <w:pPr>
        <w:widowControl/>
        <w:ind w:firstLine="640" w:firstLineChars="200"/>
        <w:jc w:val="both"/>
        <w:rPr>
          <w:rFonts w:ascii="仿宋_GB2312" w:hAnsi="Times New Roman" w:eastAsia="仿宋_GB2312"/>
          <w:color w:val="auto"/>
          <w:sz w:val="32"/>
          <w:szCs w:val="32"/>
          <w:highlight w:val="none"/>
          <w:u w:val="none"/>
          <w:lang w:bidi="ar"/>
        </w:rPr>
      </w:pPr>
      <w:r>
        <w:rPr>
          <w:rFonts w:hint="eastAsia" w:ascii="仿宋_GB2312" w:hAnsi="仿宋_GB2312" w:eastAsia="仿宋_GB2312" w:cs="仿宋_GB2312"/>
          <w:color w:val="auto"/>
          <w:sz w:val="32"/>
          <w:szCs w:val="32"/>
          <w:highlight w:val="none"/>
          <w:u w:val="none"/>
          <w:lang w:val="en-US" w:eastAsia="zh-CN"/>
        </w:rPr>
        <w:t>根据各</w:t>
      </w:r>
      <w:r>
        <w:rPr>
          <w:rFonts w:hint="eastAsia" w:ascii="仿宋_GB2312" w:hAnsi="仿宋_GB2312" w:eastAsia="仿宋_GB2312" w:cs="仿宋_GB2312"/>
          <w:color w:val="auto"/>
          <w:sz w:val="32"/>
          <w:szCs w:val="32"/>
          <w:highlight w:val="none"/>
          <w:u w:val="none"/>
        </w:rPr>
        <w:t>地市财力综合系数及总人口比例进行综合考虑，</w:t>
      </w:r>
      <w:r>
        <w:rPr>
          <w:rFonts w:hint="eastAsia" w:ascii="仿宋_GB2312" w:hAnsi="仿宋_GB2312" w:eastAsia="仿宋_GB2312" w:cs="仿宋_GB2312"/>
          <w:color w:val="auto"/>
          <w:sz w:val="32"/>
          <w:szCs w:val="32"/>
          <w:highlight w:val="none"/>
          <w:u w:val="none"/>
          <w:lang w:val="en-US" w:eastAsia="zh-CN"/>
        </w:rPr>
        <w:t>安排15个</w:t>
      </w:r>
      <w:r>
        <w:rPr>
          <w:rFonts w:hint="eastAsia" w:ascii="仿宋_GB2312" w:hAnsi="仿宋_GB2312" w:eastAsia="仿宋_GB2312" w:cs="仿宋_GB2312"/>
          <w:color w:val="auto"/>
          <w:sz w:val="32"/>
          <w:szCs w:val="32"/>
          <w:highlight w:val="none"/>
          <w:u w:val="none"/>
        </w:rPr>
        <w:t>地市</w:t>
      </w:r>
      <w:r>
        <w:rPr>
          <w:rFonts w:hint="eastAsia" w:ascii="仿宋_GB2312" w:hAnsi="仿宋_GB2312" w:eastAsia="仿宋_GB2312" w:cs="仿宋_GB2312"/>
          <w:color w:val="auto"/>
          <w:sz w:val="32"/>
          <w:szCs w:val="32"/>
          <w:highlight w:val="none"/>
          <w:u w:val="none"/>
          <w:lang w:val="en-US" w:eastAsia="zh-CN"/>
        </w:rPr>
        <w:t>2625万元</w:t>
      </w:r>
      <w:r>
        <w:rPr>
          <w:rFonts w:hint="eastAsia" w:ascii="仿宋_GB2312" w:hAnsi="仿宋_GB2312" w:eastAsia="仿宋_GB2312" w:cs="仿宋_GB2312"/>
          <w:color w:val="auto"/>
          <w:sz w:val="32"/>
          <w:szCs w:val="32"/>
          <w:highlight w:val="none"/>
          <w:u w:val="none"/>
        </w:rPr>
        <w:t>；</w:t>
      </w:r>
      <w:r>
        <w:rPr>
          <w:rFonts w:hint="eastAsia" w:ascii="仿宋_GB2312" w:hAnsi="仿宋_GB2312" w:eastAsia="仿宋_GB2312" w:cs="仿宋_GB2312"/>
          <w:color w:val="auto"/>
          <w:sz w:val="32"/>
          <w:szCs w:val="32"/>
          <w:highlight w:val="none"/>
          <w:u w:val="none"/>
          <w:lang w:val="en-US" w:eastAsia="zh-CN"/>
        </w:rPr>
        <w:t>根据2023年城市管理与地下基础设施建设更新改造总体工作计划及资金需求</w:t>
      </w:r>
      <w:r>
        <w:rPr>
          <w:rFonts w:hint="eastAsia" w:ascii="仿宋_GB2312" w:hAnsi="仿宋_GB2312" w:eastAsia="仿宋_GB2312" w:cs="仿宋_GB2312"/>
          <w:color w:val="auto"/>
          <w:sz w:val="32"/>
          <w:szCs w:val="32"/>
          <w:highlight w:val="none"/>
          <w:u w:val="none"/>
        </w:rPr>
        <w:t>安排省本级城市体检</w:t>
      </w:r>
      <w:r>
        <w:rPr>
          <w:rFonts w:hint="eastAsia" w:ascii="仿宋_GB2312" w:hAnsi="仿宋_GB2312" w:eastAsia="仿宋_GB2312" w:cs="仿宋_GB2312"/>
          <w:color w:val="auto"/>
          <w:sz w:val="32"/>
          <w:szCs w:val="32"/>
          <w:highlight w:val="none"/>
          <w:u w:val="none"/>
          <w:lang w:val="en-US" w:eastAsia="zh-CN"/>
        </w:rPr>
        <w:t>850万元</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信息化建设</w:t>
      </w:r>
      <w:r>
        <w:rPr>
          <w:rFonts w:hint="eastAsia" w:ascii="仿宋_GB2312" w:hAnsi="仿宋_GB2312" w:eastAsia="仿宋_GB2312" w:cs="仿宋_GB2312"/>
          <w:color w:val="auto"/>
          <w:sz w:val="32"/>
          <w:szCs w:val="32"/>
          <w:highlight w:val="none"/>
          <w:u w:val="none"/>
          <w:lang w:val="en-US" w:eastAsia="zh-CN"/>
        </w:rPr>
        <w:t>1030万元</w:t>
      </w:r>
      <w:r>
        <w:rPr>
          <w:rFonts w:hint="eastAsia" w:ascii="仿宋_GB2312" w:hAnsi="仿宋_GB2312" w:eastAsia="仿宋_GB2312" w:cs="仿宋_GB2312"/>
          <w:color w:val="auto"/>
          <w:sz w:val="32"/>
          <w:szCs w:val="32"/>
          <w:highlight w:val="none"/>
          <w:u w:val="none"/>
          <w:lang w:eastAsia="zh-CN"/>
        </w:rPr>
        <w:t>、城镇燃气安全隐患排查治理项目</w:t>
      </w:r>
      <w:r>
        <w:rPr>
          <w:rFonts w:hint="eastAsia" w:ascii="仿宋_GB2312" w:hAnsi="仿宋_GB2312" w:eastAsia="仿宋_GB2312" w:cs="仿宋_GB2312"/>
          <w:color w:val="auto"/>
          <w:sz w:val="32"/>
          <w:szCs w:val="32"/>
          <w:highlight w:val="none"/>
          <w:u w:val="none"/>
          <w:lang w:val="en-US" w:eastAsia="zh-CN"/>
        </w:rPr>
        <w:t>645万元，省本级经费共2525万元</w:t>
      </w:r>
      <w:r>
        <w:rPr>
          <w:rFonts w:hint="eastAsia" w:ascii="仿宋_GB2312" w:hAnsi="仿宋_GB2312" w:eastAsia="仿宋_GB2312" w:cs="仿宋_GB2312"/>
          <w:color w:val="auto"/>
          <w:sz w:val="32"/>
          <w:szCs w:val="32"/>
          <w:highlight w:val="none"/>
          <w:u w:val="none"/>
        </w:rPr>
        <w:t>。详见表1-1。</w:t>
      </w:r>
    </w:p>
    <w:p>
      <w:pPr>
        <w:pStyle w:val="12"/>
        <w:jc w:val="center"/>
        <w:rPr>
          <w:rFonts w:hint="eastAsia" w:ascii="黑体" w:hAnsi="黑体" w:eastAsia="黑体" w:cs="黑体"/>
          <w:color w:val="auto"/>
          <w:sz w:val="13"/>
          <w:szCs w:val="13"/>
          <w:highlight w:val="none"/>
          <w:u w:val="none"/>
          <w:lang w:val="en-US" w:eastAsia="zh-CN"/>
        </w:rPr>
      </w:pPr>
    </w:p>
    <w:p>
      <w:pPr>
        <w:pStyle w:val="12"/>
        <w:jc w:val="center"/>
        <w:rPr>
          <w:rFonts w:hint="eastAsia" w:ascii="黑体" w:hAnsi="黑体" w:eastAsia="黑体" w:cs="黑体"/>
          <w:color w:val="auto"/>
          <w:sz w:val="28"/>
          <w:szCs w:val="28"/>
          <w:highlight w:val="none"/>
          <w:u w:val="none"/>
          <w:lang w:val="en-US" w:eastAsia="zh-CN"/>
        </w:rPr>
      </w:pPr>
      <w:r>
        <w:rPr>
          <w:rFonts w:hint="eastAsia" w:ascii="黑体" w:hAnsi="黑体" w:eastAsia="黑体" w:cs="黑体"/>
          <w:color w:val="auto"/>
          <w:sz w:val="28"/>
          <w:szCs w:val="28"/>
          <w:highlight w:val="none"/>
          <w:u w:val="none"/>
          <w:lang w:val="en-US" w:eastAsia="zh-CN"/>
        </w:rPr>
        <w:t>表1-1 专项资金分配情况表</w:t>
      </w:r>
    </w:p>
    <w:tbl>
      <w:tblPr>
        <w:tblStyle w:val="16"/>
        <w:tblW w:w="8229" w:type="dxa"/>
        <w:tblInd w:w="425" w:type="dxa"/>
        <w:tblLayout w:type="autofit"/>
        <w:tblCellMar>
          <w:top w:w="0" w:type="dxa"/>
          <w:left w:w="108" w:type="dxa"/>
          <w:bottom w:w="0" w:type="dxa"/>
          <w:right w:w="108" w:type="dxa"/>
        </w:tblCellMar>
      </w:tblPr>
      <w:tblGrid>
        <w:gridCol w:w="1436"/>
        <w:gridCol w:w="2493"/>
        <w:gridCol w:w="4300"/>
      </w:tblGrid>
      <w:tr>
        <w:tblPrEx>
          <w:tblCellMar>
            <w:top w:w="0" w:type="dxa"/>
            <w:left w:w="108" w:type="dxa"/>
            <w:bottom w:w="0" w:type="dxa"/>
            <w:right w:w="108" w:type="dxa"/>
          </w:tblCellMar>
        </w:tblPrEx>
        <w:trPr>
          <w:trHeight w:val="482" w:hRule="atLeast"/>
          <w:tblHeader/>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bCs/>
                <w:color w:val="auto"/>
                <w:sz w:val="24"/>
                <w:highlight w:val="none"/>
                <w:u w:val="none"/>
              </w:rPr>
            </w:pPr>
            <w:r>
              <w:rPr>
                <w:rFonts w:hint="eastAsia" w:ascii="仿宋_GB2312" w:hAnsi="仿宋_GB2312" w:eastAsia="仿宋_GB2312" w:cs="仿宋_GB2312"/>
                <w:b/>
                <w:bCs/>
                <w:color w:val="auto"/>
                <w:kern w:val="0"/>
                <w:sz w:val="24"/>
                <w:highlight w:val="none"/>
                <w:u w:val="none"/>
                <w:lang w:bidi="ar"/>
              </w:rPr>
              <w:t>序号</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bCs/>
                <w:color w:val="auto"/>
                <w:sz w:val="24"/>
                <w:highlight w:val="none"/>
                <w:u w:val="none"/>
              </w:rPr>
            </w:pPr>
            <w:r>
              <w:rPr>
                <w:rFonts w:hint="eastAsia" w:ascii="仿宋_GB2312" w:hAnsi="仿宋_GB2312" w:eastAsia="仿宋_GB2312" w:cs="仿宋_GB2312"/>
                <w:b/>
                <w:bCs/>
                <w:color w:val="auto"/>
                <w:kern w:val="0"/>
                <w:sz w:val="24"/>
                <w:highlight w:val="none"/>
                <w:u w:val="none"/>
                <w:lang w:bidi="ar"/>
              </w:rPr>
              <w:t>地市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bCs/>
                <w:color w:val="auto"/>
                <w:sz w:val="24"/>
                <w:highlight w:val="none"/>
                <w:u w:val="none"/>
                <w:lang w:eastAsia="zh-CN"/>
              </w:rPr>
            </w:pPr>
            <w:r>
              <w:rPr>
                <w:rFonts w:hint="eastAsia" w:ascii="仿宋_GB2312" w:hAnsi="仿宋_GB2312" w:eastAsia="仿宋_GB2312" w:cs="仿宋_GB2312"/>
                <w:b/>
                <w:bCs/>
                <w:color w:val="auto"/>
                <w:kern w:val="0"/>
                <w:sz w:val="24"/>
                <w:highlight w:val="none"/>
                <w:u w:val="none"/>
                <w:lang w:bidi="ar"/>
              </w:rPr>
              <w:t>合计</w:t>
            </w:r>
            <w:r>
              <w:rPr>
                <w:rFonts w:hint="eastAsia" w:ascii="仿宋_GB2312" w:hAnsi="仿宋_GB2312" w:eastAsia="仿宋_GB2312" w:cs="仿宋_GB2312"/>
                <w:b/>
                <w:bCs/>
                <w:color w:val="auto"/>
                <w:kern w:val="0"/>
                <w:sz w:val="24"/>
                <w:highlight w:val="none"/>
                <w:u w:val="none"/>
                <w:lang w:eastAsia="zh-CN" w:bidi="ar"/>
              </w:rPr>
              <w:t>（</w:t>
            </w:r>
            <w:r>
              <w:rPr>
                <w:rFonts w:hint="eastAsia" w:ascii="仿宋_GB2312" w:hAnsi="仿宋_GB2312" w:eastAsia="仿宋_GB2312" w:cs="仿宋_GB2312"/>
                <w:b/>
                <w:bCs/>
                <w:color w:val="auto"/>
                <w:kern w:val="0"/>
                <w:sz w:val="24"/>
                <w:highlight w:val="none"/>
                <w:u w:val="none"/>
                <w:lang w:val="en-US" w:eastAsia="zh-CN" w:bidi="ar"/>
              </w:rPr>
              <w:t>万元</w:t>
            </w:r>
            <w:r>
              <w:rPr>
                <w:rFonts w:hint="eastAsia" w:ascii="仿宋_GB2312" w:hAnsi="仿宋_GB2312" w:eastAsia="仿宋_GB2312" w:cs="仿宋_GB2312"/>
                <w:b/>
                <w:bCs/>
                <w:color w:val="auto"/>
                <w:kern w:val="0"/>
                <w:sz w:val="24"/>
                <w:highlight w:val="none"/>
                <w:u w:val="none"/>
                <w:lang w:eastAsia="zh-CN" w:bidi="ar"/>
              </w:rPr>
              <w:t>）</w:t>
            </w:r>
          </w:p>
        </w:tc>
      </w:tr>
      <w:tr>
        <w:tblPrEx>
          <w:tblCellMar>
            <w:top w:w="0" w:type="dxa"/>
            <w:left w:w="108" w:type="dxa"/>
            <w:bottom w:w="0" w:type="dxa"/>
            <w:right w:w="108" w:type="dxa"/>
          </w:tblCellMar>
        </w:tblPrEx>
        <w:trPr>
          <w:trHeight w:val="400" w:hRule="atLeast"/>
        </w:trPr>
        <w:tc>
          <w:tcPr>
            <w:tcW w:w="39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b/>
                <w:bCs/>
                <w:color w:val="auto"/>
                <w:sz w:val="24"/>
                <w:highlight w:val="none"/>
                <w:u w:val="none"/>
              </w:rPr>
            </w:pPr>
            <w:r>
              <w:rPr>
                <w:rFonts w:hint="eastAsia" w:ascii="仿宋_GB2312" w:hAnsi="仿宋_GB2312" w:eastAsia="仿宋_GB2312" w:cs="仿宋_GB2312"/>
                <w:b/>
                <w:bCs/>
                <w:color w:val="auto"/>
                <w:kern w:val="0"/>
                <w:sz w:val="24"/>
                <w:highlight w:val="none"/>
                <w:u w:val="none"/>
                <w:lang w:bidi="ar"/>
              </w:rPr>
              <w:t>合计</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b/>
                <w:bCs/>
                <w:color w:val="auto"/>
                <w:sz w:val="24"/>
                <w:highlight w:val="none"/>
                <w:u w:val="none"/>
                <w:lang w:val="en-US" w:eastAsia="zh-CN"/>
              </w:rPr>
            </w:pPr>
            <w:r>
              <w:rPr>
                <w:rFonts w:hint="eastAsia" w:ascii="仿宋_GB2312" w:hAnsi="仿宋_GB2312" w:eastAsia="仿宋_GB2312" w:cs="仿宋_GB2312"/>
                <w:b/>
                <w:bCs/>
                <w:color w:val="auto"/>
                <w:kern w:val="0"/>
                <w:sz w:val="24"/>
                <w:highlight w:val="none"/>
                <w:u w:val="none"/>
                <w:lang w:val="en-US" w:eastAsia="zh-CN" w:bidi="ar"/>
              </w:rPr>
              <w:t>515</w:t>
            </w:r>
            <w:r>
              <w:rPr>
                <w:rFonts w:hint="eastAsia" w:ascii="仿宋_GB2312" w:hAnsi="仿宋_GB2312" w:eastAsia="仿宋_GB2312" w:cs="仿宋_GB2312"/>
                <w:b/>
                <w:bCs/>
                <w:color w:val="auto"/>
                <w:kern w:val="0"/>
                <w:sz w:val="24"/>
                <w:highlight w:val="none"/>
                <w:u w:val="none"/>
                <w:lang w:bidi="ar"/>
              </w:rPr>
              <w:t>0</w:t>
            </w:r>
            <w:r>
              <w:rPr>
                <w:rFonts w:hint="eastAsia" w:ascii="仿宋_GB2312" w:hAnsi="仿宋_GB2312" w:eastAsia="仿宋_GB2312" w:cs="仿宋_GB2312"/>
                <w:b/>
                <w:bCs/>
                <w:color w:val="auto"/>
                <w:kern w:val="0"/>
                <w:sz w:val="24"/>
                <w:highlight w:val="none"/>
                <w:u w:val="none"/>
                <w:lang w:val="en-US" w:eastAsia="zh-CN" w:bidi="ar"/>
              </w:rPr>
              <w:t>.00</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汕头市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190.16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2</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韶关市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133.66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3</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河源市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155.75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4</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梅州市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173.52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5</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惠州市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147.25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6</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汕尾市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188.23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7</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江门市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141.84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8</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阳江市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167.23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9</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湛江市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214.15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10</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茂名市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219.55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11</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肇庆市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167.55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12</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清远市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154.21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13</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潮州市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183.95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14</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揭阳市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220.50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15</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云浮市</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167.45 </w:t>
            </w:r>
          </w:p>
        </w:tc>
      </w:tr>
      <w:tr>
        <w:tblPrEx>
          <w:tblCellMar>
            <w:top w:w="0" w:type="dxa"/>
            <w:left w:w="108" w:type="dxa"/>
            <w:bottom w:w="0" w:type="dxa"/>
            <w:right w:w="108" w:type="dxa"/>
          </w:tblCellMar>
        </w:tblPrEx>
        <w:trPr>
          <w:trHeight w:val="400" w:hRule="atLeast"/>
        </w:trPr>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color w:val="auto"/>
                <w:kern w:val="0"/>
                <w:sz w:val="24"/>
                <w:highlight w:val="none"/>
                <w:u w:val="none"/>
                <w:lang w:bidi="ar"/>
              </w:rPr>
              <w:t>16</w:t>
            </w:r>
          </w:p>
        </w:tc>
        <w:tc>
          <w:tcPr>
            <w:tcW w:w="24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auto"/>
                <w:sz w:val="24"/>
                <w:highlight w:val="none"/>
                <w:u w:val="none"/>
                <w:lang w:eastAsia="zh-CN"/>
              </w:rPr>
            </w:pPr>
            <w:r>
              <w:rPr>
                <w:rFonts w:hint="eastAsia" w:ascii="仿宋_GB2312" w:hAnsi="仿宋_GB2312" w:eastAsia="仿宋_GB2312" w:cs="仿宋_GB2312"/>
                <w:color w:val="auto"/>
                <w:kern w:val="0"/>
                <w:sz w:val="24"/>
                <w:highlight w:val="none"/>
                <w:u w:val="none"/>
                <w:lang w:val="en-US" w:eastAsia="zh-CN" w:bidi="ar"/>
              </w:rPr>
              <w:t>省本级</w:t>
            </w:r>
          </w:p>
        </w:tc>
        <w:tc>
          <w:tcPr>
            <w:tcW w:w="43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color w:val="auto"/>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r>
    </w:tbl>
    <w:p>
      <w:pPr>
        <w:pStyle w:val="3"/>
        <w:spacing w:before="0" w:after="0" w:line="360" w:lineRule="auto"/>
        <w:ind w:firstLine="421" w:firstLineChars="200"/>
        <w:rPr>
          <w:rFonts w:hint="eastAsia" w:ascii="Calibri" w:hAnsi="宋体"/>
          <w:color w:val="auto"/>
          <w:sz w:val="21"/>
          <w:szCs w:val="21"/>
          <w:highlight w:val="none"/>
          <w:u w:val="none"/>
        </w:rPr>
      </w:pPr>
      <w:bookmarkStart w:id="18" w:name="_Toc18227"/>
    </w:p>
    <w:p>
      <w:pPr>
        <w:pStyle w:val="3"/>
        <w:spacing w:before="0" w:after="0" w:line="360" w:lineRule="auto"/>
        <w:ind w:firstLine="642" w:firstLineChars="200"/>
        <w:rPr>
          <w:rFonts w:ascii="Calibri" w:hAnsi="宋体"/>
          <w:color w:val="auto"/>
          <w:highlight w:val="none"/>
          <w:u w:val="none"/>
        </w:rPr>
      </w:pPr>
      <w:r>
        <w:rPr>
          <w:rFonts w:hint="eastAsia" w:ascii="Calibri" w:hAnsi="宋体"/>
          <w:color w:val="auto"/>
          <w:highlight w:val="none"/>
          <w:u w:val="none"/>
        </w:rPr>
        <w:t>（三）资金主要用途和实施程序</w:t>
      </w:r>
      <w:bookmarkEnd w:id="18"/>
    </w:p>
    <w:p>
      <w:pPr>
        <w:widowControl/>
        <w:ind w:firstLine="640" w:firstLineChars="200"/>
        <w:jc w:val="left"/>
        <w:rPr>
          <w:rFonts w:hint="eastAsia" w:ascii="仿宋_GB2312" w:hAnsi="仿宋_GB2312" w:eastAsia="仿宋_GB2312" w:cs="仿宋_GB2312"/>
          <w:color w:val="auto"/>
          <w:sz w:val="32"/>
          <w:szCs w:val="32"/>
          <w:highlight w:val="none"/>
          <w:u w:val="none"/>
        </w:rPr>
      </w:pPr>
      <w:r>
        <w:rPr>
          <w:rFonts w:hint="eastAsia" w:ascii="仿宋_GB2312" w:hAnsi="仿宋_GB2312" w:eastAsia="仿宋_GB2312" w:cs="仿宋_GB2312"/>
          <w:color w:val="auto"/>
          <w:sz w:val="32"/>
          <w:szCs w:val="32"/>
          <w:highlight w:val="none"/>
          <w:u w:val="none"/>
        </w:rPr>
        <w:t>专项资金主要</w:t>
      </w:r>
      <w:r>
        <w:rPr>
          <w:rFonts w:hint="eastAsia" w:ascii="仿宋_GB2312" w:hAnsi="仿宋_GB2312" w:eastAsia="仿宋_GB2312" w:cs="仿宋_GB2312"/>
          <w:color w:val="auto"/>
          <w:sz w:val="32"/>
          <w:szCs w:val="32"/>
          <w:highlight w:val="none"/>
          <w:u w:val="none"/>
          <w:lang w:val="en-US" w:eastAsia="zh-CN"/>
        </w:rPr>
        <w:t>用途：</w:t>
      </w:r>
      <w:r>
        <w:rPr>
          <w:rFonts w:hint="eastAsia" w:ascii="仿宋_GB2312" w:hAnsi="仿宋_GB2312" w:eastAsia="仿宋_GB2312" w:cs="仿宋_GB2312"/>
          <w:b/>
          <w:bCs/>
          <w:color w:val="auto"/>
          <w:sz w:val="32"/>
          <w:szCs w:val="32"/>
          <w:highlight w:val="none"/>
          <w:u w:val="none"/>
          <w:lang w:val="en-US" w:eastAsia="zh-CN"/>
        </w:rPr>
        <w:t>一是</w:t>
      </w:r>
      <w:r>
        <w:rPr>
          <w:rFonts w:hint="eastAsia" w:ascii="仿宋_GB2312" w:hAnsi="仿宋_GB2312" w:eastAsia="仿宋_GB2312" w:cs="仿宋_GB2312"/>
          <w:color w:val="auto"/>
          <w:sz w:val="32"/>
          <w:szCs w:val="32"/>
          <w:highlight w:val="none"/>
          <w:u w:val="none"/>
        </w:rPr>
        <w:t>推动15个地市开展地下燃气管道普查及隐患整治工作，市县行业主管部门组织对辖区燃气场站及餐饮用户等进行常态化安全隐患排查巡查，提升地市应急处置能力，提升全省城镇燃气安全水平</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b/>
          <w:bCs/>
          <w:color w:val="auto"/>
          <w:sz w:val="32"/>
          <w:szCs w:val="32"/>
          <w:highlight w:val="none"/>
          <w:u w:val="none"/>
          <w:lang w:val="en-US" w:eastAsia="zh-CN"/>
        </w:rPr>
        <w:t>二是</w:t>
      </w:r>
      <w:r>
        <w:rPr>
          <w:rFonts w:hint="eastAsia" w:ascii="仿宋_GB2312" w:hAnsi="仿宋_GB2312" w:eastAsia="仿宋_GB2312" w:cs="仿宋_GB2312"/>
          <w:color w:val="auto"/>
          <w:sz w:val="32"/>
          <w:szCs w:val="32"/>
          <w:highlight w:val="none"/>
          <w:u w:val="none"/>
        </w:rPr>
        <w:t>用于城市体检技术咨询服务、省级统筹开展第三方城市体检评估和社会满意度调查，以及全省历史文化保护对象及城镇老旧小区改造等重点项目日常巡查及评估工作；</w:t>
      </w:r>
      <w:r>
        <w:rPr>
          <w:rFonts w:hint="eastAsia" w:ascii="仿宋_GB2312" w:hAnsi="仿宋_GB2312" w:eastAsia="仿宋_GB2312" w:cs="仿宋_GB2312"/>
          <w:b/>
          <w:bCs/>
          <w:color w:val="auto"/>
          <w:sz w:val="32"/>
          <w:szCs w:val="32"/>
          <w:highlight w:val="none"/>
          <w:u w:val="none"/>
          <w:lang w:val="en-US" w:eastAsia="zh-CN"/>
        </w:rPr>
        <w:t>三是</w:t>
      </w:r>
      <w:r>
        <w:rPr>
          <w:rFonts w:hint="eastAsia" w:ascii="仿宋_GB2312" w:hAnsi="仿宋_GB2312" w:eastAsia="仿宋_GB2312" w:cs="仿宋_GB2312"/>
          <w:color w:val="auto"/>
          <w:sz w:val="32"/>
          <w:szCs w:val="32"/>
          <w:highlight w:val="none"/>
          <w:u w:val="none"/>
        </w:rPr>
        <w:t>用于省政务管理决策系统住房和城乡建设专题业务运营项目、省房屋建筑和市政基础设施工程设计文件管理系统开发（二期）项目、广东省城市运行管理服务平台项目（含城市体检系统、）、省住房城乡建设厅地下市政基础设施基础信息平台开发和运营（一期）项目、“一网统管”住建专题（二期）项目；</w:t>
      </w:r>
      <w:r>
        <w:rPr>
          <w:rFonts w:hint="eastAsia" w:ascii="仿宋_GB2312" w:hAnsi="仿宋_GB2312" w:eastAsia="仿宋_GB2312" w:cs="仿宋_GB2312"/>
          <w:b/>
          <w:bCs/>
          <w:color w:val="auto"/>
          <w:sz w:val="32"/>
          <w:szCs w:val="32"/>
          <w:highlight w:val="none"/>
          <w:u w:val="none"/>
          <w:lang w:val="en-US" w:eastAsia="zh-CN"/>
        </w:rPr>
        <w:t>四是</w:t>
      </w:r>
      <w:r>
        <w:rPr>
          <w:rFonts w:hint="eastAsia" w:ascii="仿宋_GB2312" w:hAnsi="仿宋_GB2312" w:eastAsia="仿宋_GB2312" w:cs="仿宋_GB2312"/>
          <w:color w:val="auto"/>
          <w:sz w:val="32"/>
          <w:szCs w:val="32"/>
          <w:highlight w:val="none"/>
          <w:u w:val="none"/>
        </w:rPr>
        <w:t>用于开展城镇燃气安全评估，省级智慧燃气平台建设，燃气安全用气培训宣传教育、督查督导等，其中省级工作经费用于燃气安全用气培训宣传教育、督查督导及课题研究</w:t>
      </w:r>
      <w:r>
        <w:rPr>
          <w:rFonts w:hint="eastAsia" w:ascii="仿宋_GB2312" w:hAnsi="仿宋_GB2312" w:eastAsia="仿宋_GB2312" w:cs="仿宋_GB2312"/>
          <w:color w:val="auto"/>
          <w:sz w:val="32"/>
          <w:szCs w:val="32"/>
          <w:highlight w:val="none"/>
          <w:u w:val="none"/>
          <w:lang w:val="en-US" w:eastAsia="zh-CN"/>
        </w:rPr>
        <w:t>等。</w:t>
      </w:r>
    </w:p>
    <w:p>
      <w:pPr>
        <w:widowControl/>
        <w:ind w:firstLine="640" w:firstLineChars="200"/>
        <w:jc w:val="left"/>
        <w:rPr>
          <w:rFonts w:ascii="黑体" w:hAnsi="宋体" w:eastAsia="黑体" w:cs="黑体"/>
          <w:color w:val="auto"/>
          <w:kern w:val="0"/>
          <w:sz w:val="31"/>
          <w:szCs w:val="31"/>
          <w:highlight w:val="none"/>
          <w:u w:val="none"/>
          <w:lang w:bidi="ar"/>
        </w:rPr>
      </w:pPr>
      <w:r>
        <w:rPr>
          <w:rFonts w:hint="eastAsia" w:ascii="仿宋_GB2312" w:hAnsi="仿宋_GB2312" w:eastAsia="仿宋_GB2312" w:cs="仿宋_GB2312"/>
          <w:color w:val="auto"/>
          <w:sz w:val="32"/>
          <w:szCs w:val="32"/>
          <w:highlight w:val="none"/>
          <w:u w:val="none"/>
        </w:rPr>
        <w:t>省财政厅下达预算资金后，</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广东省住房和城乡建设厅关于提前下达2023年主管专项资金（城镇燃气安全隐患排查治理项目）任务清单的通知</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向有关地市下达任务清单。按照省财政厅下达的资金预算和我厅下达的任务清单，项目由有关市县</w:t>
      </w:r>
      <w:r>
        <w:rPr>
          <w:rFonts w:hint="eastAsia" w:ascii="Times New Roman" w:hAnsi="Times New Roman" w:eastAsia="仿宋_GB2312" w:cs="楷体_GB2312"/>
          <w:color w:val="auto"/>
          <w:sz w:val="32"/>
          <w:szCs w:val="36"/>
          <w:highlight w:val="none"/>
          <w:u w:val="none"/>
        </w:rPr>
        <w:t>住房城乡建设部门组织实施（或主要由市县级住房城乡建设部门牵头、城市综合管理部门配合组织实施）。</w:t>
      </w:r>
      <w:r>
        <w:rPr>
          <w:rFonts w:hint="eastAsia" w:ascii="仿宋_GB2312" w:hAnsi="仿宋_GB2312" w:eastAsia="仿宋_GB2312" w:cs="仿宋_GB2312"/>
          <w:color w:val="auto"/>
          <w:sz w:val="32"/>
          <w:szCs w:val="32"/>
          <w:highlight w:val="none"/>
          <w:u w:val="none"/>
        </w:rPr>
        <w:t>省本级项目由省</w:t>
      </w:r>
      <w:r>
        <w:rPr>
          <w:rFonts w:hint="eastAsia" w:ascii="Times New Roman" w:hAnsi="Times New Roman" w:eastAsia="仿宋_GB2312" w:cs="楷体_GB2312"/>
          <w:color w:val="auto"/>
          <w:sz w:val="32"/>
          <w:szCs w:val="36"/>
          <w:highlight w:val="none"/>
          <w:u w:val="none"/>
        </w:rPr>
        <w:t>住房城乡建设厅组织实施。</w:t>
      </w:r>
    </w:p>
    <w:p>
      <w:pPr>
        <w:pStyle w:val="3"/>
        <w:spacing w:before="0" w:after="0" w:line="360" w:lineRule="auto"/>
        <w:ind w:firstLine="642" w:firstLineChars="200"/>
        <w:rPr>
          <w:rFonts w:ascii="Calibri" w:hAnsi="宋体"/>
          <w:color w:val="auto"/>
          <w:highlight w:val="none"/>
          <w:u w:val="none"/>
        </w:rPr>
      </w:pPr>
      <w:bookmarkStart w:id="19" w:name="_Toc7070"/>
      <w:r>
        <w:rPr>
          <w:rFonts w:hint="eastAsia" w:ascii="Calibri" w:hAnsi="宋体"/>
          <w:color w:val="auto"/>
          <w:highlight w:val="none"/>
          <w:u w:val="none"/>
        </w:rPr>
        <w:t>（四）绩效目标</w:t>
      </w:r>
      <w:bookmarkEnd w:id="19"/>
    </w:p>
    <w:p>
      <w:pPr>
        <w:widowControl/>
        <w:ind w:firstLine="640" w:firstLineChars="200"/>
        <w:jc w:val="left"/>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rPr>
        <w:t>城市体检方面，到2023年底，城市体检工作制度机制相对完善，发现问题、分析问题、解决问题工作闭环得到强化，城市建设管理问题进一步得到解决</w:t>
      </w:r>
      <w:r>
        <w:rPr>
          <w:rFonts w:hint="eastAsia" w:ascii="仿宋_GB2312" w:hAnsi="仿宋_GB2312" w:eastAsia="仿宋_GB2312" w:cs="仿宋_GB2312"/>
          <w:color w:val="auto"/>
          <w:sz w:val="32"/>
          <w:szCs w:val="32"/>
          <w:highlight w:val="none"/>
          <w:u w:val="none"/>
          <w:lang w:eastAsia="zh-CN"/>
        </w:rPr>
        <w:t>。</w:t>
      </w:r>
    </w:p>
    <w:p>
      <w:pPr>
        <w:widowControl/>
        <w:ind w:firstLine="640" w:firstLineChars="200"/>
        <w:jc w:val="left"/>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rPr>
        <w:t>信息化建设方面，一是基本完成城市地下市政基础设施普查，摸清底数，掌握存在的隐患风险点并限期消除，地级及以上城市建立和完善综合管理信息平台。二是省房屋建筑和市政基础设施工程设计文件管理系统开发（二期）项目系统开发进度达到40%以上，系统运行保持稳定。纳入系统监管的设计文件数量逐年增加，在线监管效率不断提高，系统统计分析更加精准，支持开展BIM技术审查试点。三是基本建成城市运行管理服务平台，汇聚共享相关数据资源，加强对城市运行管理服务状况的实时监测、动态分析、统筹协调、指挥监督和综合评价；四是升级数字工改、数字建造及数字住房子专题，新增数字城建、数字城管等子专题，汇聚全省工改、建造、住房、城建、城管等住建行业业务监管数据，通过数据提取、加工、处理，优化整合各类数据资源，构筑住房城乡建设专题各类指标体系和决策分析数据</w:t>
      </w:r>
      <w:r>
        <w:rPr>
          <w:rFonts w:hint="eastAsia" w:ascii="仿宋_GB2312" w:hAnsi="仿宋_GB2312" w:eastAsia="仿宋_GB2312" w:cs="仿宋_GB2312"/>
          <w:color w:val="auto"/>
          <w:sz w:val="32"/>
          <w:szCs w:val="32"/>
          <w:highlight w:val="none"/>
          <w:u w:val="none"/>
          <w:lang w:eastAsia="zh-CN"/>
        </w:rPr>
        <w:t>。</w:t>
      </w:r>
    </w:p>
    <w:p>
      <w:pPr>
        <w:widowControl/>
        <w:ind w:firstLine="640" w:firstLineChars="200"/>
        <w:jc w:val="left"/>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rPr>
        <w:t>城镇燃气安全隐患排查治理方面，一是用于补助</w:t>
      </w:r>
      <w:r>
        <w:rPr>
          <w:rFonts w:hint="eastAsia" w:ascii="仿宋_GB2312" w:hAnsi="仿宋_GB2312" w:eastAsia="仿宋_GB2312" w:cs="仿宋_GB2312"/>
          <w:color w:val="auto"/>
          <w:sz w:val="32"/>
          <w:szCs w:val="32"/>
          <w:highlight w:val="none"/>
          <w:u w:val="none"/>
          <w:lang w:val="en-US" w:eastAsia="zh-CN"/>
        </w:rPr>
        <w:t>100</w:t>
      </w:r>
      <w:r>
        <w:rPr>
          <w:rFonts w:hint="eastAsia" w:ascii="仿宋_GB2312" w:hAnsi="仿宋_GB2312" w:eastAsia="仿宋_GB2312" w:cs="仿宋_GB2312"/>
          <w:color w:val="auto"/>
          <w:sz w:val="32"/>
          <w:szCs w:val="32"/>
          <w:highlight w:val="none"/>
          <w:u w:val="none"/>
        </w:rPr>
        <w:t>万户居民用户进行橡胶软管的更换，从而降低燃气用户端事故风险。二是安排通过奖补统筹用于开展地下燃气管道普查及隐患整治，燃气场站及餐饮用户安全隐患排查巡查，以及提升城市应急处理能力，并且全年需对辖区内全部燃气场站进行至少4次的安全隐患排查巡查，从而进一步巩固全省城镇燃气安全排查整治成效，提升全省城镇燃气安全水平</w:t>
      </w:r>
      <w:r>
        <w:rPr>
          <w:rFonts w:hint="eastAsia" w:ascii="仿宋_GB2312" w:hAnsi="仿宋_GB2312" w:eastAsia="仿宋_GB2312" w:cs="仿宋_GB2312"/>
          <w:color w:val="auto"/>
          <w:sz w:val="32"/>
          <w:szCs w:val="32"/>
          <w:highlight w:val="none"/>
          <w:u w:val="none"/>
          <w:lang w:eastAsia="zh-CN"/>
        </w:rPr>
        <w:t>。</w:t>
      </w:r>
    </w:p>
    <w:p>
      <w:pPr>
        <w:widowControl/>
        <w:ind w:firstLine="640" w:firstLineChars="200"/>
        <w:jc w:val="left"/>
        <w:rPr>
          <w:color w:val="auto"/>
          <w:highlight w:val="none"/>
          <w:u w:val="none"/>
        </w:rPr>
      </w:pPr>
      <w:r>
        <w:rPr>
          <w:rFonts w:hint="eastAsia" w:ascii="仿宋_GB2312" w:hAnsi="仿宋_GB2312" w:eastAsia="仿宋_GB2312" w:cs="仿宋_GB2312"/>
          <w:color w:val="auto"/>
          <w:sz w:val="32"/>
          <w:szCs w:val="32"/>
          <w:highlight w:val="none"/>
          <w:u w:val="none"/>
        </w:rPr>
        <w:t>绩效目标和绩效指标情况详见</w:t>
      </w:r>
      <w:r>
        <w:rPr>
          <w:rFonts w:hint="eastAsia" w:ascii="仿宋_GB2312" w:hAnsi="仿宋_GB2312" w:eastAsia="仿宋_GB2312" w:cs="仿宋_GB2312"/>
          <w:color w:val="auto"/>
          <w:sz w:val="32"/>
          <w:szCs w:val="32"/>
          <w:highlight w:val="none"/>
          <w:u w:val="none"/>
          <w:lang w:val="en-US" w:eastAsia="zh-CN"/>
        </w:rPr>
        <w:t>附件1</w:t>
      </w:r>
      <w:r>
        <w:rPr>
          <w:rFonts w:hint="eastAsia" w:ascii="仿宋_GB2312" w:hAnsi="仿宋_GB2312" w:eastAsia="仿宋_GB2312" w:cs="仿宋_GB2312"/>
          <w:color w:val="auto"/>
          <w:sz w:val="32"/>
          <w:szCs w:val="32"/>
          <w:highlight w:val="none"/>
          <w:u w:val="none"/>
        </w:rPr>
        <w:t>。</w:t>
      </w:r>
      <w:bookmarkStart w:id="20" w:name="_Toc20605"/>
      <w:bookmarkStart w:id="21" w:name="_Toc139976780"/>
      <w:bookmarkStart w:id="22" w:name="_Toc1544"/>
      <w:bookmarkStart w:id="23" w:name="_Toc13062"/>
    </w:p>
    <w:p>
      <w:pPr>
        <w:snapToGrid w:val="0"/>
        <w:spacing w:line="360" w:lineRule="auto"/>
        <w:ind w:firstLine="640" w:firstLineChars="200"/>
        <w:outlineLvl w:val="0"/>
        <w:rPr>
          <w:rFonts w:ascii="黑体" w:eastAsia="黑体"/>
          <w:color w:val="auto"/>
          <w:sz w:val="32"/>
          <w:szCs w:val="32"/>
          <w:highlight w:val="none"/>
          <w:u w:val="none"/>
        </w:rPr>
      </w:pPr>
      <w:bookmarkStart w:id="24" w:name="_Toc17850"/>
      <w:r>
        <w:rPr>
          <w:rFonts w:hint="eastAsia" w:ascii="黑体" w:eastAsia="黑体"/>
          <w:color w:val="auto"/>
          <w:sz w:val="32"/>
          <w:szCs w:val="32"/>
          <w:highlight w:val="none"/>
          <w:u w:val="none"/>
        </w:rPr>
        <w:t>二、自评情况</w:t>
      </w:r>
      <w:bookmarkEnd w:id="20"/>
      <w:bookmarkEnd w:id="21"/>
      <w:bookmarkEnd w:id="22"/>
      <w:bookmarkEnd w:id="23"/>
      <w:bookmarkEnd w:id="24"/>
    </w:p>
    <w:p>
      <w:pPr>
        <w:pStyle w:val="3"/>
        <w:spacing w:before="0" w:after="0" w:line="360" w:lineRule="auto"/>
        <w:ind w:firstLine="642" w:firstLineChars="200"/>
        <w:rPr>
          <w:rFonts w:ascii="Calibri" w:hAnsi="宋体"/>
          <w:color w:val="auto"/>
          <w:highlight w:val="none"/>
          <w:u w:val="none"/>
        </w:rPr>
      </w:pPr>
      <w:bookmarkStart w:id="25" w:name="_Toc463"/>
      <w:bookmarkStart w:id="26" w:name="_Toc139976781"/>
      <w:bookmarkStart w:id="27" w:name="_Toc17885"/>
      <w:bookmarkStart w:id="28" w:name="_Toc13371"/>
      <w:bookmarkStart w:id="29" w:name="_Toc18107"/>
      <w:r>
        <w:rPr>
          <w:rFonts w:hint="eastAsia" w:ascii="Calibri" w:hAnsi="宋体"/>
          <w:color w:val="auto"/>
          <w:highlight w:val="none"/>
          <w:u w:val="none"/>
        </w:rPr>
        <w:t>（一）自评</w:t>
      </w:r>
      <w:bookmarkEnd w:id="25"/>
      <w:bookmarkEnd w:id="26"/>
      <w:bookmarkEnd w:id="27"/>
      <w:bookmarkEnd w:id="28"/>
      <w:r>
        <w:rPr>
          <w:rFonts w:hint="eastAsia" w:ascii="Calibri" w:hAnsi="宋体"/>
          <w:color w:val="auto"/>
          <w:highlight w:val="none"/>
          <w:u w:val="none"/>
        </w:rPr>
        <w:t>结论</w:t>
      </w:r>
      <w:bookmarkEnd w:id="29"/>
    </w:p>
    <w:p>
      <w:pPr>
        <w:pStyle w:val="12"/>
        <w:ind w:left="0" w:leftChars="0" w:firstLine="640" w:firstLineChars="200"/>
        <w:rPr>
          <w:rFonts w:hint="eastAsia"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综合分析202</w:t>
      </w:r>
      <w:r>
        <w:rPr>
          <w:rFonts w:hint="eastAsia" w:ascii="仿宋_GB2312" w:hAnsi="Times New Roman" w:eastAsia="仿宋_GB2312"/>
          <w:color w:val="auto"/>
          <w:sz w:val="32"/>
          <w:highlight w:val="none"/>
          <w:u w:val="none"/>
          <w:lang w:val="en-US" w:eastAsia="zh-CN"/>
        </w:rPr>
        <w:t>3</w:t>
      </w:r>
      <w:r>
        <w:rPr>
          <w:rFonts w:hint="eastAsia" w:ascii="仿宋_GB2312" w:hAnsi="Times New Roman" w:eastAsia="仿宋_GB2312"/>
          <w:color w:val="auto"/>
          <w:sz w:val="32"/>
          <w:highlight w:val="none"/>
          <w:u w:val="none"/>
        </w:rPr>
        <w:t>年城市管理与地下基础设施建设更新改造专项资金项目的过程、产出和效益，专项资金项目完成了预期目标任务，取得了较好成效。根据对有关地市自评材料的审核分析，综合汇总项目实施的情况，按照既定的评价指标体系，补助资金使用绩效自评分数为</w:t>
      </w:r>
      <w:r>
        <w:rPr>
          <w:rFonts w:hint="eastAsia" w:ascii="仿宋_GB2312" w:hAnsi="Times New Roman" w:eastAsia="仿宋_GB2312"/>
          <w:color w:val="auto"/>
          <w:sz w:val="32"/>
          <w:highlight w:val="none"/>
          <w:u w:val="none"/>
          <w:lang w:val="en-US" w:eastAsia="zh-CN"/>
        </w:rPr>
        <w:t>97.59</w:t>
      </w:r>
      <w:r>
        <w:rPr>
          <w:rFonts w:hint="eastAsia" w:ascii="仿宋_GB2312" w:hAnsi="Times New Roman" w:eastAsia="仿宋_GB2312"/>
          <w:color w:val="auto"/>
          <w:sz w:val="32"/>
          <w:highlight w:val="none"/>
          <w:u w:val="none"/>
        </w:rPr>
        <w:t>分，绩效等级为“</w:t>
      </w:r>
      <w:r>
        <w:rPr>
          <w:rFonts w:hint="eastAsia" w:ascii="仿宋_GB2312" w:hAnsi="Times New Roman" w:eastAsia="仿宋_GB2312"/>
          <w:color w:val="auto"/>
          <w:sz w:val="32"/>
          <w:highlight w:val="none"/>
          <w:u w:val="none"/>
          <w:lang w:val="en-US" w:eastAsia="zh-CN"/>
        </w:rPr>
        <w:t>优</w:t>
      </w:r>
      <w:r>
        <w:rPr>
          <w:rFonts w:hint="eastAsia" w:ascii="仿宋_GB2312" w:hAnsi="Times New Roman" w:eastAsia="仿宋_GB2312"/>
          <w:color w:val="auto"/>
          <w:sz w:val="32"/>
          <w:highlight w:val="none"/>
          <w:u w:val="none"/>
        </w:rPr>
        <w:t>”。一级指标自评得分情况见表2-1。</w:t>
      </w:r>
    </w:p>
    <w:p>
      <w:pPr>
        <w:keepNext/>
        <w:spacing w:line="360" w:lineRule="auto"/>
        <w:jc w:val="center"/>
        <w:rPr>
          <w:rFonts w:ascii="黑体" w:hAnsi="黑体" w:eastAsia="黑体" w:cs="黑体"/>
          <w:color w:val="auto"/>
          <w:sz w:val="28"/>
          <w:szCs w:val="28"/>
          <w:highlight w:val="none"/>
          <w:u w:val="none"/>
        </w:rPr>
      </w:pPr>
      <w:r>
        <w:rPr>
          <w:rFonts w:hint="eastAsia" w:ascii="黑体" w:hAnsi="黑体" w:eastAsia="黑体" w:cs="黑体"/>
          <w:color w:val="auto"/>
          <w:sz w:val="28"/>
          <w:szCs w:val="28"/>
          <w:highlight w:val="none"/>
          <w:u w:val="none"/>
        </w:rPr>
        <w:t>表2-1 一级指标评价得分情况表</w:t>
      </w:r>
    </w:p>
    <w:tbl>
      <w:tblPr>
        <w:tblStyle w:val="16"/>
        <w:tblW w:w="4664" w:type="pct"/>
        <w:jc w:val="center"/>
        <w:tblLayout w:type="autofit"/>
        <w:tblCellMar>
          <w:top w:w="0" w:type="dxa"/>
          <w:left w:w="108" w:type="dxa"/>
          <w:bottom w:w="0" w:type="dxa"/>
          <w:right w:w="108" w:type="dxa"/>
        </w:tblCellMar>
      </w:tblPr>
      <w:tblGrid>
        <w:gridCol w:w="3637"/>
        <w:gridCol w:w="1632"/>
        <w:gridCol w:w="1632"/>
        <w:gridCol w:w="1657"/>
      </w:tblGrid>
      <w:tr>
        <w:tblPrEx>
          <w:tblCellMar>
            <w:top w:w="0" w:type="dxa"/>
            <w:left w:w="108" w:type="dxa"/>
            <w:bottom w:w="0" w:type="dxa"/>
            <w:right w:w="108" w:type="dxa"/>
          </w:tblCellMar>
        </w:tblPrEx>
        <w:trPr>
          <w:trHeight w:val="380" w:hRule="atLeast"/>
          <w:jc w:val="center"/>
        </w:trPr>
        <w:tc>
          <w:tcPr>
            <w:tcW w:w="2124"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一级指标（评价因素）</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分值</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得分</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得分率</w:t>
            </w:r>
          </w:p>
        </w:tc>
      </w:tr>
      <w:tr>
        <w:tblPrEx>
          <w:tblCellMar>
            <w:top w:w="0" w:type="dxa"/>
            <w:left w:w="108" w:type="dxa"/>
            <w:bottom w:w="0" w:type="dxa"/>
            <w:right w:w="108" w:type="dxa"/>
          </w:tblCellMar>
        </w:tblPrEx>
        <w:trPr>
          <w:trHeight w:val="380" w:hRule="atLeast"/>
          <w:jc w:val="center"/>
        </w:trPr>
        <w:tc>
          <w:tcPr>
            <w:tcW w:w="2124"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总得分</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ascii="仿宋_GB2312" w:hAnsi="仿宋_GB2312" w:eastAsia="仿宋_GB2312" w:cs="仿宋_GB2312"/>
                <w:b/>
                <w:bCs/>
                <w:color w:val="auto"/>
                <w:sz w:val="24"/>
                <w:highlight w:val="none"/>
                <w:u w:val="none"/>
              </w:rPr>
              <w:t>100</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default" w:ascii="仿宋_GB2312" w:hAnsi="仿宋_GB2312" w:eastAsia="仿宋_GB2312" w:cs="仿宋_GB2312"/>
                <w:b/>
                <w:bCs/>
                <w:color w:val="auto"/>
                <w:sz w:val="24"/>
                <w:highlight w:val="none"/>
                <w:u w:val="none"/>
                <w:lang w:val="en-US" w:eastAsia="zh-CN"/>
              </w:rPr>
            </w:pPr>
            <w:r>
              <w:rPr>
                <w:rFonts w:hint="eastAsia" w:ascii="仿宋_GB2312" w:hAnsi="仿宋_GB2312" w:eastAsia="仿宋_GB2312" w:cs="仿宋_GB2312"/>
                <w:b/>
                <w:bCs/>
                <w:color w:val="auto"/>
                <w:sz w:val="24"/>
                <w:highlight w:val="none"/>
                <w:u w:val="none"/>
                <w:lang w:val="en-US" w:eastAsia="zh-CN"/>
              </w:rPr>
              <w:t>97.59</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b/>
                <w:bCs/>
                <w:color w:val="auto"/>
                <w:sz w:val="24"/>
                <w:highlight w:val="none"/>
                <w:u w:val="none"/>
              </w:rPr>
            </w:pPr>
            <w:r>
              <w:rPr>
                <w:rFonts w:hint="eastAsia" w:ascii="仿宋_GB2312" w:hAnsi="仿宋_GB2312" w:eastAsia="仿宋_GB2312" w:cs="仿宋_GB2312"/>
                <w:b/>
                <w:bCs/>
                <w:color w:val="auto"/>
                <w:sz w:val="24"/>
                <w:highlight w:val="none"/>
                <w:u w:val="none"/>
                <w:lang w:val="en-US" w:eastAsia="zh-CN"/>
              </w:rPr>
              <w:t>97.59%</w:t>
            </w:r>
          </w:p>
        </w:tc>
      </w:tr>
      <w:tr>
        <w:tblPrEx>
          <w:tblCellMar>
            <w:top w:w="0" w:type="dxa"/>
            <w:left w:w="108" w:type="dxa"/>
            <w:bottom w:w="0" w:type="dxa"/>
            <w:right w:w="108" w:type="dxa"/>
          </w:tblCellMar>
        </w:tblPrEx>
        <w:trPr>
          <w:trHeight w:val="380" w:hRule="atLeast"/>
          <w:jc w:val="center"/>
        </w:trPr>
        <w:tc>
          <w:tcPr>
            <w:tcW w:w="2124"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过程</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20</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default" w:ascii="仿宋_GB2312" w:hAnsi="仿宋_GB2312" w:eastAsia="仿宋_GB2312" w:cs="仿宋_GB2312"/>
                <w:color w:val="auto"/>
                <w:sz w:val="24"/>
                <w:highlight w:val="none"/>
                <w:u w:val="none"/>
                <w:lang w:val="en-US" w:eastAsia="zh-CN"/>
              </w:rPr>
            </w:pPr>
            <w:r>
              <w:rPr>
                <w:rFonts w:hint="eastAsia" w:ascii="仿宋_GB2312" w:hAnsi="仿宋_GB2312" w:eastAsia="仿宋_GB2312" w:cs="仿宋_GB2312"/>
                <w:color w:val="auto"/>
                <w:sz w:val="24"/>
                <w:highlight w:val="none"/>
                <w:u w:val="none"/>
                <w:lang w:val="en-US" w:eastAsia="zh-CN"/>
              </w:rPr>
              <w:t>17.62</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hint="eastAsia" w:ascii="仿宋_GB2312" w:hAnsi="仿宋_GB2312" w:eastAsia="仿宋_GB2312" w:cs="仿宋_GB2312"/>
                <w:color w:val="auto"/>
                <w:sz w:val="24"/>
                <w:highlight w:val="none"/>
                <w:u w:val="none"/>
                <w:lang w:val="en-US" w:eastAsia="zh-CN"/>
              </w:rPr>
              <w:t>88.10%</w:t>
            </w:r>
          </w:p>
        </w:tc>
      </w:tr>
      <w:tr>
        <w:tblPrEx>
          <w:tblCellMar>
            <w:top w:w="0" w:type="dxa"/>
            <w:left w:w="108" w:type="dxa"/>
            <w:bottom w:w="0" w:type="dxa"/>
            <w:right w:w="108" w:type="dxa"/>
          </w:tblCellMar>
        </w:tblPrEx>
        <w:trPr>
          <w:trHeight w:val="380" w:hRule="atLeast"/>
          <w:jc w:val="center"/>
        </w:trPr>
        <w:tc>
          <w:tcPr>
            <w:tcW w:w="2124"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产出</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40</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default" w:ascii="仿宋_GB2312" w:hAnsi="仿宋_GB2312" w:eastAsia="仿宋_GB2312" w:cs="仿宋_GB2312"/>
                <w:color w:val="auto"/>
                <w:sz w:val="24"/>
                <w:highlight w:val="none"/>
                <w:u w:val="none"/>
                <w:lang w:val="en-US"/>
              </w:rPr>
            </w:pPr>
            <w:r>
              <w:rPr>
                <w:rFonts w:hint="eastAsia" w:ascii="仿宋_GB2312" w:hAnsi="仿宋_GB2312" w:eastAsia="仿宋_GB2312" w:cs="仿宋_GB2312"/>
                <w:color w:val="auto"/>
                <w:sz w:val="24"/>
                <w:highlight w:val="none"/>
                <w:u w:val="none"/>
                <w:lang w:val="en-US" w:eastAsia="zh-CN"/>
              </w:rPr>
              <w:t>39.97</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hint="default" w:ascii="仿宋_GB2312" w:hAnsi="仿宋_GB2312" w:eastAsia="仿宋_GB2312" w:cs="仿宋_GB2312"/>
                <w:color w:val="auto"/>
                <w:sz w:val="24"/>
                <w:highlight w:val="none"/>
                <w:u w:val="none"/>
                <w:lang w:val="en-US"/>
              </w:rPr>
            </w:pPr>
            <w:r>
              <w:rPr>
                <w:rFonts w:hint="eastAsia" w:ascii="仿宋_GB2312" w:hAnsi="仿宋_GB2312" w:eastAsia="仿宋_GB2312" w:cs="仿宋_GB2312"/>
                <w:color w:val="auto"/>
                <w:sz w:val="24"/>
                <w:highlight w:val="none"/>
                <w:u w:val="none"/>
                <w:lang w:val="en-US" w:eastAsia="zh-CN"/>
              </w:rPr>
              <w:t>99.93%</w:t>
            </w:r>
          </w:p>
        </w:tc>
      </w:tr>
      <w:tr>
        <w:tblPrEx>
          <w:tblCellMar>
            <w:top w:w="0" w:type="dxa"/>
            <w:left w:w="108" w:type="dxa"/>
            <w:bottom w:w="0" w:type="dxa"/>
            <w:right w:w="108" w:type="dxa"/>
          </w:tblCellMar>
        </w:tblPrEx>
        <w:trPr>
          <w:trHeight w:val="401" w:hRule="atLeast"/>
          <w:jc w:val="center"/>
        </w:trPr>
        <w:tc>
          <w:tcPr>
            <w:tcW w:w="2124"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效益</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ascii="仿宋_GB2312" w:hAnsi="仿宋_GB2312" w:eastAsia="仿宋_GB2312" w:cs="仿宋_GB2312"/>
                <w:color w:val="auto"/>
                <w:sz w:val="24"/>
                <w:highlight w:val="none"/>
                <w:u w:val="none"/>
              </w:rPr>
              <w:t>40</w:t>
            </w:r>
          </w:p>
        </w:tc>
        <w:tc>
          <w:tcPr>
            <w:tcW w:w="953"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hint="eastAsia" w:ascii="仿宋_GB2312" w:hAnsi="仿宋_GB2312" w:eastAsia="仿宋_GB2312" w:cs="仿宋_GB2312"/>
                <w:color w:val="auto"/>
                <w:sz w:val="24"/>
                <w:highlight w:val="none"/>
                <w:u w:val="none"/>
                <w:lang w:val="en-US" w:eastAsia="zh-CN"/>
              </w:rPr>
              <w:t>40</w:t>
            </w:r>
          </w:p>
        </w:tc>
        <w:tc>
          <w:tcPr>
            <w:tcW w:w="968" w:type="pct"/>
            <w:tcBorders>
              <w:top w:val="single" w:color="000000" w:sz="4" w:space="0"/>
              <w:left w:val="single" w:color="000000" w:sz="4" w:space="0"/>
              <w:bottom w:val="single" w:color="000000" w:sz="4" w:space="0"/>
              <w:right w:val="single" w:color="000000" w:sz="4" w:space="0"/>
            </w:tcBorders>
            <w:noWrap/>
            <w:vAlign w:val="center"/>
          </w:tcPr>
          <w:p>
            <w:pPr>
              <w:widowControl/>
              <w:jc w:val="center"/>
              <w:rPr>
                <w:rFonts w:ascii="仿宋_GB2312" w:hAnsi="仿宋_GB2312" w:eastAsia="仿宋_GB2312" w:cs="仿宋_GB2312"/>
                <w:color w:val="auto"/>
                <w:sz w:val="24"/>
                <w:highlight w:val="none"/>
                <w:u w:val="none"/>
              </w:rPr>
            </w:pPr>
            <w:r>
              <w:rPr>
                <w:rFonts w:hint="eastAsia" w:ascii="仿宋_GB2312" w:hAnsi="仿宋_GB2312" w:eastAsia="仿宋_GB2312" w:cs="仿宋_GB2312"/>
                <w:color w:val="auto"/>
                <w:sz w:val="24"/>
                <w:highlight w:val="none"/>
                <w:u w:val="none"/>
                <w:lang w:val="en-US" w:eastAsia="zh-CN"/>
              </w:rPr>
              <w:t>100%</w:t>
            </w:r>
          </w:p>
        </w:tc>
      </w:tr>
    </w:tbl>
    <w:p>
      <w:pPr>
        <w:widowControl/>
        <w:jc w:val="center"/>
        <w:rPr>
          <w:rFonts w:ascii="仿宋_GB2312" w:hAnsi="仿宋_GB2312" w:eastAsia="仿宋_GB2312" w:cs="仿宋_GB2312"/>
          <w:color w:val="auto"/>
          <w:sz w:val="24"/>
          <w:highlight w:val="none"/>
          <w:u w:val="none"/>
        </w:rPr>
      </w:pPr>
    </w:p>
    <w:p>
      <w:pPr>
        <w:pStyle w:val="12"/>
        <w:ind w:left="0" w:leftChars="0" w:firstLine="642" w:firstLineChars="200"/>
        <w:rPr>
          <w:rFonts w:ascii="仿宋_GB2312" w:hAnsi="Times New Roman" w:eastAsia="仿宋_GB2312"/>
          <w:color w:val="auto"/>
          <w:sz w:val="32"/>
          <w:highlight w:val="none"/>
          <w:u w:val="none"/>
        </w:rPr>
      </w:pPr>
      <w:r>
        <w:rPr>
          <w:rFonts w:hint="eastAsia" w:ascii="仿宋_GB2312" w:hAnsi="Times New Roman" w:eastAsia="仿宋_GB2312"/>
          <w:b/>
          <w:bCs/>
          <w:color w:val="auto"/>
          <w:sz w:val="32"/>
          <w:highlight w:val="none"/>
          <w:u w:val="none"/>
        </w:rPr>
        <w:t>1.过程。</w:t>
      </w:r>
      <w:r>
        <w:rPr>
          <w:rFonts w:hint="eastAsia" w:ascii="仿宋_GB2312" w:hAnsi="Times New Roman" w:eastAsia="仿宋_GB2312"/>
          <w:color w:val="auto"/>
          <w:sz w:val="32"/>
          <w:highlight w:val="none"/>
          <w:u w:val="none"/>
        </w:rPr>
        <w:t>该指标主要从资金管理和事项管理两个方面考核项目资金支付情况，资金支出的规范性，项目实施的规范性和监管的有效性。指标分值20分，评价得分</w:t>
      </w:r>
      <w:r>
        <w:rPr>
          <w:rFonts w:hint="default" w:ascii="仿宋_GB2312" w:hAnsi="Times New Roman" w:eastAsia="仿宋_GB2312"/>
          <w:color w:val="auto"/>
          <w:sz w:val="32"/>
          <w:highlight w:val="none"/>
          <w:u w:val="none"/>
        </w:rPr>
        <w:t>17.62</w:t>
      </w:r>
      <w:r>
        <w:rPr>
          <w:rFonts w:hint="eastAsia" w:ascii="仿宋_GB2312" w:hAnsi="Times New Roman" w:eastAsia="仿宋_GB2312"/>
          <w:color w:val="auto"/>
          <w:sz w:val="32"/>
          <w:highlight w:val="none"/>
          <w:u w:val="none"/>
        </w:rPr>
        <w:t>分，得分率为</w:t>
      </w:r>
      <w:r>
        <w:rPr>
          <w:rFonts w:hint="default" w:ascii="仿宋_GB2312" w:hAnsi="Times New Roman" w:eastAsia="仿宋_GB2312"/>
          <w:color w:val="auto"/>
          <w:sz w:val="32"/>
          <w:highlight w:val="none"/>
          <w:u w:val="none"/>
        </w:rPr>
        <w:t>88.10</w:t>
      </w:r>
      <w:r>
        <w:rPr>
          <w:rFonts w:hint="eastAsia" w:ascii="仿宋_GB2312" w:hAnsi="Times New Roman" w:eastAsia="仿宋_GB2312"/>
          <w:color w:val="auto"/>
          <w:sz w:val="32"/>
          <w:highlight w:val="none"/>
          <w:u w:val="none"/>
        </w:rPr>
        <w:t>%。</w:t>
      </w:r>
    </w:p>
    <w:p>
      <w:pPr>
        <w:ind w:firstLine="640" w:firstLineChars="200"/>
        <w:rPr>
          <w:rFonts w:hint="eastAsia"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（1）资金管理。该指标分值12分，主要考核资金支出率。评价得分</w:t>
      </w:r>
      <w:r>
        <w:rPr>
          <w:rFonts w:hint="eastAsia" w:ascii="仿宋_GB2312" w:hAnsi="Times New Roman" w:eastAsia="仿宋_GB2312"/>
          <w:color w:val="auto"/>
          <w:sz w:val="32"/>
          <w:highlight w:val="none"/>
          <w:u w:val="none"/>
          <w:lang w:val="en-US" w:eastAsia="zh-CN"/>
        </w:rPr>
        <w:t>9.62</w:t>
      </w:r>
      <w:r>
        <w:rPr>
          <w:rFonts w:hint="eastAsia" w:ascii="仿宋_GB2312" w:hAnsi="Times New Roman" w:eastAsia="仿宋_GB2312"/>
          <w:color w:val="auto"/>
          <w:sz w:val="32"/>
          <w:highlight w:val="none"/>
          <w:u w:val="none"/>
        </w:rPr>
        <w:t>分，得分率为</w:t>
      </w:r>
      <w:r>
        <w:rPr>
          <w:rFonts w:hint="eastAsia" w:ascii="仿宋_GB2312" w:hAnsi="Times New Roman" w:eastAsia="仿宋_GB2312"/>
          <w:color w:val="auto"/>
          <w:sz w:val="32"/>
          <w:highlight w:val="none"/>
          <w:u w:val="none"/>
          <w:lang w:val="en-US" w:eastAsia="zh-CN"/>
        </w:rPr>
        <w:t>80.17</w:t>
      </w:r>
      <w:r>
        <w:rPr>
          <w:rFonts w:hint="eastAsia" w:ascii="仿宋_GB2312" w:hAnsi="Times New Roman" w:eastAsia="仿宋_GB2312"/>
          <w:color w:val="auto"/>
          <w:sz w:val="32"/>
          <w:highlight w:val="none"/>
          <w:u w:val="none"/>
        </w:rPr>
        <w:t>%。省财政下达202</w:t>
      </w:r>
      <w:r>
        <w:rPr>
          <w:rFonts w:hint="eastAsia" w:ascii="仿宋_GB2312" w:hAnsi="Times New Roman" w:eastAsia="仿宋_GB2312"/>
          <w:color w:val="auto"/>
          <w:sz w:val="32"/>
          <w:highlight w:val="none"/>
          <w:u w:val="none"/>
          <w:lang w:val="en-US" w:eastAsia="zh-CN"/>
        </w:rPr>
        <w:t>3</w:t>
      </w:r>
      <w:r>
        <w:rPr>
          <w:rFonts w:hint="eastAsia" w:ascii="仿宋_GB2312" w:hAnsi="Times New Roman" w:eastAsia="仿宋_GB2312"/>
          <w:color w:val="auto"/>
          <w:sz w:val="32"/>
          <w:highlight w:val="none"/>
          <w:u w:val="none"/>
        </w:rPr>
        <w:t>年城市体检与地下市政基础设施排查专项资金共</w:t>
      </w:r>
      <w:r>
        <w:rPr>
          <w:rFonts w:hint="eastAsia" w:ascii="仿宋_GB2312" w:hAnsi="Times New Roman" w:eastAsia="仿宋_GB2312"/>
          <w:color w:val="auto"/>
          <w:sz w:val="32"/>
          <w:highlight w:val="none"/>
          <w:u w:val="none"/>
          <w:lang w:val="en-US" w:eastAsia="zh-CN"/>
        </w:rPr>
        <w:t>5150</w:t>
      </w:r>
      <w:r>
        <w:rPr>
          <w:rFonts w:hint="eastAsia" w:ascii="仿宋_GB2312" w:hAnsi="Times New Roman" w:eastAsia="仿宋_GB2312"/>
          <w:color w:val="auto"/>
          <w:sz w:val="32"/>
          <w:highlight w:val="none"/>
          <w:u w:val="none"/>
        </w:rPr>
        <w:t>万元，截至评价基准日，共支出</w:t>
      </w:r>
      <w:r>
        <w:rPr>
          <w:rFonts w:hint="eastAsia" w:ascii="仿宋_GB2312" w:hAnsi="Times New Roman" w:eastAsia="仿宋_GB2312"/>
          <w:color w:val="auto"/>
          <w:sz w:val="32"/>
          <w:highlight w:val="none"/>
          <w:u w:val="none"/>
          <w:lang w:val="en-US" w:eastAsia="zh-CN"/>
        </w:rPr>
        <w:t>4128.15</w:t>
      </w:r>
      <w:r>
        <w:rPr>
          <w:rFonts w:hint="eastAsia" w:ascii="仿宋_GB2312" w:hAnsi="Times New Roman" w:eastAsia="仿宋_GB2312"/>
          <w:color w:val="auto"/>
          <w:sz w:val="32"/>
          <w:highlight w:val="none"/>
          <w:u w:val="none"/>
        </w:rPr>
        <w:t>万元，支出率为</w:t>
      </w:r>
      <w:r>
        <w:rPr>
          <w:rFonts w:hint="eastAsia" w:ascii="仿宋_GB2312" w:hAnsi="Times New Roman" w:eastAsia="仿宋_GB2312"/>
          <w:color w:val="auto"/>
          <w:sz w:val="32"/>
          <w:highlight w:val="none"/>
          <w:u w:val="none"/>
          <w:lang w:val="en-US" w:eastAsia="zh-CN"/>
        </w:rPr>
        <w:t>80.16</w:t>
      </w:r>
      <w:r>
        <w:rPr>
          <w:rFonts w:hint="eastAsia" w:ascii="仿宋_GB2312" w:hAnsi="Times New Roman" w:eastAsia="仿宋_GB2312"/>
          <w:color w:val="auto"/>
          <w:sz w:val="32"/>
          <w:highlight w:val="none"/>
          <w:u w:val="none"/>
        </w:rPr>
        <w:t>%。</w:t>
      </w:r>
      <w:r>
        <w:rPr>
          <w:rFonts w:hint="eastAsia" w:ascii="仿宋_GB2312" w:hAnsi="Times New Roman" w:eastAsia="仿宋_GB2312"/>
          <w:color w:val="auto"/>
          <w:sz w:val="32"/>
          <w:highlight w:val="none"/>
          <w:u w:val="none"/>
          <w:lang w:val="en-US" w:eastAsia="zh-CN"/>
        </w:rPr>
        <w:t>资金支出率未达100%的原因：</w:t>
      </w:r>
      <w:r>
        <w:rPr>
          <w:rFonts w:hint="eastAsia" w:ascii="仿宋_GB2312" w:hAnsi="Times New Roman" w:eastAsia="仿宋_GB2312"/>
          <w:color w:val="auto"/>
          <w:sz w:val="32"/>
          <w:highlight w:val="none"/>
          <w:u w:val="none"/>
        </w:rPr>
        <w:t>一是部分县（</w:t>
      </w:r>
      <w:r>
        <w:rPr>
          <w:rFonts w:hint="eastAsia" w:ascii="仿宋_GB2312" w:hAnsi="Times New Roman" w:eastAsia="仿宋_GB2312"/>
          <w:color w:val="auto"/>
          <w:sz w:val="32"/>
          <w:highlight w:val="none"/>
          <w:u w:val="none"/>
          <w:lang w:val="en-US" w:eastAsia="zh-CN"/>
        </w:rPr>
        <w:t>市、</w:t>
      </w:r>
      <w:r>
        <w:rPr>
          <w:rFonts w:hint="eastAsia" w:ascii="仿宋_GB2312" w:hAnsi="Times New Roman" w:eastAsia="仿宋_GB2312"/>
          <w:color w:val="auto"/>
          <w:sz w:val="32"/>
          <w:highlight w:val="none"/>
          <w:u w:val="none"/>
        </w:rPr>
        <w:t>区）财政资金紧张</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如河源市</w:t>
      </w:r>
      <w:r>
        <w:rPr>
          <w:rFonts w:hint="eastAsia" w:ascii="仿宋_GB2312" w:hAnsi="Times New Roman" w:eastAsia="仿宋_GB2312"/>
          <w:color w:val="auto"/>
          <w:sz w:val="32"/>
          <w:highlight w:val="none"/>
          <w:u w:val="none"/>
          <w:lang w:val="en-US" w:eastAsia="zh-CN"/>
        </w:rPr>
        <w:t>的</w:t>
      </w:r>
      <w:r>
        <w:rPr>
          <w:rFonts w:hint="eastAsia" w:ascii="仿宋_GB2312" w:hAnsi="Times New Roman" w:eastAsia="仿宋_GB2312"/>
          <w:color w:val="auto"/>
          <w:sz w:val="32"/>
          <w:highlight w:val="none"/>
          <w:u w:val="none"/>
        </w:rPr>
        <w:t>部分县（</w:t>
      </w:r>
      <w:r>
        <w:rPr>
          <w:rFonts w:hint="eastAsia" w:ascii="仿宋_GB2312" w:hAnsi="Times New Roman" w:eastAsia="仿宋_GB2312"/>
          <w:color w:val="auto"/>
          <w:sz w:val="32"/>
          <w:highlight w:val="none"/>
          <w:u w:val="none"/>
          <w:lang w:val="en-US" w:eastAsia="zh-CN"/>
        </w:rPr>
        <w:t>市、</w:t>
      </w:r>
      <w:r>
        <w:rPr>
          <w:rFonts w:hint="eastAsia" w:ascii="仿宋_GB2312" w:hAnsi="Times New Roman" w:eastAsia="仿宋_GB2312"/>
          <w:color w:val="auto"/>
          <w:sz w:val="32"/>
          <w:highlight w:val="none"/>
          <w:u w:val="none"/>
        </w:rPr>
        <w:t>区）</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，经燃气主管部门多次沟通请拨，</w:t>
      </w:r>
      <w:r>
        <w:rPr>
          <w:rFonts w:hint="eastAsia" w:ascii="仿宋_GB2312" w:hAnsi="Times New Roman" w:eastAsia="仿宋_GB2312"/>
          <w:color w:val="auto"/>
          <w:sz w:val="32"/>
          <w:highlight w:val="none"/>
          <w:u w:val="none"/>
          <w:lang w:val="en-US" w:eastAsia="zh-CN"/>
        </w:rPr>
        <w:t>截至年底资金</w:t>
      </w:r>
      <w:r>
        <w:rPr>
          <w:rFonts w:hint="eastAsia" w:ascii="仿宋_GB2312" w:hAnsi="Times New Roman" w:eastAsia="仿宋_GB2312"/>
          <w:color w:val="auto"/>
          <w:sz w:val="32"/>
          <w:highlight w:val="none"/>
          <w:u w:val="none"/>
        </w:rPr>
        <w:t>未拨付</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二是项目进度缓慢导致资金支付不理想</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如潮州市由于开展居民用户橡胶软管更换工作前期谋划不足，宣传不到位，用户配合度不高，</w:t>
      </w:r>
      <w:r>
        <w:rPr>
          <w:rFonts w:hint="eastAsia" w:ascii="仿宋_GB2312" w:hAnsi="Times New Roman" w:eastAsia="仿宋_GB2312"/>
          <w:color w:val="auto"/>
          <w:sz w:val="32"/>
          <w:highlight w:val="none"/>
          <w:u w:val="none"/>
          <w:lang w:eastAsia="zh-CN"/>
        </w:rPr>
        <w:t>工作进展</w:t>
      </w:r>
      <w:r>
        <w:rPr>
          <w:rFonts w:hint="eastAsia" w:ascii="仿宋_GB2312" w:hAnsi="Times New Roman" w:eastAsia="仿宋_GB2312"/>
          <w:color w:val="auto"/>
          <w:sz w:val="32"/>
          <w:highlight w:val="none"/>
          <w:u w:val="none"/>
        </w:rPr>
        <w:t>缓慢，加上跟踪督导力度不足以及委托第三方开展燃气安全隐患排查工作前期采购流程较长，拖延了项目实施进度，导致资金支出率不理想</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揭阳市惠来县住建局为确保燃气软管更换抽检工作质量，采取实地入户抽检方式，但由于市民配合度不高</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期间花费大量时间，资金在2023年12月底</w:t>
      </w:r>
      <w:r>
        <w:rPr>
          <w:rFonts w:hint="eastAsia" w:ascii="仿宋_GB2312" w:hAnsi="Times New Roman" w:eastAsia="仿宋_GB2312"/>
          <w:color w:val="auto"/>
          <w:sz w:val="32"/>
          <w:highlight w:val="none"/>
          <w:u w:val="none"/>
          <w:lang w:val="en-US" w:eastAsia="zh-CN"/>
        </w:rPr>
        <w:t>未</w:t>
      </w:r>
      <w:r>
        <w:rPr>
          <w:rFonts w:hint="eastAsia" w:ascii="仿宋_GB2312" w:hAnsi="Times New Roman" w:eastAsia="仿宋_GB2312"/>
          <w:color w:val="auto"/>
          <w:sz w:val="32"/>
          <w:highlight w:val="none"/>
          <w:u w:val="none"/>
        </w:rPr>
        <w:t>支出。三是部分市县支付资金的审批流程比较缓慢，财政部门拨付资金周期较长，影响支付进度。</w:t>
      </w:r>
      <w:r>
        <w:rPr>
          <w:rFonts w:hint="eastAsia" w:ascii="仿宋_GB2312" w:hAnsi="Times New Roman" w:eastAsia="仿宋_GB2312"/>
          <w:color w:val="auto"/>
          <w:sz w:val="32"/>
          <w:highlight w:val="none"/>
          <w:u w:val="none"/>
          <w:lang w:val="en-US" w:eastAsia="zh-CN"/>
        </w:rPr>
        <w:t>如</w:t>
      </w:r>
      <w:r>
        <w:rPr>
          <w:rFonts w:hint="eastAsia" w:ascii="仿宋_GB2312" w:hAnsi="Times New Roman" w:eastAsia="仿宋_GB2312"/>
          <w:color w:val="auto"/>
          <w:sz w:val="32"/>
          <w:highlight w:val="none"/>
          <w:u w:val="none"/>
        </w:rPr>
        <w:t>高州市因财政支付程序耗时较长，未能及时支付</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茂南区因财政支付程序耗时较长，财政年终结算收回额度</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四是城市管理与地下基础设施建设更新改造项目涉及面广、数据多，项目耗时较长，影响了资金支出效率。预算执行情况详见表2-2。</w:t>
      </w:r>
    </w:p>
    <w:p>
      <w:pPr>
        <w:pStyle w:val="2"/>
        <w:rPr>
          <w:rFonts w:hint="eastAsia"/>
          <w:sz w:val="11"/>
          <w:szCs w:val="11"/>
        </w:rPr>
      </w:pPr>
    </w:p>
    <w:p>
      <w:pPr>
        <w:keepNext w:val="0"/>
        <w:keepLines w:val="0"/>
        <w:pageBreakBefore w:val="0"/>
        <w:kinsoku/>
        <w:wordWrap/>
        <w:overflowPunct/>
        <w:topLinePunct w:val="0"/>
        <w:autoSpaceDE/>
        <w:autoSpaceDN/>
        <w:bidi w:val="0"/>
        <w:adjustRightInd/>
        <w:snapToGrid/>
        <w:spacing w:line="280" w:lineRule="exact"/>
        <w:jc w:val="center"/>
        <w:rPr>
          <w:rFonts w:eastAsia="黑体"/>
          <w:color w:val="auto"/>
          <w:sz w:val="28"/>
          <w:szCs w:val="28"/>
          <w:highlight w:val="none"/>
          <w:u w:val="none"/>
        </w:rPr>
      </w:pPr>
      <w:r>
        <w:rPr>
          <w:rFonts w:hint="eastAsia" w:ascii="黑体" w:hAnsi="黑体" w:eastAsia="黑体" w:cs="黑体"/>
          <w:color w:val="auto"/>
          <w:sz w:val="28"/>
          <w:szCs w:val="28"/>
          <w:highlight w:val="none"/>
          <w:u w:val="none"/>
        </w:rPr>
        <w:t xml:space="preserve">表2-2 </w:t>
      </w:r>
      <w:r>
        <w:rPr>
          <w:rFonts w:eastAsia="黑体"/>
          <w:color w:val="auto"/>
          <w:sz w:val="28"/>
          <w:szCs w:val="28"/>
          <w:highlight w:val="none"/>
          <w:u w:val="none"/>
        </w:rPr>
        <w:t>预算执行情况</w:t>
      </w:r>
    </w:p>
    <w:p>
      <w:pPr>
        <w:pStyle w:val="12"/>
        <w:keepNext w:val="0"/>
        <w:keepLines w:val="0"/>
        <w:pageBreakBefore w:val="0"/>
        <w:kinsoku/>
        <w:wordWrap/>
        <w:overflowPunct/>
        <w:topLinePunct w:val="0"/>
        <w:autoSpaceDE/>
        <w:autoSpaceDN/>
        <w:bidi w:val="0"/>
        <w:adjustRightInd/>
        <w:snapToGrid/>
        <w:spacing w:line="280" w:lineRule="exact"/>
        <w:jc w:val="right"/>
        <w:rPr>
          <w:rFonts w:ascii="仿宋_GB2312" w:hAnsi="宋体" w:eastAsia="仿宋_GB2312" w:cs="宋体"/>
          <w:color w:val="auto"/>
          <w:sz w:val="24"/>
          <w:szCs w:val="24"/>
          <w:highlight w:val="none"/>
          <w:u w:val="none"/>
        </w:rPr>
      </w:pPr>
      <w:r>
        <w:rPr>
          <w:rFonts w:hint="eastAsia" w:ascii="仿宋_GB2312" w:hAnsi="宋体" w:eastAsia="仿宋_GB2312" w:cs="宋体"/>
          <w:color w:val="auto"/>
          <w:sz w:val="24"/>
          <w:szCs w:val="24"/>
          <w:highlight w:val="none"/>
          <w:u w:val="none"/>
        </w:rPr>
        <w:t>单位：万元</w:t>
      </w:r>
    </w:p>
    <w:tbl>
      <w:tblPr>
        <w:tblStyle w:val="16"/>
        <w:tblW w:w="5067" w:type="pct"/>
        <w:tblInd w:w="0" w:type="dxa"/>
        <w:tblLayout w:type="autofit"/>
        <w:tblCellMar>
          <w:top w:w="0" w:type="dxa"/>
          <w:left w:w="108" w:type="dxa"/>
          <w:bottom w:w="0" w:type="dxa"/>
          <w:right w:w="108" w:type="dxa"/>
        </w:tblCellMar>
      </w:tblPr>
      <w:tblGrid>
        <w:gridCol w:w="1358"/>
        <w:gridCol w:w="2362"/>
        <w:gridCol w:w="1858"/>
        <w:gridCol w:w="1858"/>
        <w:gridCol w:w="1861"/>
      </w:tblGrid>
      <w:tr>
        <w:tblPrEx>
          <w:tblCellMar>
            <w:top w:w="0" w:type="dxa"/>
            <w:left w:w="108" w:type="dxa"/>
            <w:bottom w:w="0" w:type="dxa"/>
            <w:right w:w="108" w:type="dxa"/>
          </w:tblCellMar>
        </w:tblPrEx>
        <w:trPr>
          <w:trHeight w:val="458" w:hRule="atLeast"/>
          <w:tblHeader/>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序号</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地市</w:t>
            </w:r>
          </w:p>
        </w:tc>
        <w:tc>
          <w:tcPr>
            <w:tcW w:w="99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实际下达金额</w:t>
            </w:r>
          </w:p>
        </w:tc>
        <w:tc>
          <w:tcPr>
            <w:tcW w:w="999"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支出金额</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支出率</w:t>
            </w:r>
          </w:p>
        </w:tc>
      </w:tr>
      <w:tr>
        <w:tblPrEx>
          <w:tblCellMar>
            <w:top w:w="0" w:type="dxa"/>
            <w:left w:w="108" w:type="dxa"/>
            <w:bottom w:w="0" w:type="dxa"/>
            <w:right w:w="108" w:type="dxa"/>
          </w:tblCellMar>
        </w:tblPrEx>
        <w:trPr>
          <w:trHeight w:val="435" w:hRule="atLeast"/>
        </w:trPr>
        <w:tc>
          <w:tcPr>
            <w:tcW w:w="2000" w:type="pct"/>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合计</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lang w:val="en-US" w:eastAsia="zh-CN" w:bidi="ar"/>
              </w:rPr>
              <w:t>515</w:t>
            </w:r>
            <w:r>
              <w:rPr>
                <w:rFonts w:hint="eastAsia" w:ascii="仿宋_GB2312" w:hAnsi="仿宋_GB2312" w:eastAsia="仿宋_GB2312" w:cs="仿宋_GB2312"/>
                <w:b/>
                <w:bCs/>
                <w:color w:val="auto"/>
                <w:kern w:val="0"/>
                <w:sz w:val="24"/>
                <w:highlight w:val="none"/>
                <w:u w:val="none"/>
                <w:lang w:bidi="ar"/>
              </w:rPr>
              <w:t>0</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b/>
                <w:bCs/>
                <w:color w:val="auto"/>
                <w:kern w:val="0"/>
                <w:sz w:val="24"/>
                <w:highlight w:val="none"/>
                <w:u w:val="none"/>
              </w:rPr>
              <w:t xml:space="preserve">4151.25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b/>
                <w:bCs/>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80.61%</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汕头市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190.16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188.85</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99.31%</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2</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韶关市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133.66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93.69</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70.10%</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3</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河源市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155.75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77.46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49.73%</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4</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梅州市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173.52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80.89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46.62%</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5</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惠州市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147.25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147.25</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100.00%</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6</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汕尾市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188.23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color w:val="auto"/>
                <w:kern w:val="0"/>
                <w:sz w:val="22"/>
                <w:szCs w:val="22"/>
                <w:highlight w:val="none"/>
                <w:u w:val="none"/>
                <w:lang w:bidi="ar"/>
              </w:rPr>
              <w:t>99.17</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64.96%</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7</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江门市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141.84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67.84</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47.83%</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8</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阳江市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167.23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49.11</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29.37%</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9</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湛江市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214.15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161.84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75.57%</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10</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茂名市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219.55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111.77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50.91%</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11</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肇庆市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167.55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100.00%</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12</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清远市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154.21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100.00%</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13</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潮州市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183.95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88.935</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48.35%</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14</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揭阳市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220.50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119.5</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54.20%</w:t>
            </w:r>
          </w:p>
        </w:tc>
      </w:tr>
      <w:tr>
        <w:tblPrEx>
          <w:tblCellMar>
            <w:top w:w="0" w:type="dxa"/>
            <w:left w:w="108" w:type="dxa"/>
            <w:bottom w:w="0" w:type="dxa"/>
            <w:right w:w="108" w:type="dxa"/>
          </w:tblCellMar>
        </w:tblPrEx>
        <w:trPr>
          <w:trHeight w:val="435"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lang w:bidi="ar"/>
              </w:rPr>
              <w:t>15</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color w:val="auto"/>
                <w:kern w:val="0"/>
                <w:sz w:val="24"/>
                <w:highlight w:val="none"/>
                <w:u w:val="none"/>
              </w:rPr>
              <w:t>云浮市</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167.45 </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85.53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51.08%</w:t>
            </w:r>
          </w:p>
        </w:tc>
      </w:tr>
      <w:tr>
        <w:tblPrEx>
          <w:tblCellMar>
            <w:top w:w="0" w:type="dxa"/>
            <w:left w:w="108" w:type="dxa"/>
            <w:bottom w:w="0" w:type="dxa"/>
            <w:right w:w="108" w:type="dxa"/>
          </w:tblCellMar>
        </w:tblPrEx>
        <w:trPr>
          <w:trHeight w:val="481" w:hRule="atLeast"/>
        </w:trPr>
        <w:tc>
          <w:tcPr>
            <w:tcW w:w="73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lang w:bidi="ar"/>
              </w:rPr>
            </w:pPr>
            <w:r>
              <w:rPr>
                <w:rFonts w:hint="eastAsia" w:ascii="仿宋_GB2312" w:hAnsi="仿宋_GB2312" w:eastAsia="仿宋_GB2312" w:cs="仿宋_GB2312"/>
                <w:color w:val="auto"/>
                <w:kern w:val="0"/>
                <w:sz w:val="24"/>
                <w:highlight w:val="none"/>
                <w:u w:val="none"/>
                <w:lang w:bidi="ar"/>
              </w:rPr>
              <w:t>16</w:t>
            </w:r>
          </w:p>
        </w:tc>
        <w:tc>
          <w:tcPr>
            <w:tcW w:w="1270"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80" w:lineRule="exact"/>
              <w:jc w:val="center"/>
              <w:rPr>
                <w:rFonts w:hint="eastAsia" w:ascii="仿宋_GB2312" w:hAnsi="仿宋_GB2312" w:eastAsia="仿宋_GB2312" w:cs="仿宋_GB2312"/>
                <w:color w:val="auto"/>
                <w:kern w:val="0"/>
                <w:sz w:val="24"/>
                <w:highlight w:val="none"/>
                <w:u w:val="none"/>
                <w:lang w:eastAsia="zh-CN"/>
              </w:rPr>
            </w:pPr>
            <w:r>
              <w:rPr>
                <w:rFonts w:hint="eastAsia" w:ascii="仿宋_GB2312" w:hAnsi="仿宋_GB2312" w:eastAsia="仿宋_GB2312" w:cs="仿宋_GB2312"/>
                <w:color w:val="auto"/>
                <w:kern w:val="0"/>
                <w:sz w:val="24"/>
                <w:highlight w:val="none"/>
                <w:u w:val="none"/>
              </w:rPr>
              <w:t>省</w:t>
            </w:r>
            <w:r>
              <w:rPr>
                <w:rFonts w:hint="eastAsia" w:ascii="仿宋_GB2312" w:hAnsi="仿宋_GB2312" w:eastAsia="仿宋_GB2312" w:cs="仿宋_GB2312"/>
                <w:color w:val="auto"/>
                <w:kern w:val="0"/>
                <w:sz w:val="24"/>
                <w:highlight w:val="none"/>
                <w:u w:val="none"/>
                <w:lang w:val="en-US" w:eastAsia="zh-CN"/>
              </w:rPr>
              <w:t>本级</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c>
          <w:tcPr>
            <w:tcW w:w="999" w:type="pc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i w:val="0"/>
                <w:iCs w:val="0"/>
                <w:color w:val="auto"/>
                <w:kern w:val="2"/>
                <w:sz w:val="22"/>
                <w:szCs w:val="22"/>
                <w:highlight w:val="none"/>
                <w:u w:val="none"/>
                <w:lang w:val="en-US" w:eastAsia="zh-CN" w:bidi="ar-SA"/>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2434.56 </w:t>
            </w:r>
          </w:p>
        </w:tc>
        <w:tc>
          <w:tcPr>
            <w:tcW w:w="1000"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eastAsia" w:ascii="仿宋_GB2312" w:hAnsi="仿宋_GB2312" w:eastAsia="仿宋_GB2312" w:cs="仿宋_GB2312"/>
                <w:color w:val="auto"/>
                <w:kern w:val="0"/>
                <w:sz w:val="24"/>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96.42%</w:t>
            </w:r>
          </w:p>
        </w:tc>
      </w:tr>
    </w:tbl>
    <w:p>
      <w:pPr>
        <w:widowControl/>
        <w:ind w:firstLine="640" w:firstLineChars="200"/>
        <w:jc w:val="left"/>
        <w:rPr>
          <w:rFonts w:ascii="黑体" w:hAnsi="宋体" w:eastAsia="黑体" w:cs="黑体"/>
          <w:color w:val="auto"/>
          <w:kern w:val="0"/>
          <w:sz w:val="31"/>
          <w:szCs w:val="31"/>
          <w:highlight w:val="none"/>
          <w:u w:val="none"/>
          <w:lang w:bidi="ar"/>
        </w:rPr>
      </w:pPr>
      <w:r>
        <w:rPr>
          <w:rFonts w:hint="eastAsia" w:ascii="仿宋_GB2312" w:hAnsi="Times New Roman" w:eastAsia="仿宋_GB2312"/>
          <w:color w:val="auto"/>
          <w:sz w:val="32"/>
          <w:highlight w:val="none"/>
          <w:u w:val="none"/>
        </w:rPr>
        <w:t>（2）事项管理。主要考核项目的监管有效性。该指标分值8分，评价得分</w:t>
      </w:r>
      <w:r>
        <w:rPr>
          <w:rFonts w:hint="eastAsia" w:ascii="仿宋_GB2312" w:hAnsi="Times New Roman" w:eastAsia="仿宋_GB2312"/>
          <w:color w:val="auto"/>
          <w:sz w:val="32"/>
          <w:highlight w:val="none"/>
          <w:u w:val="none"/>
          <w:lang w:val="en-US" w:eastAsia="zh-CN"/>
        </w:rPr>
        <w:t>8</w:t>
      </w:r>
      <w:r>
        <w:rPr>
          <w:rFonts w:hint="eastAsia" w:ascii="仿宋_GB2312" w:hAnsi="Times New Roman" w:eastAsia="仿宋_GB2312"/>
          <w:color w:val="auto"/>
          <w:sz w:val="32"/>
          <w:highlight w:val="none"/>
          <w:u w:val="none"/>
        </w:rPr>
        <w:t>分，得分率为</w:t>
      </w:r>
      <w:r>
        <w:rPr>
          <w:rFonts w:hint="eastAsia" w:ascii="仿宋_GB2312" w:hAnsi="Times New Roman" w:eastAsia="仿宋_GB2312"/>
          <w:color w:val="auto"/>
          <w:sz w:val="32"/>
          <w:highlight w:val="none"/>
          <w:u w:val="none"/>
          <w:lang w:val="en-US" w:eastAsia="zh-CN"/>
        </w:rPr>
        <w:t>100</w:t>
      </w:r>
      <w:r>
        <w:rPr>
          <w:rFonts w:hint="eastAsia" w:ascii="仿宋_GB2312" w:hAnsi="Times New Roman" w:eastAsia="仿宋_GB2312"/>
          <w:color w:val="auto"/>
          <w:sz w:val="32"/>
          <w:highlight w:val="none"/>
          <w:u w:val="none"/>
        </w:rPr>
        <w:t>%。我厅和有关市县能够按照有关专项资金管理办法和财务制度规定监管、使用专项资金。市县业务主管部门均能按照各自的城市管理与地下基础设施建设更新改造工作方案加强组织，在项目实施过程中加强监督检查，对项目成果进行核实。补助资金的合规性良好，资金管理、费用标准、支付符合有关制度规定，未发现超范围、虚列支出及截留、挤占、挪用资金等情况。</w:t>
      </w:r>
    </w:p>
    <w:p>
      <w:pPr>
        <w:pStyle w:val="12"/>
        <w:ind w:left="0" w:leftChars="0" w:firstLine="642" w:firstLineChars="200"/>
        <w:rPr>
          <w:rFonts w:ascii="仿宋_GB2312" w:hAnsi="Times New Roman" w:eastAsia="仿宋_GB2312"/>
          <w:color w:val="auto"/>
          <w:sz w:val="32"/>
          <w:highlight w:val="none"/>
          <w:u w:val="none"/>
        </w:rPr>
      </w:pPr>
      <w:r>
        <w:rPr>
          <w:rFonts w:hint="eastAsia" w:ascii="仿宋_GB2312" w:hAnsi="Times New Roman" w:eastAsia="仿宋_GB2312"/>
          <w:b/>
          <w:bCs/>
          <w:color w:val="auto"/>
          <w:sz w:val="32"/>
          <w:highlight w:val="none"/>
          <w:u w:val="none"/>
        </w:rPr>
        <w:t>2.产出。</w:t>
      </w:r>
      <w:r>
        <w:rPr>
          <w:rFonts w:hint="eastAsia" w:ascii="仿宋_GB2312" w:hAnsi="黑体" w:eastAsia="仿宋_GB2312"/>
          <w:color w:val="auto"/>
          <w:sz w:val="32"/>
          <w:highlight w:val="none"/>
          <w:u w:val="none"/>
        </w:rPr>
        <w:t>该指标主要从经济性和效率性两个方面考察项目完成的进度、质量等产出情况。指标分值40分，</w:t>
      </w:r>
      <w:r>
        <w:rPr>
          <w:rFonts w:hint="eastAsia" w:ascii="仿宋_GB2312" w:hAnsi="Times New Roman" w:eastAsia="仿宋_GB2312"/>
          <w:color w:val="auto"/>
          <w:sz w:val="32"/>
          <w:highlight w:val="none"/>
          <w:u w:val="none"/>
        </w:rPr>
        <w:t>评价</w:t>
      </w:r>
      <w:r>
        <w:rPr>
          <w:rFonts w:hint="eastAsia" w:ascii="仿宋_GB2312" w:hAnsi="黑体" w:eastAsia="仿宋_GB2312"/>
          <w:color w:val="auto"/>
          <w:sz w:val="32"/>
          <w:highlight w:val="none"/>
          <w:u w:val="none"/>
        </w:rPr>
        <w:t>得分</w:t>
      </w:r>
      <w:r>
        <w:rPr>
          <w:rFonts w:hint="eastAsia" w:ascii="仿宋_GB2312" w:hAnsi="黑体" w:eastAsia="仿宋_GB2312"/>
          <w:color w:val="auto"/>
          <w:sz w:val="32"/>
          <w:highlight w:val="none"/>
          <w:u w:val="none"/>
          <w:lang w:val="en-US" w:eastAsia="zh-CN"/>
        </w:rPr>
        <w:t>39.97</w:t>
      </w:r>
      <w:r>
        <w:rPr>
          <w:rFonts w:hint="eastAsia" w:ascii="仿宋_GB2312" w:hAnsi="黑体" w:eastAsia="仿宋_GB2312"/>
          <w:color w:val="auto"/>
          <w:sz w:val="32"/>
          <w:highlight w:val="none"/>
          <w:u w:val="none"/>
        </w:rPr>
        <w:t>分，得分率</w:t>
      </w:r>
      <w:r>
        <w:rPr>
          <w:rFonts w:hint="eastAsia" w:ascii="仿宋_GB2312" w:hAnsi="黑体" w:eastAsia="仿宋_GB2312"/>
          <w:color w:val="auto"/>
          <w:sz w:val="32"/>
          <w:highlight w:val="none"/>
          <w:u w:val="none"/>
          <w:lang w:val="en-US" w:eastAsia="zh-CN"/>
        </w:rPr>
        <w:t>99.93</w:t>
      </w:r>
      <w:r>
        <w:rPr>
          <w:rFonts w:hint="eastAsia" w:ascii="仿宋_GB2312" w:hAnsi="黑体" w:eastAsia="仿宋_GB2312"/>
          <w:color w:val="auto"/>
          <w:sz w:val="32"/>
          <w:highlight w:val="none"/>
          <w:u w:val="none"/>
        </w:rPr>
        <w:t>%。</w:t>
      </w:r>
    </w:p>
    <w:p>
      <w:pPr>
        <w:pStyle w:val="12"/>
        <w:ind w:left="0" w:leftChars="0" w:firstLine="640" w:firstLineChars="200"/>
        <w:rPr>
          <w:rFonts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（1）数量指标。该指标分值16分，评价得分</w:t>
      </w:r>
      <w:r>
        <w:rPr>
          <w:rFonts w:hint="eastAsia" w:ascii="仿宋_GB2312" w:hAnsi="Times New Roman" w:eastAsia="仿宋_GB2312"/>
          <w:color w:val="auto"/>
          <w:sz w:val="32"/>
          <w:highlight w:val="none"/>
          <w:u w:val="none"/>
          <w:lang w:val="en-US" w:eastAsia="zh-CN"/>
        </w:rPr>
        <w:t>15.97</w:t>
      </w:r>
      <w:r>
        <w:rPr>
          <w:rFonts w:hint="eastAsia" w:ascii="仿宋_GB2312" w:hAnsi="Times New Roman" w:eastAsia="仿宋_GB2312"/>
          <w:color w:val="auto"/>
          <w:sz w:val="32"/>
          <w:highlight w:val="none"/>
          <w:u w:val="none"/>
        </w:rPr>
        <w:t>分，得分率为</w:t>
      </w:r>
      <w:r>
        <w:rPr>
          <w:rFonts w:hint="eastAsia" w:ascii="仿宋_GB2312" w:hAnsi="Times New Roman" w:eastAsia="仿宋_GB2312"/>
          <w:color w:val="auto"/>
          <w:sz w:val="32"/>
          <w:highlight w:val="none"/>
          <w:u w:val="none"/>
          <w:lang w:val="en-US" w:eastAsia="zh-CN"/>
        </w:rPr>
        <w:t>99.81</w:t>
      </w:r>
      <w:r>
        <w:rPr>
          <w:rFonts w:hint="eastAsia" w:ascii="仿宋_GB2312" w:hAnsi="Times New Roman" w:eastAsia="仿宋_GB2312"/>
          <w:color w:val="auto"/>
          <w:sz w:val="32"/>
          <w:highlight w:val="none"/>
          <w:u w:val="none"/>
        </w:rPr>
        <w:t>%。</w:t>
      </w:r>
    </w:p>
    <w:p>
      <w:pPr>
        <w:widowControl/>
        <w:ind w:firstLine="642" w:firstLineChars="200"/>
        <w:jc w:val="left"/>
        <w:rPr>
          <w:rFonts w:ascii="仿宋_GB2312" w:hAnsi="Times New Roman" w:eastAsia="仿宋_GB2312" w:cs="Times New Roman"/>
          <w:color w:val="auto"/>
          <w:kern w:val="0"/>
          <w:sz w:val="32"/>
          <w:szCs w:val="32"/>
          <w:highlight w:val="none"/>
          <w:u w:val="none"/>
        </w:rPr>
      </w:pPr>
      <w:r>
        <w:rPr>
          <w:rFonts w:hint="eastAsia" w:ascii="仿宋_GB2312" w:eastAsia="仿宋_GB2312"/>
          <w:b/>
          <w:bCs/>
          <w:color w:val="auto"/>
          <w:kern w:val="0"/>
          <w:sz w:val="32"/>
          <w:szCs w:val="32"/>
          <w:highlight w:val="none"/>
          <w:u w:val="none"/>
        </w:rPr>
        <w:t>一是</w:t>
      </w:r>
      <w:r>
        <w:rPr>
          <w:rFonts w:hint="eastAsia" w:ascii="仿宋_GB2312" w:hAnsi="Times New Roman" w:eastAsia="仿宋_GB2312" w:cs="Times New Roman"/>
          <w:color w:val="auto"/>
          <w:kern w:val="0"/>
          <w:sz w:val="32"/>
          <w:szCs w:val="32"/>
          <w:highlight w:val="none"/>
          <w:u w:val="none"/>
        </w:rPr>
        <w:t>消除城镇燃气居民端隐患</w:t>
      </w:r>
      <w:r>
        <w:rPr>
          <w:rFonts w:hint="eastAsia" w:ascii="仿宋_GB2312" w:hAnsi="Times New Roman" w:eastAsia="仿宋_GB2312" w:cs="Times New Roman"/>
          <w:color w:val="auto"/>
          <w:kern w:val="0"/>
          <w:sz w:val="32"/>
          <w:szCs w:val="32"/>
          <w:highlight w:val="none"/>
          <w:u w:val="none"/>
          <w:lang w:val="en-US" w:eastAsia="zh-CN"/>
        </w:rPr>
        <w:t>数量</w:t>
      </w:r>
      <w:r>
        <w:rPr>
          <w:rFonts w:hint="eastAsia" w:ascii="仿宋_GB2312" w:hAnsi="Times New Roman" w:eastAsia="仿宋_GB2312" w:cs="Times New Roman"/>
          <w:color w:val="auto"/>
          <w:kern w:val="0"/>
          <w:sz w:val="32"/>
          <w:szCs w:val="32"/>
          <w:highlight w:val="none"/>
          <w:u w:val="none"/>
        </w:rPr>
        <w:t>，该指标分值</w:t>
      </w:r>
      <w:r>
        <w:rPr>
          <w:rFonts w:hint="eastAsia" w:ascii="仿宋_GB2312" w:hAnsi="Times New Roman" w:eastAsia="仿宋_GB2312" w:cs="Times New Roman"/>
          <w:color w:val="auto"/>
          <w:kern w:val="0"/>
          <w:sz w:val="32"/>
          <w:szCs w:val="32"/>
          <w:highlight w:val="none"/>
          <w:u w:val="none"/>
          <w:lang w:val="en-US" w:eastAsia="zh-CN"/>
        </w:rPr>
        <w:t>4</w:t>
      </w:r>
      <w:r>
        <w:rPr>
          <w:rFonts w:hint="eastAsia" w:ascii="仿宋_GB2312" w:hAnsi="Times New Roman" w:eastAsia="仿宋_GB2312" w:cs="Times New Roman"/>
          <w:color w:val="auto"/>
          <w:kern w:val="0"/>
          <w:sz w:val="32"/>
          <w:szCs w:val="32"/>
          <w:highlight w:val="none"/>
          <w:u w:val="none"/>
        </w:rPr>
        <w:t>分，</w:t>
      </w:r>
      <w:r>
        <w:rPr>
          <w:rFonts w:hint="eastAsia" w:ascii="仿宋_GB2312" w:eastAsia="仿宋_GB2312"/>
          <w:color w:val="auto"/>
          <w:sz w:val="32"/>
          <w:highlight w:val="none"/>
          <w:u w:val="none"/>
        </w:rPr>
        <w:t>评价</w:t>
      </w:r>
      <w:r>
        <w:rPr>
          <w:rFonts w:hint="eastAsia" w:ascii="仿宋_GB2312" w:hAnsi="Times New Roman" w:eastAsia="仿宋_GB2312" w:cs="Times New Roman"/>
          <w:color w:val="auto"/>
          <w:kern w:val="0"/>
          <w:sz w:val="32"/>
          <w:szCs w:val="32"/>
          <w:highlight w:val="none"/>
          <w:u w:val="none"/>
        </w:rPr>
        <w:t>得分</w:t>
      </w:r>
      <w:r>
        <w:rPr>
          <w:rFonts w:hint="eastAsia" w:ascii="仿宋_GB2312" w:hAnsi="Times New Roman" w:eastAsia="仿宋_GB2312" w:cs="Times New Roman"/>
          <w:color w:val="auto"/>
          <w:kern w:val="0"/>
          <w:sz w:val="32"/>
          <w:szCs w:val="32"/>
          <w:highlight w:val="none"/>
          <w:u w:val="none"/>
          <w:lang w:val="en-US" w:eastAsia="zh-CN"/>
        </w:rPr>
        <w:t>3.97</w:t>
      </w:r>
      <w:r>
        <w:rPr>
          <w:rFonts w:hint="eastAsia" w:ascii="仿宋_GB2312" w:hAnsi="Times New Roman" w:eastAsia="仿宋_GB2312" w:cs="Times New Roman"/>
          <w:color w:val="auto"/>
          <w:kern w:val="0"/>
          <w:sz w:val="32"/>
          <w:szCs w:val="32"/>
          <w:highlight w:val="none"/>
          <w:u w:val="none"/>
        </w:rPr>
        <w:t>分，得分率</w:t>
      </w:r>
      <w:r>
        <w:rPr>
          <w:rFonts w:hint="eastAsia" w:ascii="仿宋_GB2312" w:hAnsi="Times New Roman" w:eastAsia="仿宋_GB2312" w:cs="Times New Roman"/>
          <w:color w:val="auto"/>
          <w:kern w:val="0"/>
          <w:sz w:val="32"/>
          <w:szCs w:val="32"/>
          <w:highlight w:val="none"/>
          <w:u w:val="none"/>
          <w:lang w:val="en-US" w:eastAsia="zh-CN"/>
        </w:rPr>
        <w:t>99.25</w:t>
      </w:r>
      <w:r>
        <w:rPr>
          <w:rFonts w:hint="eastAsia" w:ascii="仿宋_GB2312" w:hAnsi="Times New Roman" w:eastAsia="仿宋_GB2312" w:cs="Times New Roman"/>
          <w:color w:val="auto"/>
          <w:kern w:val="0"/>
          <w:sz w:val="32"/>
          <w:szCs w:val="32"/>
          <w:highlight w:val="none"/>
          <w:u w:val="none"/>
        </w:rPr>
        <w:t>%。评价年度预期值为</w:t>
      </w:r>
      <w:r>
        <w:rPr>
          <w:rFonts w:hint="eastAsia" w:ascii="仿宋_GB2312" w:hAnsi="Times New Roman" w:eastAsia="仿宋_GB2312" w:cs="Times New Roman"/>
          <w:color w:val="auto"/>
          <w:kern w:val="0"/>
          <w:sz w:val="32"/>
          <w:szCs w:val="32"/>
          <w:highlight w:val="none"/>
          <w:u w:val="none"/>
          <w:lang w:val="en-US" w:eastAsia="zh-CN"/>
        </w:rPr>
        <w:t>100万户</w:t>
      </w:r>
      <w:r>
        <w:rPr>
          <w:rFonts w:hint="eastAsia" w:ascii="仿宋_GB2312" w:hAnsi="Times New Roman" w:eastAsia="仿宋_GB2312" w:cs="Times New Roman"/>
          <w:color w:val="auto"/>
          <w:kern w:val="0"/>
          <w:sz w:val="32"/>
          <w:szCs w:val="32"/>
          <w:highlight w:val="none"/>
          <w:u w:val="none"/>
        </w:rPr>
        <w:t>，评价年度实现值为</w:t>
      </w:r>
      <w:r>
        <w:rPr>
          <w:rFonts w:hint="eastAsia" w:ascii="仿宋_GB2312" w:hAnsi="Times New Roman" w:eastAsia="仿宋_GB2312" w:cs="Times New Roman"/>
          <w:color w:val="auto"/>
          <w:kern w:val="0"/>
          <w:sz w:val="32"/>
          <w:szCs w:val="32"/>
          <w:highlight w:val="none"/>
          <w:u w:val="none"/>
          <w:lang w:val="en-US" w:eastAsia="zh-CN"/>
        </w:rPr>
        <w:t>99.16万户</w:t>
      </w:r>
      <w:r>
        <w:rPr>
          <w:rFonts w:hint="eastAsia" w:ascii="仿宋_GB2312" w:hAnsi="Times New Roman" w:eastAsia="仿宋_GB2312" w:cs="Times New Roman"/>
          <w:color w:val="auto"/>
          <w:kern w:val="0"/>
          <w:sz w:val="32"/>
          <w:szCs w:val="32"/>
          <w:highlight w:val="none"/>
          <w:u w:val="none"/>
        </w:rPr>
        <w:t>，完成率</w:t>
      </w:r>
      <w:r>
        <w:rPr>
          <w:rFonts w:hint="eastAsia" w:ascii="仿宋_GB2312" w:hAnsi="Times New Roman" w:eastAsia="仿宋_GB2312" w:cs="Times New Roman"/>
          <w:color w:val="auto"/>
          <w:kern w:val="0"/>
          <w:sz w:val="32"/>
          <w:szCs w:val="32"/>
          <w:highlight w:val="none"/>
          <w:u w:val="none"/>
          <w:lang w:val="en-US" w:eastAsia="zh-CN"/>
        </w:rPr>
        <w:t>99.16</w:t>
      </w:r>
      <w:r>
        <w:rPr>
          <w:rFonts w:hint="eastAsia" w:ascii="仿宋_GB2312" w:hAnsi="Times New Roman" w:eastAsia="仿宋_GB2312" w:cs="Times New Roman"/>
          <w:color w:val="auto"/>
          <w:kern w:val="0"/>
          <w:sz w:val="32"/>
          <w:szCs w:val="32"/>
          <w:highlight w:val="none"/>
          <w:u w:val="none"/>
        </w:rPr>
        <w:t>%。</w:t>
      </w:r>
    </w:p>
    <w:p>
      <w:pPr>
        <w:ind w:firstLine="642" w:firstLineChars="200"/>
        <w:rPr>
          <w:rFonts w:hint="eastAsia" w:ascii="仿宋_GB2312" w:eastAsia="仿宋_GB2312"/>
          <w:color w:val="auto"/>
          <w:sz w:val="32"/>
          <w:highlight w:val="none"/>
          <w:u w:val="none"/>
        </w:rPr>
      </w:pPr>
      <w:r>
        <w:rPr>
          <w:rFonts w:hint="eastAsia" w:ascii="仿宋_GB2312" w:hAnsi="仿宋_GB2312" w:eastAsia="仿宋_GB2312" w:cs="仿宋_GB2312"/>
          <w:b/>
          <w:bCs/>
          <w:color w:val="auto"/>
          <w:sz w:val="32"/>
          <w:highlight w:val="none"/>
          <w:u w:val="none"/>
        </w:rPr>
        <w:t>二是</w:t>
      </w:r>
      <w:r>
        <w:rPr>
          <w:rFonts w:hint="eastAsia" w:ascii="仿宋_GB2312" w:hAnsi="仿宋_GB2312" w:eastAsia="仿宋_GB2312" w:cs="仿宋_GB2312"/>
          <w:color w:val="auto"/>
          <w:sz w:val="32"/>
          <w:highlight w:val="none"/>
          <w:u w:val="none"/>
        </w:rPr>
        <w:t>对辖区内全部燃气场站进行安全隐患排查巡查次数，</w:t>
      </w:r>
      <w:r>
        <w:rPr>
          <w:rFonts w:hint="eastAsia" w:ascii="仿宋_GB2312" w:eastAsia="仿宋_GB2312"/>
          <w:color w:val="auto"/>
          <w:sz w:val="32"/>
          <w:highlight w:val="none"/>
          <w:u w:val="none"/>
        </w:rPr>
        <w:t>该指标分值</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分，评价得分</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分，得分率为</w:t>
      </w:r>
      <w:r>
        <w:rPr>
          <w:rFonts w:hint="eastAsia" w:ascii="仿宋_GB2312" w:eastAsia="仿宋_GB2312"/>
          <w:color w:val="auto"/>
          <w:sz w:val="32"/>
          <w:highlight w:val="none"/>
          <w:u w:val="none"/>
          <w:lang w:val="en-US" w:eastAsia="zh-CN"/>
        </w:rPr>
        <w:t>100</w:t>
      </w:r>
      <w:r>
        <w:rPr>
          <w:rFonts w:hint="eastAsia" w:ascii="仿宋_GB2312" w:eastAsia="仿宋_GB2312"/>
          <w:color w:val="auto"/>
          <w:sz w:val="32"/>
          <w:highlight w:val="none"/>
          <w:u w:val="none"/>
        </w:rPr>
        <w:t>%。评价年度预期值为</w:t>
      </w:r>
      <w:r>
        <w:rPr>
          <w:rFonts w:hint="eastAsia" w:ascii="仿宋_GB2312" w:eastAsia="仿宋_GB2312"/>
          <w:color w:val="auto"/>
          <w:sz w:val="32"/>
          <w:highlight w:val="none"/>
          <w:u w:val="none"/>
          <w:lang w:val="en-US" w:eastAsia="zh-CN"/>
        </w:rPr>
        <w:t>≥4次</w:t>
      </w:r>
      <w:r>
        <w:rPr>
          <w:rFonts w:hint="eastAsia" w:ascii="仿宋_GB2312" w:eastAsia="仿宋_GB2312"/>
          <w:color w:val="auto"/>
          <w:sz w:val="32"/>
          <w:highlight w:val="none"/>
          <w:u w:val="none"/>
        </w:rPr>
        <w:t>，评价年度实现值为</w:t>
      </w:r>
      <w:r>
        <w:rPr>
          <w:rFonts w:hint="eastAsia" w:ascii="仿宋_GB2312" w:eastAsia="仿宋_GB2312"/>
          <w:color w:val="auto"/>
          <w:sz w:val="32"/>
          <w:highlight w:val="none"/>
          <w:u w:val="none"/>
          <w:lang w:val="en-US" w:eastAsia="zh-CN"/>
        </w:rPr>
        <w:t>＞4次</w:t>
      </w:r>
      <w:r>
        <w:rPr>
          <w:rFonts w:hint="eastAsia" w:ascii="仿宋_GB2312" w:eastAsia="仿宋_GB2312"/>
          <w:color w:val="auto"/>
          <w:sz w:val="32"/>
          <w:highlight w:val="none"/>
          <w:u w:val="none"/>
        </w:rPr>
        <w:t>，</w:t>
      </w:r>
      <w:r>
        <w:rPr>
          <w:rFonts w:hint="eastAsia" w:ascii="仿宋_GB2312" w:hAnsi="Times New Roman" w:eastAsia="仿宋_GB2312" w:cs="Times New Roman"/>
          <w:color w:val="auto"/>
          <w:sz w:val="32"/>
          <w:highlight w:val="none"/>
          <w:u w:val="none"/>
        </w:rPr>
        <w:t>完成率</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w:t>
      </w:r>
      <w:r>
        <w:rPr>
          <w:rFonts w:hint="eastAsia" w:ascii="仿宋_GB2312" w:eastAsia="仿宋_GB2312"/>
          <w:color w:val="auto"/>
          <w:sz w:val="32"/>
          <w:highlight w:val="none"/>
          <w:u w:val="none"/>
        </w:rPr>
        <w:t>。</w:t>
      </w:r>
    </w:p>
    <w:p>
      <w:pPr>
        <w:pStyle w:val="2"/>
        <w:ind w:left="0" w:leftChars="0" w:firstLine="642" w:firstLineChars="200"/>
        <w:rPr>
          <w:rFonts w:hint="eastAsia" w:ascii="仿宋_GB2312" w:eastAsia="仿宋_GB2312"/>
          <w:color w:val="auto"/>
          <w:sz w:val="32"/>
          <w:highlight w:val="none"/>
          <w:u w:val="none"/>
        </w:rPr>
      </w:pPr>
      <w:r>
        <w:rPr>
          <w:rFonts w:hint="eastAsia" w:ascii="仿宋_GB2312" w:eastAsia="仿宋_GB2312"/>
          <w:b/>
          <w:bCs/>
          <w:color w:val="auto"/>
          <w:sz w:val="32"/>
          <w:highlight w:val="none"/>
          <w:u w:val="none"/>
          <w:lang w:val="en-US" w:eastAsia="zh-CN"/>
        </w:rPr>
        <w:t>三是</w:t>
      </w:r>
      <w:r>
        <w:rPr>
          <w:rFonts w:hint="eastAsia" w:ascii="仿宋_GB2312" w:eastAsia="仿宋_GB2312"/>
          <w:color w:val="auto"/>
          <w:sz w:val="32"/>
          <w:highlight w:val="none"/>
          <w:u w:val="none"/>
        </w:rPr>
        <w:t>建设省级城市运管服平台数量</w:t>
      </w:r>
      <w:r>
        <w:rPr>
          <w:rFonts w:hint="eastAsia" w:ascii="仿宋_GB2312" w:eastAsia="仿宋_GB2312"/>
          <w:color w:val="auto"/>
          <w:sz w:val="32"/>
          <w:highlight w:val="none"/>
          <w:u w:val="none"/>
          <w:lang w:eastAsia="zh-CN"/>
        </w:rPr>
        <w:t>，</w:t>
      </w:r>
      <w:r>
        <w:rPr>
          <w:rFonts w:hint="eastAsia" w:ascii="仿宋_GB2312" w:eastAsia="仿宋_GB2312"/>
          <w:color w:val="auto"/>
          <w:sz w:val="32"/>
          <w:highlight w:val="none"/>
          <w:u w:val="none"/>
        </w:rPr>
        <w:t>该指标分值</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分，评价得分</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分，得分率为</w:t>
      </w:r>
      <w:r>
        <w:rPr>
          <w:rFonts w:hint="eastAsia" w:ascii="仿宋_GB2312" w:eastAsia="仿宋_GB2312"/>
          <w:color w:val="auto"/>
          <w:sz w:val="32"/>
          <w:highlight w:val="none"/>
          <w:u w:val="none"/>
          <w:lang w:val="en-US" w:eastAsia="zh-CN"/>
        </w:rPr>
        <w:t>100</w:t>
      </w:r>
      <w:r>
        <w:rPr>
          <w:rFonts w:hint="eastAsia" w:ascii="仿宋_GB2312" w:eastAsia="仿宋_GB2312"/>
          <w:color w:val="auto"/>
          <w:sz w:val="32"/>
          <w:highlight w:val="none"/>
          <w:u w:val="none"/>
        </w:rPr>
        <w:t>%。评价年度预期值为</w:t>
      </w:r>
      <w:r>
        <w:rPr>
          <w:rFonts w:hint="eastAsia" w:ascii="仿宋_GB2312" w:eastAsia="仿宋_GB2312"/>
          <w:color w:val="auto"/>
          <w:sz w:val="32"/>
          <w:highlight w:val="none"/>
          <w:u w:val="none"/>
          <w:lang w:val="en-US" w:eastAsia="zh-CN"/>
        </w:rPr>
        <w:t>1个</w:t>
      </w:r>
      <w:r>
        <w:rPr>
          <w:rFonts w:hint="eastAsia" w:ascii="仿宋_GB2312" w:eastAsia="仿宋_GB2312"/>
          <w:color w:val="auto"/>
          <w:sz w:val="32"/>
          <w:highlight w:val="none"/>
          <w:u w:val="none"/>
        </w:rPr>
        <w:t>，评价年度实现值为</w:t>
      </w:r>
      <w:r>
        <w:rPr>
          <w:rFonts w:hint="eastAsia" w:ascii="仿宋_GB2312" w:eastAsia="仿宋_GB2312"/>
          <w:color w:val="auto"/>
          <w:sz w:val="32"/>
          <w:highlight w:val="none"/>
          <w:u w:val="none"/>
          <w:lang w:val="en-US" w:eastAsia="zh-CN"/>
        </w:rPr>
        <w:t>1个</w:t>
      </w:r>
      <w:r>
        <w:rPr>
          <w:rFonts w:hint="eastAsia" w:ascii="仿宋_GB2312" w:eastAsia="仿宋_GB2312"/>
          <w:color w:val="auto"/>
          <w:sz w:val="32"/>
          <w:highlight w:val="none"/>
          <w:u w:val="none"/>
        </w:rPr>
        <w:t>，省级城市运管服平台</w:t>
      </w:r>
      <w:r>
        <w:rPr>
          <w:rFonts w:hint="eastAsia" w:ascii="仿宋_GB2312" w:eastAsia="仿宋_GB2312"/>
          <w:color w:val="auto"/>
          <w:sz w:val="32"/>
          <w:highlight w:val="none"/>
          <w:u w:val="none"/>
          <w:lang w:val="en-US" w:eastAsia="zh-CN"/>
        </w:rPr>
        <w:t>已完成初步开发建设，</w:t>
      </w:r>
      <w:r>
        <w:rPr>
          <w:rFonts w:hint="eastAsia" w:ascii="仿宋_GB2312" w:hAnsi="Times New Roman" w:eastAsia="仿宋_GB2312" w:cs="Times New Roman"/>
          <w:color w:val="auto"/>
          <w:sz w:val="32"/>
          <w:highlight w:val="none"/>
          <w:u w:val="none"/>
        </w:rPr>
        <w:t>完成率</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w:t>
      </w:r>
      <w:r>
        <w:rPr>
          <w:rFonts w:hint="eastAsia" w:ascii="仿宋_GB2312" w:eastAsia="仿宋_GB2312"/>
          <w:color w:val="auto"/>
          <w:sz w:val="32"/>
          <w:highlight w:val="none"/>
          <w:u w:val="none"/>
        </w:rPr>
        <w:t>。</w:t>
      </w:r>
    </w:p>
    <w:p>
      <w:pPr>
        <w:pStyle w:val="2"/>
        <w:ind w:left="0" w:leftChars="0" w:firstLine="642" w:firstLineChars="200"/>
        <w:rPr>
          <w:rFonts w:hint="eastAsia" w:ascii="仿宋_GB2312" w:eastAsia="仿宋_GB2312"/>
          <w:color w:val="auto"/>
          <w:sz w:val="32"/>
          <w:highlight w:val="none"/>
          <w:u w:val="none"/>
          <w:lang w:val="en-US" w:eastAsia="zh-CN"/>
        </w:rPr>
      </w:pPr>
      <w:r>
        <w:rPr>
          <w:rFonts w:hint="eastAsia" w:ascii="仿宋_GB2312" w:eastAsia="仿宋_GB2312"/>
          <w:b/>
          <w:bCs/>
          <w:color w:val="auto"/>
          <w:sz w:val="32"/>
          <w:highlight w:val="none"/>
          <w:u w:val="none"/>
          <w:lang w:val="en-US" w:eastAsia="zh-CN"/>
        </w:rPr>
        <w:t>四是</w:t>
      </w:r>
      <w:r>
        <w:rPr>
          <w:rFonts w:hint="eastAsia" w:ascii="仿宋_GB2312" w:eastAsia="仿宋_GB2312"/>
          <w:color w:val="auto"/>
          <w:sz w:val="32"/>
          <w:highlight w:val="none"/>
          <w:u w:val="none"/>
          <w:lang w:val="en-US" w:eastAsia="zh-CN"/>
        </w:rPr>
        <w:t>对接各地城市运管服平台数量，</w:t>
      </w:r>
      <w:r>
        <w:rPr>
          <w:rFonts w:hint="eastAsia" w:ascii="仿宋_GB2312" w:eastAsia="仿宋_GB2312"/>
          <w:color w:val="auto"/>
          <w:sz w:val="32"/>
          <w:highlight w:val="none"/>
          <w:u w:val="none"/>
        </w:rPr>
        <w:t>该指标分值</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分，评价得分</w:t>
      </w:r>
      <w:r>
        <w:rPr>
          <w:rFonts w:hint="eastAsia" w:ascii="仿宋_GB2312" w:eastAsia="仿宋_GB2312"/>
          <w:color w:val="auto"/>
          <w:sz w:val="32"/>
          <w:highlight w:val="none"/>
          <w:u w:val="none"/>
          <w:lang w:val="en-US" w:eastAsia="zh-CN"/>
        </w:rPr>
        <w:t>4</w:t>
      </w:r>
      <w:r>
        <w:rPr>
          <w:rFonts w:hint="eastAsia" w:ascii="仿宋_GB2312" w:eastAsia="仿宋_GB2312"/>
          <w:color w:val="auto"/>
          <w:sz w:val="32"/>
          <w:highlight w:val="none"/>
          <w:u w:val="none"/>
        </w:rPr>
        <w:t>分，得分率为</w:t>
      </w:r>
      <w:r>
        <w:rPr>
          <w:rFonts w:hint="eastAsia" w:ascii="仿宋_GB2312" w:eastAsia="仿宋_GB2312"/>
          <w:color w:val="auto"/>
          <w:sz w:val="32"/>
          <w:highlight w:val="none"/>
          <w:u w:val="none"/>
          <w:lang w:val="en-US" w:eastAsia="zh-CN"/>
        </w:rPr>
        <w:t>100</w:t>
      </w:r>
      <w:r>
        <w:rPr>
          <w:rFonts w:hint="eastAsia" w:ascii="仿宋_GB2312" w:eastAsia="仿宋_GB2312"/>
          <w:color w:val="auto"/>
          <w:sz w:val="32"/>
          <w:highlight w:val="none"/>
          <w:u w:val="none"/>
        </w:rPr>
        <w:t>%。评价年度预期值为</w:t>
      </w:r>
      <w:r>
        <w:rPr>
          <w:rFonts w:hint="eastAsia" w:ascii="仿宋_GB2312" w:eastAsia="仿宋_GB2312"/>
          <w:color w:val="auto"/>
          <w:sz w:val="32"/>
          <w:highlight w:val="none"/>
          <w:u w:val="none"/>
          <w:lang w:val="en-US" w:eastAsia="zh-CN"/>
        </w:rPr>
        <w:t>5个</w:t>
      </w:r>
      <w:r>
        <w:rPr>
          <w:rFonts w:hint="eastAsia" w:ascii="仿宋_GB2312" w:eastAsia="仿宋_GB2312"/>
          <w:color w:val="auto"/>
          <w:sz w:val="32"/>
          <w:highlight w:val="none"/>
          <w:u w:val="none"/>
        </w:rPr>
        <w:t>，评价年度实现值为</w:t>
      </w:r>
      <w:r>
        <w:rPr>
          <w:rFonts w:hint="eastAsia" w:ascii="仿宋_GB2312" w:eastAsia="仿宋_GB2312"/>
          <w:color w:val="auto"/>
          <w:sz w:val="32"/>
          <w:highlight w:val="none"/>
          <w:u w:val="none"/>
          <w:lang w:val="en-US" w:eastAsia="zh-CN"/>
        </w:rPr>
        <w:t>5个</w:t>
      </w:r>
      <w:r>
        <w:rPr>
          <w:rFonts w:hint="eastAsia" w:ascii="仿宋_GB2312" w:eastAsia="仿宋_GB2312"/>
          <w:color w:val="auto"/>
          <w:sz w:val="32"/>
          <w:highlight w:val="none"/>
          <w:u w:val="none"/>
        </w:rPr>
        <w:t>，</w:t>
      </w:r>
      <w:r>
        <w:rPr>
          <w:rFonts w:hint="eastAsia" w:ascii="仿宋_GB2312" w:eastAsia="仿宋_GB2312"/>
          <w:color w:val="auto"/>
          <w:sz w:val="32"/>
          <w:highlight w:val="none"/>
          <w:u w:val="none"/>
          <w:lang w:val="en-US" w:eastAsia="zh-CN"/>
        </w:rPr>
        <w:t>已</w:t>
      </w:r>
      <w:r>
        <w:rPr>
          <w:rFonts w:hint="eastAsia" w:ascii="仿宋_GB2312" w:eastAsia="仿宋_GB2312"/>
          <w:color w:val="auto"/>
          <w:sz w:val="32"/>
          <w:highlight w:val="none"/>
          <w:u w:val="none"/>
        </w:rPr>
        <w:t>完成ICP备案和省统一身份认证平台对接</w:t>
      </w:r>
      <w:r>
        <w:rPr>
          <w:rFonts w:hint="eastAsia" w:ascii="仿宋_GB2312" w:eastAsia="仿宋_GB2312"/>
          <w:color w:val="auto"/>
          <w:sz w:val="32"/>
          <w:highlight w:val="none"/>
          <w:u w:val="none"/>
          <w:lang w:eastAsia="zh-CN"/>
        </w:rPr>
        <w:t>，</w:t>
      </w:r>
      <w:r>
        <w:rPr>
          <w:rFonts w:hint="eastAsia" w:ascii="仿宋_GB2312" w:hAnsi="Times New Roman" w:eastAsia="仿宋_GB2312" w:cs="Times New Roman"/>
          <w:color w:val="auto"/>
          <w:sz w:val="32"/>
          <w:highlight w:val="none"/>
          <w:u w:val="none"/>
        </w:rPr>
        <w:t>完成率</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w:t>
      </w:r>
      <w:r>
        <w:rPr>
          <w:rFonts w:hint="eastAsia" w:ascii="仿宋_GB2312" w:eastAsia="仿宋_GB2312"/>
          <w:color w:val="auto"/>
          <w:sz w:val="32"/>
          <w:highlight w:val="none"/>
          <w:u w:val="none"/>
        </w:rPr>
        <w:t>。</w:t>
      </w:r>
    </w:p>
    <w:p>
      <w:pPr>
        <w:widowControl/>
        <w:ind w:firstLine="640" w:firstLineChars="200"/>
        <w:jc w:val="left"/>
        <w:rPr>
          <w:rFonts w:ascii="黑体" w:hAnsi="宋体" w:eastAsia="黑体" w:cs="黑体"/>
          <w:color w:val="auto"/>
          <w:kern w:val="0"/>
          <w:sz w:val="31"/>
          <w:szCs w:val="31"/>
          <w:highlight w:val="none"/>
          <w:u w:val="none"/>
          <w:lang w:bidi="ar"/>
        </w:rPr>
      </w:pPr>
      <w:r>
        <w:rPr>
          <w:rFonts w:hint="eastAsia" w:ascii="仿宋_GB2312" w:hAnsi="Times New Roman" w:eastAsia="仿宋_GB2312"/>
          <w:color w:val="auto"/>
          <w:sz w:val="32"/>
          <w:highlight w:val="none"/>
          <w:u w:val="none"/>
        </w:rPr>
        <w:t>（2）质量指标。该指标分值8分，主要考核验收合格率，评价得分8分，得分率为100%。城市管理与地下基础设施建设更新改造</w:t>
      </w:r>
      <w:r>
        <w:rPr>
          <w:rFonts w:hint="eastAsia" w:ascii="仿宋_GB2312" w:hAnsi="Times New Roman" w:eastAsia="仿宋_GB2312"/>
          <w:color w:val="auto"/>
          <w:sz w:val="32"/>
          <w:highlight w:val="none"/>
          <w:u w:val="none"/>
          <w:lang w:val="en-US" w:eastAsia="zh-CN"/>
        </w:rPr>
        <w:t>项目</w:t>
      </w:r>
      <w:r>
        <w:rPr>
          <w:rFonts w:hint="eastAsia" w:ascii="仿宋_GB2312" w:hAnsi="Times New Roman" w:eastAsia="仿宋_GB2312"/>
          <w:color w:val="auto"/>
          <w:sz w:val="32"/>
          <w:highlight w:val="none"/>
          <w:u w:val="none"/>
        </w:rPr>
        <w:t>质量安全机制完善，据统计，已通过验收的项目验收合格率达到100%。</w:t>
      </w:r>
    </w:p>
    <w:p>
      <w:pPr>
        <w:pStyle w:val="12"/>
        <w:ind w:left="0" w:leftChars="0" w:firstLine="640" w:firstLineChars="200"/>
        <w:rPr>
          <w:rFonts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lang w:val="en"/>
        </w:rPr>
        <w:t>（</w:t>
      </w:r>
      <w:r>
        <w:rPr>
          <w:rFonts w:hint="eastAsia" w:ascii="仿宋_GB2312" w:hAnsi="Times New Roman" w:eastAsia="仿宋_GB2312"/>
          <w:color w:val="auto"/>
          <w:sz w:val="32"/>
          <w:highlight w:val="none"/>
          <w:u w:val="none"/>
        </w:rPr>
        <w:t>3</w:t>
      </w:r>
      <w:r>
        <w:rPr>
          <w:rFonts w:hint="eastAsia" w:ascii="仿宋_GB2312" w:hAnsi="Times New Roman" w:eastAsia="仿宋_GB2312"/>
          <w:color w:val="auto"/>
          <w:sz w:val="32"/>
          <w:highlight w:val="none"/>
          <w:u w:val="none"/>
          <w:lang w:val="en"/>
        </w:rPr>
        <w:t>）时效指标。</w:t>
      </w:r>
      <w:r>
        <w:rPr>
          <w:rFonts w:hint="eastAsia" w:ascii="仿宋_GB2312" w:hAnsi="Times New Roman" w:eastAsia="仿宋_GB2312"/>
          <w:color w:val="auto"/>
          <w:sz w:val="32"/>
          <w:highlight w:val="none"/>
          <w:u w:val="none"/>
        </w:rPr>
        <w:t>该指标分值8分，主要考核按时完成率，评价得分8分，得分率为100%。2023年城市管理与地下基础设施建设更新改造专项资金各支出方向的子项目均如期完成了我厅下达任务清单的目标任务，已建立基本完善的城市地下市政基础设施规划建设协调机制、制定好设施普查方案、开展设施普查</w:t>
      </w:r>
      <w:r>
        <w:rPr>
          <w:rFonts w:hint="eastAsia" w:ascii="仿宋_GB2312" w:hAnsi="Times New Roman" w:eastAsia="仿宋_GB2312"/>
          <w:color w:val="auto"/>
          <w:sz w:val="32"/>
          <w:highlight w:val="none"/>
          <w:u w:val="none"/>
          <w:lang w:val="en-US" w:eastAsia="zh-CN"/>
        </w:rPr>
        <w:t>整治</w:t>
      </w:r>
      <w:r>
        <w:rPr>
          <w:rFonts w:hint="eastAsia" w:ascii="仿宋_GB2312" w:hAnsi="Times New Roman" w:eastAsia="仿宋_GB2312"/>
          <w:color w:val="auto"/>
          <w:sz w:val="32"/>
          <w:highlight w:val="none"/>
          <w:u w:val="none"/>
        </w:rPr>
        <w:t>工作</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市政燃气管网橡胶软管的更换</w:t>
      </w:r>
      <w:r>
        <w:rPr>
          <w:rFonts w:hint="eastAsia" w:ascii="仿宋_GB2312" w:hAnsi="Times New Roman" w:eastAsia="仿宋_GB2312"/>
          <w:color w:val="auto"/>
          <w:sz w:val="32"/>
          <w:highlight w:val="none"/>
          <w:u w:val="none"/>
          <w:lang w:eastAsia="zh-CN"/>
        </w:rPr>
        <w:t>和</w:t>
      </w:r>
      <w:r>
        <w:rPr>
          <w:rFonts w:hint="eastAsia" w:ascii="仿宋_GB2312" w:hAnsi="Times New Roman" w:eastAsia="仿宋_GB2312"/>
          <w:color w:val="auto"/>
          <w:sz w:val="32"/>
          <w:highlight w:val="none"/>
          <w:u w:val="none"/>
        </w:rPr>
        <w:t>安全隐患排查巡查</w:t>
      </w:r>
      <w:r>
        <w:rPr>
          <w:rFonts w:hint="eastAsia" w:ascii="仿宋_GB2312" w:hAnsi="Times New Roman" w:eastAsia="仿宋_GB2312"/>
          <w:color w:val="auto"/>
          <w:sz w:val="32"/>
          <w:highlight w:val="none"/>
          <w:u w:val="none"/>
          <w:lang w:eastAsia="zh-CN"/>
        </w:rPr>
        <w:t>均如期完成绩效指标</w:t>
      </w:r>
      <w:r>
        <w:rPr>
          <w:rFonts w:hint="eastAsia" w:ascii="仿宋_GB2312" w:hAnsi="Times New Roman" w:eastAsia="仿宋_GB2312"/>
          <w:color w:val="auto"/>
          <w:sz w:val="32"/>
          <w:highlight w:val="none"/>
          <w:u w:val="none"/>
        </w:rPr>
        <w:t>。</w:t>
      </w:r>
    </w:p>
    <w:p>
      <w:pPr>
        <w:pStyle w:val="12"/>
        <w:ind w:left="0" w:leftChars="0" w:firstLine="640" w:firstLineChars="200"/>
        <w:rPr>
          <w:color w:val="auto"/>
          <w:highlight w:val="none"/>
          <w:u w:val="none"/>
        </w:rPr>
      </w:pPr>
      <w:r>
        <w:rPr>
          <w:rFonts w:hint="eastAsia" w:ascii="仿宋_GB2312" w:hAnsi="Times New Roman" w:eastAsia="仿宋_GB2312"/>
          <w:color w:val="auto"/>
          <w:sz w:val="32"/>
          <w:highlight w:val="none"/>
          <w:u w:val="none"/>
          <w:lang w:val="en"/>
        </w:rPr>
        <w:t>（</w:t>
      </w:r>
      <w:r>
        <w:rPr>
          <w:rFonts w:hint="eastAsia" w:ascii="仿宋_GB2312" w:hAnsi="Times New Roman" w:eastAsia="仿宋_GB2312"/>
          <w:color w:val="auto"/>
          <w:sz w:val="32"/>
          <w:highlight w:val="none"/>
          <w:u w:val="none"/>
        </w:rPr>
        <w:t>4</w:t>
      </w:r>
      <w:r>
        <w:rPr>
          <w:rFonts w:hint="eastAsia" w:ascii="仿宋_GB2312" w:hAnsi="Times New Roman" w:eastAsia="仿宋_GB2312"/>
          <w:color w:val="auto"/>
          <w:sz w:val="32"/>
          <w:highlight w:val="none"/>
          <w:u w:val="none"/>
          <w:lang w:val="en"/>
        </w:rPr>
        <w:t>）</w:t>
      </w:r>
      <w:r>
        <w:rPr>
          <w:rFonts w:hint="eastAsia" w:ascii="仿宋_GB2312" w:hAnsi="Times New Roman" w:eastAsia="仿宋_GB2312"/>
          <w:color w:val="auto"/>
          <w:sz w:val="32"/>
          <w:highlight w:val="none"/>
          <w:u w:val="none"/>
        </w:rPr>
        <w:t>成本</w:t>
      </w:r>
      <w:r>
        <w:rPr>
          <w:rFonts w:hint="eastAsia" w:ascii="仿宋_GB2312" w:hAnsi="Times New Roman" w:eastAsia="仿宋_GB2312"/>
          <w:color w:val="auto"/>
          <w:sz w:val="32"/>
          <w:highlight w:val="none"/>
          <w:u w:val="none"/>
          <w:lang w:val="en"/>
        </w:rPr>
        <w:t>指标。</w:t>
      </w:r>
      <w:r>
        <w:rPr>
          <w:rFonts w:hint="eastAsia" w:ascii="仿宋_GB2312" w:hAnsi="Times New Roman" w:eastAsia="仿宋_GB2312"/>
          <w:color w:val="auto"/>
          <w:sz w:val="32"/>
          <w:highlight w:val="none"/>
          <w:u w:val="none"/>
        </w:rPr>
        <w:t>该指标分值8分，主要考核成本控制，评价得分8分，得分率为100%。专项资金项目成本支出均控制在合理预算范围内，未超过市场价格，未发现成本明显不合理的问题。</w:t>
      </w:r>
    </w:p>
    <w:p>
      <w:pPr>
        <w:pStyle w:val="12"/>
        <w:ind w:left="0" w:leftChars="0" w:firstLine="642" w:firstLineChars="200"/>
        <w:rPr>
          <w:rFonts w:ascii="仿宋_GB2312" w:hAnsi="仿宋" w:eastAsia="仿宋_GB2312"/>
          <w:color w:val="auto"/>
          <w:sz w:val="32"/>
          <w:highlight w:val="none"/>
          <w:u w:val="none"/>
        </w:rPr>
      </w:pPr>
      <w:r>
        <w:rPr>
          <w:rFonts w:hint="eastAsia" w:ascii="仿宋_GB2312" w:hAnsi="Times New Roman" w:eastAsia="仿宋_GB2312"/>
          <w:b/>
          <w:bCs/>
          <w:color w:val="auto"/>
          <w:sz w:val="32"/>
          <w:highlight w:val="none"/>
          <w:u w:val="none"/>
        </w:rPr>
        <w:t>3.效益。</w:t>
      </w:r>
      <w:r>
        <w:rPr>
          <w:rFonts w:hint="eastAsia" w:ascii="仿宋_GB2312" w:hAnsi="仿宋" w:eastAsia="仿宋_GB2312"/>
          <w:color w:val="auto"/>
          <w:sz w:val="32"/>
          <w:highlight w:val="none"/>
          <w:u w:val="none"/>
        </w:rPr>
        <w:t>该指标主要从社会效益、生态效益和可持续影响3个方面进行考察。指标分值40分，</w:t>
      </w:r>
      <w:r>
        <w:rPr>
          <w:rFonts w:hint="eastAsia" w:ascii="仿宋_GB2312" w:eastAsia="仿宋_GB2312"/>
          <w:color w:val="auto"/>
          <w:sz w:val="32"/>
          <w:highlight w:val="none"/>
          <w:u w:val="none"/>
        </w:rPr>
        <w:t>评价</w:t>
      </w:r>
      <w:r>
        <w:rPr>
          <w:rFonts w:hint="eastAsia" w:ascii="仿宋_GB2312" w:hAnsi="仿宋" w:eastAsia="仿宋_GB2312"/>
          <w:color w:val="auto"/>
          <w:sz w:val="32"/>
          <w:highlight w:val="none"/>
          <w:u w:val="none"/>
        </w:rPr>
        <w:t>得分40分，得分率为100%。</w:t>
      </w:r>
    </w:p>
    <w:p>
      <w:pPr>
        <w:widowControl/>
        <w:ind w:firstLine="640" w:firstLineChars="200"/>
        <w:jc w:val="left"/>
        <w:rPr>
          <w:rFonts w:ascii="仿宋_GB2312" w:eastAsia="仿宋_GB2312"/>
          <w:color w:val="auto"/>
          <w:sz w:val="32"/>
          <w:highlight w:val="none"/>
          <w:u w:val="none"/>
        </w:rPr>
      </w:pPr>
      <w:r>
        <w:rPr>
          <w:rFonts w:hint="eastAsia" w:ascii="仿宋_GB2312" w:eastAsia="仿宋_GB2312"/>
          <w:color w:val="auto"/>
          <w:sz w:val="32"/>
          <w:highlight w:val="none"/>
          <w:u w:val="none"/>
        </w:rPr>
        <w:t>（1）社会效益。该指标分值20分，评价得分20分，得分率为100%。</w:t>
      </w:r>
    </w:p>
    <w:p>
      <w:pPr>
        <w:pStyle w:val="12"/>
        <w:ind w:left="0" w:leftChars="0" w:firstLine="642" w:firstLineChars="200"/>
        <w:rPr>
          <w:rFonts w:ascii="仿宋_GB2312" w:hAnsi="Times New Roman" w:eastAsia="仿宋_GB2312" w:cs="Times New Roman"/>
          <w:color w:val="auto"/>
          <w:sz w:val="32"/>
          <w:highlight w:val="none"/>
          <w:u w:val="none"/>
        </w:rPr>
      </w:pPr>
      <w:r>
        <w:rPr>
          <w:rFonts w:hint="eastAsia" w:ascii="仿宋_GB2312" w:eastAsia="仿宋_GB2312"/>
          <w:b/>
          <w:bCs/>
          <w:color w:val="auto"/>
          <w:sz w:val="32"/>
          <w:highlight w:val="none"/>
          <w:u w:val="none"/>
        </w:rPr>
        <w:t>一是</w:t>
      </w:r>
      <w:r>
        <w:rPr>
          <w:rFonts w:hint="eastAsia" w:ascii="仿宋_GB2312" w:hAnsi="Times New Roman" w:eastAsia="仿宋_GB2312" w:cs="Times New Roman"/>
          <w:color w:val="auto"/>
          <w:sz w:val="32"/>
          <w:highlight w:val="none"/>
          <w:u w:val="none"/>
        </w:rPr>
        <w:t>燃气用户端事故风险（降低），该指标分值10分，得分</w:t>
      </w:r>
      <w:r>
        <w:rPr>
          <w:rFonts w:hint="eastAsia" w:ascii="仿宋_GB2312" w:hAnsi="Times New Roman" w:eastAsia="仿宋_GB2312" w:cs="Times New Roman"/>
          <w:color w:val="auto"/>
          <w:sz w:val="32"/>
          <w:highlight w:val="none"/>
          <w:u w:val="none"/>
          <w:lang w:val="en-US" w:eastAsia="zh-CN"/>
        </w:rPr>
        <w:t>10</w:t>
      </w:r>
      <w:r>
        <w:rPr>
          <w:rFonts w:hint="eastAsia" w:ascii="仿宋_GB2312" w:hAnsi="Times New Roman" w:eastAsia="仿宋_GB2312" w:cs="Times New Roman"/>
          <w:color w:val="auto"/>
          <w:sz w:val="32"/>
          <w:highlight w:val="none"/>
          <w:u w:val="none"/>
        </w:rPr>
        <w:t>分，得分率</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%。评价年度预期值为降低，评价年度实现值为</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。城市管理与地下基础设施建设更新改造项目，通过全面</w:t>
      </w:r>
      <w:r>
        <w:rPr>
          <w:rFonts w:hint="eastAsia" w:ascii="仿宋_GB2312" w:hAnsi="Times New Roman" w:eastAsia="仿宋_GB2312" w:cs="Times New Roman"/>
          <w:color w:val="auto"/>
          <w:sz w:val="32"/>
          <w:highlight w:val="none"/>
          <w:u w:val="none"/>
          <w:lang w:val="en-US" w:eastAsia="zh-CN"/>
        </w:rPr>
        <w:t>排查</w:t>
      </w:r>
      <w:r>
        <w:rPr>
          <w:rFonts w:hint="eastAsia" w:ascii="仿宋_GB2312" w:hAnsi="Times New Roman" w:eastAsia="仿宋_GB2312" w:cs="Times New Roman"/>
          <w:color w:val="auto"/>
          <w:sz w:val="32"/>
          <w:highlight w:val="none"/>
          <w:u w:val="none"/>
        </w:rPr>
        <w:t>，加快推动燃气居民用户更换使用具有防脱落、耐老化、防剪切、耐动物噬咬特性的燃气专用金属软管，使我省地下市政燃气管网设施运行顺畅高效，管道抗压、防腐蚀能力明显提升，燃气安全隐患明显减少，</w:t>
      </w:r>
      <w:r>
        <w:rPr>
          <w:rFonts w:hint="eastAsia" w:ascii="仿宋_GB2312" w:hAnsi="Times New Roman" w:eastAsia="仿宋_GB2312" w:cs="Times New Roman"/>
          <w:color w:val="auto"/>
          <w:sz w:val="32"/>
          <w:highlight w:val="none"/>
          <w:u w:val="none"/>
          <w:lang w:val="en-US" w:eastAsia="zh-CN"/>
        </w:rPr>
        <w:t>有效降低了</w:t>
      </w:r>
      <w:r>
        <w:rPr>
          <w:rFonts w:hint="eastAsia" w:ascii="仿宋_GB2312" w:hAnsi="Times New Roman" w:eastAsia="仿宋_GB2312" w:cs="Times New Roman"/>
          <w:color w:val="auto"/>
          <w:sz w:val="32"/>
          <w:highlight w:val="none"/>
          <w:u w:val="none"/>
        </w:rPr>
        <w:t>燃气用户端事故风险</w:t>
      </w:r>
      <w:r>
        <w:rPr>
          <w:rFonts w:hint="eastAsia" w:ascii="仿宋_GB2312" w:hAnsi="Times New Roman" w:eastAsia="仿宋_GB2312" w:cs="Times New Roman"/>
          <w:color w:val="auto"/>
          <w:sz w:val="32"/>
          <w:highlight w:val="none"/>
          <w:u w:val="none"/>
          <w:lang w:eastAsia="zh-CN"/>
        </w:rPr>
        <w:t>，</w:t>
      </w:r>
      <w:r>
        <w:rPr>
          <w:rFonts w:hint="eastAsia" w:ascii="仿宋_GB2312" w:hAnsi="Times New Roman" w:eastAsia="仿宋_GB2312" w:cs="Times New Roman"/>
          <w:color w:val="auto"/>
          <w:sz w:val="32"/>
          <w:highlight w:val="none"/>
          <w:u w:val="none"/>
        </w:rPr>
        <w:t>切实保障居民用气安全</w:t>
      </w:r>
      <w:r>
        <w:rPr>
          <w:rFonts w:hint="eastAsia" w:ascii="仿宋_GB2312" w:hAnsi="Times New Roman" w:eastAsia="仿宋_GB2312" w:cs="Times New Roman"/>
          <w:color w:val="auto"/>
          <w:sz w:val="32"/>
          <w:highlight w:val="none"/>
          <w:u w:val="none"/>
          <w:lang w:val="en-US" w:eastAsia="zh-CN"/>
        </w:rPr>
        <w:t>和</w:t>
      </w:r>
      <w:r>
        <w:rPr>
          <w:rFonts w:hint="eastAsia" w:ascii="仿宋_GB2312" w:hAnsi="Times New Roman" w:eastAsia="仿宋_GB2312" w:cs="Times New Roman"/>
          <w:color w:val="auto"/>
          <w:sz w:val="32"/>
          <w:highlight w:val="none"/>
          <w:u w:val="none"/>
        </w:rPr>
        <w:t>人民群众生命财产安全。</w:t>
      </w:r>
    </w:p>
    <w:p>
      <w:pPr>
        <w:pStyle w:val="12"/>
        <w:ind w:left="0" w:leftChars="0" w:firstLine="642" w:firstLineChars="200"/>
        <w:rPr>
          <w:color w:val="auto"/>
          <w:highlight w:val="none"/>
          <w:u w:val="none"/>
        </w:rPr>
      </w:pPr>
      <w:r>
        <w:rPr>
          <w:rFonts w:hint="eastAsia" w:ascii="仿宋_GB2312" w:eastAsia="仿宋_GB2312"/>
          <w:b/>
          <w:bCs/>
          <w:color w:val="auto"/>
          <w:sz w:val="32"/>
          <w:highlight w:val="none"/>
          <w:u w:val="none"/>
        </w:rPr>
        <w:t>二是</w:t>
      </w:r>
      <w:r>
        <w:rPr>
          <w:rFonts w:hint="eastAsia" w:ascii="仿宋_GB2312" w:hAnsi="Times New Roman" w:eastAsia="仿宋_GB2312" w:cs="Times New Roman"/>
          <w:color w:val="auto"/>
          <w:sz w:val="32"/>
          <w:highlight w:val="none"/>
          <w:u w:val="none"/>
        </w:rPr>
        <w:t>城镇燃气安全排查整治成效（进一步巩固），该指标分值10分，得分</w:t>
      </w:r>
      <w:r>
        <w:rPr>
          <w:rFonts w:hint="eastAsia" w:ascii="仿宋_GB2312" w:hAnsi="Times New Roman" w:eastAsia="仿宋_GB2312" w:cs="Times New Roman"/>
          <w:color w:val="auto"/>
          <w:sz w:val="32"/>
          <w:highlight w:val="none"/>
          <w:u w:val="none"/>
          <w:lang w:val="en-US" w:eastAsia="zh-CN"/>
        </w:rPr>
        <w:t>10</w:t>
      </w:r>
      <w:r>
        <w:rPr>
          <w:rFonts w:hint="eastAsia" w:ascii="仿宋_GB2312" w:hAnsi="Times New Roman" w:eastAsia="仿宋_GB2312" w:cs="Times New Roman"/>
          <w:color w:val="auto"/>
          <w:sz w:val="32"/>
          <w:highlight w:val="none"/>
          <w:u w:val="none"/>
        </w:rPr>
        <w:t>分，得分率</w:t>
      </w:r>
      <w:r>
        <w:rPr>
          <w:rFonts w:hint="eastAsia" w:ascii="仿宋_GB2312" w:hAnsi="Times New Roman" w:eastAsia="仿宋_GB2312" w:cs="Times New Roman"/>
          <w:color w:val="auto"/>
          <w:sz w:val="32"/>
          <w:highlight w:val="none"/>
          <w:u w:val="none"/>
          <w:lang w:val="en-US" w:eastAsia="zh-CN"/>
        </w:rPr>
        <w:t>100</w:t>
      </w:r>
      <w:r>
        <w:rPr>
          <w:rFonts w:hint="eastAsia" w:ascii="仿宋_GB2312" w:hAnsi="Times New Roman" w:eastAsia="仿宋_GB2312" w:cs="Times New Roman"/>
          <w:color w:val="auto"/>
          <w:sz w:val="32"/>
          <w:highlight w:val="none"/>
          <w:u w:val="none"/>
        </w:rPr>
        <w:t>%。评价年度预期值为进一步巩固，评价年度实现值为100%。开展了全省燃气场站4轮全覆盖检查，督促燃气企业建立健全安全管理制度，持续推进液化石油气充装场站整改，提升了燃气企业安全水平，以高水平安全保障高质量发展。经过安全评估巡查、管道普查及隐患消除等工作，城市安全韧性明显提升，进一步巩固了城镇燃气安全排查整治成效。</w:t>
      </w:r>
    </w:p>
    <w:p>
      <w:pPr>
        <w:widowControl/>
        <w:ind w:firstLine="640" w:firstLineChars="200"/>
        <w:jc w:val="left"/>
        <w:rPr>
          <w:rFonts w:ascii="黑体" w:hAnsi="宋体" w:eastAsia="黑体" w:cs="黑体"/>
          <w:color w:val="auto"/>
          <w:kern w:val="0"/>
          <w:sz w:val="31"/>
          <w:szCs w:val="31"/>
          <w:highlight w:val="none"/>
          <w:u w:val="none"/>
          <w:lang w:bidi="ar"/>
        </w:rPr>
      </w:pPr>
      <w:r>
        <w:rPr>
          <w:rFonts w:hint="eastAsia" w:ascii="仿宋_GB2312" w:hAnsi="Times New Roman" w:eastAsia="仿宋_GB2312"/>
          <w:color w:val="auto"/>
          <w:kern w:val="0"/>
          <w:sz w:val="32"/>
          <w:szCs w:val="32"/>
          <w:highlight w:val="none"/>
          <w:u w:val="none"/>
        </w:rPr>
        <w:t>（2）</w:t>
      </w:r>
      <w:r>
        <w:rPr>
          <w:rFonts w:hint="eastAsia" w:ascii="仿宋_GB2312" w:hAnsi="仿宋" w:eastAsia="仿宋_GB2312"/>
          <w:color w:val="auto"/>
          <w:sz w:val="32"/>
          <w:highlight w:val="none"/>
          <w:u w:val="none"/>
        </w:rPr>
        <w:t>可持续影响</w:t>
      </w:r>
      <w:r>
        <w:rPr>
          <w:rFonts w:hint="eastAsia" w:ascii="仿宋_GB2312" w:hAnsi="Times New Roman" w:eastAsia="仿宋_GB2312"/>
          <w:color w:val="auto"/>
          <w:sz w:val="32"/>
          <w:highlight w:val="none"/>
          <w:u w:val="none"/>
        </w:rPr>
        <w:t>。该指标分值10分，主要考核对政府决策水平的积极影响，评价得分</w:t>
      </w:r>
      <w:r>
        <w:rPr>
          <w:rFonts w:hint="eastAsia" w:ascii="仿宋_GB2312" w:hAnsi="Times New Roman" w:eastAsia="仿宋_GB2312"/>
          <w:color w:val="auto"/>
          <w:sz w:val="32"/>
          <w:highlight w:val="none"/>
          <w:u w:val="none"/>
          <w:lang w:val="en-US" w:eastAsia="zh-CN"/>
        </w:rPr>
        <w:t>10</w:t>
      </w:r>
      <w:r>
        <w:rPr>
          <w:rFonts w:hint="eastAsia" w:ascii="仿宋_GB2312" w:hAnsi="Times New Roman" w:eastAsia="仿宋_GB2312"/>
          <w:color w:val="auto"/>
          <w:sz w:val="32"/>
          <w:highlight w:val="none"/>
          <w:u w:val="none"/>
        </w:rPr>
        <w:t>分，得分率为</w:t>
      </w:r>
      <w:r>
        <w:rPr>
          <w:rFonts w:hint="eastAsia" w:ascii="仿宋_GB2312" w:hAnsi="Times New Roman" w:eastAsia="仿宋_GB2312"/>
          <w:color w:val="auto"/>
          <w:sz w:val="32"/>
          <w:highlight w:val="none"/>
          <w:u w:val="none"/>
          <w:lang w:val="en-US" w:eastAsia="zh-CN"/>
        </w:rPr>
        <w:t>100</w:t>
      </w:r>
      <w:r>
        <w:rPr>
          <w:rFonts w:hint="eastAsia" w:ascii="仿宋_GB2312" w:hAnsi="Times New Roman" w:eastAsia="仿宋_GB2312"/>
          <w:color w:val="auto"/>
          <w:sz w:val="32"/>
          <w:highlight w:val="none"/>
          <w:u w:val="none"/>
        </w:rPr>
        <w:t>%。</w:t>
      </w:r>
      <w:r>
        <w:rPr>
          <w:rFonts w:hint="eastAsia" w:ascii="仿宋_GB2312" w:hAnsi="Times New Roman" w:eastAsia="仿宋_GB2312" w:cs="Times New Roman"/>
          <w:color w:val="auto"/>
          <w:sz w:val="32"/>
          <w:highlight w:val="none"/>
          <w:u w:val="none"/>
        </w:rPr>
        <w:t>评价年度预期值为</w:t>
      </w:r>
      <w:r>
        <w:rPr>
          <w:rFonts w:hint="eastAsia" w:ascii="仿宋_GB2312" w:hAnsi="Times New Roman" w:eastAsia="仿宋_GB2312" w:cs="Times New Roman"/>
          <w:color w:val="auto"/>
          <w:sz w:val="32"/>
          <w:highlight w:val="none"/>
          <w:u w:val="none"/>
          <w:lang w:val="en-US" w:eastAsia="zh-CN"/>
        </w:rPr>
        <w:t>长期</w:t>
      </w:r>
      <w:r>
        <w:rPr>
          <w:rFonts w:hint="eastAsia" w:ascii="仿宋_GB2312" w:hAnsi="Times New Roman" w:eastAsia="仿宋_GB2312" w:cs="Times New Roman"/>
          <w:color w:val="auto"/>
          <w:sz w:val="32"/>
          <w:highlight w:val="none"/>
          <w:u w:val="none"/>
        </w:rPr>
        <w:t>，评价年度实现值为100%。</w:t>
      </w:r>
      <w:r>
        <w:rPr>
          <w:rFonts w:hint="eastAsia" w:ascii="仿宋_GB2312" w:hAnsi="Times New Roman" w:eastAsia="仿宋_GB2312"/>
          <w:color w:val="auto"/>
          <w:sz w:val="32"/>
          <w:highlight w:val="none"/>
          <w:u w:val="none"/>
        </w:rPr>
        <w:t>通过</w:t>
      </w:r>
      <w:r>
        <w:rPr>
          <w:rFonts w:hint="eastAsia" w:ascii="仿宋_GB2312" w:hAnsi="Times New Roman" w:eastAsia="仿宋_GB2312"/>
          <w:color w:val="auto"/>
          <w:sz w:val="32"/>
          <w:highlight w:val="none"/>
          <w:u w:val="none"/>
          <w:lang w:val="en-US" w:eastAsia="zh-CN"/>
        </w:rPr>
        <w:t>开展</w:t>
      </w:r>
      <w:r>
        <w:rPr>
          <w:rFonts w:hint="eastAsia" w:ascii="仿宋_GB2312" w:hAnsi="Times New Roman" w:eastAsia="仿宋_GB2312"/>
          <w:color w:val="auto"/>
          <w:sz w:val="32"/>
          <w:highlight w:val="none"/>
          <w:u w:val="none"/>
        </w:rPr>
        <w:t>城市管理与地下基础设施建设更新改造项目，政府根据</w:t>
      </w:r>
      <w:r>
        <w:rPr>
          <w:rFonts w:hint="eastAsia" w:ascii="仿宋_GB2312" w:hAnsi="Times New Roman" w:eastAsia="仿宋_GB2312"/>
          <w:color w:val="auto"/>
          <w:sz w:val="32"/>
          <w:highlight w:val="none"/>
          <w:u w:val="none"/>
          <w:lang w:val="en-US" w:eastAsia="zh-CN"/>
        </w:rPr>
        <w:t>相关</w:t>
      </w:r>
      <w:r>
        <w:rPr>
          <w:rFonts w:hint="eastAsia" w:ascii="仿宋_GB2312" w:hAnsi="Times New Roman" w:eastAsia="仿宋_GB2312"/>
          <w:color w:val="auto"/>
          <w:sz w:val="32"/>
          <w:highlight w:val="none"/>
          <w:u w:val="none"/>
        </w:rPr>
        <w:t>法律法规和标准，更好地指导和监督各地加强城镇燃气安全风险管控和隐患排查治理，防范重特大事故发生，切实保护人民群众生命财产安全</w:t>
      </w:r>
      <w:r>
        <w:rPr>
          <w:rFonts w:hint="eastAsia" w:ascii="仿宋_GB2312" w:hAnsi="Times New Roman" w:eastAsia="仿宋_GB2312"/>
          <w:color w:val="auto"/>
          <w:sz w:val="32"/>
          <w:highlight w:val="none"/>
          <w:u w:val="none"/>
          <w:lang w:eastAsia="zh-CN"/>
        </w:rPr>
        <w:t>。</w:t>
      </w:r>
      <w:r>
        <w:rPr>
          <w:rFonts w:hint="eastAsia" w:ascii="仿宋_GB2312" w:hAnsi="Times New Roman" w:eastAsia="仿宋_GB2312"/>
          <w:color w:val="auto"/>
          <w:sz w:val="32"/>
          <w:highlight w:val="none"/>
          <w:u w:val="none"/>
        </w:rPr>
        <w:t>通过全面排查整治燃气</w:t>
      </w:r>
      <w:r>
        <w:rPr>
          <w:rFonts w:hint="eastAsia" w:ascii="仿宋_GB2312" w:hAnsi="Times New Roman" w:eastAsia="仿宋_GB2312"/>
          <w:color w:val="auto"/>
          <w:sz w:val="32"/>
          <w:highlight w:val="none"/>
          <w:u w:val="none"/>
          <w:lang w:val="en-US" w:eastAsia="zh-CN"/>
        </w:rPr>
        <w:t>安全</w:t>
      </w:r>
      <w:r>
        <w:rPr>
          <w:rFonts w:hint="eastAsia" w:ascii="仿宋_GB2312" w:hAnsi="Times New Roman" w:eastAsia="仿宋_GB2312"/>
          <w:color w:val="auto"/>
          <w:sz w:val="32"/>
          <w:highlight w:val="none"/>
          <w:u w:val="none"/>
        </w:rPr>
        <w:t>隐患，政府能够更有效地监管和管理</w:t>
      </w:r>
      <w:r>
        <w:rPr>
          <w:rFonts w:hint="eastAsia" w:ascii="仿宋_GB2312" w:hAnsi="Times New Roman" w:eastAsia="仿宋_GB2312"/>
          <w:color w:val="auto"/>
          <w:sz w:val="32"/>
          <w:highlight w:val="none"/>
          <w:u w:val="none"/>
          <w:lang w:val="en-US" w:eastAsia="zh-CN"/>
        </w:rPr>
        <w:t>燃气</w:t>
      </w:r>
      <w:r>
        <w:rPr>
          <w:rFonts w:hint="eastAsia" w:ascii="仿宋_GB2312" w:hAnsi="Times New Roman" w:eastAsia="仿宋_GB2312"/>
          <w:color w:val="auto"/>
          <w:sz w:val="32"/>
          <w:highlight w:val="none"/>
          <w:u w:val="none"/>
        </w:rPr>
        <w:t>相关问题，从而提高政府在处理城镇燃气安全隐患问题上的决策水平</w:t>
      </w:r>
      <w:r>
        <w:rPr>
          <w:rFonts w:hint="eastAsia" w:ascii="仿宋_GB2312" w:hAnsi="Times New Roman" w:eastAsia="仿宋_GB2312"/>
          <w:color w:val="auto"/>
          <w:sz w:val="32"/>
          <w:highlight w:val="none"/>
          <w:u w:val="none"/>
          <w:lang w:val="en-US" w:eastAsia="zh-CN"/>
        </w:rPr>
        <w:t>和执行能力</w:t>
      </w:r>
      <w:r>
        <w:rPr>
          <w:rFonts w:hint="eastAsia" w:ascii="仿宋_GB2312" w:hAnsi="Times New Roman" w:eastAsia="仿宋_GB2312"/>
          <w:color w:val="auto"/>
          <w:sz w:val="32"/>
          <w:highlight w:val="none"/>
          <w:u w:val="none"/>
        </w:rPr>
        <w:t>，还增强</w:t>
      </w:r>
      <w:r>
        <w:rPr>
          <w:rFonts w:hint="eastAsia" w:ascii="仿宋_GB2312" w:hAnsi="Times New Roman" w:eastAsia="仿宋_GB2312"/>
          <w:color w:val="auto"/>
          <w:sz w:val="32"/>
          <w:highlight w:val="none"/>
          <w:u w:val="none"/>
          <w:lang w:val="en-US" w:eastAsia="zh-CN"/>
        </w:rPr>
        <w:t>了</w:t>
      </w:r>
      <w:r>
        <w:rPr>
          <w:rFonts w:hint="eastAsia" w:ascii="仿宋_GB2312" w:hAnsi="Times New Roman" w:eastAsia="仿宋_GB2312"/>
          <w:color w:val="auto"/>
          <w:sz w:val="32"/>
          <w:highlight w:val="none"/>
          <w:u w:val="none"/>
        </w:rPr>
        <w:t>政府与民众之间的互动和信任，</w:t>
      </w:r>
      <w:r>
        <w:rPr>
          <w:rFonts w:hint="eastAsia" w:ascii="仿宋_GB2312" w:hAnsi="Times New Roman" w:eastAsia="仿宋_GB2312"/>
          <w:color w:val="auto"/>
          <w:sz w:val="32"/>
          <w:highlight w:val="none"/>
          <w:u w:val="none"/>
          <w:lang w:val="en-US" w:eastAsia="zh-CN"/>
        </w:rPr>
        <w:t>塑造了</w:t>
      </w:r>
      <w:r>
        <w:rPr>
          <w:rFonts w:hint="eastAsia" w:ascii="仿宋_GB2312" w:hAnsi="Times New Roman" w:eastAsia="仿宋_GB2312"/>
          <w:color w:val="auto"/>
          <w:sz w:val="32"/>
          <w:highlight w:val="none"/>
          <w:u w:val="none"/>
        </w:rPr>
        <w:t>更加安全和高效的城市环境。</w:t>
      </w:r>
    </w:p>
    <w:p>
      <w:pPr>
        <w:widowControl/>
        <w:ind w:firstLine="640" w:firstLineChars="200"/>
        <w:jc w:val="left"/>
        <w:rPr>
          <w:rFonts w:hint="default" w:ascii="黑体" w:hAnsi="宋体" w:eastAsia="仿宋_GB2312" w:cs="黑体"/>
          <w:color w:val="auto"/>
          <w:kern w:val="0"/>
          <w:sz w:val="31"/>
          <w:szCs w:val="31"/>
          <w:highlight w:val="none"/>
          <w:u w:val="none"/>
          <w:lang w:val="en-US" w:eastAsia="zh-CN" w:bidi="ar"/>
        </w:rPr>
      </w:pPr>
      <w:r>
        <w:rPr>
          <w:rFonts w:hint="eastAsia" w:ascii="仿宋_GB2312" w:hAnsi="Times New Roman" w:eastAsia="仿宋_GB2312"/>
          <w:color w:val="auto"/>
          <w:sz w:val="32"/>
          <w:highlight w:val="none"/>
          <w:u w:val="none"/>
        </w:rPr>
        <w:t>（3）</w:t>
      </w:r>
      <w:r>
        <w:rPr>
          <w:rFonts w:hint="eastAsia" w:ascii="仿宋_GB2312" w:hAnsi="仿宋" w:eastAsia="仿宋_GB2312"/>
          <w:color w:val="auto"/>
          <w:sz w:val="32"/>
          <w:highlight w:val="none"/>
          <w:u w:val="none"/>
        </w:rPr>
        <w:t>满意度指标</w:t>
      </w:r>
      <w:r>
        <w:rPr>
          <w:rFonts w:hint="eastAsia" w:ascii="仿宋_GB2312" w:hAnsi="Times New Roman" w:eastAsia="仿宋_GB2312"/>
          <w:color w:val="auto"/>
          <w:sz w:val="32"/>
          <w:highlight w:val="none"/>
          <w:u w:val="none"/>
        </w:rPr>
        <w:t>。该指标分值10分，主要考核相关受益群众满意度，评价得分</w:t>
      </w:r>
      <w:r>
        <w:rPr>
          <w:rFonts w:hint="eastAsia" w:ascii="仿宋_GB2312" w:hAnsi="Times New Roman" w:eastAsia="仿宋_GB2312"/>
          <w:color w:val="auto"/>
          <w:sz w:val="32"/>
          <w:highlight w:val="none"/>
          <w:u w:val="none"/>
          <w:lang w:val="en-US" w:eastAsia="zh-CN"/>
        </w:rPr>
        <w:t>10</w:t>
      </w:r>
      <w:r>
        <w:rPr>
          <w:rFonts w:hint="eastAsia" w:ascii="仿宋_GB2312" w:hAnsi="Times New Roman" w:eastAsia="仿宋_GB2312"/>
          <w:color w:val="auto"/>
          <w:sz w:val="32"/>
          <w:highlight w:val="none"/>
          <w:u w:val="none"/>
        </w:rPr>
        <w:t>分，得分率为</w:t>
      </w:r>
      <w:r>
        <w:rPr>
          <w:rFonts w:hint="eastAsia" w:ascii="仿宋_GB2312" w:hAnsi="Times New Roman" w:eastAsia="仿宋_GB2312"/>
          <w:color w:val="auto"/>
          <w:sz w:val="32"/>
          <w:highlight w:val="none"/>
          <w:u w:val="none"/>
          <w:lang w:val="en-US" w:eastAsia="zh-CN"/>
        </w:rPr>
        <w:t>100</w:t>
      </w:r>
      <w:r>
        <w:rPr>
          <w:rFonts w:hint="eastAsia" w:ascii="仿宋_GB2312" w:hAnsi="Times New Roman" w:eastAsia="仿宋_GB2312"/>
          <w:color w:val="auto"/>
          <w:sz w:val="32"/>
          <w:highlight w:val="none"/>
          <w:u w:val="none"/>
        </w:rPr>
        <w:t>%。</w:t>
      </w:r>
      <w:r>
        <w:rPr>
          <w:rFonts w:hint="eastAsia" w:ascii="仿宋_GB2312" w:hAnsi="Times New Roman" w:eastAsia="仿宋_GB2312" w:cs="Times New Roman"/>
          <w:color w:val="auto"/>
          <w:sz w:val="32"/>
          <w:highlight w:val="none"/>
          <w:u w:val="none"/>
        </w:rPr>
        <w:t>评价年度预期值为</w:t>
      </w:r>
      <w:r>
        <w:rPr>
          <w:rFonts w:hint="eastAsia" w:ascii="仿宋_GB2312" w:eastAsia="仿宋_GB2312"/>
          <w:color w:val="auto"/>
          <w:sz w:val="32"/>
          <w:highlight w:val="none"/>
          <w:u w:val="none"/>
          <w:lang w:val="en-US" w:eastAsia="zh-CN"/>
        </w:rPr>
        <w:t>≥</w:t>
      </w:r>
      <w:r>
        <w:rPr>
          <w:rFonts w:hint="eastAsia" w:ascii="仿宋_GB2312" w:hAnsi="Times New Roman" w:eastAsia="仿宋_GB2312" w:cs="Times New Roman"/>
          <w:color w:val="auto"/>
          <w:sz w:val="32"/>
          <w:highlight w:val="none"/>
          <w:u w:val="none"/>
          <w:lang w:val="en-US" w:eastAsia="zh-CN"/>
        </w:rPr>
        <w:t>90%</w:t>
      </w:r>
      <w:r>
        <w:rPr>
          <w:rFonts w:hint="eastAsia" w:ascii="仿宋_GB2312" w:hAnsi="Times New Roman" w:eastAsia="仿宋_GB2312" w:cs="Times New Roman"/>
          <w:color w:val="auto"/>
          <w:sz w:val="32"/>
          <w:highlight w:val="none"/>
          <w:u w:val="none"/>
        </w:rPr>
        <w:t>，评价年度实现值为</w:t>
      </w:r>
      <w:r>
        <w:rPr>
          <w:rFonts w:hint="eastAsia" w:ascii="仿宋_GB2312" w:hAnsi="Times New Roman" w:eastAsia="仿宋_GB2312" w:cs="Times New Roman"/>
          <w:color w:val="auto"/>
          <w:sz w:val="32"/>
          <w:highlight w:val="none"/>
          <w:u w:val="none"/>
          <w:lang w:val="en-US" w:eastAsia="zh-CN"/>
        </w:rPr>
        <w:t>99.64</w:t>
      </w:r>
      <w:r>
        <w:rPr>
          <w:rFonts w:hint="eastAsia" w:ascii="仿宋_GB2312" w:hAnsi="Times New Roman" w:eastAsia="仿宋_GB2312" w:cs="Times New Roman"/>
          <w:color w:val="auto"/>
          <w:sz w:val="32"/>
          <w:highlight w:val="none"/>
          <w:u w:val="none"/>
        </w:rPr>
        <w:t>%。</w:t>
      </w:r>
      <w:r>
        <w:rPr>
          <w:rFonts w:hint="eastAsia" w:ascii="仿宋_GB2312" w:hAnsi="Times New Roman" w:eastAsia="仿宋_GB2312"/>
          <w:color w:val="auto"/>
          <w:sz w:val="32"/>
          <w:highlight w:val="none"/>
          <w:u w:val="none"/>
        </w:rPr>
        <w:t>城市管理与地下基础设施建设更新改造项目</w:t>
      </w:r>
      <w:r>
        <w:rPr>
          <w:rFonts w:hint="eastAsia" w:ascii="仿宋_GB2312" w:hAnsi="Times New Roman" w:eastAsia="仿宋_GB2312"/>
          <w:color w:val="auto"/>
          <w:sz w:val="32"/>
          <w:highlight w:val="none"/>
          <w:u w:val="none"/>
          <w:lang w:val="en-US" w:eastAsia="zh-CN"/>
        </w:rPr>
        <w:t>减少了燃气安全隐患，有效降低了燃气用户端事故风险，切实保障居民用气安全和人民群众生命财产安全，相关受益群众满意度较高。</w:t>
      </w:r>
    </w:p>
    <w:p>
      <w:pPr>
        <w:pStyle w:val="3"/>
        <w:spacing w:before="0" w:after="0" w:line="360" w:lineRule="auto"/>
        <w:ind w:firstLine="642" w:firstLineChars="200"/>
        <w:rPr>
          <w:rFonts w:ascii="Calibri" w:hAnsi="宋体"/>
          <w:color w:val="auto"/>
          <w:highlight w:val="none"/>
          <w:u w:val="none"/>
        </w:rPr>
      </w:pPr>
      <w:bookmarkStart w:id="30" w:name="_Toc139976782"/>
      <w:bookmarkStart w:id="31" w:name="_Toc24772"/>
      <w:bookmarkStart w:id="32" w:name="_Toc3302"/>
      <w:bookmarkStart w:id="33" w:name="_Toc9578"/>
      <w:bookmarkStart w:id="34" w:name="_Toc2017"/>
      <w:r>
        <w:rPr>
          <w:rFonts w:hint="eastAsia" w:ascii="Calibri" w:hAnsi="宋体"/>
          <w:color w:val="auto"/>
          <w:highlight w:val="none"/>
          <w:u w:val="none"/>
        </w:rPr>
        <w:t>（二）专项资金使用绩效</w:t>
      </w:r>
      <w:bookmarkEnd w:id="30"/>
      <w:bookmarkEnd w:id="31"/>
      <w:bookmarkEnd w:id="32"/>
      <w:bookmarkEnd w:id="33"/>
      <w:bookmarkEnd w:id="34"/>
    </w:p>
    <w:p>
      <w:pPr>
        <w:snapToGrid w:val="0"/>
        <w:spacing w:line="360" w:lineRule="auto"/>
        <w:ind w:firstLine="642" w:firstLineChars="200"/>
        <w:rPr>
          <w:rFonts w:ascii="仿宋_GB2312" w:eastAsia="仿宋_GB2312"/>
          <w:b/>
          <w:bCs/>
          <w:color w:val="auto"/>
          <w:sz w:val="32"/>
          <w:szCs w:val="32"/>
          <w:highlight w:val="none"/>
          <w:u w:val="none"/>
        </w:rPr>
      </w:pPr>
      <w:r>
        <w:rPr>
          <w:rFonts w:hint="eastAsia" w:ascii="仿宋_GB2312" w:eastAsia="仿宋_GB2312"/>
          <w:b/>
          <w:bCs/>
          <w:color w:val="auto"/>
          <w:sz w:val="32"/>
          <w:szCs w:val="32"/>
          <w:highlight w:val="none"/>
          <w:u w:val="none"/>
        </w:rPr>
        <w:t>1.专项资金支出情况。</w:t>
      </w:r>
    </w:p>
    <w:p>
      <w:pPr>
        <w:snapToGrid w:val="0"/>
        <w:spacing w:line="360" w:lineRule="auto"/>
        <w:ind w:firstLine="640" w:firstLineChars="200"/>
        <w:rPr>
          <w:rFonts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省财政厅下达2023年城市管理与地下基础设施建设更新改造专项资金共计</w:t>
      </w:r>
      <w:r>
        <w:rPr>
          <w:rFonts w:hint="eastAsia" w:ascii="仿宋_GB2312" w:hAnsi="Times New Roman" w:eastAsia="仿宋_GB2312"/>
          <w:color w:val="auto"/>
          <w:sz w:val="32"/>
          <w:highlight w:val="none"/>
          <w:u w:val="none"/>
          <w:lang w:val="en-US" w:eastAsia="zh-CN"/>
        </w:rPr>
        <w:t>5150</w:t>
      </w:r>
      <w:r>
        <w:rPr>
          <w:rFonts w:hint="eastAsia" w:ascii="仿宋_GB2312" w:hAnsi="Times New Roman" w:eastAsia="仿宋_GB2312"/>
          <w:color w:val="auto"/>
          <w:sz w:val="32"/>
          <w:highlight w:val="none"/>
          <w:u w:val="none"/>
        </w:rPr>
        <w:t>万元，评价年度实际支出共</w:t>
      </w:r>
      <w:r>
        <w:rPr>
          <w:rFonts w:hint="default" w:ascii="仿宋_GB2312" w:hAnsi="Times New Roman" w:eastAsia="仿宋_GB2312"/>
          <w:color w:val="auto"/>
          <w:sz w:val="32"/>
          <w:highlight w:val="none"/>
          <w:u w:val="none"/>
        </w:rPr>
        <w:t>4128.15</w:t>
      </w:r>
      <w:r>
        <w:rPr>
          <w:rFonts w:hint="eastAsia" w:ascii="仿宋_GB2312" w:hAnsi="Times New Roman" w:eastAsia="仿宋_GB2312"/>
          <w:color w:val="auto"/>
          <w:sz w:val="32"/>
          <w:highlight w:val="none"/>
          <w:u w:val="none"/>
        </w:rPr>
        <w:t>万元，支出率为</w:t>
      </w:r>
      <w:r>
        <w:rPr>
          <w:rFonts w:hint="eastAsia" w:ascii="仿宋_GB2312" w:hAnsi="Times New Roman" w:eastAsia="仿宋_GB2312"/>
          <w:color w:val="auto"/>
          <w:sz w:val="32"/>
          <w:highlight w:val="none"/>
          <w:u w:val="none"/>
          <w:lang w:val="en-US" w:eastAsia="zh-CN"/>
        </w:rPr>
        <w:t>80.16</w:t>
      </w:r>
      <w:r>
        <w:rPr>
          <w:rFonts w:hint="eastAsia" w:ascii="仿宋_GB2312" w:hAnsi="Times New Roman" w:eastAsia="仿宋_GB2312"/>
          <w:color w:val="auto"/>
          <w:sz w:val="32"/>
          <w:highlight w:val="none"/>
          <w:u w:val="none"/>
        </w:rPr>
        <w:t>%。专项资金支出率</w:t>
      </w:r>
      <w:r>
        <w:rPr>
          <w:rFonts w:hint="eastAsia" w:ascii="仿宋_GB2312" w:hAnsi="Times New Roman" w:eastAsia="仿宋_GB2312"/>
          <w:color w:val="auto"/>
          <w:sz w:val="32"/>
          <w:highlight w:val="none"/>
          <w:u w:val="none"/>
          <w:lang w:val="en-US" w:eastAsia="zh-CN"/>
        </w:rPr>
        <w:t>未达100%</w:t>
      </w:r>
      <w:r>
        <w:rPr>
          <w:rFonts w:hint="eastAsia" w:ascii="仿宋_GB2312" w:hAnsi="Times New Roman" w:eastAsia="仿宋_GB2312"/>
          <w:color w:val="auto"/>
          <w:sz w:val="32"/>
          <w:highlight w:val="none"/>
          <w:u w:val="none"/>
        </w:rPr>
        <w:t>的原因：</w:t>
      </w:r>
      <w:r>
        <w:rPr>
          <w:rFonts w:hint="eastAsia" w:ascii="仿宋_GB2312" w:hAnsi="Times New Roman" w:eastAsia="仿宋_GB2312"/>
          <w:b w:val="0"/>
          <w:bCs w:val="0"/>
          <w:color w:val="auto"/>
          <w:sz w:val="32"/>
          <w:highlight w:val="none"/>
          <w:u w:val="none"/>
        </w:rPr>
        <w:t>一是部分地市和区县财政资金紧张，未能</w:t>
      </w:r>
      <w:r>
        <w:rPr>
          <w:rFonts w:hint="eastAsia" w:ascii="仿宋_GB2312" w:hAnsi="Times New Roman" w:eastAsia="仿宋_GB2312"/>
          <w:b w:val="0"/>
          <w:bCs w:val="0"/>
          <w:color w:val="auto"/>
          <w:sz w:val="32"/>
          <w:highlight w:val="none"/>
          <w:u w:val="none"/>
          <w:lang w:val="en-US" w:eastAsia="zh-CN"/>
        </w:rPr>
        <w:t>及时</w:t>
      </w:r>
      <w:r>
        <w:rPr>
          <w:rFonts w:hint="eastAsia" w:ascii="仿宋_GB2312" w:hAnsi="Times New Roman" w:eastAsia="仿宋_GB2312"/>
          <w:b w:val="0"/>
          <w:bCs w:val="0"/>
          <w:color w:val="auto"/>
          <w:sz w:val="32"/>
          <w:highlight w:val="none"/>
          <w:u w:val="none"/>
        </w:rPr>
        <w:t>拨付到位；二是项目进度缓慢导致资金支付不理想；三是部分市县支付资金的审批流程比较缓慢，财政部门拨付资金周期较长，影响支付进度</w:t>
      </w:r>
      <w:r>
        <w:rPr>
          <w:rFonts w:hint="eastAsia" w:ascii="仿宋_GB2312" w:hAnsi="Times New Roman" w:eastAsia="仿宋_GB2312"/>
          <w:b w:val="0"/>
          <w:bCs w:val="0"/>
          <w:color w:val="auto"/>
          <w:sz w:val="32"/>
          <w:highlight w:val="none"/>
          <w:u w:val="none"/>
          <w:lang w:eastAsia="zh-CN"/>
        </w:rPr>
        <w:t>；</w:t>
      </w:r>
      <w:r>
        <w:rPr>
          <w:rFonts w:hint="eastAsia" w:ascii="仿宋_GB2312" w:hAnsi="Times New Roman" w:eastAsia="仿宋_GB2312"/>
          <w:b w:val="0"/>
          <w:bCs w:val="0"/>
          <w:color w:val="auto"/>
          <w:sz w:val="32"/>
          <w:highlight w:val="none"/>
          <w:u w:val="none"/>
        </w:rPr>
        <w:t>四是城市管理与地下基础设施建设更新改造项目涉及面广、数据多，项目耗时较长，影响了资金支出效率。</w:t>
      </w:r>
    </w:p>
    <w:p>
      <w:pPr>
        <w:snapToGrid w:val="0"/>
        <w:spacing w:line="360" w:lineRule="auto"/>
        <w:ind w:firstLine="642" w:firstLineChars="200"/>
        <w:rPr>
          <w:rFonts w:ascii="仿宋_GB2312" w:eastAsia="仿宋_GB2312"/>
          <w:b/>
          <w:bCs/>
          <w:color w:val="auto"/>
          <w:sz w:val="32"/>
          <w:szCs w:val="32"/>
          <w:highlight w:val="none"/>
          <w:u w:val="none"/>
        </w:rPr>
      </w:pPr>
      <w:r>
        <w:rPr>
          <w:rFonts w:hint="eastAsia" w:ascii="仿宋_GB2312" w:eastAsia="仿宋_GB2312"/>
          <w:b/>
          <w:bCs/>
          <w:color w:val="auto"/>
          <w:sz w:val="32"/>
          <w:szCs w:val="32"/>
          <w:highlight w:val="none"/>
          <w:u w:val="none"/>
        </w:rPr>
        <w:t>2.专项资金完成绩效目标情况。</w:t>
      </w:r>
    </w:p>
    <w:p>
      <w:pPr>
        <w:widowControl/>
        <w:ind w:firstLine="640" w:firstLineChars="200"/>
        <w:jc w:val="both"/>
        <w:rPr>
          <w:rFonts w:ascii="仿宋_GB2312" w:hAnsi="Times New Roman" w:eastAsia="仿宋_GB2312"/>
          <w:color w:val="auto"/>
          <w:sz w:val="32"/>
          <w:highlight w:val="none"/>
          <w:u w:val="none"/>
        </w:rPr>
      </w:pPr>
      <w:r>
        <w:rPr>
          <w:rFonts w:hint="eastAsia" w:ascii="仿宋_GB2312" w:hAnsi="Times New Roman" w:eastAsia="仿宋_GB2312"/>
          <w:color w:val="auto"/>
          <w:sz w:val="32"/>
          <w:highlight w:val="none"/>
          <w:u w:val="none"/>
        </w:rPr>
        <w:t>2023年城市管理与地下基础设施建设更新改造专项资金基本完成预期总体目标。一是消除城镇燃气居民端隐患，全省</w:t>
      </w:r>
      <w:r>
        <w:rPr>
          <w:rFonts w:hint="eastAsia" w:ascii="仿宋_GB2312" w:hAnsi="Times New Roman" w:eastAsia="仿宋_GB2312"/>
          <w:color w:val="auto"/>
          <w:sz w:val="32"/>
          <w:highlight w:val="none"/>
          <w:u w:val="none"/>
          <w:lang w:eastAsia="zh-CN"/>
        </w:rPr>
        <w:t>1</w:t>
      </w:r>
      <w:r>
        <w:rPr>
          <w:rFonts w:hint="eastAsia" w:ascii="仿宋_GB2312" w:hAnsi="Times New Roman" w:eastAsia="仿宋_GB2312"/>
          <w:color w:val="auto"/>
          <w:sz w:val="32"/>
          <w:highlight w:val="none"/>
          <w:u w:val="none"/>
          <w:lang w:val="en-US" w:eastAsia="zh-CN"/>
        </w:rPr>
        <w:t>5</w:t>
      </w:r>
      <w:r>
        <w:rPr>
          <w:rFonts w:hint="eastAsia" w:ascii="仿宋_GB2312" w:hAnsi="Times New Roman" w:eastAsia="仿宋_GB2312"/>
          <w:color w:val="auto"/>
          <w:sz w:val="32"/>
          <w:highlight w:val="none"/>
          <w:u w:val="none"/>
        </w:rPr>
        <w:t>个地级以上市实际消除城镇燃气居民端隐患</w:t>
      </w:r>
      <w:r>
        <w:rPr>
          <w:rFonts w:hint="eastAsia" w:ascii="仿宋_GB2312" w:hAnsi="Times New Roman" w:eastAsia="仿宋_GB2312"/>
          <w:color w:val="auto"/>
          <w:sz w:val="32"/>
          <w:highlight w:val="none"/>
          <w:u w:val="none"/>
          <w:lang w:val="en-US" w:eastAsia="zh-CN"/>
        </w:rPr>
        <w:t>99.16万户</w:t>
      </w:r>
      <w:r>
        <w:rPr>
          <w:rFonts w:hint="eastAsia" w:ascii="仿宋_GB2312" w:hAnsi="Times New Roman" w:eastAsia="仿宋_GB2312"/>
          <w:color w:val="auto"/>
          <w:sz w:val="32"/>
          <w:highlight w:val="none"/>
          <w:u w:val="none"/>
        </w:rPr>
        <w:t>。二是对辖区内全部燃气场站进行安全隐患排查巡查次数，全省</w:t>
      </w:r>
      <w:r>
        <w:rPr>
          <w:rFonts w:hint="eastAsia" w:ascii="仿宋_GB2312" w:hAnsi="Times New Roman" w:eastAsia="仿宋_GB2312"/>
          <w:color w:val="auto"/>
          <w:sz w:val="32"/>
          <w:highlight w:val="none"/>
          <w:u w:val="none"/>
          <w:lang w:eastAsia="zh-CN"/>
        </w:rPr>
        <w:t>1</w:t>
      </w:r>
      <w:r>
        <w:rPr>
          <w:rFonts w:hint="eastAsia" w:ascii="仿宋_GB2312" w:hAnsi="Times New Roman" w:eastAsia="仿宋_GB2312"/>
          <w:color w:val="auto"/>
          <w:sz w:val="32"/>
          <w:highlight w:val="none"/>
          <w:u w:val="none"/>
          <w:lang w:val="en-US" w:eastAsia="zh-CN"/>
        </w:rPr>
        <w:t>5</w:t>
      </w:r>
      <w:r>
        <w:rPr>
          <w:rFonts w:hint="eastAsia" w:ascii="仿宋_GB2312" w:hAnsi="Times New Roman" w:eastAsia="仿宋_GB2312"/>
          <w:color w:val="auto"/>
          <w:sz w:val="32"/>
          <w:highlight w:val="none"/>
          <w:u w:val="none"/>
        </w:rPr>
        <w:t>个地级以上市实际对辖区内全部燃气场站进行安全隐患排查巡查</w:t>
      </w:r>
      <w:r>
        <w:rPr>
          <w:rFonts w:hint="eastAsia" w:ascii="仿宋_GB2312" w:hAnsi="Times New Roman" w:eastAsia="仿宋_GB2312"/>
          <w:color w:val="auto"/>
          <w:sz w:val="32"/>
          <w:highlight w:val="none"/>
          <w:u w:val="none"/>
          <w:lang w:val="en-US" w:eastAsia="zh-CN"/>
        </w:rPr>
        <w:t>平均</w:t>
      </w:r>
      <w:r>
        <w:rPr>
          <w:rFonts w:hint="eastAsia" w:ascii="仿宋_GB2312" w:hAnsi="Times New Roman" w:eastAsia="仿宋_GB2312"/>
          <w:color w:val="auto"/>
          <w:sz w:val="32"/>
          <w:highlight w:val="none"/>
          <w:u w:val="none"/>
        </w:rPr>
        <w:t>次数</w:t>
      </w:r>
      <w:r>
        <w:rPr>
          <w:rFonts w:hint="eastAsia" w:ascii="仿宋_GB2312" w:hAnsi="Times New Roman" w:eastAsia="仿宋_GB2312"/>
          <w:color w:val="auto"/>
          <w:sz w:val="32"/>
          <w:highlight w:val="none"/>
          <w:u w:val="none"/>
          <w:lang w:val="en-US" w:eastAsia="zh-CN"/>
        </w:rPr>
        <w:t>大于4次</w:t>
      </w:r>
      <w:r>
        <w:rPr>
          <w:rFonts w:hint="eastAsia" w:ascii="仿宋_GB2312" w:hAnsi="Times New Roman" w:eastAsia="仿宋_GB2312"/>
          <w:color w:val="auto"/>
          <w:sz w:val="32"/>
          <w:highlight w:val="none"/>
          <w:u w:val="none"/>
        </w:rPr>
        <w:t>。</w:t>
      </w:r>
      <w:r>
        <w:rPr>
          <w:rFonts w:hint="eastAsia" w:ascii="仿宋_GB2312" w:hAnsi="Times New Roman" w:eastAsia="仿宋_GB2312"/>
          <w:color w:val="auto"/>
          <w:sz w:val="32"/>
          <w:highlight w:val="none"/>
          <w:u w:val="none"/>
          <w:lang w:val="en-US" w:eastAsia="zh-CN"/>
        </w:rPr>
        <w:t>三是建设省级城市运管服平台数量，</w:t>
      </w:r>
      <w:r>
        <w:rPr>
          <w:rFonts w:hint="eastAsia" w:ascii="仿宋_GB2312" w:eastAsia="仿宋_GB2312"/>
          <w:color w:val="auto"/>
          <w:sz w:val="32"/>
          <w:highlight w:val="none"/>
          <w:u w:val="none"/>
          <w:lang w:val="en-US" w:eastAsia="zh-CN"/>
        </w:rPr>
        <w:t>1个</w:t>
      </w:r>
      <w:r>
        <w:rPr>
          <w:rFonts w:hint="eastAsia" w:ascii="仿宋_GB2312" w:eastAsia="仿宋_GB2312"/>
          <w:color w:val="auto"/>
          <w:sz w:val="32"/>
          <w:highlight w:val="none"/>
          <w:u w:val="none"/>
        </w:rPr>
        <w:t>省级城市运管服平台</w:t>
      </w:r>
      <w:r>
        <w:rPr>
          <w:rFonts w:hint="eastAsia" w:ascii="仿宋_GB2312" w:eastAsia="仿宋_GB2312"/>
          <w:color w:val="auto"/>
          <w:sz w:val="32"/>
          <w:highlight w:val="none"/>
          <w:u w:val="none"/>
          <w:lang w:val="en-US" w:eastAsia="zh-CN"/>
        </w:rPr>
        <w:t>已完成初步开发建设。四是对接各地城市运管服平台5个</w:t>
      </w:r>
      <w:r>
        <w:rPr>
          <w:rFonts w:hint="eastAsia" w:ascii="仿宋_GB2312" w:eastAsia="仿宋_GB2312"/>
          <w:color w:val="auto"/>
          <w:sz w:val="32"/>
          <w:highlight w:val="none"/>
          <w:u w:val="none"/>
        </w:rPr>
        <w:t>，</w:t>
      </w:r>
      <w:r>
        <w:rPr>
          <w:rFonts w:hint="eastAsia" w:ascii="仿宋_GB2312" w:eastAsia="仿宋_GB2312"/>
          <w:color w:val="auto"/>
          <w:sz w:val="32"/>
          <w:highlight w:val="none"/>
          <w:u w:val="none"/>
          <w:lang w:val="en-US" w:eastAsia="zh-CN"/>
        </w:rPr>
        <w:t>已</w:t>
      </w:r>
      <w:r>
        <w:rPr>
          <w:rFonts w:hint="eastAsia" w:ascii="仿宋_GB2312" w:eastAsia="仿宋_GB2312"/>
          <w:color w:val="auto"/>
          <w:sz w:val="32"/>
          <w:highlight w:val="none"/>
          <w:u w:val="none"/>
        </w:rPr>
        <w:t>完成ICP备案和省统一身份认证平台对接</w:t>
      </w:r>
      <w:r>
        <w:rPr>
          <w:rFonts w:hint="eastAsia" w:ascii="仿宋_GB2312" w:eastAsia="仿宋_GB2312"/>
          <w:color w:val="auto"/>
          <w:sz w:val="32"/>
          <w:highlight w:val="none"/>
          <w:u w:val="none"/>
          <w:lang w:eastAsia="zh-CN"/>
        </w:rPr>
        <w:t>。</w:t>
      </w:r>
      <w:r>
        <w:rPr>
          <w:rFonts w:hint="eastAsia" w:ascii="仿宋_GB2312" w:hAnsi="Times New Roman" w:eastAsia="仿宋_GB2312"/>
          <w:color w:val="auto"/>
          <w:sz w:val="32"/>
          <w:highlight w:val="none"/>
          <w:u w:val="none"/>
          <w:lang w:eastAsia="zh-CN"/>
        </w:rPr>
        <w:t>基本完成了城市管理与地下基础设施建设更新改造事项。各支出方向</w:t>
      </w:r>
      <w:r>
        <w:rPr>
          <w:rFonts w:hint="eastAsia" w:ascii="仿宋_GB2312" w:hAnsi="Times New Roman" w:eastAsia="仿宋_GB2312"/>
          <w:color w:val="auto"/>
          <w:sz w:val="32"/>
          <w:highlight w:val="none"/>
          <w:u w:val="none"/>
          <w:lang w:val="en-US" w:eastAsia="zh-CN"/>
        </w:rPr>
        <w:t>的</w:t>
      </w:r>
      <w:r>
        <w:rPr>
          <w:rFonts w:hint="eastAsia" w:ascii="仿宋_GB2312" w:hAnsi="Times New Roman" w:eastAsia="仿宋_GB2312"/>
          <w:color w:val="auto"/>
          <w:sz w:val="32"/>
          <w:highlight w:val="none"/>
          <w:u w:val="none"/>
          <w:lang w:eastAsia="zh-CN"/>
        </w:rPr>
        <w:t>子项目均</w:t>
      </w:r>
      <w:r>
        <w:rPr>
          <w:rFonts w:hint="eastAsia" w:ascii="仿宋_GB2312" w:hAnsi="Times New Roman" w:eastAsia="仿宋_GB2312"/>
          <w:color w:val="auto"/>
          <w:sz w:val="32"/>
          <w:highlight w:val="none"/>
          <w:u w:val="none"/>
          <w:lang w:val="en-US" w:eastAsia="zh-CN"/>
        </w:rPr>
        <w:t>基本</w:t>
      </w:r>
      <w:r>
        <w:rPr>
          <w:rFonts w:hint="eastAsia" w:ascii="仿宋_GB2312" w:hAnsi="Times New Roman" w:eastAsia="仿宋_GB2312"/>
          <w:color w:val="auto"/>
          <w:sz w:val="32"/>
          <w:highlight w:val="none"/>
          <w:u w:val="none"/>
        </w:rPr>
        <w:t>完成</w:t>
      </w:r>
      <w:r>
        <w:rPr>
          <w:rFonts w:hint="eastAsia" w:ascii="仿宋_GB2312" w:hAnsi="Times New Roman" w:eastAsia="仿宋_GB2312"/>
          <w:color w:val="auto"/>
          <w:sz w:val="32"/>
          <w:highlight w:val="none"/>
          <w:u w:val="none"/>
          <w:lang w:val="en-US" w:eastAsia="zh-CN"/>
        </w:rPr>
        <w:t>了</w:t>
      </w:r>
      <w:r>
        <w:rPr>
          <w:rFonts w:hint="eastAsia" w:ascii="仿宋_GB2312" w:hAnsi="Times New Roman" w:eastAsia="仿宋_GB2312"/>
          <w:color w:val="auto"/>
          <w:sz w:val="32"/>
          <w:highlight w:val="none"/>
          <w:u w:val="none"/>
        </w:rPr>
        <w:t>既定目标任务。</w:t>
      </w:r>
    </w:p>
    <w:p>
      <w:pPr>
        <w:keepNext/>
        <w:snapToGrid w:val="0"/>
        <w:spacing w:line="360" w:lineRule="auto"/>
        <w:ind w:firstLine="642" w:firstLineChars="200"/>
        <w:rPr>
          <w:rFonts w:ascii="仿宋_GB2312" w:eastAsia="仿宋_GB2312"/>
          <w:b/>
          <w:bCs/>
          <w:color w:val="auto"/>
          <w:sz w:val="32"/>
          <w:szCs w:val="32"/>
          <w:highlight w:val="none"/>
          <w:u w:val="none"/>
        </w:rPr>
      </w:pPr>
      <w:r>
        <w:rPr>
          <w:rFonts w:hint="eastAsia" w:ascii="仿宋_GB2312" w:eastAsia="仿宋_GB2312"/>
          <w:b/>
          <w:bCs/>
          <w:color w:val="auto"/>
          <w:sz w:val="32"/>
          <w:szCs w:val="32"/>
          <w:highlight w:val="none"/>
          <w:u w:val="none"/>
        </w:rPr>
        <w:t>3.专项资金分用途使用绩效。</w:t>
      </w:r>
    </w:p>
    <w:p>
      <w:pPr>
        <w:widowControl/>
        <w:ind w:firstLine="642" w:firstLineChars="200"/>
        <w:jc w:val="left"/>
        <w:rPr>
          <w:rFonts w:ascii="仿宋_GB2312" w:hAnsi="Times New Roman" w:eastAsia="仿宋_GB2312" w:cs="仿宋_GB2312"/>
          <w:b/>
          <w:bCs/>
          <w:color w:val="auto"/>
          <w:sz w:val="32"/>
          <w:szCs w:val="32"/>
          <w:highlight w:val="none"/>
          <w:u w:val="none"/>
          <w:lang w:bidi="ar"/>
        </w:rPr>
      </w:pPr>
      <w:r>
        <w:rPr>
          <w:rFonts w:hint="eastAsia" w:ascii="仿宋_GB2312" w:hAnsi="Times New Roman" w:eastAsia="仿宋_GB2312" w:cs="仿宋_GB2312"/>
          <w:b/>
          <w:bCs/>
          <w:color w:val="auto"/>
          <w:sz w:val="32"/>
          <w:szCs w:val="32"/>
          <w:highlight w:val="none"/>
          <w:u w:val="none"/>
          <w:lang w:bidi="ar"/>
        </w:rPr>
        <w:t>（1）建立了相对稳定的城市体检工作机制，为城市体检工作的持续开展夯实了基础。</w:t>
      </w:r>
    </w:p>
    <w:p>
      <w:pPr>
        <w:widowControl/>
        <w:ind w:firstLine="640" w:firstLineChars="200"/>
        <w:jc w:val="left"/>
        <w:rPr>
          <w:rFonts w:hint="eastAsia" w:ascii="仿宋_GB2312" w:hAnsi="Times New Roman" w:eastAsia="仿宋_GB2312" w:cs="仿宋_GB2312"/>
          <w:color w:val="auto"/>
          <w:sz w:val="32"/>
          <w:szCs w:val="32"/>
          <w:highlight w:val="none"/>
          <w:u w:val="none"/>
          <w:lang w:bidi="ar"/>
        </w:rPr>
      </w:pPr>
      <w:r>
        <w:rPr>
          <w:rFonts w:hint="eastAsia" w:ascii="仿宋_GB2312" w:hAnsi="Times New Roman" w:eastAsia="仿宋_GB2312" w:cs="仿宋_GB2312"/>
          <w:color w:val="auto"/>
          <w:sz w:val="32"/>
          <w:szCs w:val="32"/>
          <w:highlight w:val="none"/>
          <w:u w:val="none"/>
          <w:lang w:bidi="ar"/>
        </w:rPr>
        <w:t>一是城市体检工作有序推进。2023年，我省已制定2023年第三方城市体检工作方案，通过对21个地级以上市开展工作调研，了解各市实际需求，形成各市满意度调查问卷及调查报告初稿</w:t>
      </w:r>
      <w:r>
        <w:rPr>
          <w:rFonts w:hint="eastAsia" w:ascii="仿宋_GB2312" w:hAnsi="Times New Roman" w:eastAsia="仿宋_GB2312" w:cs="仿宋_GB2312"/>
          <w:color w:val="auto"/>
          <w:sz w:val="32"/>
          <w:szCs w:val="32"/>
          <w:highlight w:val="none"/>
          <w:u w:val="none"/>
          <w:lang w:eastAsia="zh-CN" w:bidi="ar"/>
        </w:rPr>
        <w:t>，</w:t>
      </w:r>
      <w:r>
        <w:rPr>
          <w:rFonts w:hint="eastAsia" w:ascii="仿宋_GB2312" w:hAnsi="Times New Roman" w:eastAsia="仿宋_GB2312" w:cs="仿宋_GB2312"/>
          <w:color w:val="auto"/>
          <w:sz w:val="32"/>
          <w:szCs w:val="32"/>
          <w:highlight w:val="none"/>
          <w:u w:val="none"/>
          <w:lang w:bidi="ar"/>
        </w:rPr>
        <w:t>并组织编制第三方城市体检报告初稿。二是建立了相对稳定的城市体检工作机制，构建了各具特色的城市体检指标体系，形成了多维评价的分析评估方法，推动了城市体检成果的有效落实。分区分层次的城市体检工作机制日趋完善，为城市体检工作的持续开展夯实了基础。</w:t>
      </w:r>
    </w:p>
    <w:p>
      <w:pPr>
        <w:widowControl/>
        <w:ind w:firstLine="642" w:firstLineChars="200"/>
        <w:jc w:val="left"/>
        <w:rPr>
          <w:rFonts w:ascii="仿宋_GB2312" w:hAnsi="Times New Roman" w:eastAsia="仿宋_GB2312" w:cs="仿宋_GB2312"/>
          <w:b/>
          <w:bCs/>
          <w:color w:val="auto"/>
          <w:sz w:val="32"/>
          <w:szCs w:val="32"/>
          <w:highlight w:val="none"/>
          <w:u w:val="none"/>
          <w:lang w:bidi="ar"/>
        </w:rPr>
      </w:pPr>
      <w:r>
        <w:rPr>
          <w:rFonts w:hint="eastAsia" w:ascii="仿宋_GB2312" w:hAnsi="Times New Roman" w:eastAsia="仿宋_GB2312" w:cs="仿宋_GB2312"/>
          <w:b/>
          <w:bCs/>
          <w:color w:val="auto"/>
          <w:sz w:val="32"/>
          <w:szCs w:val="32"/>
          <w:highlight w:val="none"/>
          <w:u w:val="none"/>
          <w:lang w:bidi="ar"/>
        </w:rPr>
        <w:t>（</w:t>
      </w:r>
      <w:r>
        <w:rPr>
          <w:rFonts w:hint="eastAsia" w:ascii="仿宋_GB2312" w:hAnsi="Times New Roman" w:eastAsia="仿宋_GB2312" w:cs="仿宋_GB2312"/>
          <w:b/>
          <w:bCs/>
          <w:color w:val="auto"/>
          <w:sz w:val="32"/>
          <w:szCs w:val="32"/>
          <w:highlight w:val="none"/>
          <w:u w:val="none"/>
          <w:lang w:val="en-US" w:eastAsia="zh-CN" w:bidi="ar"/>
        </w:rPr>
        <w:t>2</w:t>
      </w:r>
      <w:r>
        <w:rPr>
          <w:rFonts w:hint="eastAsia" w:ascii="仿宋_GB2312" w:hAnsi="Times New Roman" w:eastAsia="仿宋_GB2312" w:cs="仿宋_GB2312"/>
          <w:b/>
          <w:bCs/>
          <w:color w:val="auto"/>
          <w:sz w:val="32"/>
          <w:szCs w:val="32"/>
          <w:highlight w:val="none"/>
          <w:u w:val="none"/>
          <w:lang w:bidi="ar"/>
        </w:rPr>
        <w:t>）信息化建设稳步进行，提升了城市</w:t>
      </w:r>
      <w:r>
        <w:rPr>
          <w:rFonts w:hint="eastAsia" w:ascii="仿宋_GB2312" w:hAnsi="Times New Roman" w:eastAsia="仿宋_GB2312" w:cs="仿宋_GB2312"/>
          <w:b/>
          <w:bCs/>
          <w:color w:val="auto"/>
          <w:sz w:val="32"/>
          <w:szCs w:val="32"/>
          <w:highlight w:val="none"/>
          <w:u w:val="none"/>
          <w:lang w:val="en-US" w:eastAsia="zh-CN" w:bidi="ar"/>
        </w:rPr>
        <w:t>治理水平与</w:t>
      </w:r>
      <w:r>
        <w:rPr>
          <w:rFonts w:hint="eastAsia" w:ascii="仿宋_GB2312" w:hAnsi="Times New Roman" w:eastAsia="仿宋_GB2312" w:cs="仿宋_GB2312"/>
          <w:b/>
          <w:bCs/>
          <w:color w:val="auto"/>
          <w:sz w:val="32"/>
          <w:szCs w:val="32"/>
          <w:highlight w:val="none"/>
          <w:u w:val="none"/>
          <w:lang w:bidi="ar"/>
        </w:rPr>
        <w:t>安全韧性。</w:t>
      </w:r>
    </w:p>
    <w:p>
      <w:pPr>
        <w:widowControl/>
        <w:ind w:firstLine="640" w:firstLineChars="200"/>
        <w:jc w:val="left"/>
        <w:rPr>
          <w:rFonts w:hint="eastAsia" w:ascii="仿宋_GB2312" w:hAnsi="Times New Roman" w:eastAsia="仿宋_GB2312" w:cs="仿宋_GB2312"/>
          <w:color w:val="auto"/>
          <w:sz w:val="32"/>
          <w:szCs w:val="32"/>
          <w:highlight w:val="none"/>
          <w:u w:val="none"/>
          <w:lang w:bidi="ar"/>
        </w:rPr>
      </w:pPr>
      <w:r>
        <w:rPr>
          <w:rFonts w:hint="eastAsia" w:ascii="仿宋_GB2312" w:hAnsi="Times New Roman" w:eastAsia="仿宋_GB2312" w:cs="仿宋_GB2312"/>
          <w:color w:val="auto"/>
          <w:sz w:val="32"/>
          <w:szCs w:val="32"/>
          <w:highlight w:val="none"/>
          <w:u w:val="none"/>
          <w:lang w:bidi="ar"/>
        </w:rPr>
        <w:t>省房屋建筑和市政基础设施工程设计文件管理系统开发（二期）项目、省数字政府省域治理“一网统管”住房城乡建设专题（二期）项目、广东省省级城市运行管理服务平台开发（一期）项目及省地下市政基础设施基础信息平台开发和运营（一期）项目等四个项目正稳步推进，已完成部分建设任务。依托信息化建设项目，通过地下管线普查，形成完整、准确市政燃气管网档案信息资料，为市政燃气管网信息化建设提供数据支撑，促进提高管理水平和工作效率。为保障市政燃气管网安全运行和防灾减灾，应急响应提供可靠的基础资料，提升城市安全韧性。</w:t>
      </w:r>
    </w:p>
    <w:p>
      <w:pPr>
        <w:widowControl/>
        <w:ind w:firstLine="642" w:firstLineChars="200"/>
        <w:jc w:val="left"/>
        <w:rPr>
          <w:rFonts w:ascii="仿宋_GB2312" w:hAnsi="Times New Roman" w:eastAsia="仿宋_GB2312" w:cs="仿宋_GB2312"/>
          <w:b/>
          <w:bCs/>
          <w:color w:val="auto"/>
          <w:sz w:val="32"/>
          <w:szCs w:val="32"/>
          <w:highlight w:val="none"/>
          <w:u w:val="none"/>
          <w:lang w:bidi="ar"/>
        </w:rPr>
      </w:pPr>
      <w:r>
        <w:rPr>
          <w:rFonts w:hint="eastAsia" w:ascii="仿宋_GB2312" w:hAnsi="Times New Roman" w:eastAsia="仿宋_GB2312" w:cs="仿宋_GB2312"/>
          <w:b/>
          <w:bCs/>
          <w:color w:val="auto"/>
          <w:sz w:val="32"/>
          <w:szCs w:val="32"/>
          <w:highlight w:val="none"/>
          <w:u w:val="none"/>
          <w:lang w:bidi="ar"/>
        </w:rPr>
        <w:t>（</w:t>
      </w:r>
      <w:r>
        <w:rPr>
          <w:rFonts w:hint="eastAsia" w:ascii="仿宋_GB2312" w:hAnsi="Times New Roman" w:eastAsia="仿宋_GB2312" w:cs="仿宋_GB2312"/>
          <w:b/>
          <w:bCs/>
          <w:color w:val="auto"/>
          <w:sz w:val="32"/>
          <w:szCs w:val="32"/>
          <w:highlight w:val="none"/>
          <w:u w:val="none"/>
          <w:lang w:val="en-US" w:eastAsia="zh-CN" w:bidi="ar"/>
        </w:rPr>
        <w:t>3</w:t>
      </w:r>
      <w:r>
        <w:rPr>
          <w:rFonts w:hint="eastAsia" w:ascii="仿宋_GB2312" w:hAnsi="Times New Roman" w:eastAsia="仿宋_GB2312" w:cs="仿宋_GB2312"/>
          <w:b/>
          <w:bCs/>
          <w:color w:val="auto"/>
          <w:sz w:val="32"/>
          <w:szCs w:val="32"/>
          <w:highlight w:val="none"/>
          <w:u w:val="none"/>
          <w:lang w:bidi="ar"/>
        </w:rPr>
        <w:t>）对燃气站开展全覆盖检查，提升</w:t>
      </w:r>
      <w:r>
        <w:rPr>
          <w:rFonts w:hint="eastAsia" w:ascii="仿宋_GB2312" w:hAnsi="Times New Roman" w:eastAsia="仿宋_GB2312" w:cs="仿宋_GB2312"/>
          <w:b/>
          <w:bCs/>
          <w:color w:val="auto"/>
          <w:sz w:val="32"/>
          <w:szCs w:val="32"/>
          <w:highlight w:val="none"/>
          <w:u w:val="none"/>
          <w:lang w:val="en-US" w:eastAsia="zh-CN" w:bidi="ar"/>
        </w:rPr>
        <w:t>了</w:t>
      </w:r>
      <w:r>
        <w:rPr>
          <w:rFonts w:hint="eastAsia" w:ascii="仿宋_GB2312" w:hAnsi="Times New Roman" w:eastAsia="仿宋_GB2312" w:cs="仿宋_GB2312"/>
          <w:b/>
          <w:bCs/>
          <w:color w:val="auto"/>
          <w:sz w:val="32"/>
          <w:szCs w:val="32"/>
          <w:highlight w:val="none"/>
          <w:u w:val="none"/>
          <w:lang w:bidi="ar"/>
        </w:rPr>
        <w:t>燃气安全</w:t>
      </w:r>
      <w:r>
        <w:rPr>
          <w:rFonts w:hint="eastAsia" w:ascii="仿宋_GB2312" w:hAnsi="Times New Roman" w:eastAsia="仿宋_GB2312" w:cs="仿宋_GB2312"/>
          <w:b/>
          <w:bCs/>
          <w:color w:val="auto"/>
          <w:sz w:val="32"/>
          <w:szCs w:val="32"/>
          <w:highlight w:val="none"/>
          <w:u w:val="none"/>
          <w:lang w:val="en-US" w:eastAsia="zh-CN" w:bidi="ar"/>
        </w:rPr>
        <w:t>生产</w:t>
      </w:r>
      <w:r>
        <w:rPr>
          <w:rFonts w:hint="eastAsia" w:ascii="仿宋_GB2312" w:hAnsi="Times New Roman" w:eastAsia="仿宋_GB2312" w:cs="仿宋_GB2312"/>
          <w:b/>
          <w:bCs/>
          <w:color w:val="auto"/>
          <w:sz w:val="32"/>
          <w:szCs w:val="32"/>
          <w:highlight w:val="none"/>
          <w:u w:val="none"/>
          <w:lang w:bidi="ar"/>
        </w:rPr>
        <w:t>水平。</w:t>
      </w:r>
    </w:p>
    <w:p>
      <w:pPr>
        <w:widowControl/>
        <w:ind w:firstLine="640" w:firstLineChars="200"/>
        <w:jc w:val="left"/>
        <w:rPr>
          <w:rFonts w:ascii="仿宋_GB2312" w:hAnsi="Times New Roman" w:eastAsia="仿宋_GB2312" w:cs="仿宋_GB2312"/>
          <w:color w:val="auto"/>
          <w:sz w:val="32"/>
          <w:szCs w:val="32"/>
          <w:highlight w:val="none"/>
          <w:u w:val="none"/>
          <w:lang w:bidi="ar"/>
        </w:rPr>
      </w:pPr>
      <w:r>
        <w:rPr>
          <w:rFonts w:hint="eastAsia" w:ascii="仿宋_GB2312" w:hAnsi="Times New Roman" w:eastAsia="仿宋_GB2312" w:cs="仿宋_GB2312"/>
          <w:color w:val="auto"/>
          <w:sz w:val="32"/>
          <w:szCs w:val="32"/>
          <w:highlight w:val="none"/>
          <w:u w:val="none"/>
          <w:lang w:bidi="ar"/>
        </w:rPr>
        <w:t>持续深化城镇燃气重大安全隐患专项排查整治行动，制定工作方案，委托具备专业资质机构，开展安全隐患排查巡查。</w:t>
      </w:r>
      <w:r>
        <w:rPr>
          <w:rFonts w:hint="eastAsia" w:ascii="仿宋_GB2312" w:hAnsi="Times New Roman" w:eastAsia="仿宋_GB2312" w:cs="仿宋_GB2312"/>
          <w:color w:val="auto"/>
          <w:sz w:val="32"/>
          <w:szCs w:val="32"/>
          <w:highlight w:val="none"/>
          <w:u w:val="none"/>
          <w:lang w:val="en-US" w:eastAsia="zh-CN" w:bidi="ar"/>
        </w:rPr>
        <w:t>15个</w:t>
      </w:r>
      <w:r>
        <w:rPr>
          <w:rFonts w:hint="eastAsia" w:ascii="仿宋_GB2312" w:hAnsi="Times New Roman" w:eastAsia="仿宋_GB2312" w:cs="仿宋_GB2312"/>
          <w:color w:val="auto"/>
          <w:sz w:val="32"/>
          <w:szCs w:val="32"/>
          <w:highlight w:val="none"/>
          <w:u w:val="none"/>
          <w:lang w:bidi="ar"/>
        </w:rPr>
        <w:t>地市住建部门开展了燃气场站4轮全覆盖检查，住建部门进行督导抽查，督促燃气企业建立健全安全管理制度，持续推进液化石油气充装场站整改，切实保障人民群众生命和财产安全，确保全</w:t>
      </w:r>
      <w:r>
        <w:rPr>
          <w:rFonts w:hint="eastAsia" w:ascii="仿宋_GB2312" w:hAnsi="Times New Roman" w:eastAsia="仿宋_GB2312" w:cs="仿宋_GB2312"/>
          <w:color w:val="auto"/>
          <w:sz w:val="32"/>
          <w:szCs w:val="32"/>
          <w:highlight w:val="none"/>
          <w:u w:val="none"/>
          <w:lang w:val="en-US" w:eastAsia="zh-CN" w:bidi="ar"/>
        </w:rPr>
        <w:t>省</w:t>
      </w:r>
      <w:r>
        <w:rPr>
          <w:rFonts w:hint="eastAsia" w:ascii="仿宋_GB2312" w:hAnsi="Times New Roman" w:eastAsia="仿宋_GB2312" w:cs="仿宋_GB2312"/>
          <w:color w:val="auto"/>
          <w:sz w:val="32"/>
          <w:szCs w:val="32"/>
          <w:highlight w:val="none"/>
          <w:u w:val="none"/>
          <w:lang w:bidi="ar"/>
        </w:rPr>
        <w:t>安全生产形势持续稳定，使全</w:t>
      </w:r>
      <w:r>
        <w:rPr>
          <w:rFonts w:hint="eastAsia" w:ascii="仿宋_GB2312" w:hAnsi="Times New Roman" w:eastAsia="仿宋_GB2312" w:cs="仿宋_GB2312"/>
          <w:color w:val="auto"/>
          <w:sz w:val="32"/>
          <w:szCs w:val="32"/>
          <w:highlight w:val="none"/>
          <w:u w:val="none"/>
          <w:lang w:val="en-US" w:eastAsia="zh-CN" w:bidi="ar"/>
        </w:rPr>
        <w:t>省</w:t>
      </w:r>
      <w:r>
        <w:rPr>
          <w:rFonts w:hint="eastAsia" w:ascii="仿宋_GB2312" w:hAnsi="Times New Roman" w:eastAsia="仿宋_GB2312" w:cs="仿宋_GB2312"/>
          <w:color w:val="auto"/>
          <w:sz w:val="32"/>
          <w:szCs w:val="32"/>
          <w:highlight w:val="none"/>
          <w:u w:val="none"/>
          <w:lang w:bidi="ar"/>
        </w:rPr>
        <w:t>城镇燃气安全生产水平得到有效提升，为高质量发展提供安全保障。</w:t>
      </w:r>
    </w:p>
    <w:p>
      <w:pPr>
        <w:widowControl/>
        <w:ind w:firstLine="642" w:firstLineChars="200"/>
        <w:jc w:val="left"/>
        <w:rPr>
          <w:rFonts w:ascii="仿宋_GB2312" w:eastAsia="仿宋_GB2312"/>
          <w:b/>
          <w:bCs/>
          <w:color w:val="auto"/>
          <w:sz w:val="32"/>
          <w:szCs w:val="32"/>
          <w:highlight w:val="none"/>
          <w:u w:val="none"/>
        </w:rPr>
      </w:pPr>
      <w:r>
        <w:rPr>
          <w:rFonts w:hint="eastAsia" w:ascii="仿宋_GB2312" w:eastAsia="仿宋_GB2312"/>
          <w:b/>
          <w:bCs/>
          <w:color w:val="auto"/>
          <w:sz w:val="32"/>
          <w:szCs w:val="32"/>
          <w:highlight w:val="none"/>
          <w:u w:val="none"/>
        </w:rPr>
        <w:t>（</w:t>
      </w:r>
      <w:r>
        <w:rPr>
          <w:rFonts w:hint="eastAsia" w:ascii="仿宋_GB2312" w:eastAsia="仿宋_GB2312"/>
          <w:b/>
          <w:bCs/>
          <w:color w:val="auto"/>
          <w:sz w:val="32"/>
          <w:szCs w:val="32"/>
          <w:highlight w:val="none"/>
          <w:u w:val="none"/>
          <w:lang w:val="en-US" w:eastAsia="zh-CN"/>
        </w:rPr>
        <w:t>4</w:t>
      </w:r>
      <w:r>
        <w:rPr>
          <w:rFonts w:hint="eastAsia" w:ascii="仿宋_GB2312" w:eastAsia="仿宋_GB2312"/>
          <w:b/>
          <w:bCs/>
          <w:color w:val="auto"/>
          <w:sz w:val="32"/>
          <w:szCs w:val="32"/>
          <w:highlight w:val="none"/>
          <w:u w:val="none"/>
        </w:rPr>
        <w:t>）进行燃气橡胶软管更换，降低</w:t>
      </w:r>
      <w:r>
        <w:rPr>
          <w:rFonts w:hint="eastAsia" w:ascii="仿宋_GB2312" w:eastAsia="仿宋_GB2312"/>
          <w:b/>
          <w:bCs/>
          <w:color w:val="auto"/>
          <w:sz w:val="32"/>
          <w:szCs w:val="32"/>
          <w:highlight w:val="none"/>
          <w:u w:val="none"/>
          <w:lang w:val="en-US" w:eastAsia="zh-CN"/>
        </w:rPr>
        <w:t>了</w:t>
      </w:r>
      <w:r>
        <w:rPr>
          <w:rFonts w:hint="eastAsia" w:ascii="仿宋_GB2312" w:eastAsia="仿宋_GB2312"/>
          <w:b/>
          <w:bCs/>
          <w:color w:val="auto"/>
          <w:sz w:val="32"/>
          <w:szCs w:val="32"/>
          <w:highlight w:val="none"/>
          <w:u w:val="none"/>
        </w:rPr>
        <w:t>居民用气安全隐患。</w:t>
      </w:r>
    </w:p>
    <w:p>
      <w:pPr>
        <w:pStyle w:val="12"/>
        <w:ind w:left="0" w:leftChars="0" w:firstLine="640" w:firstLineChars="200"/>
        <w:rPr>
          <w:rFonts w:hint="eastAsia" w:ascii="仿宋_GB2312" w:eastAsia="仿宋_GB2312"/>
          <w:b/>
          <w:bCs/>
          <w:color w:val="auto"/>
          <w:sz w:val="32"/>
          <w:highlight w:val="none"/>
          <w:u w:val="none"/>
        </w:rPr>
      </w:pPr>
      <w:r>
        <w:rPr>
          <w:rFonts w:hint="eastAsia" w:ascii="仿宋_GB2312" w:hAnsi="Times New Roman" w:eastAsia="仿宋_GB2312" w:cs="Times New Roman"/>
          <w:color w:val="auto"/>
          <w:kern w:val="0"/>
          <w:sz w:val="32"/>
          <w:szCs w:val="32"/>
          <w:highlight w:val="none"/>
          <w:u w:val="none"/>
        </w:rPr>
        <w:t>加快推动燃气居民用户更换使用具有防脱落、耐老化、防剪切、耐动物噬咬特性的燃气专用金属软管，截至评价基准日，已累计更换居民用户橡胶软管</w:t>
      </w:r>
      <w:r>
        <w:rPr>
          <w:rFonts w:hint="eastAsia" w:ascii="仿宋_GB2312" w:hAnsi="Times New Roman" w:eastAsia="仿宋_GB2312" w:cs="Times New Roman"/>
          <w:color w:val="auto"/>
          <w:kern w:val="0"/>
          <w:sz w:val="32"/>
          <w:szCs w:val="32"/>
          <w:highlight w:val="none"/>
          <w:u w:val="none"/>
          <w:lang w:val="en-US" w:eastAsia="zh-CN"/>
        </w:rPr>
        <w:t>99.16万</w:t>
      </w:r>
      <w:r>
        <w:rPr>
          <w:rFonts w:hint="eastAsia" w:ascii="仿宋_GB2312" w:hAnsi="Times New Roman" w:eastAsia="仿宋_GB2312" w:cs="Times New Roman"/>
          <w:color w:val="auto"/>
          <w:kern w:val="0"/>
          <w:sz w:val="32"/>
          <w:szCs w:val="32"/>
          <w:highlight w:val="none"/>
          <w:u w:val="none"/>
        </w:rPr>
        <w:t>户，使我省地下市政燃气管网设施运行顺畅高效，管道抗压、防腐蚀能力明显提升，燃气安全隐患明显减少，有效降低了燃气用户端事故风险</w:t>
      </w:r>
      <w:r>
        <w:rPr>
          <w:rFonts w:hint="eastAsia" w:ascii="仿宋_GB2312" w:hAnsi="Times New Roman" w:eastAsia="仿宋_GB2312" w:cs="Times New Roman"/>
          <w:color w:val="auto"/>
          <w:kern w:val="0"/>
          <w:sz w:val="32"/>
          <w:szCs w:val="32"/>
          <w:highlight w:val="none"/>
          <w:u w:val="none"/>
          <w:lang w:eastAsia="zh-CN"/>
        </w:rPr>
        <w:t>，</w:t>
      </w:r>
      <w:r>
        <w:rPr>
          <w:rFonts w:hint="eastAsia" w:ascii="仿宋_GB2312" w:hAnsi="Times New Roman" w:eastAsia="仿宋_GB2312" w:cs="Times New Roman"/>
          <w:color w:val="auto"/>
          <w:kern w:val="0"/>
          <w:sz w:val="32"/>
          <w:szCs w:val="32"/>
          <w:highlight w:val="none"/>
          <w:u w:val="none"/>
        </w:rPr>
        <w:t>提升了居民用气安全性，切实保障居民用气安全和人民群众生命财产安全。</w:t>
      </w:r>
      <w:bookmarkStart w:id="35" w:name="_Toc11196"/>
      <w:bookmarkStart w:id="36" w:name="_Toc8190"/>
      <w:bookmarkStart w:id="37" w:name="_Toc139976783"/>
      <w:bookmarkStart w:id="38" w:name="_Toc12885"/>
    </w:p>
    <w:p>
      <w:pPr>
        <w:pStyle w:val="12"/>
        <w:ind w:left="0" w:leftChars="0" w:firstLine="642" w:firstLineChars="200"/>
        <w:rPr>
          <w:rFonts w:ascii="仿宋_GB2312" w:hAnsi="仿宋_GB2312" w:cs="仿宋_GB2312"/>
          <w:b/>
          <w:bCs/>
          <w:color w:val="auto"/>
          <w:sz w:val="32"/>
          <w:highlight w:val="none"/>
          <w:u w:val="none"/>
        </w:rPr>
      </w:pPr>
      <w:r>
        <w:rPr>
          <w:rFonts w:hint="eastAsia" w:ascii="仿宋_GB2312" w:eastAsia="仿宋_GB2312"/>
          <w:b/>
          <w:bCs/>
          <w:color w:val="auto"/>
          <w:sz w:val="32"/>
          <w:highlight w:val="none"/>
          <w:u w:val="none"/>
        </w:rPr>
        <w:t>（</w:t>
      </w:r>
      <w:r>
        <w:rPr>
          <w:rFonts w:hint="eastAsia" w:ascii="仿宋_GB2312" w:eastAsia="仿宋_GB2312"/>
          <w:b/>
          <w:bCs/>
          <w:color w:val="auto"/>
          <w:sz w:val="32"/>
          <w:highlight w:val="none"/>
          <w:u w:val="none"/>
          <w:lang w:val="en-US" w:eastAsia="zh-CN"/>
        </w:rPr>
        <w:t>5</w:t>
      </w:r>
      <w:r>
        <w:rPr>
          <w:rFonts w:hint="eastAsia" w:ascii="仿宋_GB2312" w:eastAsia="仿宋_GB2312"/>
          <w:b/>
          <w:bCs/>
          <w:color w:val="auto"/>
          <w:sz w:val="32"/>
          <w:highlight w:val="none"/>
          <w:u w:val="none"/>
        </w:rPr>
        <w:t>）进行安全隐患排查及整治，保障了管网设施运营安全性。</w:t>
      </w:r>
    </w:p>
    <w:p>
      <w:pPr>
        <w:pStyle w:val="12"/>
        <w:ind w:left="0" w:leftChars="0" w:firstLine="640" w:firstLineChars="200"/>
        <w:rPr>
          <w:rFonts w:ascii="仿宋_GB2312" w:hAnsi="Times New Roman" w:eastAsia="仿宋_GB2312"/>
          <w:color w:val="auto"/>
          <w:sz w:val="32"/>
          <w:highlight w:val="none"/>
          <w:u w:val="none"/>
        </w:rPr>
      </w:pPr>
      <w:r>
        <w:rPr>
          <w:rFonts w:hint="eastAsia" w:ascii="仿宋_GB2312" w:hAnsi="Times New Roman" w:eastAsia="仿宋_GB2312" w:cs="Times New Roman"/>
          <w:color w:val="auto"/>
          <w:sz w:val="32"/>
          <w:highlight w:val="none"/>
          <w:u w:val="none"/>
        </w:rPr>
        <w:t>统筹开展地下燃气管道普查及隐患整治，对管网进行安全大体检和全方位的“病理”诊断，完善管网“身份”、坐标、位置、标志标识的设置，使市政管网布置明晰、风险警示清楚。采取拆除占压物、管道改线、重点监控等方式排除安全风险隐患，确保管网设施安全运营。经过安全评估巡查、管道普查及隐患消除等工作，管道抗压、防腐蚀能力明显提升，使地下市政燃气管网设施运行安全顺畅。</w:t>
      </w:r>
    </w:p>
    <w:p>
      <w:pPr>
        <w:widowControl/>
        <w:ind w:firstLine="642" w:firstLineChars="200"/>
        <w:jc w:val="left"/>
        <w:rPr>
          <w:rFonts w:ascii="仿宋_GB2312" w:eastAsia="仿宋_GB2312"/>
          <w:b/>
          <w:bCs/>
          <w:color w:val="auto"/>
          <w:sz w:val="32"/>
          <w:szCs w:val="32"/>
          <w:highlight w:val="none"/>
          <w:u w:val="none"/>
        </w:rPr>
      </w:pPr>
      <w:r>
        <w:rPr>
          <w:rFonts w:hint="eastAsia" w:ascii="仿宋_GB2312" w:eastAsia="仿宋_GB2312"/>
          <w:b/>
          <w:bCs/>
          <w:color w:val="auto"/>
          <w:sz w:val="32"/>
          <w:szCs w:val="32"/>
          <w:highlight w:val="none"/>
          <w:u w:val="none"/>
        </w:rPr>
        <w:t>（</w:t>
      </w:r>
      <w:r>
        <w:rPr>
          <w:rFonts w:hint="eastAsia" w:ascii="仿宋_GB2312" w:eastAsia="仿宋_GB2312"/>
          <w:b/>
          <w:bCs/>
          <w:color w:val="auto"/>
          <w:sz w:val="32"/>
          <w:szCs w:val="32"/>
          <w:highlight w:val="none"/>
          <w:u w:val="none"/>
          <w:lang w:val="en-US" w:eastAsia="zh-CN"/>
        </w:rPr>
        <w:t>6</w:t>
      </w:r>
      <w:r>
        <w:rPr>
          <w:rFonts w:hint="eastAsia" w:ascii="仿宋_GB2312" w:eastAsia="仿宋_GB2312"/>
          <w:b/>
          <w:bCs/>
          <w:color w:val="auto"/>
          <w:sz w:val="32"/>
          <w:szCs w:val="32"/>
          <w:highlight w:val="none"/>
          <w:u w:val="none"/>
        </w:rPr>
        <w:t>）组织燃气</w:t>
      </w:r>
      <w:r>
        <w:rPr>
          <w:rFonts w:hint="eastAsia" w:ascii="仿宋_GB2312" w:eastAsia="仿宋_GB2312"/>
          <w:b/>
          <w:bCs/>
          <w:color w:val="auto"/>
          <w:sz w:val="32"/>
          <w:szCs w:val="32"/>
          <w:highlight w:val="none"/>
          <w:u w:val="none"/>
          <w:lang w:eastAsia="zh-CN"/>
        </w:rPr>
        <w:t>安</w:t>
      </w:r>
      <w:r>
        <w:rPr>
          <w:rFonts w:hint="eastAsia" w:ascii="仿宋_GB2312" w:eastAsia="仿宋_GB2312"/>
          <w:b/>
          <w:bCs/>
          <w:color w:val="auto"/>
          <w:sz w:val="32"/>
          <w:szCs w:val="32"/>
          <w:highlight w:val="none"/>
          <w:u w:val="none"/>
        </w:rPr>
        <w:t>全教育与应急演练，提升了突发事故应急处置能力</w:t>
      </w:r>
      <w:r>
        <w:rPr>
          <w:rFonts w:hint="eastAsia" w:ascii="仿宋_GB2312" w:hAnsi="Times New Roman" w:eastAsia="仿宋_GB2312" w:cs="Times New Roman"/>
          <w:b/>
          <w:bCs/>
          <w:color w:val="auto"/>
          <w:sz w:val="32"/>
          <w:highlight w:val="none"/>
          <w:u w:val="none"/>
        </w:rPr>
        <w:t>。</w:t>
      </w:r>
    </w:p>
    <w:p>
      <w:pPr>
        <w:widowControl/>
        <w:ind w:firstLine="640" w:firstLineChars="200"/>
        <w:jc w:val="left"/>
        <w:rPr>
          <w:color w:val="auto"/>
          <w:highlight w:val="none"/>
          <w:u w:val="none"/>
        </w:rPr>
      </w:pPr>
      <w:r>
        <w:rPr>
          <w:rFonts w:hint="eastAsia" w:ascii="仿宋_GB2312" w:hAnsi="Times New Roman" w:eastAsia="仿宋_GB2312"/>
          <w:color w:val="auto"/>
          <w:sz w:val="32"/>
          <w:highlight w:val="none"/>
          <w:u w:val="none"/>
        </w:rPr>
        <w:t>一是加强燃气安全培训和宣传教育，组织燃气安全培训，印发燃气安全宣传资料，营造安全用气氛围，普及燃气安全相关知识。二是组织开展燃气安全应急演练，进一步提高燃气抢险队伍对突发事件应急处置能力，提升突发事故应急处置能力，为高质量发展营造更加安全稳定的社会环境。</w:t>
      </w:r>
    </w:p>
    <w:p>
      <w:pPr>
        <w:pStyle w:val="3"/>
        <w:spacing w:before="0" w:after="0" w:line="360" w:lineRule="auto"/>
        <w:ind w:firstLine="642" w:firstLineChars="200"/>
        <w:rPr>
          <w:rFonts w:ascii="Calibri" w:hAnsi="宋体"/>
          <w:color w:val="auto"/>
          <w:highlight w:val="none"/>
          <w:u w:val="none"/>
        </w:rPr>
      </w:pPr>
      <w:bookmarkStart w:id="39" w:name="_Toc1331"/>
      <w:r>
        <w:rPr>
          <w:rFonts w:hint="eastAsia" w:ascii="Calibri" w:hAnsi="宋体"/>
          <w:color w:val="auto"/>
          <w:highlight w:val="none"/>
          <w:u w:val="none"/>
        </w:rPr>
        <w:t>（三）专项资金使用绩效存在的问题</w:t>
      </w:r>
      <w:bookmarkEnd w:id="35"/>
      <w:bookmarkEnd w:id="36"/>
      <w:bookmarkEnd w:id="37"/>
      <w:bookmarkEnd w:id="38"/>
      <w:bookmarkEnd w:id="39"/>
    </w:p>
    <w:p>
      <w:pPr>
        <w:spacing w:line="360" w:lineRule="auto"/>
        <w:ind w:firstLine="642" w:firstLineChars="200"/>
        <w:rPr>
          <w:rFonts w:ascii="仿宋_GB2312" w:hAnsi="仿宋_GB2312" w:eastAsia="仿宋_GB2312" w:cs="仿宋_GB2312"/>
          <w:b/>
          <w:bCs/>
          <w:color w:val="auto"/>
          <w:sz w:val="32"/>
          <w:szCs w:val="32"/>
          <w:highlight w:val="none"/>
          <w:u w:val="none"/>
          <w:lang w:bidi="ar"/>
        </w:rPr>
      </w:pPr>
      <w:r>
        <w:rPr>
          <w:rFonts w:hint="eastAsia" w:ascii="仿宋_GB2312" w:hAnsi="仿宋_GB2312" w:eastAsia="仿宋_GB2312" w:cs="仿宋_GB2312"/>
          <w:b/>
          <w:bCs/>
          <w:color w:val="auto"/>
          <w:sz w:val="32"/>
          <w:szCs w:val="32"/>
          <w:highlight w:val="none"/>
          <w:u w:val="none"/>
          <w:lang w:bidi="ar"/>
        </w:rPr>
        <w:t>（1）资金支出率</w:t>
      </w:r>
      <w:r>
        <w:rPr>
          <w:rFonts w:hint="eastAsia" w:ascii="仿宋_GB2312" w:hAnsi="仿宋_GB2312" w:eastAsia="仿宋_GB2312" w:cs="仿宋_GB2312"/>
          <w:b/>
          <w:bCs/>
          <w:color w:val="auto"/>
          <w:sz w:val="32"/>
          <w:szCs w:val="32"/>
          <w:highlight w:val="none"/>
          <w:u w:val="none"/>
          <w:lang w:val="en-US" w:eastAsia="zh-CN" w:bidi="ar"/>
        </w:rPr>
        <w:t>未达100%</w:t>
      </w:r>
      <w:r>
        <w:rPr>
          <w:rFonts w:hint="eastAsia" w:ascii="仿宋_GB2312" w:hAnsi="仿宋_GB2312" w:eastAsia="仿宋_GB2312" w:cs="仿宋_GB2312"/>
          <w:b/>
          <w:bCs/>
          <w:color w:val="auto"/>
          <w:sz w:val="32"/>
          <w:szCs w:val="32"/>
          <w:highlight w:val="none"/>
          <w:u w:val="none"/>
          <w:lang w:bidi="ar"/>
        </w:rPr>
        <w:t>。</w:t>
      </w:r>
    </w:p>
    <w:p>
      <w:pPr>
        <w:pStyle w:val="12"/>
        <w:ind w:left="0" w:leftChars="0" w:firstLine="640" w:firstLineChars="200"/>
        <w:rPr>
          <w:rFonts w:hint="eastAsia" w:ascii="仿宋_GB2312" w:hAnsi="仿宋_GB2312" w:eastAsia="仿宋_GB2312" w:cs="仿宋_GB2312"/>
          <w:b w:val="0"/>
          <w:bCs w:val="0"/>
          <w:color w:val="auto"/>
          <w:sz w:val="32"/>
          <w:highlight w:val="none"/>
          <w:u w:val="none"/>
          <w:lang w:bidi="ar"/>
        </w:rPr>
      </w:pPr>
      <w:r>
        <w:rPr>
          <w:rFonts w:hint="eastAsia" w:ascii="仿宋_GB2312" w:hAnsi="仿宋_GB2312" w:eastAsia="仿宋_GB2312" w:cs="仿宋_GB2312"/>
          <w:color w:val="auto"/>
          <w:sz w:val="32"/>
          <w:highlight w:val="none"/>
          <w:u w:val="none"/>
          <w:lang w:bidi="ar"/>
        </w:rPr>
        <w:t>省财政厅下达202</w:t>
      </w:r>
      <w:r>
        <w:rPr>
          <w:rFonts w:hint="eastAsia" w:ascii="仿宋_GB2312" w:hAnsi="仿宋_GB2312" w:eastAsia="仿宋_GB2312" w:cs="仿宋_GB2312"/>
          <w:color w:val="auto"/>
          <w:sz w:val="32"/>
          <w:highlight w:val="none"/>
          <w:u w:val="none"/>
          <w:lang w:val="en-US" w:eastAsia="zh-CN" w:bidi="ar"/>
        </w:rPr>
        <w:t>3</w:t>
      </w:r>
      <w:r>
        <w:rPr>
          <w:rFonts w:hint="eastAsia" w:ascii="仿宋_GB2312" w:hAnsi="仿宋_GB2312" w:eastAsia="仿宋_GB2312" w:cs="仿宋_GB2312"/>
          <w:color w:val="auto"/>
          <w:sz w:val="32"/>
          <w:highlight w:val="none"/>
          <w:u w:val="none"/>
          <w:lang w:bidi="ar"/>
        </w:rPr>
        <w:t>年城市体检与地下市政基础设施排查专项资金共计</w:t>
      </w:r>
      <w:r>
        <w:rPr>
          <w:rFonts w:hint="eastAsia" w:ascii="仿宋_GB2312" w:hAnsi="仿宋_GB2312" w:eastAsia="仿宋_GB2312" w:cs="仿宋_GB2312"/>
          <w:color w:val="auto"/>
          <w:sz w:val="32"/>
          <w:highlight w:val="none"/>
          <w:u w:val="none"/>
          <w:lang w:val="en-US" w:eastAsia="zh-CN" w:bidi="ar"/>
        </w:rPr>
        <w:t>5150</w:t>
      </w:r>
      <w:r>
        <w:rPr>
          <w:rFonts w:hint="eastAsia" w:ascii="仿宋_GB2312" w:hAnsi="仿宋_GB2312" w:eastAsia="仿宋_GB2312" w:cs="仿宋_GB2312"/>
          <w:color w:val="auto"/>
          <w:sz w:val="32"/>
          <w:highlight w:val="none"/>
          <w:u w:val="none"/>
          <w:lang w:bidi="ar"/>
        </w:rPr>
        <w:t>万元，评价年度实际支出共</w:t>
      </w:r>
      <w:r>
        <w:rPr>
          <w:rFonts w:hint="default" w:ascii="仿宋_GB2312" w:hAnsi="仿宋_GB2312" w:eastAsia="仿宋_GB2312" w:cs="仿宋_GB2312"/>
          <w:color w:val="auto"/>
          <w:sz w:val="32"/>
          <w:highlight w:val="none"/>
          <w:u w:val="none"/>
          <w:lang w:bidi="ar"/>
        </w:rPr>
        <w:t>4128.15</w:t>
      </w:r>
      <w:r>
        <w:rPr>
          <w:rFonts w:hint="eastAsia" w:ascii="仿宋_GB2312" w:hAnsi="仿宋_GB2312" w:eastAsia="仿宋_GB2312" w:cs="仿宋_GB2312"/>
          <w:color w:val="auto"/>
          <w:sz w:val="32"/>
          <w:highlight w:val="none"/>
          <w:u w:val="none"/>
          <w:lang w:bidi="ar"/>
        </w:rPr>
        <w:t>万元，支出率为</w:t>
      </w:r>
      <w:r>
        <w:rPr>
          <w:rFonts w:hint="eastAsia" w:ascii="仿宋_GB2312" w:hAnsi="仿宋_GB2312" w:eastAsia="仿宋_GB2312" w:cs="仿宋_GB2312"/>
          <w:color w:val="auto"/>
          <w:sz w:val="32"/>
          <w:highlight w:val="none"/>
          <w:u w:val="none"/>
          <w:lang w:val="en-US" w:eastAsia="zh-CN" w:bidi="ar"/>
        </w:rPr>
        <w:t>80.16</w:t>
      </w:r>
      <w:r>
        <w:rPr>
          <w:rFonts w:hint="eastAsia" w:ascii="仿宋_GB2312" w:hAnsi="仿宋_GB2312" w:eastAsia="仿宋_GB2312" w:cs="仿宋_GB2312"/>
          <w:color w:val="auto"/>
          <w:sz w:val="32"/>
          <w:highlight w:val="none"/>
          <w:u w:val="none"/>
          <w:lang w:bidi="ar"/>
        </w:rPr>
        <w:t>%。专项资金支出率</w:t>
      </w:r>
      <w:r>
        <w:rPr>
          <w:rFonts w:hint="eastAsia" w:ascii="仿宋_GB2312" w:hAnsi="仿宋_GB2312" w:eastAsia="仿宋_GB2312" w:cs="仿宋_GB2312"/>
          <w:color w:val="auto"/>
          <w:sz w:val="32"/>
          <w:highlight w:val="none"/>
          <w:u w:val="none"/>
          <w:lang w:val="en-US" w:eastAsia="zh-CN" w:bidi="ar"/>
        </w:rPr>
        <w:t>未达100%</w:t>
      </w:r>
      <w:r>
        <w:rPr>
          <w:rFonts w:hint="eastAsia" w:ascii="仿宋_GB2312" w:hAnsi="仿宋_GB2312" w:eastAsia="仿宋_GB2312" w:cs="仿宋_GB2312"/>
          <w:color w:val="auto"/>
          <w:sz w:val="32"/>
          <w:highlight w:val="none"/>
          <w:u w:val="none"/>
          <w:lang w:bidi="ar"/>
        </w:rPr>
        <w:t>的原因：</w:t>
      </w:r>
      <w:r>
        <w:rPr>
          <w:rFonts w:hint="eastAsia" w:ascii="仿宋_GB2312" w:hAnsi="仿宋_GB2312" w:eastAsia="仿宋_GB2312" w:cs="仿宋_GB2312"/>
          <w:b w:val="0"/>
          <w:bCs w:val="0"/>
          <w:color w:val="auto"/>
          <w:sz w:val="32"/>
          <w:highlight w:val="none"/>
          <w:u w:val="none"/>
          <w:lang w:bidi="ar"/>
        </w:rPr>
        <w:t>一是部分地市和区县财政资金紧张，未能及时拨付到位；二是</w:t>
      </w:r>
      <w:r>
        <w:rPr>
          <w:rFonts w:hint="eastAsia" w:ascii="仿宋_GB2312" w:hAnsi="仿宋_GB2312" w:eastAsia="仿宋_GB2312" w:cs="仿宋_GB2312"/>
          <w:b w:val="0"/>
          <w:bCs w:val="0"/>
          <w:color w:val="auto"/>
          <w:sz w:val="32"/>
          <w:highlight w:val="none"/>
          <w:u w:val="none"/>
          <w:lang w:val="en-US" w:eastAsia="zh-CN" w:bidi="ar"/>
        </w:rPr>
        <w:t>个别市县</w:t>
      </w:r>
      <w:r>
        <w:rPr>
          <w:rFonts w:hint="eastAsia" w:ascii="仿宋_GB2312" w:hAnsi="仿宋_GB2312" w:eastAsia="仿宋_GB2312" w:cs="仿宋_GB2312"/>
          <w:b w:val="0"/>
          <w:bCs w:val="0"/>
          <w:color w:val="auto"/>
          <w:sz w:val="32"/>
          <w:highlight w:val="none"/>
          <w:u w:val="none"/>
          <w:lang w:bidi="ar"/>
        </w:rPr>
        <w:t>项目进度缓慢导致资金支付不理想；三是部分市县支付资金的审批流程比较缓慢，财政部门拨付资金周期较长，影响支付进度；四是城市管理与地下基础设施建设更新改造项目涉及面广、数据多，项目耗时较长，影响了资金支出效率。</w:t>
      </w:r>
    </w:p>
    <w:p>
      <w:pPr>
        <w:spacing w:line="360" w:lineRule="auto"/>
        <w:ind w:firstLine="642" w:firstLineChars="200"/>
        <w:rPr>
          <w:rFonts w:hint="default" w:ascii="仿宋_GB2312" w:hAnsi="仿宋_GB2312" w:eastAsia="仿宋_GB2312" w:cs="仿宋_GB2312"/>
          <w:b/>
          <w:bCs/>
          <w:color w:val="auto"/>
          <w:sz w:val="32"/>
          <w:szCs w:val="32"/>
          <w:highlight w:val="none"/>
          <w:u w:val="none"/>
          <w:lang w:val="en-US" w:eastAsia="zh-CN" w:bidi="ar"/>
        </w:rPr>
      </w:pPr>
      <w:r>
        <w:rPr>
          <w:rFonts w:hint="eastAsia" w:ascii="仿宋_GB2312" w:hAnsi="仿宋_GB2312" w:eastAsia="仿宋_GB2312" w:cs="仿宋_GB2312"/>
          <w:b/>
          <w:bCs/>
          <w:color w:val="auto"/>
          <w:sz w:val="32"/>
          <w:szCs w:val="32"/>
          <w:highlight w:val="none"/>
          <w:u w:val="none"/>
          <w:lang w:bidi="ar"/>
        </w:rPr>
        <w:t>（2）城市管理与地下基础设施建设更新改造</w:t>
      </w:r>
      <w:r>
        <w:rPr>
          <w:rFonts w:hint="eastAsia" w:ascii="仿宋_GB2312" w:hAnsi="仿宋_GB2312" w:eastAsia="仿宋_GB2312" w:cs="仿宋_GB2312"/>
          <w:b/>
          <w:bCs/>
          <w:color w:val="auto"/>
          <w:sz w:val="32"/>
          <w:szCs w:val="32"/>
          <w:highlight w:val="none"/>
          <w:u w:val="none"/>
          <w:lang w:val="en-US" w:eastAsia="zh-CN" w:bidi="ar"/>
        </w:rPr>
        <w:t>项目推进有一定难度。</w:t>
      </w:r>
    </w:p>
    <w:p>
      <w:pPr>
        <w:spacing w:line="360" w:lineRule="auto"/>
        <w:ind w:firstLine="640" w:firstLineChars="200"/>
        <w:rPr>
          <w:rFonts w:hint="eastAsia" w:ascii="仿宋_GB2312" w:hAnsi="仿宋_GB2312" w:eastAsia="仿宋_GB2312" w:cs="仿宋_GB2312"/>
          <w:color w:val="auto"/>
          <w:sz w:val="32"/>
          <w:highlight w:val="none"/>
          <w:u w:val="none"/>
          <w:lang w:eastAsia="zh-CN" w:bidi="ar"/>
        </w:rPr>
      </w:pPr>
      <w:r>
        <w:rPr>
          <w:rFonts w:hint="eastAsia" w:ascii="仿宋_GB2312" w:hAnsi="仿宋_GB2312" w:eastAsia="仿宋_GB2312" w:cs="仿宋_GB2312"/>
          <w:color w:val="auto"/>
          <w:sz w:val="32"/>
          <w:highlight w:val="none"/>
          <w:u w:val="none"/>
          <w:lang w:val="en-US" w:eastAsia="zh-CN" w:bidi="ar"/>
        </w:rPr>
        <w:t>城市管理与地下基础设施建设更新改造</w:t>
      </w:r>
      <w:r>
        <w:rPr>
          <w:rFonts w:hint="eastAsia" w:ascii="仿宋_GB2312" w:hAnsi="仿宋_GB2312" w:eastAsia="仿宋_GB2312" w:cs="仿宋_GB2312"/>
          <w:color w:val="auto"/>
          <w:sz w:val="32"/>
          <w:highlight w:val="none"/>
          <w:u w:val="none"/>
          <w:lang w:eastAsia="zh-CN" w:bidi="ar"/>
        </w:rPr>
        <w:t>工作涉及</w:t>
      </w:r>
      <w:r>
        <w:rPr>
          <w:rFonts w:hint="eastAsia" w:ascii="仿宋_GB2312" w:hAnsi="仿宋_GB2312" w:eastAsia="仿宋_GB2312" w:cs="仿宋_GB2312"/>
          <w:color w:val="auto"/>
          <w:sz w:val="32"/>
          <w:highlight w:val="none"/>
          <w:u w:val="none"/>
          <w:lang w:bidi="ar"/>
        </w:rPr>
        <w:t>范围广</w:t>
      </w:r>
      <w:r>
        <w:rPr>
          <w:rFonts w:hint="eastAsia" w:ascii="仿宋_GB2312" w:hAnsi="仿宋_GB2312" w:eastAsia="仿宋_GB2312" w:cs="仿宋_GB2312"/>
          <w:color w:val="auto"/>
          <w:sz w:val="32"/>
          <w:highlight w:val="none"/>
          <w:u w:val="none"/>
          <w:lang w:eastAsia="zh-CN" w:bidi="ar"/>
        </w:rPr>
        <w:t>、部门多，涵盖</w:t>
      </w:r>
      <w:r>
        <w:rPr>
          <w:rFonts w:hint="eastAsia" w:ascii="仿宋_GB2312" w:hAnsi="仿宋_GB2312" w:eastAsia="仿宋_GB2312" w:cs="仿宋_GB2312"/>
          <w:b w:val="0"/>
          <w:bCs w:val="0"/>
          <w:color w:val="auto"/>
          <w:kern w:val="2"/>
          <w:sz w:val="32"/>
          <w:szCs w:val="32"/>
          <w:highlight w:val="none"/>
          <w:u w:val="none"/>
          <w:lang w:val="en-US" w:eastAsia="zh-CN" w:bidi="ar-SA"/>
        </w:rPr>
        <w:t>生态宜居、健康舒适、安全韧性、交通便捷、风貌特色、整洁有序、多元包容和创新活力等城市规划建设管理各个方面。</w:t>
      </w:r>
      <w:r>
        <w:rPr>
          <w:rFonts w:hint="eastAsia" w:ascii="仿宋_GB2312" w:hAnsi="仿宋_GB2312" w:eastAsia="仿宋_GB2312" w:cs="仿宋_GB2312"/>
          <w:color w:val="auto"/>
          <w:sz w:val="32"/>
          <w:highlight w:val="none"/>
          <w:u w:val="none"/>
          <w:lang w:eastAsia="zh-CN" w:bidi="ar"/>
        </w:rPr>
        <w:t>涉及</w:t>
      </w:r>
      <w:r>
        <w:rPr>
          <w:rFonts w:hint="eastAsia" w:ascii="仿宋_GB2312" w:hAnsi="仿宋_GB2312" w:eastAsia="仿宋_GB2312" w:cs="仿宋_GB2312"/>
          <w:color w:val="auto"/>
          <w:sz w:val="32"/>
          <w:highlight w:val="none"/>
          <w:u w:val="none"/>
          <w:lang w:bidi="ar"/>
        </w:rPr>
        <w:t>设施类型多、数据量大</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bidi="ar"/>
        </w:rPr>
        <w:t>专业性强，</w:t>
      </w:r>
      <w:r>
        <w:rPr>
          <w:rFonts w:hint="eastAsia" w:ascii="仿宋_GB2312" w:hAnsi="仿宋_GB2312" w:eastAsia="仿宋_GB2312" w:cs="仿宋_GB2312"/>
          <w:color w:val="auto"/>
          <w:sz w:val="32"/>
          <w:highlight w:val="none"/>
          <w:u w:val="none"/>
          <w:lang w:eastAsia="zh-CN" w:bidi="ar"/>
        </w:rPr>
        <w:t>组织协调和推进工作</w:t>
      </w:r>
      <w:r>
        <w:rPr>
          <w:rFonts w:hint="eastAsia" w:ascii="仿宋_GB2312" w:hAnsi="仿宋_GB2312" w:eastAsia="仿宋_GB2312" w:cs="仿宋_GB2312"/>
          <w:color w:val="auto"/>
          <w:sz w:val="32"/>
          <w:highlight w:val="none"/>
          <w:u w:val="none"/>
          <w:lang w:val="en-US" w:eastAsia="zh-CN" w:bidi="ar"/>
        </w:rPr>
        <w:t>有一定难度</w:t>
      </w:r>
      <w:r>
        <w:rPr>
          <w:rFonts w:hint="eastAsia" w:ascii="仿宋_GB2312" w:hAnsi="仿宋_GB2312" w:eastAsia="仿宋_GB2312" w:cs="仿宋_GB2312"/>
          <w:color w:val="auto"/>
          <w:sz w:val="32"/>
          <w:highlight w:val="none"/>
          <w:u w:val="none"/>
          <w:lang w:eastAsia="zh-CN" w:bidi="ar"/>
        </w:rPr>
        <w:t>。</w:t>
      </w:r>
    </w:p>
    <w:p>
      <w:pPr>
        <w:spacing w:line="360" w:lineRule="auto"/>
        <w:ind w:firstLine="642" w:firstLineChars="200"/>
        <w:rPr>
          <w:rFonts w:hint="eastAsia" w:ascii="仿宋_GB2312" w:hAnsi="仿宋_GB2312" w:eastAsia="仿宋_GB2312" w:cs="仿宋_GB2312"/>
          <w:b/>
          <w:bCs/>
          <w:color w:val="auto"/>
          <w:sz w:val="32"/>
          <w:szCs w:val="32"/>
          <w:highlight w:val="none"/>
          <w:u w:val="none"/>
          <w:lang w:eastAsia="zh-CN" w:bidi="ar"/>
        </w:rPr>
      </w:pPr>
      <w:r>
        <w:rPr>
          <w:rFonts w:hint="eastAsia" w:ascii="仿宋_GB2312" w:hAnsi="仿宋_GB2312" w:eastAsia="仿宋_GB2312" w:cs="仿宋_GB2312"/>
          <w:b/>
          <w:bCs/>
          <w:color w:val="auto"/>
          <w:sz w:val="32"/>
          <w:szCs w:val="32"/>
          <w:highlight w:val="none"/>
          <w:u w:val="none"/>
          <w:lang w:bidi="ar"/>
        </w:rPr>
        <w:t>（</w:t>
      </w:r>
      <w:r>
        <w:rPr>
          <w:rFonts w:hint="eastAsia" w:ascii="仿宋_GB2312" w:hAnsi="仿宋_GB2312" w:eastAsia="仿宋_GB2312" w:cs="仿宋_GB2312"/>
          <w:b/>
          <w:bCs/>
          <w:color w:val="auto"/>
          <w:sz w:val="32"/>
          <w:szCs w:val="32"/>
          <w:highlight w:val="none"/>
          <w:u w:val="none"/>
          <w:lang w:val="en-US" w:eastAsia="zh-CN" w:bidi="ar"/>
        </w:rPr>
        <w:t>3</w:t>
      </w:r>
      <w:r>
        <w:rPr>
          <w:rFonts w:hint="eastAsia" w:ascii="仿宋_GB2312" w:hAnsi="仿宋_GB2312" w:eastAsia="仿宋_GB2312" w:cs="仿宋_GB2312"/>
          <w:b/>
          <w:bCs/>
          <w:color w:val="auto"/>
          <w:sz w:val="32"/>
          <w:szCs w:val="32"/>
          <w:highlight w:val="none"/>
          <w:u w:val="none"/>
          <w:lang w:bidi="ar"/>
        </w:rPr>
        <w:t>）城市管理与地下基础设施建设更新改造</w:t>
      </w:r>
      <w:r>
        <w:rPr>
          <w:rFonts w:hint="eastAsia" w:ascii="仿宋_GB2312" w:hAnsi="仿宋_GB2312" w:eastAsia="仿宋_GB2312" w:cs="仿宋_GB2312"/>
          <w:b/>
          <w:bCs/>
          <w:color w:val="auto"/>
          <w:sz w:val="32"/>
          <w:szCs w:val="32"/>
          <w:highlight w:val="none"/>
          <w:u w:val="none"/>
          <w:lang w:eastAsia="zh-CN" w:bidi="ar"/>
        </w:rPr>
        <w:t>面临一些需要破解的难题。</w:t>
      </w:r>
    </w:p>
    <w:p>
      <w:pPr>
        <w:spacing w:line="360" w:lineRule="auto"/>
        <w:ind w:firstLine="640" w:firstLineChars="200"/>
        <w:rPr>
          <w:rFonts w:hint="eastAsia" w:ascii="仿宋_GB2312" w:hAnsi="仿宋_GB2312" w:eastAsia="仿宋_GB2312" w:cs="仿宋_GB2312"/>
          <w:b/>
          <w:bCs/>
          <w:color w:val="auto"/>
          <w:sz w:val="32"/>
          <w:szCs w:val="32"/>
          <w:highlight w:val="none"/>
          <w:u w:val="none"/>
          <w:lang w:val="en-US" w:eastAsia="zh-CN" w:bidi="ar"/>
        </w:rPr>
      </w:pPr>
      <w:r>
        <w:rPr>
          <w:rFonts w:hint="eastAsia" w:ascii="仿宋_GB2312" w:hAnsi="仿宋_GB2312" w:eastAsia="仿宋_GB2312" w:cs="仿宋_GB2312"/>
          <w:color w:val="auto"/>
          <w:sz w:val="32"/>
          <w:highlight w:val="none"/>
          <w:u w:val="none"/>
          <w:lang w:val="en-US" w:eastAsia="zh-CN" w:bidi="ar"/>
        </w:rPr>
        <w:t>一是市政燃气管网</w:t>
      </w:r>
      <w:r>
        <w:rPr>
          <w:rFonts w:hint="eastAsia" w:ascii="仿宋_GB2312" w:hAnsi="仿宋_GB2312" w:eastAsia="仿宋_GB2312" w:cs="仿宋_GB2312"/>
          <w:color w:val="auto"/>
          <w:sz w:val="32"/>
          <w:highlight w:val="none"/>
          <w:u w:val="none"/>
          <w:lang w:bidi="ar"/>
        </w:rPr>
        <w:t>数据复杂</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bidi="ar"/>
        </w:rPr>
        <w:t>燃气管网涉及</w:t>
      </w:r>
      <w:r>
        <w:rPr>
          <w:rFonts w:hint="eastAsia" w:ascii="仿宋_GB2312" w:hAnsi="仿宋_GB2312" w:eastAsia="仿宋_GB2312" w:cs="仿宋_GB2312"/>
          <w:color w:val="auto"/>
          <w:sz w:val="32"/>
          <w:highlight w:val="none"/>
          <w:u w:val="none"/>
          <w:lang w:val="en-US" w:eastAsia="zh-CN" w:bidi="ar"/>
        </w:rPr>
        <w:t>多</w:t>
      </w:r>
      <w:r>
        <w:rPr>
          <w:rFonts w:hint="eastAsia" w:ascii="仿宋_GB2312" w:hAnsi="仿宋_GB2312" w:eastAsia="仿宋_GB2312" w:cs="仿宋_GB2312"/>
          <w:color w:val="auto"/>
          <w:sz w:val="32"/>
          <w:highlight w:val="none"/>
          <w:u w:val="none"/>
          <w:lang w:bidi="ar"/>
        </w:rPr>
        <w:t>家燃气企业</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bidi="ar"/>
        </w:rPr>
        <w:t>部分管线埋设的地理环境复杂，管网数据采集量大，且部分管网数据缺失</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val="en-US" w:eastAsia="zh-CN" w:bidi="ar"/>
        </w:rPr>
        <w:t>二是燃气</w:t>
      </w:r>
      <w:r>
        <w:rPr>
          <w:rFonts w:hint="eastAsia" w:ascii="仿宋_GB2312" w:hAnsi="仿宋_GB2312" w:eastAsia="仿宋_GB2312" w:cs="仿宋_GB2312"/>
          <w:color w:val="auto"/>
          <w:sz w:val="32"/>
          <w:highlight w:val="none"/>
          <w:u w:val="none"/>
          <w:lang w:bidi="ar"/>
        </w:rPr>
        <w:t>管线权属单位多</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bidi="ar"/>
        </w:rPr>
        <w:t>存在协调难的问题</w:t>
      </w:r>
      <w:r>
        <w:rPr>
          <w:rFonts w:hint="eastAsia" w:ascii="仿宋_GB2312" w:hAnsi="仿宋_GB2312" w:eastAsia="仿宋_GB2312" w:cs="仿宋_GB2312"/>
          <w:color w:val="auto"/>
          <w:sz w:val="32"/>
          <w:highlight w:val="none"/>
          <w:u w:val="none"/>
          <w:lang w:eastAsia="zh-CN" w:bidi="ar"/>
        </w:rPr>
        <w:t>，</w:t>
      </w:r>
      <w:r>
        <w:rPr>
          <w:rFonts w:hint="eastAsia" w:ascii="仿宋_GB2312" w:hAnsi="仿宋_GB2312" w:eastAsia="仿宋_GB2312" w:cs="仿宋_GB2312"/>
          <w:color w:val="auto"/>
          <w:sz w:val="32"/>
          <w:highlight w:val="none"/>
          <w:u w:val="none"/>
          <w:lang w:bidi="ar"/>
        </w:rPr>
        <w:t>导致项目推进过程中</w:t>
      </w:r>
      <w:r>
        <w:rPr>
          <w:rFonts w:hint="eastAsia" w:ascii="仿宋_GB2312" w:hAnsi="仿宋_GB2312" w:eastAsia="仿宋_GB2312" w:cs="仿宋_GB2312"/>
          <w:color w:val="auto"/>
          <w:sz w:val="32"/>
          <w:highlight w:val="none"/>
          <w:u w:val="none"/>
          <w:lang w:eastAsia="zh-CN" w:bidi="ar"/>
        </w:rPr>
        <w:t>遇到</w:t>
      </w:r>
      <w:r>
        <w:rPr>
          <w:rFonts w:hint="eastAsia" w:ascii="仿宋_GB2312" w:hAnsi="仿宋_GB2312" w:eastAsia="仿宋_GB2312" w:cs="仿宋_GB2312"/>
          <w:color w:val="auto"/>
          <w:sz w:val="32"/>
          <w:highlight w:val="none"/>
          <w:u w:val="none"/>
          <w:lang w:bidi="ar"/>
        </w:rPr>
        <w:t>阻</w:t>
      </w:r>
      <w:r>
        <w:rPr>
          <w:rFonts w:hint="eastAsia" w:ascii="仿宋_GB2312" w:hAnsi="仿宋_GB2312" w:eastAsia="仿宋_GB2312" w:cs="仿宋_GB2312"/>
          <w:color w:val="auto"/>
          <w:sz w:val="32"/>
          <w:highlight w:val="none"/>
          <w:u w:val="none"/>
          <w:lang w:eastAsia="zh-CN" w:bidi="ar"/>
        </w:rPr>
        <w:t>力</w:t>
      </w:r>
      <w:r>
        <w:rPr>
          <w:rFonts w:hint="eastAsia" w:ascii="仿宋_GB2312" w:hAnsi="仿宋_GB2312" w:eastAsia="仿宋_GB2312" w:cs="仿宋_GB2312"/>
          <w:color w:val="auto"/>
          <w:sz w:val="32"/>
          <w:highlight w:val="none"/>
          <w:u w:val="none"/>
          <w:lang w:bidi="ar"/>
        </w:rPr>
        <w:t>，影响了项目的总体推进进度。</w:t>
      </w:r>
    </w:p>
    <w:p>
      <w:pPr>
        <w:spacing w:line="360" w:lineRule="auto"/>
        <w:ind w:firstLine="642" w:firstLineChars="200"/>
        <w:rPr>
          <w:rFonts w:ascii="仿宋_GB2312" w:hAnsi="仿宋_GB2312" w:eastAsia="仿宋_GB2312" w:cs="仿宋_GB2312"/>
          <w:b/>
          <w:bCs/>
          <w:color w:val="auto"/>
          <w:sz w:val="32"/>
          <w:szCs w:val="32"/>
          <w:highlight w:val="none"/>
          <w:u w:val="none"/>
          <w:lang w:bidi="ar"/>
        </w:rPr>
      </w:pPr>
      <w:r>
        <w:rPr>
          <w:rFonts w:hint="eastAsia" w:ascii="仿宋_GB2312" w:hAnsi="仿宋_GB2312" w:eastAsia="仿宋_GB2312" w:cs="仿宋_GB2312"/>
          <w:b/>
          <w:bCs/>
          <w:color w:val="auto"/>
          <w:sz w:val="32"/>
          <w:szCs w:val="32"/>
          <w:highlight w:val="none"/>
          <w:u w:val="none"/>
          <w:lang w:bidi="ar"/>
        </w:rPr>
        <w:t>（</w:t>
      </w:r>
      <w:r>
        <w:rPr>
          <w:rFonts w:hint="eastAsia" w:ascii="仿宋_GB2312" w:hAnsi="仿宋_GB2312" w:eastAsia="仿宋_GB2312" w:cs="仿宋_GB2312"/>
          <w:b/>
          <w:bCs/>
          <w:color w:val="auto"/>
          <w:sz w:val="32"/>
          <w:szCs w:val="32"/>
          <w:highlight w:val="none"/>
          <w:u w:val="none"/>
          <w:lang w:val="en-US" w:eastAsia="zh-CN" w:bidi="ar"/>
        </w:rPr>
        <w:t>4</w:t>
      </w:r>
      <w:r>
        <w:rPr>
          <w:rFonts w:hint="eastAsia" w:ascii="仿宋_GB2312" w:hAnsi="仿宋_GB2312" w:eastAsia="仿宋_GB2312" w:cs="仿宋_GB2312"/>
          <w:b/>
          <w:bCs/>
          <w:color w:val="auto"/>
          <w:sz w:val="32"/>
          <w:szCs w:val="32"/>
          <w:highlight w:val="none"/>
          <w:u w:val="none"/>
          <w:lang w:bidi="ar"/>
        </w:rPr>
        <w:t>）部分用户配合度较低，工作开展困难。</w:t>
      </w:r>
    </w:p>
    <w:p>
      <w:pPr>
        <w:spacing w:line="360" w:lineRule="auto"/>
        <w:ind w:firstLine="640" w:firstLineChars="200"/>
        <w:rPr>
          <w:rFonts w:hint="eastAsia" w:ascii="黑体" w:eastAsia="黑体"/>
          <w:color w:val="auto"/>
          <w:sz w:val="32"/>
          <w:szCs w:val="32"/>
          <w:highlight w:val="none"/>
          <w:u w:val="none"/>
        </w:rPr>
      </w:pPr>
      <w:r>
        <w:rPr>
          <w:rFonts w:hint="eastAsia" w:ascii="仿宋_GB2312" w:hAnsi="仿宋_GB2312" w:eastAsia="仿宋_GB2312" w:cs="仿宋_GB2312"/>
          <w:color w:val="auto"/>
          <w:sz w:val="32"/>
          <w:highlight w:val="none"/>
          <w:u w:val="none"/>
          <w:lang w:val="en-US" w:eastAsia="zh-CN" w:bidi="ar"/>
        </w:rPr>
        <w:t>一是部分居民用户对于燃气软管更换的重要性认知不足，缺乏安全意识，不了解燃气软管老化、损坏存在的安全隐患，导致不积极配合软管更换工作，甚至拒绝工作人员进行入户更换。二是部分居民用户认为软管更换按每户15元的标准太低，大部分用户至少更换3至4条软管，除政府补贴、企业让利外，还需要用户承担费用，用户更换意愿不高。</w:t>
      </w:r>
      <w:bookmarkStart w:id="40" w:name="_Toc20361"/>
    </w:p>
    <w:p>
      <w:pPr>
        <w:spacing w:line="360" w:lineRule="auto"/>
        <w:ind w:firstLine="640" w:firstLineChars="200"/>
        <w:rPr>
          <w:rFonts w:hint="eastAsia" w:ascii="黑体" w:eastAsia="黑体"/>
          <w:color w:val="auto"/>
          <w:sz w:val="32"/>
          <w:szCs w:val="32"/>
          <w:highlight w:val="none"/>
          <w:u w:val="none"/>
        </w:rPr>
      </w:pPr>
      <w:r>
        <w:rPr>
          <w:rFonts w:hint="eastAsia" w:ascii="黑体" w:eastAsia="黑体"/>
          <w:color w:val="auto"/>
          <w:sz w:val="32"/>
          <w:szCs w:val="32"/>
          <w:highlight w:val="none"/>
          <w:u w:val="none"/>
        </w:rPr>
        <w:t>三、改进意见</w:t>
      </w:r>
      <w:bookmarkEnd w:id="40"/>
      <w:bookmarkStart w:id="41" w:name="_Toc29883"/>
      <w:bookmarkStart w:id="42" w:name="_Toc2428"/>
      <w:bookmarkStart w:id="43" w:name="_Toc29864"/>
      <w:bookmarkStart w:id="44" w:name="_Toc1726"/>
      <w:bookmarkStart w:id="45" w:name="_Toc29544"/>
      <w:bookmarkStart w:id="46" w:name="_Toc23529"/>
      <w:bookmarkStart w:id="47" w:name="_Toc8221"/>
    </w:p>
    <w:p>
      <w:pPr>
        <w:spacing w:line="360" w:lineRule="auto"/>
        <w:ind w:firstLine="642" w:firstLineChars="200"/>
        <w:rPr>
          <w:rFonts w:hint="eastAsia" w:ascii="Calibri" w:hAnsi="宋体" w:eastAsia="楷体_GB2312" w:cstheme="minorBidi"/>
          <w:b/>
          <w:bCs/>
          <w:color w:val="auto"/>
          <w:kern w:val="44"/>
          <w:sz w:val="32"/>
          <w:szCs w:val="44"/>
          <w:highlight w:val="none"/>
          <w:u w:val="none"/>
          <w:lang w:val="en-US" w:eastAsia="zh-CN" w:bidi="ar-SA"/>
        </w:rPr>
      </w:pPr>
      <w:r>
        <w:rPr>
          <w:rFonts w:hint="eastAsia" w:ascii="Calibri" w:hAnsi="宋体" w:eastAsia="楷体_GB2312" w:cstheme="minorBidi"/>
          <w:b/>
          <w:bCs/>
          <w:color w:val="auto"/>
          <w:kern w:val="44"/>
          <w:sz w:val="32"/>
          <w:szCs w:val="44"/>
          <w:highlight w:val="none"/>
          <w:u w:val="none"/>
          <w:lang w:val="en-US" w:eastAsia="zh-CN" w:bidi="ar-SA"/>
        </w:rPr>
        <w:t>（一）</w:t>
      </w:r>
      <w:bookmarkEnd w:id="41"/>
      <w:bookmarkEnd w:id="42"/>
      <w:bookmarkEnd w:id="43"/>
      <w:bookmarkEnd w:id="44"/>
      <w:r>
        <w:rPr>
          <w:rFonts w:hint="eastAsia" w:ascii="Calibri" w:hAnsi="宋体" w:eastAsia="楷体_GB2312" w:cstheme="minorBidi"/>
          <w:b/>
          <w:bCs/>
          <w:color w:val="auto"/>
          <w:kern w:val="44"/>
          <w:sz w:val="32"/>
          <w:szCs w:val="44"/>
          <w:highlight w:val="none"/>
          <w:u w:val="none"/>
          <w:lang w:val="en-US" w:eastAsia="zh-CN" w:bidi="ar-SA"/>
        </w:rPr>
        <w:t>加强绩效监控，提高财政资金</w:t>
      </w:r>
      <w:bookmarkEnd w:id="45"/>
      <w:r>
        <w:rPr>
          <w:rFonts w:hint="eastAsia" w:ascii="Calibri" w:hAnsi="宋体" w:eastAsia="楷体_GB2312" w:cstheme="minorBidi"/>
          <w:b/>
          <w:bCs/>
          <w:color w:val="auto"/>
          <w:kern w:val="44"/>
          <w:sz w:val="32"/>
          <w:szCs w:val="44"/>
          <w:highlight w:val="none"/>
          <w:u w:val="none"/>
          <w:lang w:val="en-US" w:eastAsia="zh-CN" w:bidi="ar-SA"/>
        </w:rPr>
        <w:t>使用效率</w:t>
      </w:r>
      <w:bookmarkEnd w:id="46"/>
    </w:p>
    <w:p>
      <w:pPr>
        <w:spacing w:line="360" w:lineRule="auto"/>
        <w:ind w:firstLine="640" w:firstLineChars="200"/>
        <w:rPr>
          <w:rFonts w:hint="eastAsia" w:ascii="仿宋_GB2312" w:hAnsi="Times New Roman" w:eastAsia="仿宋_GB2312" w:cs="仿宋_GB2312"/>
          <w:b w:val="0"/>
          <w:bCs w:val="0"/>
          <w:color w:val="auto"/>
          <w:sz w:val="32"/>
          <w:szCs w:val="32"/>
          <w:highlight w:val="none"/>
          <w:u w:val="none"/>
          <w:lang w:bidi="ar"/>
        </w:rPr>
      </w:pPr>
      <w:r>
        <w:rPr>
          <w:rFonts w:hint="eastAsia" w:ascii="仿宋_GB2312" w:hAnsi="Times New Roman" w:eastAsia="仿宋_GB2312" w:cs="仿宋_GB2312"/>
          <w:b w:val="0"/>
          <w:bCs w:val="0"/>
          <w:color w:val="auto"/>
          <w:sz w:val="32"/>
          <w:szCs w:val="32"/>
          <w:highlight w:val="none"/>
          <w:u w:val="none"/>
          <w:lang w:bidi="ar"/>
        </w:rPr>
        <w:t>加强对资金市县使用单位的业务指导，认真落实《中共广东省委</w:t>
      </w:r>
      <w:r>
        <w:rPr>
          <w:rFonts w:hint="eastAsia" w:ascii="仿宋_GB2312" w:hAnsi="Times New Roman" w:eastAsia="仿宋_GB2312" w:cs="仿宋_GB2312"/>
          <w:b w:val="0"/>
          <w:bCs w:val="0"/>
          <w:color w:val="auto"/>
          <w:sz w:val="32"/>
          <w:szCs w:val="32"/>
          <w:highlight w:val="none"/>
          <w:u w:val="none"/>
          <w:lang w:val="en-US" w:eastAsia="zh-CN" w:bidi="ar"/>
        </w:rPr>
        <w:t xml:space="preserve"> </w:t>
      </w:r>
      <w:r>
        <w:rPr>
          <w:rFonts w:hint="eastAsia" w:ascii="仿宋_GB2312" w:hAnsi="Times New Roman" w:eastAsia="仿宋_GB2312" w:cs="仿宋_GB2312"/>
          <w:b w:val="0"/>
          <w:bCs w:val="0"/>
          <w:color w:val="auto"/>
          <w:sz w:val="32"/>
          <w:szCs w:val="32"/>
          <w:highlight w:val="none"/>
          <w:u w:val="none"/>
          <w:lang w:bidi="ar"/>
        </w:rPr>
        <w:t>广东省人民政府关于全面实施预算绩效管理的若干意见》《广东省人民政府关于印发广东省省级财政专项资金管理办法（修订）的通知》等文件精神，按照“大专项+任务清单”管理模式做好专项资金项目管理，规范管理、使用、核算专项资金，按规定</w:t>
      </w:r>
      <w:r>
        <w:rPr>
          <w:rFonts w:hint="eastAsia" w:ascii="仿宋_GB2312" w:hAnsi="Times New Roman" w:eastAsia="仿宋_GB2312" w:cs="仿宋_GB2312"/>
          <w:b w:val="0"/>
          <w:bCs w:val="0"/>
          <w:color w:val="auto"/>
          <w:sz w:val="32"/>
          <w:szCs w:val="32"/>
          <w:highlight w:val="none"/>
          <w:u w:val="none"/>
          <w:lang w:val="en-US" w:eastAsia="zh-CN" w:bidi="ar"/>
        </w:rPr>
        <w:t>加强绩效监控</w:t>
      </w:r>
      <w:r>
        <w:rPr>
          <w:rFonts w:hint="eastAsia" w:ascii="仿宋_GB2312" w:hAnsi="Times New Roman" w:eastAsia="仿宋_GB2312" w:cs="仿宋_GB2312"/>
          <w:b w:val="0"/>
          <w:bCs w:val="0"/>
          <w:color w:val="auto"/>
          <w:sz w:val="32"/>
          <w:szCs w:val="32"/>
          <w:highlight w:val="none"/>
          <w:u w:val="none"/>
          <w:lang w:bidi="ar"/>
        </w:rPr>
        <w:t>，切实提高财政资金使用绩效。充分发挥“数字政府”公共财政综合管理平台和省业务主管部门项目管理平台的作用，实时掌握预算执行情况，对于资金支付进度未达到计划要求的地区，定期采取通报、约谈、压减收回资金等方法，推动市县切实按要求加快资金支付进度，提高预算执行率，发挥资金使用效益。</w:t>
      </w:r>
    </w:p>
    <w:p>
      <w:pPr>
        <w:pStyle w:val="3"/>
        <w:widowControl/>
        <w:spacing w:before="0" w:after="0" w:line="360" w:lineRule="auto"/>
        <w:ind w:firstLine="642" w:firstLineChars="200"/>
        <w:rPr>
          <w:color w:val="auto"/>
          <w:szCs w:val="32"/>
          <w:highlight w:val="none"/>
          <w:u w:val="none"/>
        </w:rPr>
      </w:pPr>
      <w:r>
        <w:rPr>
          <w:rFonts w:hint="eastAsia"/>
          <w:color w:val="auto"/>
          <w:szCs w:val="32"/>
          <w:highlight w:val="none"/>
          <w:u w:val="none"/>
        </w:rPr>
        <w:t>（二）建立健全常态化、规范化的城市体检工作制度，为城市建设高质量发展提供更有力的支撑</w:t>
      </w:r>
    </w:p>
    <w:p>
      <w:pPr>
        <w:widowControl/>
        <w:ind w:firstLine="640" w:firstLineChars="200"/>
        <w:jc w:val="left"/>
        <w:rPr>
          <w:rFonts w:hint="eastAsia" w:ascii="仿宋_GB2312" w:hAnsi="Times New Roman" w:eastAsia="仿宋_GB2312" w:cs="仿宋_GB2312"/>
          <w:color w:val="auto"/>
          <w:sz w:val="32"/>
          <w:szCs w:val="32"/>
          <w:highlight w:val="none"/>
          <w:u w:val="none"/>
          <w:lang w:bidi="ar"/>
        </w:rPr>
      </w:pPr>
      <w:r>
        <w:rPr>
          <w:rFonts w:hint="eastAsia" w:ascii="仿宋_GB2312" w:hAnsi="Times New Roman" w:eastAsia="仿宋_GB2312" w:cs="仿宋_GB2312"/>
          <w:color w:val="auto"/>
          <w:sz w:val="32"/>
          <w:szCs w:val="32"/>
          <w:highlight w:val="none"/>
          <w:u w:val="none"/>
          <w:lang w:bidi="ar"/>
        </w:rPr>
        <w:t>坚持以人民为中心，坚持新发展理念，落实高质量发展要求，建立健全常态化、规范化的城市体检工作制度，加快建立城市体检评价体系、实施监督体系、法规政策体系和技术标准体系，将城市体检工作纳入城市建设领域相关工作考核和绩效评价；加强城市体检评估成果的转化应用，强化评用结合、监督检查和评价地位；加强城市体检评估工作保障，通过加强组织领导，加大财政支持，充分调动各社会团体和居民的积极性，广泛汇聚社会力量参与城市体检评估工作。</w:t>
      </w:r>
    </w:p>
    <w:p>
      <w:pPr>
        <w:pStyle w:val="3"/>
        <w:widowControl/>
        <w:spacing w:before="0" w:after="0" w:line="360" w:lineRule="auto"/>
        <w:ind w:firstLine="642" w:firstLineChars="200"/>
        <w:rPr>
          <w:rFonts w:hint="default" w:eastAsia="楷体_GB2312"/>
          <w:color w:val="auto"/>
          <w:szCs w:val="32"/>
          <w:highlight w:val="none"/>
          <w:u w:val="none"/>
          <w:lang w:val="en-US" w:eastAsia="zh-CN"/>
        </w:rPr>
      </w:pPr>
      <w:r>
        <w:rPr>
          <w:rFonts w:hint="eastAsia"/>
          <w:color w:val="auto"/>
          <w:szCs w:val="32"/>
          <w:highlight w:val="none"/>
          <w:u w:val="none"/>
        </w:rPr>
        <w:t>（</w:t>
      </w:r>
      <w:r>
        <w:rPr>
          <w:rFonts w:hint="eastAsia"/>
          <w:color w:val="auto"/>
          <w:szCs w:val="32"/>
          <w:highlight w:val="none"/>
          <w:u w:val="none"/>
          <w:lang w:val="en-US" w:eastAsia="zh-CN"/>
        </w:rPr>
        <w:t>三</w:t>
      </w:r>
      <w:r>
        <w:rPr>
          <w:rFonts w:hint="eastAsia"/>
          <w:color w:val="auto"/>
          <w:szCs w:val="32"/>
          <w:highlight w:val="none"/>
          <w:u w:val="none"/>
        </w:rPr>
        <w:t>）</w:t>
      </w:r>
      <w:r>
        <w:rPr>
          <w:rFonts w:hint="eastAsia"/>
          <w:color w:val="auto"/>
          <w:szCs w:val="32"/>
          <w:highlight w:val="none"/>
          <w:u w:val="none"/>
          <w:lang w:val="en-US" w:eastAsia="zh-CN"/>
        </w:rPr>
        <w:t>完善管理、积极协调，切实解决</w:t>
      </w:r>
      <w:r>
        <w:rPr>
          <w:rFonts w:hint="eastAsia"/>
          <w:color w:val="auto"/>
          <w:szCs w:val="32"/>
          <w:highlight w:val="none"/>
          <w:u w:val="none"/>
        </w:rPr>
        <w:t>城市管理与地下基础设施建设更新改造项目</w:t>
      </w:r>
      <w:r>
        <w:rPr>
          <w:rFonts w:hint="eastAsia"/>
          <w:color w:val="auto"/>
          <w:szCs w:val="32"/>
          <w:highlight w:val="none"/>
          <w:u w:val="none"/>
          <w:lang w:val="en-US" w:eastAsia="zh-CN"/>
        </w:rPr>
        <w:t>推进难的问题</w:t>
      </w:r>
    </w:p>
    <w:p>
      <w:pPr>
        <w:pStyle w:val="7"/>
        <w:ind w:firstLine="640" w:firstLineChars="200"/>
        <w:rPr>
          <w:rFonts w:hint="eastAsia" w:ascii="仿宋_GB2312" w:hAnsi="Times New Roman" w:eastAsia="仿宋_GB2312" w:cs="仿宋_GB2312"/>
          <w:b w:val="0"/>
          <w:bCs w:val="0"/>
          <w:color w:val="auto"/>
          <w:kern w:val="44"/>
          <w:sz w:val="32"/>
          <w:szCs w:val="32"/>
          <w:highlight w:val="none"/>
          <w:u w:val="none"/>
          <w:lang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一是协调不同单位，</w:t>
      </w:r>
      <w:r>
        <w:rPr>
          <w:rFonts w:hint="eastAsia" w:ascii="仿宋_GB2312" w:hAnsi="Times New Roman" w:eastAsia="仿宋_GB2312" w:cs="仿宋_GB2312"/>
          <w:b w:val="0"/>
          <w:bCs w:val="0"/>
          <w:color w:val="auto"/>
          <w:kern w:val="44"/>
          <w:sz w:val="32"/>
          <w:szCs w:val="32"/>
          <w:highlight w:val="none"/>
          <w:u w:val="none"/>
          <w:lang w:bidi="ar"/>
        </w:rPr>
        <w:t>整合资源聚合力。建立</w:t>
      </w:r>
      <w:r>
        <w:rPr>
          <w:rFonts w:hint="eastAsia" w:ascii="仿宋_GB2312" w:hAnsi="Times New Roman" w:eastAsia="仿宋_GB2312" w:cs="仿宋_GB2312"/>
          <w:b w:val="0"/>
          <w:bCs w:val="0"/>
          <w:color w:val="auto"/>
          <w:kern w:val="44"/>
          <w:sz w:val="32"/>
          <w:szCs w:val="32"/>
          <w:highlight w:val="none"/>
          <w:u w:val="none"/>
          <w:lang w:eastAsia="zh-CN" w:bidi="ar"/>
        </w:rPr>
        <w:t>和完善</w:t>
      </w:r>
      <w:r>
        <w:rPr>
          <w:rFonts w:hint="eastAsia" w:ascii="仿宋_GB2312" w:hAnsi="Times New Roman" w:eastAsia="仿宋_GB2312" w:cs="仿宋_GB2312"/>
          <w:b w:val="0"/>
          <w:bCs w:val="0"/>
          <w:color w:val="auto"/>
          <w:kern w:val="44"/>
          <w:sz w:val="32"/>
          <w:szCs w:val="32"/>
          <w:highlight w:val="none"/>
          <w:u w:val="none"/>
          <w:lang w:bidi="ar"/>
        </w:rPr>
        <w:t>“联动共管”工作机制，</w:t>
      </w:r>
      <w:r>
        <w:rPr>
          <w:rFonts w:hint="eastAsia" w:ascii="仿宋_GB2312" w:hAnsi="Times New Roman" w:eastAsia="仿宋_GB2312" w:cs="仿宋_GB2312"/>
          <w:b w:val="0"/>
          <w:bCs w:val="0"/>
          <w:color w:val="auto"/>
          <w:kern w:val="44"/>
          <w:sz w:val="32"/>
          <w:szCs w:val="32"/>
          <w:highlight w:val="none"/>
          <w:u w:val="none"/>
          <w:lang w:val="en-US" w:eastAsia="zh-CN" w:bidi="ar"/>
        </w:rPr>
        <w:t>多</w:t>
      </w:r>
      <w:r>
        <w:rPr>
          <w:rFonts w:hint="eastAsia" w:ascii="仿宋_GB2312" w:hAnsi="Times New Roman" w:eastAsia="仿宋_GB2312" w:cs="仿宋_GB2312"/>
          <w:b w:val="0"/>
          <w:bCs w:val="0"/>
          <w:color w:val="auto"/>
          <w:kern w:val="44"/>
          <w:sz w:val="32"/>
          <w:szCs w:val="32"/>
          <w:highlight w:val="none"/>
          <w:u w:val="none"/>
          <w:lang w:bidi="ar"/>
        </w:rPr>
        <w:t>部门统筹配合、齐抓共管，</w:t>
      </w:r>
      <w:r>
        <w:rPr>
          <w:rFonts w:hint="eastAsia" w:ascii="仿宋_GB2312" w:hAnsi="Times New Roman" w:eastAsia="仿宋_GB2312" w:cs="仿宋_GB2312"/>
          <w:b w:val="0"/>
          <w:bCs w:val="0"/>
          <w:color w:val="auto"/>
          <w:kern w:val="44"/>
          <w:sz w:val="32"/>
          <w:szCs w:val="32"/>
          <w:highlight w:val="none"/>
          <w:u w:val="none"/>
          <w:lang w:val="en-US" w:eastAsia="zh-CN" w:bidi="ar"/>
        </w:rPr>
        <w:t>共同推进</w:t>
      </w:r>
      <w:r>
        <w:rPr>
          <w:rFonts w:hint="eastAsia" w:ascii="仿宋_GB2312" w:hAnsi="Times New Roman" w:eastAsia="仿宋_GB2312" w:cs="仿宋_GB2312"/>
          <w:b w:val="0"/>
          <w:bCs w:val="0"/>
          <w:color w:val="auto"/>
          <w:kern w:val="44"/>
          <w:sz w:val="32"/>
          <w:szCs w:val="32"/>
          <w:highlight w:val="none"/>
          <w:u w:val="none"/>
          <w:lang w:bidi="ar"/>
        </w:rPr>
        <w:t>城市体检与市政燃气管网普查项目</w:t>
      </w:r>
      <w:r>
        <w:rPr>
          <w:rFonts w:hint="eastAsia" w:ascii="仿宋_GB2312" w:hAnsi="Times New Roman" w:eastAsia="仿宋_GB2312" w:cs="仿宋_GB2312"/>
          <w:b w:val="0"/>
          <w:bCs w:val="0"/>
          <w:color w:val="auto"/>
          <w:kern w:val="44"/>
          <w:sz w:val="32"/>
          <w:szCs w:val="32"/>
          <w:highlight w:val="none"/>
          <w:u w:val="none"/>
          <w:lang w:val="en-US" w:eastAsia="zh-CN" w:bidi="ar"/>
        </w:rPr>
        <w:t>工作</w:t>
      </w:r>
      <w:r>
        <w:rPr>
          <w:rFonts w:hint="eastAsia" w:ascii="仿宋_GB2312" w:hAnsi="Times New Roman" w:eastAsia="仿宋_GB2312" w:cs="仿宋_GB2312"/>
          <w:b w:val="0"/>
          <w:bCs w:val="0"/>
          <w:color w:val="auto"/>
          <w:kern w:val="44"/>
          <w:sz w:val="32"/>
          <w:szCs w:val="32"/>
          <w:highlight w:val="none"/>
          <w:u w:val="none"/>
          <w:lang w:bidi="ar"/>
        </w:rPr>
        <w:t>。</w:t>
      </w:r>
      <w:r>
        <w:rPr>
          <w:rFonts w:hint="eastAsia" w:ascii="仿宋_GB2312" w:hAnsi="Times New Roman" w:eastAsia="仿宋_GB2312" w:cs="仿宋_GB2312"/>
          <w:b w:val="0"/>
          <w:bCs w:val="0"/>
          <w:color w:val="auto"/>
          <w:kern w:val="44"/>
          <w:sz w:val="32"/>
          <w:szCs w:val="32"/>
          <w:highlight w:val="none"/>
          <w:u w:val="none"/>
          <w:lang w:val="en-US" w:eastAsia="zh-CN" w:bidi="ar"/>
        </w:rPr>
        <w:t>二是</w:t>
      </w:r>
      <w:r>
        <w:rPr>
          <w:rFonts w:hint="eastAsia" w:ascii="仿宋_GB2312" w:hAnsi="Times New Roman" w:eastAsia="仿宋_GB2312" w:cs="仿宋_GB2312"/>
          <w:b w:val="0"/>
          <w:bCs w:val="0"/>
          <w:color w:val="auto"/>
          <w:kern w:val="44"/>
          <w:sz w:val="32"/>
          <w:szCs w:val="32"/>
          <w:highlight w:val="none"/>
          <w:u w:val="none"/>
          <w:lang w:bidi="ar"/>
        </w:rPr>
        <w:t>随着社会、经济的飞速发展，城市规划建设的日新月异，地下管</w:t>
      </w:r>
      <w:bookmarkStart w:id="48" w:name="_GoBack"/>
      <w:bookmarkEnd w:id="48"/>
      <w:r>
        <w:rPr>
          <w:rFonts w:hint="eastAsia" w:ascii="仿宋_GB2312" w:hAnsi="Times New Roman" w:eastAsia="仿宋_GB2312" w:cs="仿宋_GB2312"/>
          <w:b w:val="0"/>
          <w:bCs w:val="0"/>
          <w:color w:val="auto"/>
          <w:kern w:val="44"/>
          <w:sz w:val="32"/>
          <w:szCs w:val="32"/>
          <w:highlight w:val="none"/>
          <w:u w:val="none"/>
          <w:lang w:bidi="ar"/>
        </w:rPr>
        <w:t>线不断地增加和变更，为确保地下管线资料的实用性、有效性、</w:t>
      </w:r>
      <w:r>
        <w:rPr>
          <w:rFonts w:hint="eastAsia" w:ascii="仿宋_GB2312" w:hAnsi="Times New Roman" w:eastAsia="仿宋_GB2312" w:cs="仿宋_GB2312"/>
          <w:b w:val="0"/>
          <w:bCs w:val="0"/>
          <w:color w:val="auto"/>
          <w:kern w:val="44"/>
          <w:sz w:val="32"/>
          <w:szCs w:val="32"/>
          <w:highlight w:val="none"/>
          <w:u w:val="none"/>
          <w:lang w:bidi="ar"/>
          <w:rPrChange w:id="0" w:author="szj" w:date="2024-07-08T11:35:05Z">
            <w:rPr>
              <w:rFonts w:hint="eastAsia" w:ascii="仿宋_GB2312" w:hAnsi="Times New Roman" w:eastAsia="仿宋_GB2312" w:cs="仿宋_GB2312"/>
              <w:b w:val="0"/>
              <w:bCs w:val="0"/>
              <w:color w:val="auto"/>
              <w:kern w:val="44"/>
              <w:sz w:val="32"/>
              <w:szCs w:val="32"/>
              <w:highlight w:val="none"/>
              <w:u w:val="none"/>
              <w:lang w:bidi="ar"/>
            </w:rPr>
          </w:rPrChange>
        </w:rPr>
        <w:t>现势性，</w:t>
      </w:r>
      <w:r>
        <w:rPr>
          <w:rFonts w:hint="eastAsia" w:ascii="仿宋_GB2312" w:hAnsi="Times New Roman" w:eastAsia="仿宋_GB2312" w:cs="仿宋_GB2312"/>
          <w:b w:val="0"/>
          <w:bCs w:val="0"/>
          <w:color w:val="auto"/>
          <w:kern w:val="44"/>
          <w:sz w:val="32"/>
          <w:szCs w:val="32"/>
          <w:highlight w:val="none"/>
          <w:u w:val="none"/>
          <w:lang w:bidi="ar"/>
        </w:rPr>
        <w:t>建议及时进行修测和补测，在管线信息系统管理的基础上实现动态更新管理。</w:t>
      </w:r>
    </w:p>
    <w:p>
      <w:pPr>
        <w:pStyle w:val="3"/>
        <w:widowControl/>
        <w:spacing w:before="0" w:after="0" w:line="360" w:lineRule="auto"/>
        <w:ind w:firstLine="642" w:firstLineChars="200"/>
        <w:rPr>
          <w:rFonts w:hint="default" w:eastAsia="楷体_GB2312"/>
          <w:color w:val="auto"/>
          <w:szCs w:val="32"/>
          <w:highlight w:val="none"/>
          <w:u w:val="none"/>
          <w:lang w:val="en-US" w:eastAsia="zh-CN"/>
        </w:rPr>
      </w:pPr>
      <w:r>
        <w:rPr>
          <w:rFonts w:hint="eastAsia"/>
          <w:color w:val="auto"/>
          <w:szCs w:val="32"/>
          <w:highlight w:val="none"/>
          <w:u w:val="none"/>
        </w:rPr>
        <w:t>（</w:t>
      </w:r>
      <w:r>
        <w:rPr>
          <w:rFonts w:hint="eastAsia"/>
          <w:color w:val="auto"/>
          <w:szCs w:val="32"/>
          <w:highlight w:val="none"/>
          <w:u w:val="none"/>
          <w:lang w:val="en-US" w:eastAsia="zh-CN"/>
        </w:rPr>
        <w:t>四</w:t>
      </w:r>
      <w:r>
        <w:rPr>
          <w:rFonts w:hint="eastAsia"/>
          <w:color w:val="auto"/>
          <w:szCs w:val="32"/>
          <w:highlight w:val="none"/>
          <w:u w:val="none"/>
        </w:rPr>
        <w:t>）</w:t>
      </w:r>
      <w:r>
        <w:rPr>
          <w:rFonts w:hint="eastAsia"/>
          <w:color w:val="auto"/>
          <w:szCs w:val="32"/>
          <w:highlight w:val="none"/>
          <w:u w:val="none"/>
          <w:lang w:eastAsia="zh-CN"/>
        </w:rPr>
        <w:t>加大</w:t>
      </w:r>
      <w:r>
        <w:rPr>
          <w:rFonts w:hint="eastAsia"/>
          <w:color w:val="auto"/>
          <w:szCs w:val="32"/>
          <w:highlight w:val="none"/>
          <w:u w:val="none"/>
          <w:lang w:val="en-US" w:eastAsia="zh-CN"/>
        </w:rPr>
        <w:t>管理</w:t>
      </w:r>
      <w:r>
        <w:rPr>
          <w:rFonts w:hint="eastAsia"/>
          <w:color w:val="auto"/>
          <w:szCs w:val="32"/>
          <w:highlight w:val="none"/>
          <w:u w:val="none"/>
          <w:lang w:eastAsia="zh-CN"/>
        </w:rPr>
        <w:t>和</w:t>
      </w:r>
      <w:r>
        <w:rPr>
          <w:rFonts w:hint="eastAsia"/>
          <w:color w:val="auto"/>
          <w:szCs w:val="32"/>
          <w:highlight w:val="none"/>
          <w:u w:val="none"/>
          <w:lang w:val="en-US" w:eastAsia="zh-CN"/>
        </w:rPr>
        <w:t>保障力度、</w:t>
      </w:r>
      <w:r>
        <w:rPr>
          <w:rFonts w:hint="eastAsia"/>
          <w:color w:val="auto"/>
          <w:szCs w:val="32"/>
          <w:highlight w:val="none"/>
          <w:u w:val="none"/>
        </w:rPr>
        <w:t>支撑城市管理与地下基础设施建设更新改造项目</w:t>
      </w:r>
      <w:r>
        <w:rPr>
          <w:rFonts w:hint="eastAsia"/>
          <w:color w:val="auto"/>
          <w:szCs w:val="32"/>
          <w:highlight w:val="none"/>
          <w:u w:val="none"/>
          <w:lang w:val="en-US" w:eastAsia="zh-CN"/>
        </w:rPr>
        <w:t>的开展</w:t>
      </w:r>
    </w:p>
    <w:p>
      <w:pPr>
        <w:pStyle w:val="7"/>
        <w:ind w:firstLine="640" w:firstLineChars="200"/>
        <w:rPr>
          <w:rFonts w:hint="eastAsia"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一是</w:t>
      </w:r>
      <w:r>
        <w:rPr>
          <w:rFonts w:hint="eastAsia" w:ascii="仿宋_GB2312" w:hAnsi="Times New Roman" w:eastAsia="仿宋_GB2312" w:cs="仿宋_GB2312"/>
          <w:b w:val="0"/>
          <w:bCs w:val="0"/>
          <w:color w:val="auto"/>
          <w:kern w:val="44"/>
          <w:sz w:val="32"/>
          <w:szCs w:val="32"/>
          <w:highlight w:val="none"/>
          <w:u w:val="none"/>
          <w:lang w:bidi="ar"/>
        </w:rPr>
        <w:t>建议省级转移支付资金继续支持粤东西北地区等财力相对薄</w:t>
      </w:r>
      <w:r>
        <w:rPr>
          <w:rFonts w:hint="eastAsia" w:ascii="仿宋_GB2312" w:hAnsi="Times New Roman" w:eastAsia="仿宋_GB2312" w:cs="仿宋_GB2312"/>
          <w:b w:val="0"/>
          <w:bCs w:val="0"/>
          <w:color w:val="auto"/>
          <w:kern w:val="44"/>
          <w:sz w:val="32"/>
          <w:szCs w:val="32"/>
          <w:highlight w:val="none"/>
          <w:u w:val="none"/>
          <w:lang w:eastAsia="zh-CN" w:bidi="ar"/>
        </w:rPr>
        <w:t>弱的</w:t>
      </w:r>
      <w:r>
        <w:rPr>
          <w:rFonts w:hint="eastAsia" w:ascii="仿宋_GB2312" w:hAnsi="Times New Roman" w:eastAsia="仿宋_GB2312" w:cs="仿宋_GB2312"/>
          <w:b w:val="0"/>
          <w:bCs w:val="0"/>
          <w:color w:val="auto"/>
          <w:kern w:val="44"/>
          <w:sz w:val="32"/>
          <w:szCs w:val="32"/>
          <w:highlight w:val="none"/>
          <w:u w:val="none"/>
          <w:lang w:bidi="ar"/>
        </w:rPr>
        <w:t>地级市，</w:t>
      </w:r>
      <w:r>
        <w:rPr>
          <w:rFonts w:hint="eastAsia" w:ascii="仿宋_GB2312" w:hAnsi="Times New Roman" w:eastAsia="仿宋_GB2312" w:cs="仿宋_GB2312"/>
          <w:b w:val="0"/>
          <w:bCs w:val="0"/>
          <w:color w:val="auto"/>
          <w:kern w:val="44"/>
          <w:sz w:val="32"/>
          <w:szCs w:val="32"/>
          <w:highlight w:val="none"/>
          <w:u w:val="none"/>
          <w:lang w:val="en-US" w:eastAsia="zh-CN" w:bidi="ar"/>
        </w:rPr>
        <w:t>支持</w:t>
      </w:r>
      <w:r>
        <w:rPr>
          <w:rFonts w:hint="eastAsia" w:ascii="仿宋_GB2312" w:hAnsi="Times New Roman" w:eastAsia="仿宋_GB2312" w:cs="仿宋_GB2312"/>
          <w:b w:val="0"/>
          <w:bCs w:val="0"/>
          <w:color w:val="auto"/>
          <w:kern w:val="44"/>
          <w:sz w:val="32"/>
          <w:szCs w:val="32"/>
          <w:highlight w:val="none"/>
          <w:u w:val="none"/>
          <w:lang w:bidi="ar"/>
        </w:rPr>
        <w:t>开展</w:t>
      </w:r>
      <w:r>
        <w:rPr>
          <w:rFonts w:hint="eastAsia" w:ascii="仿宋_GB2312" w:hAnsi="Times New Roman" w:eastAsia="仿宋_GB2312" w:cs="仿宋_GB2312"/>
          <w:b w:val="0"/>
          <w:bCs w:val="0"/>
          <w:color w:val="auto"/>
          <w:kern w:val="44"/>
          <w:sz w:val="32"/>
          <w:szCs w:val="32"/>
          <w:highlight w:val="none"/>
          <w:u w:val="none"/>
          <w:lang w:val="en-US" w:eastAsia="zh-CN" w:bidi="ar"/>
        </w:rPr>
        <w:t>城市管理与地下基础设施建设更新改造工作，解决“</w:t>
      </w:r>
      <w:r>
        <w:rPr>
          <w:rFonts w:hint="eastAsia" w:ascii="仿宋_GB2312" w:hAnsi="Times New Roman" w:eastAsia="仿宋_GB2312" w:cs="仿宋_GB2312"/>
          <w:color w:val="auto"/>
          <w:kern w:val="44"/>
          <w:sz w:val="32"/>
          <w:szCs w:val="32"/>
          <w:highlight w:val="none"/>
          <w:u w:val="none"/>
          <w:lang w:bidi="ar"/>
        </w:rPr>
        <w:t>补助对象多，奖补金额少</w:t>
      </w:r>
      <w:r>
        <w:rPr>
          <w:rFonts w:hint="eastAsia" w:ascii="仿宋_GB2312" w:hAnsi="Times New Roman" w:eastAsia="仿宋_GB2312" w:cs="仿宋_GB2312"/>
          <w:b w:val="0"/>
          <w:bCs w:val="0"/>
          <w:color w:val="auto"/>
          <w:kern w:val="44"/>
          <w:sz w:val="32"/>
          <w:szCs w:val="32"/>
          <w:highlight w:val="none"/>
          <w:u w:val="none"/>
          <w:lang w:val="en-US" w:eastAsia="zh-CN" w:bidi="ar"/>
        </w:rPr>
        <w:t>”的问题</w:t>
      </w:r>
      <w:r>
        <w:rPr>
          <w:rFonts w:hint="eastAsia" w:ascii="仿宋_GB2312" w:hAnsi="Times New Roman" w:eastAsia="仿宋_GB2312" w:cs="仿宋_GB2312"/>
          <w:b w:val="0"/>
          <w:bCs w:val="0"/>
          <w:color w:val="auto"/>
          <w:kern w:val="44"/>
          <w:sz w:val="32"/>
          <w:szCs w:val="32"/>
          <w:highlight w:val="none"/>
          <w:u w:val="none"/>
          <w:lang w:bidi="ar"/>
        </w:rPr>
        <w:t>。</w:t>
      </w:r>
      <w:r>
        <w:rPr>
          <w:rFonts w:hint="eastAsia" w:ascii="仿宋_GB2312" w:hAnsi="Times New Roman" w:eastAsia="仿宋_GB2312" w:cs="仿宋_GB2312"/>
          <w:b w:val="0"/>
          <w:bCs w:val="0"/>
          <w:color w:val="auto"/>
          <w:kern w:val="44"/>
          <w:sz w:val="32"/>
          <w:szCs w:val="32"/>
          <w:highlight w:val="none"/>
          <w:u w:val="none"/>
          <w:lang w:val="en-US" w:eastAsia="zh-CN" w:bidi="ar"/>
        </w:rPr>
        <w:t>二是继续完善城市管理与地下基础设施建设更新改造相关工作制度，健全安全管理机制，加快建立城市管理与地下基础设施建设更新改造评价体系、实施监督体系、法规政策体系和技术标准体系，切实提高城市管理与地下基础设施建设更新改造项目管理水平，推动城市管理与地下基础设施建设更新改造项目高效高质进行。三是加强燃气安全隐患排查治理工作宣传与用气安全教育，培养居民用户</w:t>
      </w:r>
      <w:r>
        <w:rPr>
          <w:rFonts w:hint="eastAsia" w:ascii="仿宋_GB2312" w:hAnsi="Times New Roman" w:eastAsia="仿宋_GB2312" w:cs="仿宋_GB2312"/>
          <w:color w:val="auto"/>
          <w:kern w:val="44"/>
          <w:sz w:val="32"/>
          <w:szCs w:val="32"/>
          <w:highlight w:val="none"/>
          <w:u w:val="none"/>
          <w:lang w:bidi="ar"/>
        </w:rPr>
        <w:t>燃气</w:t>
      </w:r>
      <w:r>
        <w:rPr>
          <w:rFonts w:hint="eastAsia" w:ascii="仿宋_GB2312" w:hAnsi="Times New Roman" w:eastAsia="仿宋_GB2312" w:cs="仿宋_GB2312"/>
          <w:b w:val="0"/>
          <w:bCs w:val="0"/>
          <w:color w:val="auto"/>
          <w:kern w:val="44"/>
          <w:sz w:val="32"/>
          <w:szCs w:val="32"/>
          <w:highlight w:val="none"/>
          <w:u w:val="none"/>
          <w:lang w:val="en-US" w:eastAsia="zh-CN" w:bidi="ar"/>
        </w:rPr>
        <w:t>安全意识，提高城市管理与地下基础设施建设更新改造的居民用户认可度与配合度，推动燃气安全隐患排查治理工作顺畅高效进行。</w:t>
      </w:r>
      <w:bookmarkEnd w:id="47"/>
    </w:p>
    <w:p>
      <w:pPr>
        <w:rPr>
          <w:rFonts w:ascii="Calibri" w:hAnsi="Calibri"/>
          <w:color w:val="auto"/>
          <w:kern w:val="0"/>
          <w:szCs w:val="32"/>
          <w:highlight w:val="none"/>
          <w:u w:val="none"/>
        </w:rPr>
      </w:pPr>
    </w:p>
    <w:p>
      <w:pPr>
        <w:pStyle w:val="7"/>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lang w:val="en-US" w:eastAsia="zh-CN"/>
        </w:rPr>
      </w:pPr>
      <w:r>
        <w:rPr>
          <w:rFonts w:hint="eastAsia" w:ascii="仿宋_GB2312" w:hAnsi="Times New Roman" w:eastAsia="仿宋_GB2312" w:cs="仿宋_GB2312"/>
          <w:b w:val="0"/>
          <w:bCs w:val="0"/>
          <w:color w:val="auto"/>
          <w:kern w:val="44"/>
          <w:sz w:val="32"/>
          <w:szCs w:val="32"/>
          <w:highlight w:val="none"/>
          <w:u w:val="none"/>
          <w:lang w:val="en-US" w:eastAsia="zh-CN" w:bidi="ar"/>
        </w:rPr>
        <w:t>附件：1.2023年城市管理与地下基础设施建设更新改造资金</w:t>
      </w:r>
    </w:p>
    <w:p>
      <w:pPr>
        <w:pStyle w:val="7"/>
        <w:keepNext w:val="0"/>
        <w:keepLines w:val="0"/>
        <w:pageBreakBefore w:val="0"/>
        <w:widowControl w:val="0"/>
        <w:tabs>
          <w:tab w:val="left" w:pos="1680"/>
        </w:tabs>
        <w:kinsoku/>
        <w:wordWrap/>
        <w:overflowPunct/>
        <w:topLinePunct w:val="0"/>
        <w:autoSpaceDE/>
        <w:autoSpaceDN/>
        <w:bidi w:val="0"/>
        <w:adjustRightInd/>
        <w:snapToGrid/>
        <w:ind w:left="2304" w:leftChars="800" w:hanging="624" w:hangingChars="195"/>
        <w:textAlignment w:val="auto"/>
        <w:rPr>
          <w:rFonts w:hint="default"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绩效目标表</w:t>
      </w:r>
    </w:p>
    <w:p>
      <w:pPr>
        <w:pStyle w:val="7"/>
        <w:keepNext w:val="0"/>
        <w:keepLines w:val="0"/>
        <w:pageBreakBefore w:val="0"/>
        <w:widowControl w:val="0"/>
        <w:kinsoku/>
        <w:wordWrap/>
        <w:overflowPunct/>
        <w:topLinePunct w:val="0"/>
        <w:autoSpaceDE/>
        <w:autoSpaceDN/>
        <w:bidi w:val="0"/>
        <w:adjustRightInd/>
        <w:snapToGrid/>
        <w:ind w:left="1670" w:leftChars="704" w:hanging="192" w:hangingChars="60"/>
        <w:textAlignment w:val="auto"/>
        <w:rPr>
          <w:rFonts w:hint="default"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2.2023年城市管理与地下基础设施建设更新改造资金支出情况汇总表</w:t>
      </w:r>
    </w:p>
    <w:p>
      <w:pPr>
        <w:pStyle w:val="7"/>
        <w:keepNext w:val="0"/>
        <w:keepLines w:val="0"/>
        <w:pageBreakBefore w:val="0"/>
        <w:widowControl w:val="0"/>
        <w:kinsoku/>
        <w:wordWrap/>
        <w:overflowPunct/>
        <w:topLinePunct w:val="0"/>
        <w:autoSpaceDE/>
        <w:autoSpaceDN/>
        <w:bidi w:val="0"/>
        <w:adjustRightInd/>
        <w:snapToGrid/>
        <w:ind w:left="1668" w:leftChars="703" w:hanging="192" w:hangingChars="60"/>
        <w:textAlignment w:val="auto"/>
        <w:rPr>
          <w:rFonts w:hint="eastAsia"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3.2023年城市管理与地下基础设施建设更新改造资金任务完成情况汇总表</w:t>
      </w:r>
    </w:p>
    <w:p>
      <w:pPr>
        <w:keepNext w:val="0"/>
        <w:keepLines w:val="0"/>
        <w:pageBreakBefore w:val="0"/>
        <w:widowControl w:val="0"/>
        <w:kinsoku/>
        <w:wordWrap/>
        <w:overflowPunct/>
        <w:topLinePunct w:val="0"/>
        <w:autoSpaceDE/>
        <w:autoSpaceDN/>
        <w:bidi w:val="0"/>
        <w:adjustRightInd/>
        <w:snapToGrid/>
        <w:ind w:left="1668" w:leftChars="703" w:hanging="192" w:hangingChars="60"/>
        <w:textAlignment w:val="auto"/>
        <w:rPr>
          <w:rFonts w:hint="eastAsia"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4.2023年城市管理与地下基础设施建设更新改造资金</w:t>
      </w:r>
    </w:p>
    <w:p>
      <w:pPr>
        <w:ind w:left="1680" w:leftChars="800" w:firstLine="0" w:firstLineChars="0"/>
        <w:rPr>
          <w:rFonts w:hint="eastAsia" w:ascii="仿宋_GB2312" w:hAnsi="Times New Roman" w:eastAsia="仿宋_GB2312" w:cs="仿宋_GB2312"/>
          <w:b w:val="0"/>
          <w:bCs w:val="0"/>
          <w:color w:val="auto"/>
          <w:kern w:val="44"/>
          <w:sz w:val="32"/>
          <w:szCs w:val="32"/>
          <w:highlight w:val="none"/>
          <w:u w:val="none"/>
          <w:lang w:val="en-US" w:eastAsia="zh-CN" w:bidi="ar"/>
        </w:rPr>
      </w:pPr>
      <w:r>
        <w:rPr>
          <w:rFonts w:hint="eastAsia" w:ascii="仿宋_GB2312" w:hAnsi="Times New Roman" w:eastAsia="仿宋_GB2312" w:cs="仿宋_GB2312"/>
          <w:b w:val="0"/>
          <w:bCs w:val="0"/>
          <w:color w:val="auto"/>
          <w:kern w:val="44"/>
          <w:sz w:val="32"/>
          <w:szCs w:val="32"/>
          <w:highlight w:val="none"/>
          <w:u w:val="none"/>
          <w:lang w:val="en-US" w:eastAsia="zh-CN" w:bidi="ar"/>
        </w:rPr>
        <w:t>绩效评价佐证材料清单</w:t>
      </w: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rPr>
          <w:rFonts w:hint="eastAsia"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br w:type="page"/>
      </w:r>
    </w:p>
    <w:p>
      <w:pPr>
        <w:rPr>
          <w:rFonts w:hint="default"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附件1-1</w:t>
      </w:r>
    </w:p>
    <w:tbl>
      <w:tblPr>
        <w:tblStyle w:val="16"/>
        <w:tblpPr w:leftFromText="180" w:rightFromText="180" w:vertAnchor="text" w:horzAnchor="page" w:tblpX="1513" w:tblpY="628"/>
        <w:tblOverlap w:val="never"/>
        <w:tblW w:w="5057" w:type="pct"/>
        <w:tblInd w:w="0" w:type="dxa"/>
        <w:tblLayout w:type="autofit"/>
        <w:tblCellMar>
          <w:top w:w="0" w:type="dxa"/>
          <w:left w:w="108" w:type="dxa"/>
          <w:bottom w:w="0" w:type="dxa"/>
          <w:right w:w="108" w:type="dxa"/>
        </w:tblCellMar>
      </w:tblPr>
      <w:tblGrid>
        <w:gridCol w:w="1567"/>
        <w:gridCol w:w="798"/>
        <w:gridCol w:w="2014"/>
        <w:gridCol w:w="3174"/>
        <w:gridCol w:w="1726"/>
      </w:tblGrid>
      <w:tr>
        <w:tblPrEx>
          <w:tblCellMar>
            <w:top w:w="0" w:type="dxa"/>
            <w:left w:w="108" w:type="dxa"/>
            <w:bottom w:w="0" w:type="dxa"/>
            <w:right w:w="108" w:type="dxa"/>
          </w:tblCellMar>
        </w:tblPrEx>
        <w:trPr>
          <w:trHeight w:val="372"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资金名称</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i w:val="0"/>
                <w:iCs w:val="0"/>
                <w:color w:val="000000"/>
                <w:kern w:val="0"/>
                <w:sz w:val="24"/>
                <w:szCs w:val="24"/>
                <w:u w:val="none"/>
                <w:lang w:val="en-US" w:eastAsia="zh-CN" w:bidi="ar"/>
              </w:rPr>
              <w:t>2023年城市管理与地下基础设施建设更新改造专项资金</w:t>
            </w:r>
            <w:r>
              <w:rPr>
                <w:rFonts w:hint="eastAsia" w:ascii="仿宋_GB2312" w:hAnsi="宋体" w:eastAsia="仿宋_GB2312" w:cs="仿宋_GB2312"/>
                <w:color w:val="000000"/>
                <w:kern w:val="0"/>
                <w:sz w:val="24"/>
                <w:u w:val="none"/>
                <w:lang w:eastAsia="zh-CN" w:bidi="ar"/>
              </w:rPr>
              <w:t>（</w:t>
            </w:r>
            <w:r>
              <w:rPr>
                <w:rFonts w:hint="eastAsia" w:ascii="仿宋_GB2312" w:hAnsi="宋体" w:eastAsia="仿宋_GB2312" w:cs="仿宋_GB2312"/>
                <w:color w:val="000000"/>
                <w:kern w:val="0"/>
                <w:sz w:val="24"/>
                <w:u w:val="none"/>
                <w:lang w:val="en-US" w:eastAsia="zh-CN" w:bidi="ar"/>
              </w:rPr>
              <w:t>省本级实施</w:t>
            </w:r>
            <w:r>
              <w:rPr>
                <w:rFonts w:hint="eastAsia" w:ascii="仿宋_GB2312" w:hAnsi="宋体" w:eastAsia="仿宋_GB2312" w:cs="仿宋_GB2312"/>
                <w:color w:val="000000"/>
                <w:kern w:val="0"/>
                <w:sz w:val="24"/>
                <w:u w:val="none"/>
                <w:lang w:eastAsia="zh-CN" w:bidi="ar"/>
              </w:rPr>
              <w:t>）</w:t>
            </w:r>
          </w:p>
        </w:tc>
      </w:tr>
      <w:tr>
        <w:tblPrEx>
          <w:tblCellMar>
            <w:top w:w="0" w:type="dxa"/>
            <w:left w:w="108" w:type="dxa"/>
            <w:bottom w:w="0" w:type="dxa"/>
            <w:right w:w="108" w:type="dxa"/>
          </w:tblCellMar>
        </w:tblPrEx>
        <w:trPr>
          <w:trHeight w:val="90"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ascii="仿宋_GB2312" w:hAnsi="宋体" w:eastAsia="仿宋_GB2312" w:cs="仿宋_GB2312"/>
                <w:color w:val="000000"/>
                <w:kern w:val="0"/>
                <w:sz w:val="24"/>
                <w:u w:val="none"/>
                <w:lang w:bidi="ar"/>
              </w:rPr>
              <w:t>省级主管</w:t>
            </w:r>
          </w:p>
          <w:p>
            <w:pPr>
              <w:widowControl/>
              <w:jc w:val="center"/>
              <w:textAlignment w:val="center"/>
              <w:rPr>
                <w:rFonts w:ascii="仿宋_GB2312" w:hAnsi="宋体" w:eastAsia="仿宋_GB2312" w:cs="仿宋_GB2312"/>
                <w:color w:val="000000"/>
                <w:kern w:val="0"/>
                <w:sz w:val="24"/>
                <w:u w:val="none"/>
                <w:lang w:bidi="ar"/>
              </w:rPr>
            </w:pPr>
            <w:r>
              <w:rPr>
                <w:rFonts w:ascii="仿宋_GB2312" w:hAnsi="宋体" w:eastAsia="仿宋_GB2312" w:cs="仿宋_GB2312"/>
                <w:color w:val="000000"/>
                <w:kern w:val="0"/>
                <w:sz w:val="24"/>
                <w:u w:val="none"/>
                <w:lang w:bidi="ar"/>
              </w:rPr>
              <w:t>部门</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广东省住房和城乡建设厅</w:t>
            </w:r>
          </w:p>
        </w:tc>
      </w:tr>
      <w:tr>
        <w:tblPrEx>
          <w:tblCellMar>
            <w:top w:w="0" w:type="dxa"/>
            <w:left w:w="108" w:type="dxa"/>
            <w:bottom w:w="0" w:type="dxa"/>
            <w:right w:w="108" w:type="dxa"/>
          </w:tblCellMar>
        </w:tblPrEx>
        <w:trPr>
          <w:trHeight w:val="372"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金额（万元）</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 w:val="24"/>
                <w:u w:val="none"/>
                <w:lang w:val="en-US" w:eastAsia="zh-CN"/>
              </w:rPr>
            </w:pPr>
            <w:r>
              <w:rPr>
                <w:rFonts w:hint="eastAsia" w:ascii="仿宋_GB2312" w:hAnsi="宋体" w:eastAsia="仿宋_GB2312" w:cs="仿宋_GB2312"/>
                <w:color w:val="000000"/>
                <w:sz w:val="24"/>
                <w:u w:val="none"/>
                <w:lang w:val="en-US" w:eastAsia="zh-CN"/>
              </w:rPr>
              <w:t>2525</w:t>
            </w:r>
          </w:p>
        </w:tc>
      </w:tr>
      <w:tr>
        <w:tblPrEx>
          <w:tblCellMar>
            <w:top w:w="0" w:type="dxa"/>
            <w:left w:w="108" w:type="dxa"/>
            <w:bottom w:w="0" w:type="dxa"/>
            <w:right w:w="108" w:type="dxa"/>
          </w:tblCellMar>
        </w:tblPrEx>
        <w:trPr>
          <w:trHeight w:val="973"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年度总体目标</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一是城市体检工作制度机制相对完善，发现问题、分析问题、解决问题工作闭环进一步提升，城市建设管理问题进一步得到解决。二是启动8个城市管理相关重点信息系统开发建设，为有关工作提供信息化支撑。三是2023-2025年间，对完成前一年度居民用户的燃气橡胶软管更换等燃气管道老化更新改造工作任务的地市予以奖补，通过奖补加大工作推动力度，提升我省城镇燃气安全，特别是用户安全的整体水平。</w:t>
            </w:r>
          </w:p>
        </w:tc>
      </w:tr>
      <w:tr>
        <w:tblPrEx>
          <w:tblCellMar>
            <w:top w:w="0" w:type="dxa"/>
            <w:left w:w="108" w:type="dxa"/>
            <w:bottom w:w="0" w:type="dxa"/>
            <w:right w:w="108" w:type="dxa"/>
          </w:tblCellMar>
        </w:tblPrEx>
        <w:trPr>
          <w:trHeight w:val="674" w:hRule="atLeast"/>
        </w:trPr>
        <w:tc>
          <w:tcPr>
            <w:tcW w:w="844" w:type="pct"/>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绩效指标</w:t>
            </w:r>
          </w:p>
        </w:tc>
        <w:tc>
          <w:tcPr>
            <w:tcW w:w="4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一级指标</w:t>
            </w: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二级指标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三级指标</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年度目标值</w:t>
            </w:r>
          </w:p>
        </w:tc>
      </w:tr>
      <w:tr>
        <w:tblPrEx>
          <w:tblCellMar>
            <w:top w:w="0" w:type="dxa"/>
            <w:left w:w="108" w:type="dxa"/>
            <w:bottom w:w="0" w:type="dxa"/>
            <w:right w:w="108" w:type="dxa"/>
          </w:tblCellMar>
        </w:tblPrEx>
        <w:trPr>
          <w:trHeight w:val="372" w:hRule="atLeast"/>
        </w:trPr>
        <w:tc>
          <w:tcPr>
            <w:tcW w:w="844" w:type="pct"/>
            <w:vMerge w:val="continue"/>
            <w:tcBorders>
              <w:top w:val="nil"/>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产出指标</w:t>
            </w:r>
          </w:p>
        </w:tc>
        <w:tc>
          <w:tcPr>
            <w:tcW w:w="108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数量指标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仿宋_GB2312"/>
                <w:sz w:val="24"/>
                <w:u w:val="none"/>
              </w:rPr>
            </w:pPr>
            <w:r>
              <w:rPr>
                <w:rFonts w:hint="eastAsia" w:ascii="仿宋_GB2312" w:hAnsi="宋体" w:eastAsia="仿宋_GB2312" w:cs="仿宋_GB2312"/>
                <w:sz w:val="24"/>
                <w:u w:val="none"/>
              </w:rPr>
              <w:t>建设省级城市运管服平台数量（个）</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sz w:val="24"/>
                <w:u w:val="none"/>
                <w:lang w:val="en-US" w:eastAsia="zh-CN"/>
              </w:rPr>
            </w:pPr>
            <w:r>
              <w:rPr>
                <w:rFonts w:hint="eastAsia" w:ascii="仿宋_GB2312" w:hAnsi="宋体" w:eastAsia="仿宋_GB2312" w:cs="仿宋_GB2312"/>
                <w:sz w:val="24"/>
                <w:u w:val="none"/>
                <w:lang w:val="en-US" w:eastAsia="zh-CN"/>
              </w:rPr>
              <w:t>1</w:t>
            </w:r>
          </w:p>
        </w:tc>
      </w:tr>
      <w:tr>
        <w:tblPrEx>
          <w:tblCellMar>
            <w:top w:w="0" w:type="dxa"/>
            <w:left w:w="108" w:type="dxa"/>
            <w:bottom w:w="0" w:type="dxa"/>
            <w:right w:w="108" w:type="dxa"/>
          </w:tblCellMar>
        </w:tblPrEx>
        <w:trPr>
          <w:trHeight w:val="674"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sz w:val="24"/>
                <w:u w:val="none"/>
              </w:rPr>
            </w:pPr>
            <w:r>
              <w:rPr>
                <w:rFonts w:hint="eastAsia" w:ascii="仿宋_GB2312" w:hAnsi="宋体" w:eastAsia="仿宋_GB2312" w:cs="仿宋_GB2312"/>
                <w:sz w:val="24"/>
                <w:u w:val="none"/>
              </w:rPr>
              <w:t>对接各地城市运管服平台数量（个）</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sz w:val="24"/>
                <w:u w:val="none"/>
                <w:lang w:val="en-US" w:eastAsia="zh-CN"/>
              </w:rPr>
            </w:pPr>
            <w:r>
              <w:rPr>
                <w:rFonts w:hint="eastAsia" w:ascii="仿宋_GB2312" w:hAnsi="宋体" w:eastAsia="仿宋_GB2312" w:cs="仿宋_GB2312"/>
                <w:sz w:val="24"/>
                <w:u w:val="none"/>
                <w:lang w:val="en-US" w:eastAsia="zh-CN"/>
              </w:rPr>
              <w:t>5</w:t>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质量指标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 xml:space="preserve"> 验收合格率</w:t>
            </w:r>
            <w:r>
              <w:rPr>
                <w:rFonts w:hint="eastAsia" w:ascii="仿宋_GB2312" w:hAnsi="宋体" w:eastAsia="仿宋_GB2312" w:cs="仿宋_GB2312"/>
                <w:color w:val="000000"/>
                <w:kern w:val="0"/>
                <w:sz w:val="24"/>
                <w:u w:val="none"/>
                <w:lang w:bidi="ar"/>
              </w:rPr>
              <w:t>（%）</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10</w:t>
            </w:r>
            <w:r>
              <w:rPr>
                <w:rFonts w:ascii="仿宋_GB2312" w:hAnsi="宋体" w:eastAsia="仿宋_GB2312" w:cs="仿宋_GB2312"/>
                <w:color w:val="000000"/>
                <w:kern w:val="0"/>
                <w:sz w:val="24"/>
                <w:u w:val="none"/>
                <w:lang w:bidi="ar"/>
              </w:rPr>
              <w:t>0%</w:t>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系统正常运行率（%）</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10</w:t>
            </w:r>
            <w:r>
              <w:rPr>
                <w:rFonts w:ascii="仿宋_GB2312" w:hAnsi="宋体" w:eastAsia="仿宋_GB2312" w:cs="仿宋_GB2312"/>
                <w:color w:val="000000"/>
                <w:kern w:val="0"/>
                <w:sz w:val="24"/>
                <w:u w:val="none"/>
                <w:lang w:bidi="ar"/>
              </w:rPr>
              <w:t>0%</w:t>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城市体检覆盖率（%）</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10</w:t>
            </w:r>
            <w:r>
              <w:rPr>
                <w:rFonts w:ascii="仿宋_GB2312" w:hAnsi="宋体" w:eastAsia="仿宋_GB2312" w:cs="仿宋_GB2312"/>
                <w:color w:val="000000"/>
                <w:kern w:val="0"/>
                <w:sz w:val="24"/>
                <w:u w:val="none"/>
                <w:lang w:bidi="ar"/>
              </w:rPr>
              <w:t>0%</w:t>
            </w:r>
          </w:p>
        </w:tc>
      </w:tr>
      <w:tr>
        <w:tblPrEx>
          <w:tblCellMar>
            <w:top w:w="0" w:type="dxa"/>
            <w:left w:w="108" w:type="dxa"/>
            <w:bottom w:w="0" w:type="dxa"/>
            <w:right w:w="108" w:type="dxa"/>
          </w:tblCellMar>
        </w:tblPrEx>
        <w:trPr>
          <w:trHeight w:val="362" w:hRule="atLeast"/>
        </w:trPr>
        <w:tc>
          <w:tcPr>
            <w:tcW w:w="844" w:type="pct"/>
            <w:vMerge w:val="continue"/>
            <w:tcBorders>
              <w:top w:val="single" w:color="000000" w:sz="4" w:space="0"/>
              <w:left w:val="single" w:color="000000" w:sz="4" w:space="0"/>
              <w:bottom w:val="nil"/>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时效指标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 xml:space="preserve"> 按时完成率</w:t>
            </w:r>
            <w:r>
              <w:rPr>
                <w:rFonts w:hint="eastAsia" w:ascii="仿宋_GB2312" w:hAnsi="宋体" w:eastAsia="仿宋_GB2312" w:cs="仿宋_GB2312"/>
                <w:color w:val="000000"/>
                <w:kern w:val="0"/>
                <w:sz w:val="24"/>
                <w:u w:val="none"/>
                <w:lang w:bidi="ar"/>
              </w:rPr>
              <w:t>（%）</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100%</w:t>
            </w:r>
          </w:p>
        </w:tc>
      </w:tr>
      <w:tr>
        <w:tblPrEx>
          <w:tblCellMar>
            <w:top w:w="0" w:type="dxa"/>
            <w:left w:w="108" w:type="dxa"/>
            <w:bottom w:w="0" w:type="dxa"/>
            <w:right w:w="108" w:type="dxa"/>
          </w:tblCellMar>
        </w:tblPrEx>
        <w:trPr>
          <w:trHeight w:val="362" w:hRule="atLeast"/>
        </w:trPr>
        <w:tc>
          <w:tcPr>
            <w:tcW w:w="844" w:type="pct"/>
            <w:vMerge w:val="continue"/>
            <w:tcBorders>
              <w:top w:val="nil"/>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效益指标</w:t>
            </w: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社会效益指标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设施隐患发现排查效果</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及时发现并排除</w:t>
            </w:r>
            <w:r>
              <w:rPr>
                <w:rFonts w:hint="eastAsia" w:ascii="仿宋_GB2312" w:hAnsi="宋体" w:eastAsia="仿宋_GB2312" w:cs="仿宋_GB2312"/>
                <w:color w:val="000000"/>
                <w:kern w:val="0"/>
                <w:sz w:val="24"/>
                <w:u w:val="none"/>
                <w:lang w:bidi="ar"/>
              </w:rPr>
              <w:tab/>
            </w:r>
          </w:p>
        </w:tc>
      </w:tr>
      <w:tr>
        <w:tblPrEx>
          <w:tblCellMar>
            <w:top w:w="0" w:type="dxa"/>
            <w:left w:w="108" w:type="dxa"/>
            <w:bottom w:w="0" w:type="dxa"/>
            <w:right w:w="108" w:type="dxa"/>
          </w:tblCellMar>
        </w:tblPrEx>
        <w:trPr>
          <w:trHeight w:val="36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生态效益指标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城市人居环境品质</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进一步改善</w:t>
            </w:r>
            <w:r>
              <w:rPr>
                <w:rFonts w:hint="eastAsia" w:ascii="仿宋_GB2312" w:hAnsi="宋体" w:eastAsia="仿宋_GB2312" w:cs="仿宋_GB2312"/>
                <w:color w:val="000000"/>
                <w:kern w:val="0"/>
                <w:sz w:val="24"/>
                <w:u w:val="none"/>
                <w:lang w:bidi="ar"/>
              </w:rPr>
              <w:tab/>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p>
        </w:tc>
        <w:tc>
          <w:tcPr>
            <w:tcW w:w="1085" w:type="pct"/>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可持续影响指标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对政府决策水平的积极影响</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仿宋_GB2312" w:eastAsia="仿宋_GB2312" w:cs="仿宋_GB2312"/>
                <w:u w:val="none"/>
              </w:rPr>
              <w:t>长期</w:t>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sz w:val="24"/>
                <w:u w:val="none"/>
              </w:rPr>
              <w:t>服务对象满意度指标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相关受益群众满意度（%）</w:t>
            </w:r>
          </w:p>
        </w:tc>
        <w:tc>
          <w:tcPr>
            <w:tcW w:w="9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≥90%</w:t>
            </w:r>
          </w:p>
        </w:tc>
      </w:tr>
    </w:tbl>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仿宋_GB2312" w:hAnsi="宋体" w:eastAsia="仿宋_GB2312" w:cs="仿宋_GB2312"/>
          <w:color w:val="auto"/>
          <w:kern w:val="0"/>
          <w:sz w:val="22"/>
          <w:szCs w:val="22"/>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2023年城市管理与地下基础设施建设更新改造资金绩效目标表</w:t>
      </w: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eastAsia" w:ascii="仿宋_GB2312" w:hAnsi="宋体" w:eastAsia="仿宋_GB2312" w:cs="仿宋_GB2312"/>
          <w:color w:val="auto"/>
          <w:kern w:val="0"/>
          <w:sz w:val="22"/>
          <w:szCs w:val="22"/>
          <w:highlight w:val="none"/>
          <w:u w:val="none"/>
          <w:lang w:val="en-US" w:eastAsia="zh-CN" w:bidi="ar"/>
        </w:rPr>
      </w:pPr>
    </w:p>
    <w:p>
      <w:pPr>
        <w:keepNext w:val="0"/>
        <w:keepLines w:val="0"/>
        <w:pageBreakBefore w:val="0"/>
        <w:widowControl/>
        <w:kinsoku/>
        <w:wordWrap/>
        <w:overflowPunct/>
        <w:topLinePunct w:val="0"/>
        <w:autoSpaceDE/>
        <w:autoSpaceDN/>
        <w:bidi w:val="0"/>
        <w:adjustRightInd/>
        <w:snapToGrid/>
        <w:jc w:val="left"/>
        <w:textAlignment w:val="auto"/>
        <w:outlineLvl w:val="9"/>
        <w:rPr>
          <w:rFonts w:hint="eastAsia"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br w:type="page"/>
      </w:r>
    </w:p>
    <w:p>
      <w:pPr>
        <w:keepNext w:val="0"/>
        <w:keepLines w:val="0"/>
        <w:pageBreakBefore w:val="0"/>
        <w:widowControl w:val="0"/>
        <w:kinsoku/>
        <w:wordWrap/>
        <w:overflowPunct/>
        <w:topLinePunct w:val="0"/>
        <w:autoSpaceDE/>
        <w:autoSpaceDN/>
        <w:bidi w:val="0"/>
        <w:adjustRightInd/>
        <w:snapToGrid/>
        <w:jc w:val="left"/>
        <w:textAlignment w:val="auto"/>
        <w:outlineLvl w:val="0"/>
        <w:rPr>
          <w:rFonts w:hint="default"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附件1-2</w:t>
      </w:r>
    </w:p>
    <w:tbl>
      <w:tblPr>
        <w:tblStyle w:val="16"/>
        <w:tblpPr w:leftFromText="180" w:rightFromText="180" w:vertAnchor="text" w:horzAnchor="page" w:tblpX="1524" w:tblpY="629"/>
        <w:tblOverlap w:val="never"/>
        <w:tblW w:w="5057" w:type="pct"/>
        <w:tblInd w:w="0" w:type="dxa"/>
        <w:tblLayout w:type="autofit"/>
        <w:tblCellMar>
          <w:top w:w="0" w:type="dxa"/>
          <w:left w:w="108" w:type="dxa"/>
          <w:bottom w:w="0" w:type="dxa"/>
          <w:right w:w="108" w:type="dxa"/>
        </w:tblCellMar>
      </w:tblPr>
      <w:tblGrid>
        <w:gridCol w:w="1567"/>
        <w:gridCol w:w="798"/>
        <w:gridCol w:w="2014"/>
        <w:gridCol w:w="3174"/>
        <w:gridCol w:w="1726"/>
      </w:tblGrid>
      <w:tr>
        <w:tblPrEx>
          <w:tblCellMar>
            <w:top w:w="0" w:type="dxa"/>
            <w:left w:w="108" w:type="dxa"/>
            <w:bottom w:w="0" w:type="dxa"/>
            <w:right w:w="108" w:type="dxa"/>
          </w:tblCellMar>
        </w:tblPrEx>
        <w:trPr>
          <w:trHeight w:val="372"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资金名称</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i w:val="0"/>
                <w:iCs w:val="0"/>
                <w:color w:val="000000"/>
                <w:kern w:val="0"/>
                <w:sz w:val="24"/>
                <w:szCs w:val="24"/>
                <w:u w:val="none"/>
                <w:lang w:val="en-US" w:eastAsia="zh-CN" w:bidi="ar"/>
              </w:rPr>
              <w:t>2023年城市管理与地下基础设施建设更新改造专项资金（</w:t>
            </w:r>
            <w:r>
              <w:rPr>
                <w:rFonts w:hint="eastAsia" w:ascii="仿宋_GB2312" w:hAnsi="宋体" w:eastAsia="仿宋_GB2312" w:cs="仿宋_GB2312"/>
                <w:color w:val="000000"/>
                <w:kern w:val="0"/>
                <w:sz w:val="24"/>
                <w:u w:val="none"/>
                <w:lang w:bidi="ar"/>
              </w:rPr>
              <w:t>城镇燃气安全隐患排查治理</w:t>
            </w:r>
            <w:r>
              <w:rPr>
                <w:rFonts w:hint="eastAsia" w:ascii="仿宋_GB2312" w:hAnsi="宋体" w:eastAsia="仿宋_GB2312" w:cs="仿宋_GB2312"/>
                <w:color w:val="000000"/>
                <w:kern w:val="0"/>
                <w:sz w:val="24"/>
                <w:u w:val="none"/>
                <w:lang w:val="en-US" w:eastAsia="zh-CN" w:bidi="ar"/>
              </w:rPr>
              <w:t>）</w:t>
            </w:r>
            <w:r>
              <w:rPr>
                <w:rFonts w:hint="eastAsia" w:ascii="仿宋_GB2312" w:hAnsi="宋体" w:eastAsia="仿宋_GB2312" w:cs="仿宋_GB2312"/>
                <w:color w:val="000000"/>
                <w:kern w:val="0"/>
                <w:sz w:val="24"/>
                <w:u w:val="none"/>
                <w:lang w:eastAsia="zh-CN" w:bidi="ar"/>
              </w:rPr>
              <w:t>（</w:t>
            </w:r>
            <w:r>
              <w:rPr>
                <w:rFonts w:hint="eastAsia" w:ascii="仿宋_GB2312" w:hAnsi="宋体" w:eastAsia="仿宋_GB2312" w:cs="仿宋_GB2312"/>
                <w:color w:val="000000"/>
                <w:kern w:val="0"/>
                <w:sz w:val="24"/>
                <w:u w:val="none"/>
                <w:lang w:val="en-US" w:eastAsia="zh-CN" w:bidi="ar"/>
              </w:rPr>
              <w:t>地市实施</w:t>
            </w:r>
            <w:r>
              <w:rPr>
                <w:rFonts w:hint="eastAsia" w:ascii="仿宋_GB2312" w:hAnsi="宋体" w:eastAsia="仿宋_GB2312" w:cs="仿宋_GB2312"/>
                <w:color w:val="000000"/>
                <w:kern w:val="0"/>
                <w:sz w:val="24"/>
                <w:u w:val="none"/>
                <w:lang w:eastAsia="zh-CN" w:bidi="ar"/>
              </w:rPr>
              <w:t>）</w:t>
            </w:r>
          </w:p>
        </w:tc>
      </w:tr>
      <w:tr>
        <w:tblPrEx>
          <w:tblCellMar>
            <w:top w:w="0" w:type="dxa"/>
            <w:left w:w="108" w:type="dxa"/>
            <w:bottom w:w="0" w:type="dxa"/>
            <w:right w:w="108" w:type="dxa"/>
          </w:tblCellMar>
        </w:tblPrEx>
        <w:trPr>
          <w:trHeight w:val="90"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ascii="仿宋_GB2312" w:hAnsi="宋体" w:eastAsia="仿宋_GB2312" w:cs="仿宋_GB2312"/>
                <w:color w:val="000000"/>
                <w:kern w:val="0"/>
                <w:sz w:val="24"/>
                <w:u w:val="none"/>
                <w:lang w:bidi="ar"/>
              </w:rPr>
              <w:t>省级主管部门</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kern w:val="0"/>
                <w:sz w:val="24"/>
                <w:u w:val="none"/>
                <w:lang w:bidi="ar"/>
              </w:rPr>
            </w:pPr>
            <w:r>
              <w:rPr>
                <w:rFonts w:hint="eastAsia" w:ascii="仿宋_GB2312" w:hAnsi="宋体" w:eastAsia="仿宋_GB2312" w:cs="仿宋_GB2312"/>
                <w:color w:val="000000"/>
                <w:kern w:val="0"/>
                <w:sz w:val="24"/>
                <w:u w:val="none"/>
                <w:lang w:bidi="ar"/>
              </w:rPr>
              <w:t>广东省住房和城乡建设厅</w:t>
            </w:r>
          </w:p>
        </w:tc>
      </w:tr>
      <w:tr>
        <w:tblPrEx>
          <w:tblCellMar>
            <w:top w:w="0" w:type="dxa"/>
            <w:left w:w="108" w:type="dxa"/>
            <w:bottom w:w="0" w:type="dxa"/>
            <w:right w:w="108" w:type="dxa"/>
          </w:tblCellMar>
        </w:tblPrEx>
        <w:trPr>
          <w:trHeight w:val="372"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金额（万元）</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 w:val="24"/>
                <w:u w:val="none"/>
                <w:lang w:val="en-US" w:eastAsia="zh-CN"/>
              </w:rPr>
            </w:pPr>
            <w:r>
              <w:rPr>
                <w:rFonts w:hint="eastAsia" w:ascii="仿宋_GB2312" w:hAnsi="宋体" w:eastAsia="仿宋_GB2312" w:cs="仿宋_GB2312"/>
                <w:color w:val="000000"/>
                <w:sz w:val="24"/>
                <w:u w:val="none"/>
                <w:lang w:val="en-US" w:eastAsia="zh-CN"/>
              </w:rPr>
              <w:t>2625</w:t>
            </w:r>
          </w:p>
        </w:tc>
      </w:tr>
      <w:tr>
        <w:tblPrEx>
          <w:tblCellMar>
            <w:top w:w="0" w:type="dxa"/>
            <w:left w:w="108" w:type="dxa"/>
            <w:bottom w:w="0" w:type="dxa"/>
            <w:right w:w="108" w:type="dxa"/>
          </w:tblCellMar>
        </w:tblPrEx>
        <w:trPr>
          <w:trHeight w:val="973" w:hRule="atLeast"/>
        </w:trPr>
        <w:tc>
          <w:tcPr>
            <w:tcW w:w="844"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年度总体目标</w:t>
            </w:r>
          </w:p>
        </w:tc>
        <w:tc>
          <w:tcPr>
            <w:tcW w:w="4155" w:type="pct"/>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一是用于补助</w:t>
            </w:r>
            <w:r>
              <w:rPr>
                <w:rFonts w:hint="eastAsia" w:ascii="仿宋_GB2312" w:hAnsi="宋体" w:eastAsia="仿宋_GB2312" w:cs="仿宋_GB2312"/>
                <w:color w:val="000000"/>
                <w:kern w:val="0"/>
                <w:sz w:val="24"/>
                <w:u w:val="none"/>
                <w:lang w:eastAsia="zh-CN" w:bidi="ar"/>
              </w:rPr>
              <w:t>1</w:t>
            </w:r>
            <w:r>
              <w:rPr>
                <w:rFonts w:hint="eastAsia" w:ascii="仿宋_GB2312" w:hAnsi="宋体" w:eastAsia="仿宋_GB2312" w:cs="仿宋_GB2312"/>
                <w:color w:val="000000"/>
                <w:kern w:val="0"/>
                <w:sz w:val="24"/>
                <w:u w:val="none"/>
                <w:lang w:val="en-US" w:eastAsia="zh-CN" w:bidi="ar"/>
              </w:rPr>
              <w:t>00</w:t>
            </w:r>
            <w:r>
              <w:rPr>
                <w:rFonts w:hint="eastAsia" w:ascii="仿宋_GB2312" w:hAnsi="宋体" w:eastAsia="仿宋_GB2312" w:cs="仿宋_GB2312"/>
                <w:color w:val="000000"/>
                <w:kern w:val="0"/>
                <w:sz w:val="24"/>
                <w:u w:val="none"/>
                <w:lang w:bidi="ar"/>
              </w:rPr>
              <w:t>万户居民用户进行橡胶软管的更换，从而降低燃气用户端事故风险</w:t>
            </w:r>
            <w:r>
              <w:rPr>
                <w:rFonts w:hint="eastAsia" w:ascii="仿宋_GB2312" w:hAnsi="宋体" w:eastAsia="仿宋_GB2312" w:cs="仿宋_GB2312"/>
                <w:color w:val="000000"/>
                <w:kern w:val="0"/>
                <w:sz w:val="24"/>
                <w:u w:val="none"/>
                <w:lang w:eastAsia="zh-CN" w:bidi="ar"/>
              </w:rPr>
              <w:t>。</w:t>
            </w:r>
            <w:r>
              <w:rPr>
                <w:rFonts w:hint="eastAsia" w:ascii="仿宋_GB2312" w:hAnsi="宋体" w:eastAsia="仿宋_GB2312" w:cs="仿宋_GB2312"/>
                <w:color w:val="000000"/>
                <w:kern w:val="0"/>
                <w:sz w:val="24"/>
                <w:u w:val="none"/>
                <w:lang w:bidi="ar"/>
              </w:rPr>
              <w:t>二是安排通过奖补统筹用于开展地下燃气管道普查及隐患整治，燃气场站及餐饮用户安全隐患排查巡查，以及提升城市应急处理能力，并且全年需对辖区内全部燃气场站进行至少4次的安全隐患排查巡查，从而进一步巩固全省城镇燃气安全排查整治成效，提升全省城镇燃气安全水平。</w:t>
            </w:r>
            <w:r>
              <w:rPr>
                <w:rFonts w:hint="eastAsia" w:ascii="仿宋_GB2312" w:hAnsi="宋体" w:eastAsia="仿宋_GB2312" w:cs="仿宋_GB2312"/>
                <w:color w:val="000000"/>
                <w:kern w:val="0"/>
                <w:sz w:val="24"/>
                <w:u w:val="none"/>
                <w:lang w:bidi="ar"/>
              </w:rPr>
              <w:tab/>
            </w:r>
            <w:r>
              <w:rPr>
                <w:rFonts w:hint="eastAsia" w:ascii="仿宋_GB2312" w:hAnsi="宋体" w:eastAsia="仿宋_GB2312" w:cs="仿宋_GB2312"/>
                <w:color w:val="000000"/>
                <w:kern w:val="0"/>
                <w:sz w:val="24"/>
                <w:u w:val="none"/>
                <w:lang w:bidi="ar"/>
              </w:rPr>
              <w:tab/>
            </w:r>
          </w:p>
        </w:tc>
      </w:tr>
      <w:tr>
        <w:tblPrEx>
          <w:tblCellMar>
            <w:top w:w="0" w:type="dxa"/>
            <w:left w:w="108" w:type="dxa"/>
            <w:bottom w:w="0" w:type="dxa"/>
            <w:right w:w="108" w:type="dxa"/>
          </w:tblCellMar>
        </w:tblPrEx>
        <w:trPr>
          <w:trHeight w:val="674" w:hRule="atLeast"/>
        </w:trPr>
        <w:tc>
          <w:tcPr>
            <w:tcW w:w="844" w:type="pct"/>
            <w:vMerge w:val="restart"/>
            <w:tcBorders>
              <w:top w:val="single" w:color="000000" w:sz="4" w:space="0"/>
              <w:left w:val="single" w:color="000000" w:sz="4" w:space="0"/>
              <w:bottom w:val="nil"/>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绩效指标</w:t>
            </w:r>
          </w:p>
        </w:tc>
        <w:tc>
          <w:tcPr>
            <w:tcW w:w="43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一级指标</w:t>
            </w: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二级指标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三级指标</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年度目标值</w:t>
            </w:r>
          </w:p>
        </w:tc>
      </w:tr>
      <w:tr>
        <w:tblPrEx>
          <w:tblCellMar>
            <w:top w:w="0" w:type="dxa"/>
            <w:left w:w="108" w:type="dxa"/>
            <w:bottom w:w="0" w:type="dxa"/>
            <w:right w:w="108" w:type="dxa"/>
          </w:tblCellMar>
        </w:tblPrEx>
        <w:trPr>
          <w:trHeight w:val="372" w:hRule="atLeast"/>
        </w:trPr>
        <w:tc>
          <w:tcPr>
            <w:tcW w:w="844" w:type="pct"/>
            <w:vMerge w:val="continue"/>
            <w:tcBorders>
              <w:top w:val="nil"/>
              <w:left w:val="single" w:color="000000" w:sz="4" w:space="0"/>
              <w:bottom w:val="nil"/>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产出指标</w:t>
            </w:r>
          </w:p>
        </w:tc>
        <w:tc>
          <w:tcPr>
            <w:tcW w:w="1085"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数量指标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rPr>
                <w:rFonts w:ascii="仿宋_GB2312" w:hAnsi="宋体" w:eastAsia="仿宋_GB2312" w:cs="仿宋_GB2312"/>
                <w:sz w:val="24"/>
                <w:u w:val="none"/>
              </w:rPr>
            </w:pPr>
            <w:r>
              <w:rPr>
                <w:rFonts w:hint="eastAsia" w:ascii="仿宋_GB2312" w:hAnsi="宋体" w:eastAsia="仿宋_GB2312" w:cs="仿宋_GB2312"/>
                <w:kern w:val="0"/>
                <w:sz w:val="24"/>
                <w:u w:val="none"/>
                <w:lang w:bidi="ar"/>
              </w:rPr>
              <w:t>计划消除城镇燃气居民端隐患（万户）</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sz w:val="24"/>
                <w:u w:val="none"/>
                <w:lang w:val="en-US" w:eastAsia="zh-CN"/>
              </w:rPr>
            </w:pPr>
            <w:r>
              <w:rPr>
                <w:rFonts w:hint="eastAsia" w:ascii="仿宋_GB2312" w:hAnsi="宋体" w:eastAsia="仿宋_GB2312" w:cs="仿宋_GB2312"/>
                <w:kern w:val="0"/>
                <w:sz w:val="24"/>
                <w:u w:val="none"/>
                <w:lang w:val="en-US" w:eastAsia="zh-CN" w:bidi="ar"/>
              </w:rPr>
              <w:t>100</w:t>
            </w:r>
          </w:p>
        </w:tc>
      </w:tr>
      <w:tr>
        <w:tblPrEx>
          <w:tblCellMar>
            <w:top w:w="0" w:type="dxa"/>
            <w:left w:w="108" w:type="dxa"/>
            <w:bottom w:w="0" w:type="dxa"/>
            <w:right w:w="108" w:type="dxa"/>
          </w:tblCellMar>
        </w:tblPrEx>
        <w:trPr>
          <w:trHeight w:val="674" w:hRule="atLeast"/>
        </w:trPr>
        <w:tc>
          <w:tcPr>
            <w:tcW w:w="844" w:type="pct"/>
            <w:vMerge w:val="continue"/>
            <w:tcBorders>
              <w:top w:val="nil"/>
              <w:left w:val="single" w:color="000000" w:sz="4" w:space="0"/>
              <w:bottom w:val="nil"/>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sz w:val="24"/>
                <w:u w:val="none"/>
              </w:rPr>
            </w:pPr>
            <w:r>
              <w:rPr>
                <w:rFonts w:hint="eastAsia" w:ascii="仿宋_GB2312" w:hAnsi="宋体" w:eastAsia="仿宋_GB2312" w:cs="仿宋_GB2312"/>
                <w:kern w:val="0"/>
                <w:sz w:val="24"/>
                <w:u w:val="none"/>
                <w:lang w:bidi="ar"/>
              </w:rPr>
              <w:t>计划对辖区内全部燃气场站进行安全隐患排查巡查次数（次）</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sz w:val="24"/>
                <w:u w:val="none"/>
                <w:lang w:eastAsia="zh-CN"/>
              </w:rPr>
            </w:pPr>
            <w:r>
              <w:rPr>
                <w:rFonts w:hint="eastAsia" w:ascii="仿宋_GB2312" w:hAnsi="宋体" w:eastAsia="仿宋_GB2312" w:cs="仿宋_GB2312"/>
                <w:kern w:val="0"/>
                <w:sz w:val="24"/>
                <w:u w:val="none"/>
                <w:lang w:val="en-US" w:eastAsia="zh-CN" w:bidi="ar"/>
              </w:rPr>
              <w:t>4</w:t>
            </w:r>
          </w:p>
        </w:tc>
      </w:tr>
      <w:tr>
        <w:tblPrEx>
          <w:tblCellMar>
            <w:top w:w="0" w:type="dxa"/>
            <w:left w:w="108" w:type="dxa"/>
            <w:bottom w:w="0" w:type="dxa"/>
            <w:right w:w="108" w:type="dxa"/>
          </w:tblCellMar>
        </w:tblPrEx>
        <w:trPr>
          <w:trHeight w:val="372" w:hRule="atLeast"/>
        </w:trPr>
        <w:tc>
          <w:tcPr>
            <w:tcW w:w="844" w:type="pct"/>
            <w:vMerge w:val="continue"/>
            <w:tcBorders>
              <w:top w:val="nil"/>
              <w:left w:val="single" w:color="000000" w:sz="4" w:space="0"/>
              <w:bottom w:val="nil"/>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质量指标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 xml:space="preserve"> 验收合格率</w:t>
            </w:r>
            <w:r>
              <w:rPr>
                <w:rFonts w:hint="eastAsia" w:ascii="仿宋_GB2312" w:hAnsi="宋体" w:eastAsia="仿宋_GB2312" w:cs="仿宋_GB2312"/>
                <w:color w:val="000000"/>
                <w:kern w:val="0"/>
                <w:sz w:val="24"/>
                <w:u w:val="none"/>
                <w:lang w:bidi="ar"/>
              </w:rPr>
              <w:t>（%）</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10</w:t>
            </w:r>
            <w:r>
              <w:rPr>
                <w:rFonts w:ascii="仿宋_GB2312" w:hAnsi="宋体" w:eastAsia="仿宋_GB2312" w:cs="仿宋_GB2312"/>
                <w:color w:val="000000"/>
                <w:kern w:val="0"/>
                <w:sz w:val="24"/>
                <w:u w:val="none"/>
                <w:lang w:bidi="ar"/>
              </w:rPr>
              <w:t>0%</w:t>
            </w:r>
          </w:p>
        </w:tc>
      </w:tr>
      <w:tr>
        <w:tblPrEx>
          <w:tblCellMar>
            <w:top w:w="0" w:type="dxa"/>
            <w:left w:w="108" w:type="dxa"/>
            <w:bottom w:w="0" w:type="dxa"/>
            <w:right w:w="108" w:type="dxa"/>
          </w:tblCellMar>
        </w:tblPrEx>
        <w:trPr>
          <w:trHeight w:val="372" w:hRule="atLeast"/>
        </w:trPr>
        <w:tc>
          <w:tcPr>
            <w:tcW w:w="844" w:type="pct"/>
            <w:vMerge w:val="continue"/>
            <w:tcBorders>
              <w:top w:val="nil"/>
              <w:left w:val="single" w:color="000000" w:sz="4" w:space="0"/>
              <w:bottom w:val="nil"/>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时效指标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 xml:space="preserve"> 按时完成率</w:t>
            </w:r>
            <w:r>
              <w:rPr>
                <w:rFonts w:hint="eastAsia" w:ascii="仿宋_GB2312" w:hAnsi="宋体" w:eastAsia="仿宋_GB2312" w:cs="仿宋_GB2312"/>
                <w:color w:val="000000"/>
                <w:kern w:val="0"/>
                <w:sz w:val="24"/>
                <w:u w:val="none"/>
                <w:lang w:bidi="ar"/>
              </w:rPr>
              <w:t>（%）</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w:t>
            </w:r>
            <w:r>
              <w:rPr>
                <w:rFonts w:hint="eastAsia" w:ascii="仿宋_GB2312" w:hAnsi="宋体" w:eastAsia="仿宋_GB2312" w:cs="仿宋_GB2312"/>
                <w:color w:val="000000"/>
                <w:kern w:val="0"/>
                <w:sz w:val="24"/>
                <w:u w:val="none"/>
                <w:lang w:bidi="ar"/>
              </w:rPr>
              <w:t>100%</w:t>
            </w:r>
          </w:p>
        </w:tc>
      </w:tr>
      <w:tr>
        <w:tblPrEx>
          <w:tblCellMar>
            <w:top w:w="0" w:type="dxa"/>
            <w:left w:w="108" w:type="dxa"/>
            <w:bottom w:w="0" w:type="dxa"/>
            <w:right w:w="108" w:type="dxa"/>
          </w:tblCellMar>
        </w:tblPrEx>
        <w:trPr>
          <w:trHeight w:val="372" w:hRule="atLeast"/>
        </w:trPr>
        <w:tc>
          <w:tcPr>
            <w:tcW w:w="844" w:type="pct"/>
            <w:vMerge w:val="continue"/>
            <w:tcBorders>
              <w:top w:val="nil"/>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效益指标</w:t>
            </w:r>
          </w:p>
        </w:tc>
        <w:tc>
          <w:tcPr>
            <w:tcW w:w="1085" w:type="pct"/>
            <w:vMerge w:val="restart"/>
            <w:tcBorders>
              <w:top w:val="single" w:color="000000" w:sz="4" w:space="0"/>
              <w:left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ascii="仿宋_GB2312" w:hAnsi="宋体" w:eastAsia="仿宋_GB2312" w:cs="仿宋_GB2312"/>
                <w:color w:val="000000"/>
                <w:kern w:val="0"/>
                <w:sz w:val="24"/>
                <w:u w:val="none"/>
                <w:lang w:bidi="ar"/>
              </w:rPr>
              <w:t>可持续影响指标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u w:val="none"/>
              </w:rPr>
            </w:pPr>
            <w:r>
              <w:rPr>
                <w:rFonts w:hint="eastAsia" w:ascii="仿宋_GB2312" w:hAnsi="仿宋_GB2312" w:eastAsia="仿宋_GB2312" w:cs="仿宋_GB2312"/>
                <w:color w:val="000000"/>
                <w:kern w:val="0"/>
                <w:sz w:val="24"/>
                <w:u w:val="none"/>
                <w:lang w:bidi="ar"/>
              </w:rPr>
              <w:t>对政府决策水平的积极影响</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u w:val="none"/>
              </w:rPr>
            </w:pPr>
            <w:r>
              <w:rPr>
                <w:rFonts w:hint="eastAsia" w:ascii="仿宋_GB2312" w:hAnsi="仿宋_GB2312" w:eastAsia="仿宋_GB2312" w:cs="仿宋_GB2312"/>
                <w:u w:val="none"/>
              </w:rPr>
              <w:t>长期</w:t>
            </w:r>
          </w:p>
        </w:tc>
      </w:tr>
      <w:tr>
        <w:tblPrEx>
          <w:tblCellMar>
            <w:top w:w="0" w:type="dxa"/>
            <w:left w:w="108" w:type="dxa"/>
            <w:bottom w:w="0" w:type="dxa"/>
            <w:right w:w="108" w:type="dxa"/>
          </w:tblCellMar>
        </w:tblPrEx>
        <w:trPr>
          <w:trHeight w:val="372" w:hRule="atLeast"/>
        </w:trPr>
        <w:tc>
          <w:tcPr>
            <w:tcW w:w="844"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430" w:type="pct"/>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仿宋_GB2312" w:hAnsi="宋体" w:eastAsia="仿宋_GB2312" w:cs="仿宋_GB2312"/>
                <w:color w:val="000000"/>
                <w:sz w:val="24"/>
                <w:u w:val="none"/>
              </w:rPr>
            </w:pPr>
          </w:p>
        </w:tc>
        <w:tc>
          <w:tcPr>
            <w:tcW w:w="1085"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sz w:val="24"/>
                <w:u w:val="none"/>
              </w:rPr>
              <w:t>服务对象满意度指标</w:t>
            </w:r>
          </w:p>
        </w:tc>
        <w:tc>
          <w:tcPr>
            <w:tcW w:w="1710"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相关受益群众满意度（%）</w:t>
            </w:r>
          </w:p>
        </w:tc>
        <w:tc>
          <w:tcPr>
            <w:tcW w:w="928" w:type="pc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仿宋_GB2312" w:hAnsi="宋体" w:eastAsia="仿宋_GB2312" w:cs="仿宋_GB2312"/>
                <w:color w:val="000000"/>
                <w:sz w:val="24"/>
                <w:u w:val="none"/>
              </w:rPr>
            </w:pPr>
            <w:r>
              <w:rPr>
                <w:rFonts w:hint="eastAsia" w:ascii="仿宋_GB2312" w:hAnsi="宋体" w:eastAsia="仿宋_GB2312" w:cs="仿宋_GB2312"/>
                <w:color w:val="000000"/>
                <w:kern w:val="0"/>
                <w:sz w:val="24"/>
                <w:u w:val="none"/>
                <w:lang w:bidi="ar"/>
              </w:rPr>
              <w:t>≥90%</w:t>
            </w:r>
          </w:p>
        </w:tc>
      </w:tr>
    </w:tbl>
    <w:p>
      <w:pPr>
        <w:jc w:val="center"/>
        <w:rPr>
          <w:rFonts w:hint="default" w:ascii="仿宋_GB2312" w:hAnsi="宋体" w:eastAsia="仿宋_GB2312" w:cs="仿宋_GB2312"/>
          <w:color w:val="auto"/>
          <w:kern w:val="0"/>
          <w:sz w:val="22"/>
          <w:szCs w:val="22"/>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2023年城市管理与地下基础设施建设更新改造资金绩效目标表</w:t>
      </w:r>
    </w:p>
    <w:p>
      <w:pPr>
        <w:jc w:val="left"/>
        <w:rPr>
          <w:rFonts w:hint="default" w:ascii="黑体" w:hAnsi="宋体" w:eastAsia="黑体" w:cs="黑体"/>
          <w:i w:val="0"/>
          <w:iCs w:val="0"/>
          <w:color w:val="auto"/>
          <w:kern w:val="0"/>
          <w:sz w:val="28"/>
          <w:szCs w:val="28"/>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pPr>
    </w:p>
    <w:p>
      <w:pPr>
        <w:pStyle w:val="2"/>
        <w:rPr>
          <w:rFonts w:hint="eastAsia" w:ascii="仿宋_GB2312" w:hAnsi="Times New Roman" w:eastAsia="仿宋_GB2312" w:cs="仿宋_GB2312"/>
          <w:b w:val="0"/>
          <w:bCs w:val="0"/>
          <w:color w:val="auto"/>
          <w:kern w:val="44"/>
          <w:sz w:val="32"/>
          <w:szCs w:val="32"/>
          <w:highlight w:val="none"/>
          <w:u w:val="none"/>
          <w:lang w:val="en-US" w:eastAsia="zh-CN" w:bidi="ar"/>
        </w:rPr>
        <w:sectPr>
          <w:footerReference r:id="rId3" w:type="default"/>
          <w:pgSz w:w="11906" w:h="16838"/>
          <w:pgMar w:top="2041" w:right="1417" w:bottom="1417" w:left="1531" w:header="851" w:footer="992" w:gutter="0"/>
          <w:pgBorders>
            <w:top w:val="none" w:sz="0" w:space="0"/>
            <w:left w:val="none" w:sz="0" w:space="0"/>
            <w:bottom w:val="none" w:sz="0" w:space="0"/>
            <w:right w:val="none" w:sz="0" w:space="0"/>
          </w:pgBorders>
          <w:pgNumType w:fmt="numberInDash" w:start="1"/>
          <w:cols w:space="425" w:num="1"/>
          <w:docGrid w:type="lines" w:linePitch="312" w:charSpace="0"/>
        </w:sectPr>
      </w:pPr>
    </w:p>
    <w:p>
      <w:pPr>
        <w:pStyle w:val="15"/>
        <w:ind w:left="0" w:leftChars="0" w:firstLine="0" w:firstLineChars="0"/>
        <w:jc w:val="left"/>
        <w:rPr>
          <w:rFonts w:hint="eastAsia" w:ascii="黑体" w:hAnsi="黑体" w:eastAsia="黑体" w:cs="黑体"/>
          <w:color w:val="auto"/>
          <w:kern w:val="0"/>
          <w:sz w:val="28"/>
          <w:szCs w:val="28"/>
          <w:highlight w:val="none"/>
          <w:lang w:val="en-US" w:eastAsia="zh-CN"/>
        </w:rPr>
      </w:pPr>
      <w:r>
        <w:rPr>
          <w:rFonts w:hint="eastAsia" w:ascii="黑体" w:hAnsi="黑体" w:eastAsia="黑体" w:cs="黑体"/>
          <w:color w:val="auto"/>
          <w:kern w:val="0"/>
          <w:sz w:val="28"/>
          <w:szCs w:val="28"/>
          <w:highlight w:val="none"/>
          <w:lang w:val="en-US" w:eastAsia="zh-CN"/>
        </w:rPr>
        <w:t>附件2</w:t>
      </w:r>
    </w:p>
    <w:p>
      <w:pPr>
        <w:pStyle w:val="15"/>
        <w:ind w:left="0" w:leftChars="0" w:firstLine="0" w:firstLineChars="0"/>
        <w:jc w:val="center"/>
        <w:rPr>
          <w:rFonts w:hint="eastAsia" w:ascii="黑体" w:hAnsi="黑体" w:eastAsia="黑体" w:cs="黑体"/>
          <w:color w:val="auto"/>
          <w:kern w:val="0"/>
          <w:sz w:val="28"/>
          <w:szCs w:val="28"/>
          <w:highlight w:val="none"/>
          <w:lang w:val="en-US" w:eastAsia="zh-CN"/>
        </w:rPr>
      </w:pPr>
      <w:r>
        <w:rPr>
          <w:rFonts w:hint="eastAsia" w:ascii="黑体" w:hAnsi="黑体" w:eastAsia="黑体" w:cs="黑体"/>
          <w:color w:val="auto"/>
          <w:kern w:val="0"/>
          <w:sz w:val="28"/>
          <w:szCs w:val="28"/>
          <w:highlight w:val="none"/>
          <w:lang w:val="en-US" w:eastAsia="zh-CN"/>
        </w:rPr>
        <w:t>2023年城市管理与地下基础设施建设更新改造资金支出情况汇总表</w:t>
      </w:r>
    </w:p>
    <w:p>
      <w:pPr>
        <w:pStyle w:val="2"/>
        <w:ind w:left="0" w:leftChars="0" w:firstLine="0" w:firstLineChars="0"/>
        <w:jc w:val="right"/>
        <w:rPr>
          <w:color w:val="auto"/>
          <w:highlight w:val="none"/>
        </w:rPr>
      </w:pPr>
      <w:r>
        <w:rPr>
          <w:rFonts w:hint="eastAsia" w:ascii="仿宋_GB2312" w:hAnsi="仿宋_GB2312" w:eastAsia="仿宋_GB2312" w:cs="仿宋_GB2312"/>
          <w:color w:val="auto"/>
          <w:kern w:val="0"/>
          <w:sz w:val="24"/>
          <w:szCs w:val="24"/>
          <w:highlight w:val="none"/>
          <w:lang w:val="en-US" w:eastAsia="zh-CN"/>
        </w:rPr>
        <w:t xml:space="preserve">                                                       金额单位：万元</w:t>
      </w:r>
    </w:p>
    <w:tbl>
      <w:tblPr>
        <w:tblStyle w:val="16"/>
        <w:tblW w:w="13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3"/>
        <w:gridCol w:w="934"/>
        <w:gridCol w:w="995"/>
        <w:gridCol w:w="996"/>
        <w:gridCol w:w="996"/>
        <w:gridCol w:w="892"/>
        <w:gridCol w:w="892"/>
        <w:gridCol w:w="996"/>
        <w:gridCol w:w="892"/>
        <w:gridCol w:w="892"/>
        <w:gridCol w:w="892"/>
        <w:gridCol w:w="892"/>
        <w:gridCol w:w="892"/>
        <w:gridCol w:w="996"/>
        <w:gridCol w:w="9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blHeader/>
        </w:trPr>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序号</w:t>
            </w:r>
          </w:p>
        </w:tc>
        <w:tc>
          <w:tcPr>
            <w:tcW w:w="1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县（市、区）/小区名称</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合计</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省级财政资金</w:t>
            </w:r>
          </w:p>
        </w:tc>
        <w:tc>
          <w:tcPr>
            <w:tcW w:w="34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市县财政资金</w:t>
            </w:r>
          </w:p>
        </w:tc>
        <w:tc>
          <w:tcPr>
            <w:tcW w:w="2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各类自筹资金</w:t>
            </w:r>
          </w:p>
        </w:tc>
        <w:tc>
          <w:tcPr>
            <w:tcW w:w="2330" w:type="dxa"/>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投资总额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blHeader/>
        </w:trPr>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2"/>
                <w:szCs w:val="22"/>
                <w:highlight w:val="none"/>
                <w:u w:val="none"/>
              </w:rPr>
            </w:pPr>
          </w:p>
        </w:tc>
        <w:tc>
          <w:tcPr>
            <w:tcW w:w="1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2"/>
                <w:szCs w:val="22"/>
                <w:highlight w:val="none"/>
                <w:u w:val="none"/>
              </w:rPr>
            </w:pP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预算指标</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到位资金</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实际支出</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预算指标</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到位资金</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实际支出</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预算指标</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到位资金</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实际支出</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到位资金</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实际支出</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计划数</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累计完成数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blHeader/>
        </w:trPr>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auto"/>
                <w:sz w:val="22"/>
                <w:szCs w:val="22"/>
                <w:highlight w:val="none"/>
                <w:u w:val="none"/>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7</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8</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合  计</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5339.22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5615.70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4609.15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5150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5150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4128.15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189.22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109.82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109.82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371.18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371.18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1969.99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1223.75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汕头市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190.16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190.16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188.85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190.16</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190.16</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188.85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韶关市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133.66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133.66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93.69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133.66</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133.66</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93.69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河源市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205.75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141.05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78.06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155.75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155.75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77.46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0.60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0.60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205.75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78.06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梅州市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180.04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180.04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87.41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173.52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173.52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80.89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6.52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6.52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6.52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180.04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87.41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惠州市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249.95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540.93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540.93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147.25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147.25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147.25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102.70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102.70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102.70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290.98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290.98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540.93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540.93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汕尾市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188.23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188.23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99.17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188.23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188.23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99.17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7</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江门市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67.84</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141.84</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141.84</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67.84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141.84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67.84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8</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阳江市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219.23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101.11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167.23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167.23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49.11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52</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219.23</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101.11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9</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湛江市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214.15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214.15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161.84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214.15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214.15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161.84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茂名市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219.55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247.75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139.96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219.55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219.55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111.77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28.20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28.20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247.75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139.96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11</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肇庆市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167.55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12</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清远市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154.21</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13</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潮州市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183.95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183.95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88.94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183.95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183.95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88.94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183.95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88.935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揭阳市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250.50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220.50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119.50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220.50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220.50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119.50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250.50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119.50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云浮市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85.53 </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167.45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167.45</w:t>
            </w:r>
          </w:p>
        </w:tc>
        <w:tc>
          <w:tcPr>
            <w:tcW w:w="1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85.53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省本级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2434.56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2525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 xml:space="preserve">2434.56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0</w:t>
            </w:r>
          </w:p>
        </w:tc>
      </w:tr>
    </w:tbl>
    <w:p>
      <w:pPr>
        <w:pStyle w:val="2"/>
        <w:ind w:left="0" w:leftChars="0" w:firstLine="0" w:firstLineChars="0"/>
        <w:rPr>
          <w:color w:val="auto"/>
          <w:highlight w:val="none"/>
        </w:rPr>
        <w:sectPr>
          <w:footerReference r:id="rId4" w:type="default"/>
          <w:pgSz w:w="16838" w:h="11906" w:orient="landscape"/>
          <w:pgMar w:top="1531" w:right="2041" w:bottom="1417"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jc w:val="both"/>
        <w:textAlignment w:val="center"/>
        <w:outlineLvl w:val="0"/>
        <w:rPr>
          <w:rFonts w:hint="eastAsia"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附件3</w:t>
      </w:r>
    </w:p>
    <w:p>
      <w:pPr>
        <w:keepNext w:val="0"/>
        <w:keepLines w:val="0"/>
        <w:pageBreakBefore w:val="0"/>
        <w:widowControl/>
        <w:suppressLineNumbers w:val="0"/>
        <w:kinsoku/>
        <w:wordWrap/>
        <w:overflowPunct/>
        <w:topLinePunct w:val="0"/>
        <w:autoSpaceDE/>
        <w:autoSpaceDN/>
        <w:bidi w:val="0"/>
        <w:adjustRightInd/>
        <w:snapToGrid/>
        <w:jc w:val="center"/>
        <w:textAlignment w:val="center"/>
        <w:outlineLvl w:val="0"/>
        <w:rPr>
          <w:rFonts w:hint="eastAsia"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2023年城市管理与地下基础设施建设更新改造项目任务完成情况汇总表</w:t>
      </w:r>
    </w:p>
    <w:tbl>
      <w:tblPr>
        <w:tblStyle w:val="16"/>
        <w:tblW w:w="13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92"/>
        <w:gridCol w:w="1562"/>
        <w:gridCol w:w="1886"/>
        <w:gridCol w:w="1927"/>
        <w:gridCol w:w="2006"/>
        <w:gridCol w:w="1808"/>
        <w:gridCol w:w="1829"/>
        <w:gridCol w:w="19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blHeader/>
        </w:trPr>
        <w:tc>
          <w:tcPr>
            <w:tcW w:w="6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序号</w:t>
            </w:r>
          </w:p>
        </w:tc>
        <w:tc>
          <w:tcPr>
            <w:tcW w:w="1717"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县（市、区）/小区名称</w:t>
            </w:r>
          </w:p>
        </w:tc>
        <w:tc>
          <w:tcPr>
            <w:tcW w:w="6617"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目标任务计划</w:t>
            </w:r>
          </w:p>
        </w:tc>
        <w:tc>
          <w:tcPr>
            <w:tcW w:w="63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目标任务完成情况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79" w:hRule="atLeast"/>
          <w:tblHead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auto"/>
                <w:sz w:val="22"/>
                <w:szCs w:val="22"/>
                <w:highlight w:val="none"/>
                <w:u w:val="none"/>
              </w:rPr>
            </w:pPr>
          </w:p>
        </w:tc>
        <w:tc>
          <w:tcPr>
            <w:tcW w:w="1717"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宋体" w:eastAsia="仿宋_GB2312" w:cs="仿宋_GB2312"/>
                <w:b/>
                <w:bCs/>
                <w:i w:val="0"/>
                <w:iCs w:val="0"/>
                <w:color w:val="auto"/>
                <w:sz w:val="22"/>
                <w:szCs w:val="22"/>
                <w:highlight w:val="none"/>
                <w:u w:val="none"/>
              </w:rPr>
            </w:pPr>
          </w:p>
        </w:tc>
        <w:tc>
          <w:tcPr>
            <w:tcW w:w="21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计划消除城镇燃气居民端隐患</w:t>
            </w:r>
            <w:r>
              <w:rPr>
                <w:rFonts w:hint="eastAsia" w:ascii="仿宋_GB2312" w:hAnsi="宋体" w:eastAsia="仿宋_GB2312" w:cs="仿宋_GB2312"/>
                <w:b/>
                <w:bCs/>
                <w:i w:val="0"/>
                <w:iCs w:val="0"/>
                <w:color w:val="auto"/>
                <w:kern w:val="0"/>
                <w:sz w:val="22"/>
                <w:szCs w:val="22"/>
                <w:highlight w:val="none"/>
                <w:u w:val="none"/>
                <w:lang w:val="en-US" w:eastAsia="zh-CN" w:bidi="ar"/>
              </w:rPr>
              <w:t>（</w:t>
            </w:r>
            <w:r>
              <w:rPr>
                <w:rFonts w:hint="default" w:ascii="仿宋_GB2312" w:hAnsi="宋体" w:eastAsia="仿宋_GB2312" w:cs="仿宋_GB2312"/>
                <w:b/>
                <w:bCs/>
                <w:i w:val="0"/>
                <w:iCs w:val="0"/>
                <w:color w:val="auto"/>
                <w:kern w:val="0"/>
                <w:sz w:val="22"/>
                <w:szCs w:val="22"/>
                <w:highlight w:val="none"/>
                <w:u w:val="none"/>
                <w:lang w:val="en-US" w:eastAsia="zh-CN" w:bidi="ar"/>
              </w:rPr>
              <w:t>万户</w:t>
            </w:r>
            <w:r>
              <w:rPr>
                <w:rFonts w:hint="eastAsia" w:ascii="仿宋_GB2312" w:hAnsi="宋体" w:eastAsia="仿宋_GB2312" w:cs="仿宋_GB2312"/>
                <w:b/>
                <w:bCs/>
                <w:i w:val="0"/>
                <w:iCs w:val="0"/>
                <w:color w:val="auto"/>
                <w:kern w:val="0"/>
                <w:sz w:val="22"/>
                <w:szCs w:val="22"/>
                <w:highlight w:val="none"/>
                <w:u w:val="none"/>
                <w:lang w:val="en-US" w:eastAsia="zh-CN" w:bidi="ar"/>
              </w:rPr>
              <w:t>）</w:t>
            </w:r>
          </w:p>
        </w:tc>
        <w:tc>
          <w:tcPr>
            <w:tcW w:w="216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计划对辖区内全部燃气场站进行安全隐患排查巡查次数</w:t>
            </w:r>
            <w:r>
              <w:rPr>
                <w:rFonts w:hint="eastAsia" w:ascii="仿宋_GB2312" w:hAnsi="宋体" w:eastAsia="仿宋_GB2312" w:cs="仿宋_GB2312"/>
                <w:b/>
                <w:bCs/>
                <w:i w:val="0"/>
                <w:iCs w:val="0"/>
                <w:color w:val="auto"/>
                <w:kern w:val="0"/>
                <w:sz w:val="22"/>
                <w:szCs w:val="22"/>
                <w:highlight w:val="none"/>
                <w:u w:val="none"/>
                <w:lang w:val="en-US" w:eastAsia="zh-CN" w:bidi="ar"/>
              </w:rPr>
              <w:t>（</w:t>
            </w:r>
            <w:r>
              <w:rPr>
                <w:rFonts w:hint="default" w:ascii="仿宋_GB2312" w:hAnsi="宋体" w:eastAsia="仿宋_GB2312" w:cs="仿宋_GB2312"/>
                <w:b/>
                <w:bCs/>
                <w:i w:val="0"/>
                <w:iCs w:val="0"/>
                <w:color w:val="auto"/>
                <w:kern w:val="0"/>
                <w:sz w:val="22"/>
                <w:szCs w:val="22"/>
                <w:highlight w:val="none"/>
                <w:u w:val="none"/>
                <w:lang w:val="en-US" w:eastAsia="zh-CN" w:bidi="ar"/>
              </w:rPr>
              <w:t>次</w:t>
            </w:r>
            <w:r>
              <w:rPr>
                <w:rFonts w:hint="eastAsia" w:ascii="仿宋_GB2312" w:hAnsi="宋体" w:eastAsia="仿宋_GB2312" w:cs="仿宋_GB2312"/>
                <w:b/>
                <w:bCs/>
                <w:i w:val="0"/>
                <w:iCs w:val="0"/>
                <w:color w:val="auto"/>
                <w:kern w:val="0"/>
                <w:sz w:val="22"/>
                <w:szCs w:val="22"/>
                <w:highlight w:val="none"/>
                <w:u w:val="none"/>
                <w:lang w:val="en-US" w:eastAsia="zh-CN" w:bidi="ar"/>
              </w:rPr>
              <w:t>）</w:t>
            </w:r>
          </w:p>
        </w:tc>
        <w:tc>
          <w:tcPr>
            <w:tcW w:w="2287"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相关受益群众满意度（%）</w:t>
            </w:r>
          </w:p>
        </w:tc>
        <w:tc>
          <w:tcPr>
            <w:tcW w:w="204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实际消除城镇燃气居民端隐患</w:t>
            </w:r>
            <w:r>
              <w:rPr>
                <w:rFonts w:hint="eastAsia" w:ascii="仿宋_GB2312" w:hAnsi="宋体" w:eastAsia="仿宋_GB2312" w:cs="仿宋_GB2312"/>
                <w:b/>
                <w:bCs/>
                <w:i w:val="0"/>
                <w:iCs w:val="0"/>
                <w:color w:val="auto"/>
                <w:kern w:val="0"/>
                <w:sz w:val="22"/>
                <w:szCs w:val="22"/>
                <w:highlight w:val="none"/>
                <w:u w:val="none"/>
                <w:lang w:val="en-US" w:eastAsia="zh-CN" w:bidi="ar"/>
              </w:rPr>
              <w:t>（</w:t>
            </w:r>
            <w:r>
              <w:rPr>
                <w:rFonts w:hint="default" w:ascii="仿宋_GB2312" w:hAnsi="宋体" w:eastAsia="仿宋_GB2312" w:cs="仿宋_GB2312"/>
                <w:b/>
                <w:bCs/>
                <w:i w:val="0"/>
                <w:iCs w:val="0"/>
                <w:color w:val="auto"/>
                <w:kern w:val="0"/>
                <w:sz w:val="22"/>
                <w:szCs w:val="22"/>
                <w:highlight w:val="none"/>
                <w:u w:val="none"/>
                <w:lang w:val="en-US" w:eastAsia="zh-CN" w:bidi="ar"/>
              </w:rPr>
              <w:t>万户</w:t>
            </w:r>
            <w:r>
              <w:rPr>
                <w:rFonts w:hint="eastAsia" w:ascii="仿宋_GB2312" w:hAnsi="宋体" w:eastAsia="仿宋_GB2312" w:cs="仿宋_GB2312"/>
                <w:b/>
                <w:bCs/>
                <w:i w:val="0"/>
                <w:iCs w:val="0"/>
                <w:color w:val="auto"/>
                <w:kern w:val="0"/>
                <w:sz w:val="22"/>
                <w:szCs w:val="22"/>
                <w:highlight w:val="none"/>
                <w:u w:val="none"/>
                <w:lang w:val="en-US" w:eastAsia="zh-CN" w:bidi="ar"/>
              </w:rPr>
              <w:t>）</w:t>
            </w:r>
          </w:p>
        </w:tc>
        <w:tc>
          <w:tcPr>
            <w:tcW w:w="2044"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实际对辖区内全部燃气场站进行安全隐患排查巡查次数</w:t>
            </w:r>
            <w:r>
              <w:rPr>
                <w:rFonts w:hint="eastAsia" w:ascii="仿宋_GB2312" w:hAnsi="宋体" w:eastAsia="仿宋_GB2312" w:cs="仿宋_GB2312"/>
                <w:b/>
                <w:bCs/>
                <w:i w:val="0"/>
                <w:iCs w:val="0"/>
                <w:color w:val="auto"/>
                <w:kern w:val="0"/>
                <w:sz w:val="22"/>
                <w:szCs w:val="22"/>
                <w:highlight w:val="none"/>
                <w:u w:val="none"/>
                <w:lang w:val="en-US" w:eastAsia="zh-CN" w:bidi="ar"/>
              </w:rPr>
              <w:t>（</w:t>
            </w:r>
            <w:r>
              <w:rPr>
                <w:rFonts w:hint="default" w:ascii="仿宋_GB2312" w:hAnsi="宋体" w:eastAsia="仿宋_GB2312" w:cs="仿宋_GB2312"/>
                <w:b/>
                <w:bCs/>
                <w:i w:val="0"/>
                <w:iCs w:val="0"/>
                <w:color w:val="auto"/>
                <w:kern w:val="0"/>
                <w:sz w:val="22"/>
                <w:szCs w:val="22"/>
                <w:highlight w:val="none"/>
                <w:u w:val="none"/>
                <w:lang w:val="en-US" w:eastAsia="zh-CN" w:bidi="ar"/>
              </w:rPr>
              <w:t>次</w:t>
            </w:r>
            <w:r>
              <w:rPr>
                <w:rFonts w:hint="eastAsia" w:ascii="仿宋_GB2312" w:hAnsi="宋体" w:eastAsia="仿宋_GB2312" w:cs="仿宋_GB2312"/>
                <w:b/>
                <w:bCs/>
                <w:i w:val="0"/>
                <w:iCs w:val="0"/>
                <w:color w:val="auto"/>
                <w:kern w:val="0"/>
                <w:sz w:val="22"/>
                <w:szCs w:val="22"/>
                <w:highlight w:val="none"/>
                <w:u w:val="none"/>
                <w:lang w:val="en-US" w:eastAsia="zh-CN" w:bidi="ar"/>
              </w:rPr>
              <w:t>）</w:t>
            </w:r>
          </w:p>
        </w:tc>
        <w:tc>
          <w:tcPr>
            <w:tcW w:w="225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相关受益群众满意度（%）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blHeader/>
        </w:trPr>
        <w:tc>
          <w:tcPr>
            <w:tcW w:w="6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auto"/>
                <w:sz w:val="22"/>
                <w:szCs w:val="22"/>
                <w:highlight w:val="none"/>
                <w:u w:val="none"/>
              </w:rPr>
            </w:pP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1</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2</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3</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4</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5</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6</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auto"/>
                <w:sz w:val="22"/>
                <w:szCs w:val="22"/>
                <w:highlight w:val="none"/>
                <w:u w:val="none"/>
              </w:rPr>
            </w:pPr>
            <w:r>
              <w:rPr>
                <w:rFonts w:hint="default" w:ascii="仿宋_GB2312" w:hAnsi="宋体" w:eastAsia="仿宋_GB2312" w:cs="仿宋_GB2312"/>
                <w:b/>
                <w:bCs/>
                <w:i w:val="0"/>
                <w:iCs w:val="0"/>
                <w:color w:val="auto"/>
                <w:kern w:val="0"/>
                <w:sz w:val="22"/>
                <w:szCs w:val="22"/>
                <w:highlight w:val="none"/>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合计</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99.16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4.08 </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w:t>
            </w:r>
            <w:r>
              <w:rPr>
                <w:rFonts w:hint="eastAsia" w:ascii="仿宋_GB2312" w:hAnsi="宋体" w:eastAsia="仿宋_GB2312" w:cs="仿宋_GB2312"/>
                <w:i w:val="0"/>
                <w:iCs w:val="0"/>
                <w:color w:val="auto"/>
                <w:kern w:val="0"/>
                <w:sz w:val="22"/>
                <w:szCs w:val="22"/>
                <w:highlight w:val="none"/>
                <w:u w:val="none"/>
                <w:lang w:val="en-US" w:eastAsia="zh-CN" w:bidi="ar"/>
              </w:rPr>
              <w:t>8.99</w:t>
            </w:r>
            <w:r>
              <w:rPr>
                <w:rFonts w:hint="default" w:ascii="仿宋_GB2312" w:hAnsi="宋体" w:eastAsia="仿宋_GB2312" w:cs="仿宋_GB2312"/>
                <w:i w:val="0"/>
                <w:iCs w:val="0"/>
                <w:color w:val="auto"/>
                <w:kern w:val="0"/>
                <w:sz w:val="22"/>
                <w:szCs w:val="2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汕头市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6.67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2</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韶关市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6.67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3</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河源市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6.67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梅州市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4.64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5</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惠州市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12.13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汕尾市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6.01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7</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江门市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6.67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8</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阳江市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4.56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湛江市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6.10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5.13 </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茂名市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8.04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11</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肇庆市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7.10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12</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清远市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6.94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96.50%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13</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潮州市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3.59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98.40%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14</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揭阳市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6.70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6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15</w:t>
            </w:r>
          </w:p>
        </w:tc>
        <w:tc>
          <w:tcPr>
            <w:tcW w:w="1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云浮市</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6.67</w:t>
            </w:r>
          </w:p>
        </w:tc>
        <w:tc>
          <w:tcPr>
            <w:tcW w:w="21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≥90</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 xml:space="preserve">6.67 </w:t>
            </w:r>
          </w:p>
        </w:tc>
        <w:tc>
          <w:tcPr>
            <w:tcW w:w="2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rPr>
            </w:pPr>
            <w:r>
              <w:rPr>
                <w:rFonts w:hint="default" w:ascii="仿宋_GB2312" w:hAnsi="宋体" w:eastAsia="仿宋_GB2312" w:cs="仿宋_GB2312"/>
                <w:i w:val="0"/>
                <w:iCs w:val="0"/>
                <w:color w:val="auto"/>
                <w:kern w:val="0"/>
                <w:sz w:val="22"/>
                <w:szCs w:val="22"/>
                <w:highlight w:val="none"/>
                <w:u w:val="none"/>
                <w:lang w:val="en-US" w:eastAsia="zh-CN"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auto"/>
                <w:sz w:val="22"/>
                <w:szCs w:val="22"/>
                <w:highlight w:val="none"/>
                <w:u w:val="none"/>
                <w:lang w:val="en-US"/>
              </w:rPr>
            </w:pPr>
            <w:r>
              <w:rPr>
                <w:rFonts w:hint="eastAsia" w:ascii="仿宋_GB2312" w:hAnsi="宋体" w:eastAsia="仿宋_GB2312" w:cs="仿宋_GB2312"/>
                <w:i w:val="0"/>
                <w:iCs w:val="0"/>
                <w:color w:val="auto"/>
                <w:kern w:val="0"/>
                <w:sz w:val="22"/>
                <w:szCs w:val="22"/>
                <w:highlight w:val="none"/>
                <w:u w:val="none"/>
                <w:lang w:val="en-US" w:eastAsia="zh-CN" w:bidi="ar"/>
              </w:rPr>
              <w:t>90%</w:t>
            </w:r>
          </w:p>
        </w:tc>
      </w:tr>
    </w:tbl>
    <w:p>
      <w:pPr>
        <w:pStyle w:val="2"/>
        <w:spacing w:line="240" w:lineRule="auto"/>
        <w:ind w:left="0" w:leftChars="0" w:firstLine="420" w:firstLineChars="200"/>
        <w:rPr>
          <w:rFonts w:hint="eastAsia" w:ascii="仿宋_GB2312" w:hAnsi="仿宋_GB2312" w:eastAsia="仿宋_GB2312" w:cs="仿宋_GB2312"/>
          <w:b w:val="0"/>
          <w:bCs w:val="0"/>
          <w:color w:val="auto"/>
          <w:highlight w:val="none"/>
          <w:lang w:val="en-US" w:eastAsia="zh-CN"/>
        </w:rPr>
        <w:sectPr>
          <w:footerReference r:id="rId5" w:type="default"/>
          <w:pgSz w:w="16838" w:h="11906" w:orient="landscape"/>
          <w:pgMar w:top="1531" w:right="2041" w:bottom="1417" w:left="1417" w:header="851" w:footer="992" w:gutter="0"/>
          <w:pgBorders>
            <w:top w:val="none" w:sz="0" w:space="0"/>
            <w:left w:val="none" w:sz="0" w:space="0"/>
            <w:bottom w:val="none" w:sz="0" w:space="0"/>
            <w:right w:val="none" w:sz="0" w:space="0"/>
          </w:pgBorders>
          <w:pgNumType w:fmt="numberInDash"/>
          <w:cols w:space="425" w:num="1"/>
          <w:docGrid w:type="lines" w:linePitch="312" w:charSpace="0"/>
        </w:sectPr>
      </w:pPr>
      <w:r>
        <w:rPr>
          <w:rFonts w:hint="eastAsia" w:ascii="仿宋_GB2312" w:hAnsi="仿宋_GB2312" w:eastAsia="仿宋_GB2312" w:cs="仿宋_GB2312"/>
          <w:b w:val="0"/>
          <w:bCs w:val="0"/>
          <w:color w:val="auto"/>
          <w:highlight w:val="none"/>
          <w:lang w:val="en-US" w:eastAsia="zh-CN"/>
        </w:rPr>
        <w:t>说明：</w:t>
      </w:r>
      <w:r>
        <w:rPr>
          <w:rFonts w:hint="eastAsia" w:ascii="仿宋_GB2312" w:hAnsi="仿宋_GB2312" w:eastAsia="仿宋_GB2312" w:cs="仿宋_GB2312"/>
          <w:b w:val="0"/>
          <w:bCs w:val="0"/>
          <w:i w:val="0"/>
          <w:iCs w:val="0"/>
          <w:color w:val="auto"/>
          <w:kern w:val="0"/>
          <w:sz w:val="22"/>
          <w:szCs w:val="22"/>
          <w:highlight w:val="none"/>
          <w:u w:val="none"/>
          <w:lang w:val="en-US" w:eastAsia="zh-CN" w:bidi="ar"/>
        </w:rPr>
        <w:t>计划消除城镇燃气居民端隐患总数为100万户，平均分解下达至15个地市，四舍五入后各地市计划消除城镇燃气居民端隐患数为6.67万户。</w:t>
      </w:r>
    </w:p>
    <w:p>
      <w:pPr>
        <w:rPr>
          <w:rFonts w:hint="default"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附件4</w:t>
      </w:r>
    </w:p>
    <w:p>
      <w:pPr>
        <w:pStyle w:val="2"/>
        <w:ind w:left="0" w:leftChars="0" w:firstLine="0" w:firstLineChars="0"/>
        <w:jc w:val="center"/>
        <w:rPr>
          <w:rFonts w:hint="eastAsia" w:ascii="黑体" w:hAnsi="宋体" w:eastAsia="黑体" w:cs="黑体"/>
          <w:i w:val="0"/>
          <w:iCs w:val="0"/>
          <w:color w:val="auto"/>
          <w:kern w:val="0"/>
          <w:sz w:val="28"/>
          <w:szCs w:val="28"/>
          <w:highlight w:val="none"/>
          <w:u w:val="none"/>
          <w:lang w:val="en-US" w:eastAsia="zh-CN" w:bidi="ar"/>
        </w:rPr>
      </w:pPr>
      <w:r>
        <w:rPr>
          <w:rFonts w:hint="eastAsia" w:ascii="黑体" w:hAnsi="宋体" w:eastAsia="黑体" w:cs="黑体"/>
          <w:i w:val="0"/>
          <w:iCs w:val="0"/>
          <w:color w:val="auto"/>
          <w:kern w:val="0"/>
          <w:sz w:val="28"/>
          <w:szCs w:val="28"/>
          <w:highlight w:val="none"/>
          <w:u w:val="none"/>
          <w:lang w:val="en-US" w:eastAsia="zh-CN" w:bidi="ar"/>
        </w:rPr>
        <w:t>2023年城市管理与地下基础设施建设更新改造项目资金</w:t>
      </w:r>
    </w:p>
    <w:p>
      <w:pPr>
        <w:pStyle w:val="2"/>
        <w:ind w:left="0" w:leftChars="0" w:firstLine="0" w:firstLineChars="0"/>
        <w:jc w:val="center"/>
        <w:rPr>
          <w:color w:val="auto"/>
          <w:highlight w:val="none"/>
        </w:rPr>
      </w:pPr>
      <w:r>
        <w:rPr>
          <w:rFonts w:hint="eastAsia" w:ascii="黑体" w:hAnsi="宋体" w:eastAsia="黑体" w:cs="黑体"/>
          <w:i w:val="0"/>
          <w:iCs w:val="0"/>
          <w:color w:val="auto"/>
          <w:kern w:val="0"/>
          <w:sz w:val="28"/>
          <w:szCs w:val="28"/>
          <w:highlight w:val="none"/>
          <w:u w:val="none"/>
          <w:lang w:val="en-US" w:eastAsia="zh-CN" w:bidi="ar"/>
        </w:rPr>
        <w:t>绩效评价佐证材料清单</w:t>
      </w:r>
    </w:p>
    <w:tbl>
      <w:tblPr>
        <w:tblStyle w:val="16"/>
        <w:tblW w:w="9510" w:type="dxa"/>
        <w:tblInd w:w="-37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68"/>
        <w:gridCol w:w="847"/>
        <w:gridCol w:w="7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blHeader/>
        </w:trPr>
        <w:tc>
          <w:tcPr>
            <w:tcW w:w="8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类别</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材料编号</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auto"/>
                <w:sz w:val="22"/>
                <w:szCs w:val="22"/>
                <w:highlight w:val="none"/>
                <w:u w:val="none"/>
              </w:rPr>
            </w:pPr>
            <w:r>
              <w:rPr>
                <w:rFonts w:hint="eastAsia" w:ascii="仿宋_GB2312" w:hAnsi="仿宋_GB2312" w:eastAsia="仿宋_GB2312" w:cs="仿宋_GB2312"/>
                <w:b/>
                <w:bCs/>
                <w:i w:val="0"/>
                <w:iCs w:val="0"/>
                <w:color w:val="auto"/>
                <w:kern w:val="0"/>
                <w:sz w:val="22"/>
                <w:szCs w:val="22"/>
                <w:highlight w:val="none"/>
                <w:u w:val="none"/>
                <w:lang w:val="en-US" w:eastAsia="zh-CN" w:bidi="ar"/>
              </w:rPr>
              <w:t>佐证材料名称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过程</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关于印发《广东省住房和城乡建设厅预算绩效管理办法》的通知（粤建计〔2019〕228号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1-2</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《广东省财政厅关于印发广东省省级财政资金“双监控”管理暂行办法的通知》（粤财监〔2020〕33号）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1-3</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《广东省财政厅 广东省住房和城乡建设厅关于印发广东省住房和城乡建设领域专项资金管理办法的通知》（粤财建〔2021〕6号）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1-4</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《广东省财政厅关于做好2024年省级财政资金项目入库储备工作的通知》（粤财预〔2023〕30号）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1-5</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广东省住房和城乡建设厅关于报送2023年省级专项资金和2022年追加安排省级专项资金预算申报资料的函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1-6</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广东省住房和城乡建设厅关于提前下达2023年主管专项资金（城镇燃气安全隐患排查治理项目）任务清单的通知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1-7</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《广东省住房和城乡建设厅关于2023年省级专项资金目录清单和主管省级财政资金分配方案、绩效目标的公示》（粤建公示〔2022〕29号）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1-8</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《关于印发城市燃气管道老化评估工作指南的通知》（粤办城函〔2022〕225号）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1-9</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《国务院办公厅关于印发城市燃气管道等老化更新改造实施方案（2022-2025年）的通知》（国办发〔2022〕22号）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1-10</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《住房和城乡建设部关于加强城市地下市政基础设施建设的指导意见》（建城〔2020〕111号）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1-11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《广东省建设项目安全设施监督管理办法》（广东省人民政府令第147号）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产出</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2023年城市管理与地下基础设施建设更新改造项目任务完成情况汇总表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效益</w:t>
            </w: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2023年城市管理与地下基础设施建设更新改造项目任务完成情况汇总表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868"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3-2</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有关2023年城市管理与地下基础设施建设更新改造专项资金项目受到上级部门表彰或者媒体报道等材料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自评材料</w:t>
            </w: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汕头市2023年城市管理与地下基础设施建设更新改造专项资金绩效评价材料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4-2</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韶关市2023年城市管理与地下基础设施建设更新改造专项资金绩效评价材料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4-3</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河源市2023年城市管理与地下基础设施建设更新改造专项资金绩效评价材料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4-4</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梅州市2023年城市管理与地下基础设施建设更新改造专项资金绩效评价材料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4-5</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惠州市2023年城市管理与地下基础设施建设更新改造专项资金绩效评价材料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4-6</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汕尾市2023年城市管理与地下基础设施建设更新改造专项资金绩效评价材料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4-7</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江门市2023年城市管理与地下基础设施建设更新改造专项资金绩效评价材料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4-8</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阳江市2023年城市管理与地下基础设施建设更新改造专项资金绩效评价材料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4-9</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湛江市2023年城市管理与地下基础设施建设更新改造专项资金绩效评价材料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4-10</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茂名市2023年城市管理与地下基础设施建设更新改造专项资金绩效评价材料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4-11</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肇庆市2023年城市管理与地下基础设施建设更新改造专项资金绩效评价材料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4-12</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清远市2023年城市管理与地下基础设施建设更新改造专项资金绩效评价材料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4-13</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潮州市2023年城市管理与地下基础设施建设更新改造专项资金绩效评价材料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4-14</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揭阳市2023年城市管理与地下基础设施建设更新改造专项资金绩效评价材料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4-15</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云浮市2023年城市管理与地下基础设施建设更新改造专项资金绩效评价材料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auto"/>
                <w:sz w:val="22"/>
                <w:szCs w:val="22"/>
                <w:highlight w:val="none"/>
                <w:u w:val="none"/>
              </w:rPr>
            </w:pPr>
          </w:p>
        </w:tc>
        <w:tc>
          <w:tcPr>
            <w:tcW w:w="847"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4-16</w:t>
            </w:r>
          </w:p>
        </w:tc>
        <w:tc>
          <w:tcPr>
            <w:tcW w:w="7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sz w:val="22"/>
                <w:szCs w:val="22"/>
                <w:highlight w:val="none"/>
                <w:u w:val="none"/>
              </w:rPr>
            </w:pPr>
            <w:r>
              <w:rPr>
                <w:rFonts w:hint="eastAsia" w:ascii="仿宋_GB2312" w:hAnsi="仿宋_GB2312" w:eastAsia="仿宋_GB2312" w:cs="仿宋_GB2312"/>
                <w:i w:val="0"/>
                <w:iCs w:val="0"/>
                <w:color w:val="auto"/>
                <w:kern w:val="0"/>
                <w:sz w:val="22"/>
                <w:szCs w:val="22"/>
                <w:highlight w:val="none"/>
                <w:u w:val="none"/>
                <w:lang w:val="en-US" w:eastAsia="zh-CN" w:bidi="ar"/>
              </w:rPr>
              <w:t>省本级2023年城市管理与地下基础设施建设更新改造专项资金绩效评价材料</w:t>
            </w:r>
          </w:p>
        </w:tc>
      </w:tr>
    </w:tbl>
    <w:p>
      <w:pPr>
        <w:pStyle w:val="2"/>
        <w:ind w:left="0" w:leftChars="0" w:firstLine="0" w:firstLineChars="0"/>
        <w:rPr>
          <w:color w:val="auto"/>
          <w:highlight w:val="none"/>
        </w:rPr>
      </w:pPr>
    </w:p>
    <w:sectPr>
      <w:footerReference r:id="rId6" w:type="default"/>
      <w:pgSz w:w="11906" w:h="16838"/>
      <w:pgMar w:top="2041" w:right="1417" w:bottom="1417" w:left="1531" w:header="851" w:footer="992"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9"/>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- 14 -</w:t>
                    </w:r>
                    <w:r>
                      <w:rPr>
                        <w:rFonts w:hint="eastAsia" w:ascii="仿宋_GB2312" w:hAnsi="仿宋_GB2312" w:eastAsia="仿宋_GB2312" w:cs="仿宋_GB2312"/>
                        <w:sz w:val="28"/>
                        <w:szCs w:val="28"/>
                      </w:rPr>
                      <w:fldChar w:fldCharType="end"/>
                    </w:r>
                  </w:p>
                </w:txbxContent>
              </v:textbox>
            </v:shape>
          </w:pict>
        </mc:Fallback>
      </mc:AlternateContent>
    </w: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szj">
    <w15:presenceInfo w15:providerId="None" w15:userId="szj"/>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kYTAzNDIwZjQ5NmFmOWNhODI5NDZhYTdiODg0ODMifQ=="/>
  </w:docVars>
  <w:rsids>
    <w:rsidRoot w:val="681468C3"/>
    <w:rsid w:val="004479E5"/>
    <w:rsid w:val="005C5381"/>
    <w:rsid w:val="006134B6"/>
    <w:rsid w:val="008E2CA8"/>
    <w:rsid w:val="008E754C"/>
    <w:rsid w:val="00AE75BD"/>
    <w:rsid w:val="00ED6AE5"/>
    <w:rsid w:val="01121891"/>
    <w:rsid w:val="0124642E"/>
    <w:rsid w:val="016C71F3"/>
    <w:rsid w:val="01761E20"/>
    <w:rsid w:val="017716F4"/>
    <w:rsid w:val="018B1DB6"/>
    <w:rsid w:val="019329D2"/>
    <w:rsid w:val="01934780"/>
    <w:rsid w:val="01A56261"/>
    <w:rsid w:val="01B4653F"/>
    <w:rsid w:val="01D45D8F"/>
    <w:rsid w:val="022926DD"/>
    <w:rsid w:val="0236335D"/>
    <w:rsid w:val="02467A44"/>
    <w:rsid w:val="027A7126"/>
    <w:rsid w:val="029F0F02"/>
    <w:rsid w:val="030226DD"/>
    <w:rsid w:val="03196F07"/>
    <w:rsid w:val="035B3849"/>
    <w:rsid w:val="036B7036"/>
    <w:rsid w:val="037B2E44"/>
    <w:rsid w:val="03AA7B5F"/>
    <w:rsid w:val="03B419A4"/>
    <w:rsid w:val="03DE5572"/>
    <w:rsid w:val="0425296F"/>
    <w:rsid w:val="04350C20"/>
    <w:rsid w:val="04700DA8"/>
    <w:rsid w:val="04967279"/>
    <w:rsid w:val="04D31337"/>
    <w:rsid w:val="04FF3EDA"/>
    <w:rsid w:val="050B0AD1"/>
    <w:rsid w:val="05171224"/>
    <w:rsid w:val="051F4905"/>
    <w:rsid w:val="05404A40"/>
    <w:rsid w:val="057228FE"/>
    <w:rsid w:val="05860158"/>
    <w:rsid w:val="058F03FE"/>
    <w:rsid w:val="05D95FD0"/>
    <w:rsid w:val="05DF181A"/>
    <w:rsid w:val="05EA6938"/>
    <w:rsid w:val="060E0879"/>
    <w:rsid w:val="061915D1"/>
    <w:rsid w:val="063333D3"/>
    <w:rsid w:val="06557C1B"/>
    <w:rsid w:val="06F75296"/>
    <w:rsid w:val="078057A6"/>
    <w:rsid w:val="07C66F31"/>
    <w:rsid w:val="0800698A"/>
    <w:rsid w:val="08206641"/>
    <w:rsid w:val="08236132"/>
    <w:rsid w:val="08680DB1"/>
    <w:rsid w:val="08BF40AC"/>
    <w:rsid w:val="08D147DE"/>
    <w:rsid w:val="08DC2356"/>
    <w:rsid w:val="08FB2C0B"/>
    <w:rsid w:val="091C14FF"/>
    <w:rsid w:val="091E02F3"/>
    <w:rsid w:val="09426111"/>
    <w:rsid w:val="09992B4F"/>
    <w:rsid w:val="0A0E1A16"/>
    <w:rsid w:val="0A2B5951"/>
    <w:rsid w:val="0A4D7496"/>
    <w:rsid w:val="0ABD461B"/>
    <w:rsid w:val="0AE42B47"/>
    <w:rsid w:val="0B815649"/>
    <w:rsid w:val="0BC96FF0"/>
    <w:rsid w:val="0BD0037E"/>
    <w:rsid w:val="0C336F3C"/>
    <w:rsid w:val="0C547201"/>
    <w:rsid w:val="0C7173AF"/>
    <w:rsid w:val="0D906017"/>
    <w:rsid w:val="0DAD0977"/>
    <w:rsid w:val="0DC774CD"/>
    <w:rsid w:val="0DDC6B7D"/>
    <w:rsid w:val="0E3F1AD3"/>
    <w:rsid w:val="0EB421D9"/>
    <w:rsid w:val="0EB775D4"/>
    <w:rsid w:val="0EC73CBB"/>
    <w:rsid w:val="0ECB1AC7"/>
    <w:rsid w:val="0EE02FCE"/>
    <w:rsid w:val="0FAE7221"/>
    <w:rsid w:val="0FDC19E8"/>
    <w:rsid w:val="101F366E"/>
    <w:rsid w:val="10A1087B"/>
    <w:rsid w:val="10CF3F1B"/>
    <w:rsid w:val="11A64879"/>
    <w:rsid w:val="11BB562D"/>
    <w:rsid w:val="11D0732A"/>
    <w:rsid w:val="11D64A53"/>
    <w:rsid w:val="11FA43A7"/>
    <w:rsid w:val="11FF376C"/>
    <w:rsid w:val="121E0096"/>
    <w:rsid w:val="12241424"/>
    <w:rsid w:val="12435D4E"/>
    <w:rsid w:val="1283723D"/>
    <w:rsid w:val="12C02EFB"/>
    <w:rsid w:val="12C04053"/>
    <w:rsid w:val="12D8503F"/>
    <w:rsid w:val="13655850"/>
    <w:rsid w:val="139879D4"/>
    <w:rsid w:val="13A7492B"/>
    <w:rsid w:val="13CE5AEB"/>
    <w:rsid w:val="140B464A"/>
    <w:rsid w:val="1464400D"/>
    <w:rsid w:val="1488058A"/>
    <w:rsid w:val="14A5190A"/>
    <w:rsid w:val="14E135FC"/>
    <w:rsid w:val="14F1386F"/>
    <w:rsid w:val="15172003"/>
    <w:rsid w:val="15364D61"/>
    <w:rsid w:val="15420DEB"/>
    <w:rsid w:val="15512530"/>
    <w:rsid w:val="16175FA2"/>
    <w:rsid w:val="164B60D1"/>
    <w:rsid w:val="164E5B17"/>
    <w:rsid w:val="16695657"/>
    <w:rsid w:val="16862938"/>
    <w:rsid w:val="16B03286"/>
    <w:rsid w:val="16DE7DF3"/>
    <w:rsid w:val="16F70EB5"/>
    <w:rsid w:val="170F4451"/>
    <w:rsid w:val="171E2FCA"/>
    <w:rsid w:val="17A37AD2"/>
    <w:rsid w:val="17AA5F28"/>
    <w:rsid w:val="180521F1"/>
    <w:rsid w:val="18196C8E"/>
    <w:rsid w:val="18502F73"/>
    <w:rsid w:val="187D2DDF"/>
    <w:rsid w:val="18952734"/>
    <w:rsid w:val="18E611E1"/>
    <w:rsid w:val="19265A82"/>
    <w:rsid w:val="19662322"/>
    <w:rsid w:val="19686F78"/>
    <w:rsid w:val="19B0368B"/>
    <w:rsid w:val="19C21C4E"/>
    <w:rsid w:val="19C3763A"/>
    <w:rsid w:val="19F416DC"/>
    <w:rsid w:val="1A4E703E"/>
    <w:rsid w:val="1AC6590F"/>
    <w:rsid w:val="1AF04599"/>
    <w:rsid w:val="1B1F1C14"/>
    <w:rsid w:val="1B544B28"/>
    <w:rsid w:val="1B7072E7"/>
    <w:rsid w:val="1B8A054A"/>
    <w:rsid w:val="1BFD6F6E"/>
    <w:rsid w:val="1C201A78"/>
    <w:rsid w:val="1C520CBC"/>
    <w:rsid w:val="1CD14C05"/>
    <w:rsid w:val="1D1125A5"/>
    <w:rsid w:val="1D3570F8"/>
    <w:rsid w:val="1D5B72C3"/>
    <w:rsid w:val="1DAC2A21"/>
    <w:rsid w:val="1E17696B"/>
    <w:rsid w:val="1E892D3B"/>
    <w:rsid w:val="1E981B69"/>
    <w:rsid w:val="1EB37DB8"/>
    <w:rsid w:val="1EB458DE"/>
    <w:rsid w:val="1ED1023E"/>
    <w:rsid w:val="1ED35241"/>
    <w:rsid w:val="1F72557D"/>
    <w:rsid w:val="1FAA740D"/>
    <w:rsid w:val="1FB940A2"/>
    <w:rsid w:val="200872A5"/>
    <w:rsid w:val="203B76CF"/>
    <w:rsid w:val="2074194C"/>
    <w:rsid w:val="20BB7250"/>
    <w:rsid w:val="20E7310B"/>
    <w:rsid w:val="210406C9"/>
    <w:rsid w:val="21486680"/>
    <w:rsid w:val="21FA36AB"/>
    <w:rsid w:val="220628F4"/>
    <w:rsid w:val="22244596"/>
    <w:rsid w:val="22315DA8"/>
    <w:rsid w:val="2265586D"/>
    <w:rsid w:val="228F6446"/>
    <w:rsid w:val="22B941F6"/>
    <w:rsid w:val="22BC263E"/>
    <w:rsid w:val="22F14704"/>
    <w:rsid w:val="23023945"/>
    <w:rsid w:val="230A1F70"/>
    <w:rsid w:val="23230F61"/>
    <w:rsid w:val="23377209"/>
    <w:rsid w:val="233A5CB2"/>
    <w:rsid w:val="233D0598"/>
    <w:rsid w:val="23476D20"/>
    <w:rsid w:val="239619B6"/>
    <w:rsid w:val="239F4588"/>
    <w:rsid w:val="240849CC"/>
    <w:rsid w:val="243B7E13"/>
    <w:rsid w:val="245E2574"/>
    <w:rsid w:val="24D32F62"/>
    <w:rsid w:val="25457290"/>
    <w:rsid w:val="2556149D"/>
    <w:rsid w:val="25B3069D"/>
    <w:rsid w:val="25B34361"/>
    <w:rsid w:val="25D53053"/>
    <w:rsid w:val="25E775D7"/>
    <w:rsid w:val="25EE662D"/>
    <w:rsid w:val="260F621B"/>
    <w:rsid w:val="26217CFD"/>
    <w:rsid w:val="265136CC"/>
    <w:rsid w:val="268B161A"/>
    <w:rsid w:val="268E5543"/>
    <w:rsid w:val="26B97F35"/>
    <w:rsid w:val="26BD5C77"/>
    <w:rsid w:val="26EA17F2"/>
    <w:rsid w:val="277166D1"/>
    <w:rsid w:val="277245D8"/>
    <w:rsid w:val="27893DAB"/>
    <w:rsid w:val="279544FE"/>
    <w:rsid w:val="27B23302"/>
    <w:rsid w:val="27B846FB"/>
    <w:rsid w:val="27D557F7"/>
    <w:rsid w:val="284952E9"/>
    <w:rsid w:val="284F6DA3"/>
    <w:rsid w:val="28506B6D"/>
    <w:rsid w:val="28553C8E"/>
    <w:rsid w:val="28AA0E85"/>
    <w:rsid w:val="28AD3976"/>
    <w:rsid w:val="28C62A16"/>
    <w:rsid w:val="28CB3F50"/>
    <w:rsid w:val="28F82590"/>
    <w:rsid w:val="29542197"/>
    <w:rsid w:val="29567CBD"/>
    <w:rsid w:val="298511FB"/>
    <w:rsid w:val="29A31B26"/>
    <w:rsid w:val="2A4178F3"/>
    <w:rsid w:val="2A64465C"/>
    <w:rsid w:val="2A8E3487"/>
    <w:rsid w:val="2AAB5DE7"/>
    <w:rsid w:val="2AF245F3"/>
    <w:rsid w:val="2B312790"/>
    <w:rsid w:val="2B45448D"/>
    <w:rsid w:val="2BB02055"/>
    <w:rsid w:val="2BD72DBF"/>
    <w:rsid w:val="2C464019"/>
    <w:rsid w:val="2C5223C6"/>
    <w:rsid w:val="2C5F4D0D"/>
    <w:rsid w:val="2C7238E1"/>
    <w:rsid w:val="2C7E7560"/>
    <w:rsid w:val="2D7B7BE2"/>
    <w:rsid w:val="2DD13DB6"/>
    <w:rsid w:val="2DD44654"/>
    <w:rsid w:val="2DF81343"/>
    <w:rsid w:val="2E0D38A9"/>
    <w:rsid w:val="2E140F22"/>
    <w:rsid w:val="2E556795"/>
    <w:rsid w:val="2E6A5E0B"/>
    <w:rsid w:val="2EF32522"/>
    <w:rsid w:val="2F041E0C"/>
    <w:rsid w:val="2F0809EF"/>
    <w:rsid w:val="2FA23256"/>
    <w:rsid w:val="2FAB1263"/>
    <w:rsid w:val="2FBD326C"/>
    <w:rsid w:val="2FC11C09"/>
    <w:rsid w:val="30241C05"/>
    <w:rsid w:val="30275F10"/>
    <w:rsid w:val="307C6F96"/>
    <w:rsid w:val="307F5D4C"/>
    <w:rsid w:val="309621BB"/>
    <w:rsid w:val="30A63E63"/>
    <w:rsid w:val="311B481E"/>
    <w:rsid w:val="314814EC"/>
    <w:rsid w:val="31723B02"/>
    <w:rsid w:val="31841150"/>
    <w:rsid w:val="318667A4"/>
    <w:rsid w:val="31B56C44"/>
    <w:rsid w:val="31B859B9"/>
    <w:rsid w:val="31C162E6"/>
    <w:rsid w:val="31E50C02"/>
    <w:rsid w:val="31EA698A"/>
    <w:rsid w:val="31EB0FFF"/>
    <w:rsid w:val="31F97D80"/>
    <w:rsid w:val="3209028E"/>
    <w:rsid w:val="325219B1"/>
    <w:rsid w:val="32582CF8"/>
    <w:rsid w:val="32604069"/>
    <w:rsid w:val="327613D0"/>
    <w:rsid w:val="328F5FEE"/>
    <w:rsid w:val="32AB72CC"/>
    <w:rsid w:val="336D27D3"/>
    <w:rsid w:val="33CA79EA"/>
    <w:rsid w:val="340D0E15"/>
    <w:rsid w:val="347A2C24"/>
    <w:rsid w:val="348A4A6E"/>
    <w:rsid w:val="34CC52D7"/>
    <w:rsid w:val="35135300"/>
    <w:rsid w:val="3557388E"/>
    <w:rsid w:val="356E40ED"/>
    <w:rsid w:val="360F7B72"/>
    <w:rsid w:val="361231BE"/>
    <w:rsid w:val="36745C27"/>
    <w:rsid w:val="36AC7EA3"/>
    <w:rsid w:val="36E36908"/>
    <w:rsid w:val="370945C1"/>
    <w:rsid w:val="371270B0"/>
    <w:rsid w:val="372477CD"/>
    <w:rsid w:val="37347601"/>
    <w:rsid w:val="37931D11"/>
    <w:rsid w:val="37BA6DB4"/>
    <w:rsid w:val="37F214F9"/>
    <w:rsid w:val="381511B1"/>
    <w:rsid w:val="38402264"/>
    <w:rsid w:val="38763ED8"/>
    <w:rsid w:val="38A83918"/>
    <w:rsid w:val="38EE59B4"/>
    <w:rsid w:val="38F6277A"/>
    <w:rsid w:val="38FD63A7"/>
    <w:rsid w:val="39253208"/>
    <w:rsid w:val="393E0ED7"/>
    <w:rsid w:val="3963623B"/>
    <w:rsid w:val="39737207"/>
    <w:rsid w:val="39810D86"/>
    <w:rsid w:val="39BF540B"/>
    <w:rsid w:val="39D10AA3"/>
    <w:rsid w:val="3A2841BD"/>
    <w:rsid w:val="3A3A1250"/>
    <w:rsid w:val="3A4E0F93"/>
    <w:rsid w:val="3A547980"/>
    <w:rsid w:val="3A5B3385"/>
    <w:rsid w:val="3B1F2605"/>
    <w:rsid w:val="3B7566C9"/>
    <w:rsid w:val="3BE251FF"/>
    <w:rsid w:val="3BFF26C5"/>
    <w:rsid w:val="3C287AFC"/>
    <w:rsid w:val="3C5E484F"/>
    <w:rsid w:val="3C6669DF"/>
    <w:rsid w:val="3CE02DDD"/>
    <w:rsid w:val="3CE04016"/>
    <w:rsid w:val="3CE53E40"/>
    <w:rsid w:val="3CF5326E"/>
    <w:rsid w:val="3D17730C"/>
    <w:rsid w:val="3D1D223A"/>
    <w:rsid w:val="3D5C7CE9"/>
    <w:rsid w:val="3D623944"/>
    <w:rsid w:val="3D6C7658"/>
    <w:rsid w:val="3D7725E5"/>
    <w:rsid w:val="3D9A7390"/>
    <w:rsid w:val="3DCC00F6"/>
    <w:rsid w:val="3DDC2A2F"/>
    <w:rsid w:val="3EE768AB"/>
    <w:rsid w:val="3F1D32FF"/>
    <w:rsid w:val="3F77401E"/>
    <w:rsid w:val="3F906814"/>
    <w:rsid w:val="3FD17C46"/>
    <w:rsid w:val="3FD905A6"/>
    <w:rsid w:val="3FF95F26"/>
    <w:rsid w:val="400159AA"/>
    <w:rsid w:val="40786454"/>
    <w:rsid w:val="409A2B84"/>
    <w:rsid w:val="409C64A6"/>
    <w:rsid w:val="40B67886"/>
    <w:rsid w:val="4110479E"/>
    <w:rsid w:val="41270465"/>
    <w:rsid w:val="41444A91"/>
    <w:rsid w:val="4186614D"/>
    <w:rsid w:val="41F1637D"/>
    <w:rsid w:val="425A6618"/>
    <w:rsid w:val="427F607F"/>
    <w:rsid w:val="42892A5A"/>
    <w:rsid w:val="42982C9D"/>
    <w:rsid w:val="42FC76D0"/>
    <w:rsid w:val="441D7456"/>
    <w:rsid w:val="44206890"/>
    <w:rsid w:val="443417CC"/>
    <w:rsid w:val="447F2366"/>
    <w:rsid w:val="44A17338"/>
    <w:rsid w:val="44B31C25"/>
    <w:rsid w:val="44C71617"/>
    <w:rsid w:val="44CE0BF8"/>
    <w:rsid w:val="44E328F5"/>
    <w:rsid w:val="44FD449E"/>
    <w:rsid w:val="457D2F30"/>
    <w:rsid w:val="458614D2"/>
    <w:rsid w:val="46201B5C"/>
    <w:rsid w:val="46296015"/>
    <w:rsid w:val="465B1773"/>
    <w:rsid w:val="46875502"/>
    <w:rsid w:val="46A2233C"/>
    <w:rsid w:val="46F6376A"/>
    <w:rsid w:val="47121270"/>
    <w:rsid w:val="471B43E6"/>
    <w:rsid w:val="47596E9F"/>
    <w:rsid w:val="47933364"/>
    <w:rsid w:val="479E0D55"/>
    <w:rsid w:val="47B265AF"/>
    <w:rsid w:val="47D600F2"/>
    <w:rsid w:val="47DE75A5"/>
    <w:rsid w:val="47E8135C"/>
    <w:rsid w:val="47EF15B1"/>
    <w:rsid w:val="47FA046C"/>
    <w:rsid w:val="484C6A03"/>
    <w:rsid w:val="48934632"/>
    <w:rsid w:val="48F30C2D"/>
    <w:rsid w:val="48F54290"/>
    <w:rsid w:val="48FC3369"/>
    <w:rsid w:val="490D6D04"/>
    <w:rsid w:val="49311755"/>
    <w:rsid w:val="49325406"/>
    <w:rsid w:val="493556E9"/>
    <w:rsid w:val="49482B1B"/>
    <w:rsid w:val="4997291C"/>
    <w:rsid w:val="499A554C"/>
    <w:rsid w:val="4A036054"/>
    <w:rsid w:val="4A225BAC"/>
    <w:rsid w:val="4A280DFA"/>
    <w:rsid w:val="4A791F0B"/>
    <w:rsid w:val="4B166E55"/>
    <w:rsid w:val="4B757667"/>
    <w:rsid w:val="4B780FCB"/>
    <w:rsid w:val="4C102B53"/>
    <w:rsid w:val="4C40062D"/>
    <w:rsid w:val="4D007DBC"/>
    <w:rsid w:val="4D610CE0"/>
    <w:rsid w:val="4D9F75D5"/>
    <w:rsid w:val="4DC36FD1"/>
    <w:rsid w:val="4DCA28A4"/>
    <w:rsid w:val="4DD0778F"/>
    <w:rsid w:val="4DDF7A30"/>
    <w:rsid w:val="4DE01EE2"/>
    <w:rsid w:val="4DEB6377"/>
    <w:rsid w:val="4E4E2408"/>
    <w:rsid w:val="4E54518A"/>
    <w:rsid w:val="4EC310A1"/>
    <w:rsid w:val="4EE6767D"/>
    <w:rsid w:val="4EEA4880"/>
    <w:rsid w:val="4F0B3CA6"/>
    <w:rsid w:val="4F111E0D"/>
    <w:rsid w:val="4F7968DA"/>
    <w:rsid w:val="4FE6773D"/>
    <w:rsid w:val="501E6ED7"/>
    <w:rsid w:val="505D3797"/>
    <w:rsid w:val="5082112D"/>
    <w:rsid w:val="50A76ECD"/>
    <w:rsid w:val="50F96FFC"/>
    <w:rsid w:val="5113033F"/>
    <w:rsid w:val="511932BC"/>
    <w:rsid w:val="51A11B6E"/>
    <w:rsid w:val="51D11D27"/>
    <w:rsid w:val="51EE4687"/>
    <w:rsid w:val="51F53C68"/>
    <w:rsid w:val="5217598C"/>
    <w:rsid w:val="5225038E"/>
    <w:rsid w:val="524F602A"/>
    <w:rsid w:val="525D3709"/>
    <w:rsid w:val="526E1706"/>
    <w:rsid w:val="528079D5"/>
    <w:rsid w:val="52A66D10"/>
    <w:rsid w:val="52B8297E"/>
    <w:rsid w:val="52C5363A"/>
    <w:rsid w:val="52CC2C1B"/>
    <w:rsid w:val="52E87329"/>
    <w:rsid w:val="53422EDD"/>
    <w:rsid w:val="537B63EF"/>
    <w:rsid w:val="538C23AA"/>
    <w:rsid w:val="53C5766A"/>
    <w:rsid w:val="53E53868"/>
    <w:rsid w:val="540E6587"/>
    <w:rsid w:val="541E484C"/>
    <w:rsid w:val="543F7950"/>
    <w:rsid w:val="544463AA"/>
    <w:rsid w:val="54E104D3"/>
    <w:rsid w:val="550329F3"/>
    <w:rsid w:val="555B484E"/>
    <w:rsid w:val="5560764A"/>
    <w:rsid w:val="558C48E3"/>
    <w:rsid w:val="55EF5E91"/>
    <w:rsid w:val="56024E9F"/>
    <w:rsid w:val="561F12B3"/>
    <w:rsid w:val="565A678F"/>
    <w:rsid w:val="566E6115"/>
    <w:rsid w:val="56A812A9"/>
    <w:rsid w:val="56C02A96"/>
    <w:rsid w:val="56CB143B"/>
    <w:rsid w:val="570C5CDB"/>
    <w:rsid w:val="573B036F"/>
    <w:rsid w:val="57691814"/>
    <w:rsid w:val="57A001D2"/>
    <w:rsid w:val="57AA1051"/>
    <w:rsid w:val="57C32112"/>
    <w:rsid w:val="57E8209D"/>
    <w:rsid w:val="58647451"/>
    <w:rsid w:val="589046EA"/>
    <w:rsid w:val="58A53B18"/>
    <w:rsid w:val="58C93354"/>
    <w:rsid w:val="58ED38EB"/>
    <w:rsid w:val="592301D4"/>
    <w:rsid w:val="5A473648"/>
    <w:rsid w:val="5A9D6C4B"/>
    <w:rsid w:val="5AD703AE"/>
    <w:rsid w:val="5AF26F96"/>
    <w:rsid w:val="5B2A2BD4"/>
    <w:rsid w:val="5B4A1435"/>
    <w:rsid w:val="5B564AA5"/>
    <w:rsid w:val="5BBC0880"/>
    <w:rsid w:val="5BC56459"/>
    <w:rsid w:val="5BC66BAE"/>
    <w:rsid w:val="5BDB7A2A"/>
    <w:rsid w:val="5C270EC2"/>
    <w:rsid w:val="5C3A6E47"/>
    <w:rsid w:val="5C593B60"/>
    <w:rsid w:val="5C6739B4"/>
    <w:rsid w:val="5CBC2B81"/>
    <w:rsid w:val="5CDF79EE"/>
    <w:rsid w:val="5D3C6BEF"/>
    <w:rsid w:val="5D63417B"/>
    <w:rsid w:val="5D6637F5"/>
    <w:rsid w:val="5D6972B8"/>
    <w:rsid w:val="5DA06132"/>
    <w:rsid w:val="5DA31058"/>
    <w:rsid w:val="5DAE2BA3"/>
    <w:rsid w:val="5DAE5F3C"/>
    <w:rsid w:val="5DC34C1A"/>
    <w:rsid w:val="5DCF1811"/>
    <w:rsid w:val="5DD94F09"/>
    <w:rsid w:val="5E154EEA"/>
    <w:rsid w:val="5E582369"/>
    <w:rsid w:val="5E785A05"/>
    <w:rsid w:val="5E806C04"/>
    <w:rsid w:val="5E916AC6"/>
    <w:rsid w:val="5F5C357A"/>
    <w:rsid w:val="5F8D1984"/>
    <w:rsid w:val="5F9B6D02"/>
    <w:rsid w:val="5FAA5441"/>
    <w:rsid w:val="5FF05A6E"/>
    <w:rsid w:val="600F0792"/>
    <w:rsid w:val="60231A25"/>
    <w:rsid w:val="605E745D"/>
    <w:rsid w:val="60997EB4"/>
    <w:rsid w:val="6109328C"/>
    <w:rsid w:val="613471D6"/>
    <w:rsid w:val="61442516"/>
    <w:rsid w:val="61486A94"/>
    <w:rsid w:val="617A0662"/>
    <w:rsid w:val="627D5CDF"/>
    <w:rsid w:val="628030DA"/>
    <w:rsid w:val="62B97655"/>
    <w:rsid w:val="62F6309B"/>
    <w:rsid w:val="62F749BC"/>
    <w:rsid w:val="62FB09B2"/>
    <w:rsid w:val="63387E58"/>
    <w:rsid w:val="63497970"/>
    <w:rsid w:val="636F4ADC"/>
    <w:rsid w:val="637D586B"/>
    <w:rsid w:val="639D7CBB"/>
    <w:rsid w:val="63E06904"/>
    <w:rsid w:val="63FF30BA"/>
    <w:rsid w:val="64191C5A"/>
    <w:rsid w:val="642B52C7"/>
    <w:rsid w:val="64373C6C"/>
    <w:rsid w:val="64D92F75"/>
    <w:rsid w:val="64DB4F3F"/>
    <w:rsid w:val="651D0FA7"/>
    <w:rsid w:val="65426D6C"/>
    <w:rsid w:val="657F58CB"/>
    <w:rsid w:val="65982A27"/>
    <w:rsid w:val="6611613F"/>
    <w:rsid w:val="66415FBF"/>
    <w:rsid w:val="666176C6"/>
    <w:rsid w:val="66652D12"/>
    <w:rsid w:val="66B956B4"/>
    <w:rsid w:val="66C739CD"/>
    <w:rsid w:val="66FC2F4B"/>
    <w:rsid w:val="671C5B08"/>
    <w:rsid w:val="673B3A73"/>
    <w:rsid w:val="6753700F"/>
    <w:rsid w:val="676E209B"/>
    <w:rsid w:val="67BC772F"/>
    <w:rsid w:val="67CD5013"/>
    <w:rsid w:val="67E81E4D"/>
    <w:rsid w:val="681468C3"/>
    <w:rsid w:val="68152516"/>
    <w:rsid w:val="682664D1"/>
    <w:rsid w:val="68580A7D"/>
    <w:rsid w:val="69303AFB"/>
    <w:rsid w:val="69847953"/>
    <w:rsid w:val="699D2360"/>
    <w:rsid w:val="699F5719"/>
    <w:rsid w:val="69DF2DDC"/>
    <w:rsid w:val="69E16649"/>
    <w:rsid w:val="69E44DCD"/>
    <w:rsid w:val="6A1F767C"/>
    <w:rsid w:val="6A3C2E57"/>
    <w:rsid w:val="6A4D58B0"/>
    <w:rsid w:val="6A4E3ABD"/>
    <w:rsid w:val="6A835E5D"/>
    <w:rsid w:val="6AE85CC0"/>
    <w:rsid w:val="6B00125C"/>
    <w:rsid w:val="6B981494"/>
    <w:rsid w:val="6B9C3AE5"/>
    <w:rsid w:val="6BBA58AE"/>
    <w:rsid w:val="6C3870FA"/>
    <w:rsid w:val="6CBF5146"/>
    <w:rsid w:val="6CD0141F"/>
    <w:rsid w:val="6CD1267D"/>
    <w:rsid w:val="6CE35B1A"/>
    <w:rsid w:val="6CFC5A53"/>
    <w:rsid w:val="6D056FFD"/>
    <w:rsid w:val="6D2E17C1"/>
    <w:rsid w:val="6D537545"/>
    <w:rsid w:val="6D615124"/>
    <w:rsid w:val="6DB24D6B"/>
    <w:rsid w:val="6DCC18C9"/>
    <w:rsid w:val="6E83167E"/>
    <w:rsid w:val="6E977A01"/>
    <w:rsid w:val="6E9D4E0E"/>
    <w:rsid w:val="6E9D5013"/>
    <w:rsid w:val="6EA63EC8"/>
    <w:rsid w:val="6ECA57CB"/>
    <w:rsid w:val="6ED36C87"/>
    <w:rsid w:val="6EE44A17"/>
    <w:rsid w:val="6EEA46FD"/>
    <w:rsid w:val="6F4B268A"/>
    <w:rsid w:val="6F675D4D"/>
    <w:rsid w:val="70312E6C"/>
    <w:rsid w:val="705A3142"/>
    <w:rsid w:val="71CA611F"/>
    <w:rsid w:val="722642DD"/>
    <w:rsid w:val="722C7C94"/>
    <w:rsid w:val="72313FCD"/>
    <w:rsid w:val="724123E0"/>
    <w:rsid w:val="72453C4D"/>
    <w:rsid w:val="72A050D2"/>
    <w:rsid w:val="72AE082B"/>
    <w:rsid w:val="72BD3ED6"/>
    <w:rsid w:val="72CD18DF"/>
    <w:rsid w:val="72DA05E4"/>
    <w:rsid w:val="72F659E2"/>
    <w:rsid w:val="730438B3"/>
    <w:rsid w:val="73267CCD"/>
    <w:rsid w:val="737A5923"/>
    <w:rsid w:val="739369E5"/>
    <w:rsid w:val="739C0DFC"/>
    <w:rsid w:val="73A62BBC"/>
    <w:rsid w:val="73D239B1"/>
    <w:rsid w:val="73DB252D"/>
    <w:rsid w:val="73DB2866"/>
    <w:rsid w:val="73ED1CBE"/>
    <w:rsid w:val="73F955A5"/>
    <w:rsid w:val="744F5002"/>
    <w:rsid w:val="748C23D0"/>
    <w:rsid w:val="74906F6C"/>
    <w:rsid w:val="74914CC7"/>
    <w:rsid w:val="74AF7363"/>
    <w:rsid w:val="74F00593"/>
    <w:rsid w:val="75237804"/>
    <w:rsid w:val="754206C3"/>
    <w:rsid w:val="75502DDF"/>
    <w:rsid w:val="755D0D99"/>
    <w:rsid w:val="757C69CF"/>
    <w:rsid w:val="75874327"/>
    <w:rsid w:val="75986327"/>
    <w:rsid w:val="75AD6686"/>
    <w:rsid w:val="75DA6B4D"/>
    <w:rsid w:val="75DD4A5B"/>
    <w:rsid w:val="7625601A"/>
    <w:rsid w:val="76393874"/>
    <w:rsid w:val="765C7562"/>
    <w:rsid w:val="768F7791"/>
    <w:rsid w:val="774E334F"/>
    <w:rsid w:val="77BE04D4"/>
    <w:rsid w:val="77CC21EC"/>
    <w:rsid w:val="77D07238"/>
    <w:rsid w:val="781B5927"/>
    <w:rsid w:val="78A413DB"/>
    <w:rsid w:val="78B83176"/>
    <w:rsid w:val="78DD498A"/>
    <w:rsid w:val="79145048"/>
    <w:rsid w:val="79366578"/>
    <w:rsid w:val="794C7D62"/>
    <w:rsid w:val="797F1EE5"/>
    <w:rsid w:val="799C2A97"/>
    <w:rsid w:val="79FE28E9"/>
    <w:rsid w:val="7A862C70"/>
    <w:rsid w:val="7B195978"/>
    <w:rsid w:val="7B910E99"/>
    <w:rsid w:val="7B98728E"/>
    <w:rsid w:val="7C0108B5"/>
    <w:rsid w:val="7C3C7A60"/>
    <w:rsid w:val="7C5C02BC"/>
    <w:rsid w:val="7CCA3081"/>
    <w:rsid w:val="7D0F5381"/>
    <w:rsid w:val="7D2616E0"/>
    <w:rsid w:val="7D771B65"/>
    <w:rsid w:val="7DA737B9"/>
    <w:rsid w:val="7DDA320F"/>
    <w:rsid w:val="7E1C1815"/>
    <w:rsid w:val="7E4E00D8"/>
    <w:rsid w:val="7E9975A5"/>
    <w:rsid w:val="7EFB3DBC"/>
    <w:rsid w:val="7F1367CB"/>
    <w:rsid w:val="7F1430D0"/>
    <w:rsid w:val="7FB1308B"/>
    <w:rsid w:val="7FBFD05F"/>
    <w:rsid w:val="7FCC7507"/>
    <w:rsid w:val="FBF3A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keepNext/>
      <w:keepLines/>
      <w:spacing w:before="340" w:after="330" w:line="578" w:lineRule="auto"/>
      <w:outlineLvl w:val="0"/>
    </w:pPr>
    <w:rPr>
      <w:rFonts w:eastAsia="楷体_GB2312"/>
      <w:b/>
      <w:bCs/>
      <w:kern w:val="44"/>
      <w:sz w:val="32"/>
      <w:szCs w:val="44"/>
    </w:rPr>
  </w:style>
  <w:style w:type="paragraph" w:styleId="4">
    <w:name w:val="heading 3"/>
    <w:basedOn w:val="1"/>
    <w:next w:val="1"/>
    <w:unhideWhenUsed/>
    <w:qFormat/>
    <w:uiPriority w:val="9"/>
    <w:pPr>
      <w:spacing w:before="100" w:beforeAutospacing="1" w:after="100" w:afterAutospacing="1"/>
      <w:jc w:val="left"/>
      <w:outlineLvl w:val="2"/>
    </w:pPr>
    <w:rPr>
      <w:rFonts w:hint="eastAsia" w:ascii="宋体" w:hAnsi="宋体" w:eastAsia="宋体"/>
      <w:b/>
      <w:kern w:val="0"/>
      <w:sz w:val="27"/>
      <w:szCs w:val="27"/>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5">
    <w:name w:val="annotation text"/>
    <w:basedOn w:val="1"/>
    <w:link w:val="23"/>
    <w:qFormat/>
    <w:uiPriority w:val="0"/>
    <w:pPr>
      <w:jc w:val="left"/>
    </w:pPr>
  </w:style>
  <w:style w:type="paragraph" w:styleId="6">
    <w:name w:val="Body Text Indent"/>
    <w:basedOn w:val="1"/>
    <w:qFormat/>
    <w:uiPriority w:val="0"/>
    <w:pPr>
      <w:spacing w:line="560" w:lineRule="exact"/>
      <w:ind w:left="300"/>
    </w:pPr>
    <w:rPr>
      <w:rFonts w:ascii="Calibri" w:hAnsi="Calibri"/>
      <w:sz w:val="24"/>
      <w:szCs w:val="24"/>
    </w:rPr>
  </w:style>
  <w:style w:type="paragraph" w:styleId="7">
    <w:name w:val="Plain Text"/>
    <w:basedOn w:val="1"/>
    <w:next w:val="1"/>
    <w:qFormat/>
    <w:uiPriority w:val="99"/>
    <w:rPr>
      <w:rFonts w:ascii="等线" w:hAnsi="Courier New" w:eastAsia="等线" w:cs="Times New Roman"/>
      <w:szCs w:val="22"/>
    </w:rPr>
  </w:style>
  <w:style w:type="paragraph" w:styleId="8">
    <w:name w:val="Balloon Text"/>
    <w:basedOn w:val="1"/>
    <w:link w:val="22"/>
    <w:qFormat/>
    <w:uiPriority w:val="0"/>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toc 2"/>
    <w:basedOn w:val="1"/>
    <w:next w:val="1"/>
    <w:unhideWhenUsed/>
    <w:qFormat/>
    <w:uiPriority w:val="39"/>
    <w:pPr>
      <w:spacing w:line="360" w:lineRule="auto"/>
      <w:ind w:left="420" w:leftChars="200"/>
    </w:pPr>
    <w:rPr>
      <w:rFonts w:ascii="Calibri" w:hAnsi="Calibri"/>
      <w:kern w:val="0"/>
      <w:szCs w:val="32"/>
    </w:rPr>
  </w:style>
  <w:style w:type="paragraph" w:styleId="13">
    <w:name w:val="Normal (Web)"/>
    <w:basedOn w:val="1"/>
    <w:qFormat/>
    <w:uiPriority w:val="0"/>
    <w:rPr>
      <w:sz w:val="24"/>
    </w:rPr>
  </w:style>
  <w:style w:type="paragraph" w:styleId="14">
    <w:name w:val="annotation subject"/>
    <w:basedOn w:val="5"/>
    <w:next w:val="5"/>
    <w:link w:val="24"/>
    <w:qFormat/>
    <w:uiPriority w:val="0"/>
    <w:rPr>
      <w:b/>
      <w:bCs/>
    </w:rPr>
  </w:style>
  <w:style w:type="paragraph" w:styleId="15">
    <w:name w:val="Body Text First Indent 2"/>
    <w:basedOn w:val="6"/>
    <w:qFormat/>
    <w:uiPriority w:val="0"/>
    <w:pPr>
      <w:ind w:firstLine="420" w:firstLineChars="200"/>
    </w:pPr>
  </w:style>
  <w:style w:type="table" w:styleId="17">
    <w:name w:val="Table Grid"/>
    <w:basedOn w:val="16"/>
    <w:semiHidden/>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character" w:styleId="20">
    <w:name w:val="annotation reference"/>
    <w:basedOn w:val="18"/>
    <w:qFormat/>
    <w:uiPriority w:val="0"/>
    <w:rPr>
      <w:sz w:val="21"/>
      <w:szCs w:val="21"/>
    </w:rPr>
  </w:style>
  <w:style w:type="paragraph" w:customStyle="1" w:styleId="21">
    <w:name w:val="WPSOffice手动目录 1"/>
    <w:qFormat/>
    <w:uiPriority w:val="0"/>
    <w:rPr>
      <w:rFonts w:ascii="Times New Roman" w:hAnsi="Times New Roman" w:eastAsia="宋体" w:cs="Times New Roman"/>
      <w:lang w:val="en-US" w:eastAsia="zh-CN" w:bidi="ar-SA"/>
    </w:rPr>
  </w:style>
  <w:style w:type="character" w:customStyle="1" w:styleId="22">
    <w:name w:val="批注框文本 Char"/>
    <w:basedOn w:val="18"/>
    <w:link w:val="8"/>
    <w:qFormat/>
    <w:uiPriority w:val="0"/>
    <w:rPr>
      <w:rFonts w:asciiTheme="minorHAnsi" w:hAnsiTheme="minorHAnsi" w:eastAsiaTheme="minorEastAsia" w:cstheme="minorBidi"/>
      <w:kern w:val="2"/>
      <w:sz w:val="18"/>
      <w:szCs w:val="18"/>
    </w:rPr>
  </w:style>
  <w:style w:type="character" w:customStyle="1" w:styleId="23">
    <w:name w:val="批注文字 Char"/>
    <w:basedOn w:val="18"/>
    <w:link w:val="5"/>
    <w:qFormat/>
    <w:uiPriority w:val="0"/>
    <w:rPr>
      <w:rFonts w:asciiTheme="minorHAnsi" w:hAnsiTheme="minorHAnsi" w:eastAsiaTheme="minorEastAsia" w:cstheme="minorBidi"/>
      <w:kern w:val="2"/>
      <w:sz w:val="21"/>
      <w:szCs w:val="24"/>
    </w:rPr>
  </w:style>
  <w:style w:type="character" w:customStyle="1" w:styleId="24">
    <w:name w:val="批注主题 Char"/>
    <w:basedOn w:val="23"/>
    <w:link w:val="14"/>
    <w:qFormat/>
    <w:uiPriority w:val="0"/>
    <w:rPr>
      <w:rFonts w:asciiTheme="minorHAnsi" w:hAnsiTheme="minorHAnsi" w:eastAsiaTheme="minorEastAsia" w:cstheme="minorBidi"/>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11670</Words>
  <Characters>12447</Characters>
  <Lines>61</Lines>
  <Paragraphs>17</Paragraphs>
  <TotalTime>33</TotalTime>
  <ScaleCrop>false</ScaleCrop>
  <LinksUpToDate>false</LinksUpToDate>
  <CharactersWithSpaces>12550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2023-07-23T08:32:00Z</dcterms:created>
  <dc:creator>陶同学</dc:creator>
  <cp:lastModifiedBy>szj</cp:lastModifiedBy>
  <cp:lastPrinted>2023-07-28T00:47:00Z</cp:lastPrinted>
  <dcterms:modified xsi:type="dcterms:W3CDTF">2024-07-08T11:35:06Z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752E7EF1FAE247E9964BEC0F43C303B5_13</vt:lpwstr>
  </property>
</Properties>
</file>